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9.xml" ContentType="application/vnd.openxmlformats-officedocument.wordprocessingml.header+xml"/>
  <Override PartName="/word/footer12.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2.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header15.xml" ContentType="application/vnd.openxmlformats-officedocument.wordprocessingml.header+xml"/>
  <Override PartName="/word/footer23.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24.xml" ContentType="application/vnd.openxmlformats-officedocument.wordprocessingml.footer+xml"/>
  <Override PartName="/word/footer25.xml" ContentType="application/vnd.openxmlformats-officedocument.wordprocessingml.footer+xml"/>
  <Override PartName="/word/header18.xml" ContentType="application/vnd.openxmlformats-officedocument.wordprocessingml.head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21.xml" ContentType="application/vnd.openxmlformats-officedocument.wordprocessingml.header+xml"/>
  <Override PartName="/word/footer33.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24.xml" ContentType="application/vnd.openxmlformats-officedocument.wordprocessingml.head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39.xml" ContentType="application/vnd.openxmlformats-officedocument.wordprocessingml.footer+xml"/>
  <Override PartName="/word/footer40.xml" ContentType="application/vnd.openxmlformats-officedocument.wordprocessingml.footer+xml"/>
  <Override PartName="/word/header27.xml" ContentType="application/vnd.openxmlformats-officedocument.wordprocessingml.header+xml"/>
  <Override PartName="/word/footer41.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42.xml" ContentType="application/vnd.openxmlformats-officedocument.wordprocessingml.footer+xml"/>
  <Override PartName="/word/footer43.xml" ContentType="application/vnd.openxmlformats-officedocument.wordprocessingml.footer+xml"/>
  <Override PartName="/word/header30.xml" ContentType="application/vnd.openxmlformats-officedocument.wordprocessingml.header+xml"/>
  <Override PartName="/word/footer44.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45.xml" ContentType="application/vnd.openxmlformats-officedocument.wordprocessingml.footer+xml"/>
  <Override PartName="/word/footer46.xml" ContentType="application/vnd.openxmlformats-officedocument.wordprocessingml.footer+xml"/>
  <Override PartName="/word/header33.xml" ContentType="application/vnd.openxmlformats-officedocument.wordprocessingml.header+xml"/>
  <Override PartName="/word/footer47.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48.xml" ContentType="application/vnd.openxmlformats-officedocument.wordprocessingml.footer+xml"/>
  <Override PartName="/word/footer49.xml" ContentType="application/vnd.openxmlformats-officedocument.wordprocessingml.footer+xml"/>
  <Override PartName="/word/header36.xml" ContentType="application/vnd.openxmlformats-officedocument.wordprocessingml.head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39.xml" ContentType="application/vnd.openxmlformats-officedocument.wordprocessingml.header+xml"/>
  <Override PartName="/word/footer57.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42.xml" ContentType="application/vnd.openxmlformats-officedocument.wordprocessingml.header+xml"/>
  <Override PartName="/word/footer60.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45.xml" ContentType="application/vnd.openxmlformats-officedocument.wordprocessingml.header+xml"/>
  <Override PartName="/word/footer63.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48.xml" ContentType="application/vnd.openxmlformats-officedocument.wordprocessingml.header+xml"/>
  <Override PartName="/word/footer6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6DCA" w:rsidRPr="007B2462" w:rsidRDefault="00A46DCA" w:rsidP="00A2031D">
      <w:pPr>
        <w:pBdr>
          <w:bottom w:val="single" w:sz="12" w:space="0" w:color="auto"/>
        </w:pBdr>
        <w:spacing w:before="1560"/>
        <w:jc w:val="center"/>
        <w:rPr>
          <w:rFonts w:ascii="Calibri" w:hAnsi="Calibri"/>
          <w:b/>
          <w:sz w:val="52"/>
          <w:szCs w:val="52"/>
        </w:rPr>
      </w:pPr>
      <w:r>
        <w:rPr>
          <w:rFonts w:ascii="Calibri" w:hAnsi="Calibri"/>
          <w:b/>
          <w:sz w:val="52"/>
          <w:szCs w:val="52"/>
        </w:rPr>
        <w:t>Budget Update</w:t>
      </w:r>
    </w:p>
    <w:p w:rsidR="00A46DCA" w:rsidRPr="00E34C95" w:rsidRDefault="00A46DCA" w:rsidP="00A2031D">
      <w:pPr>
        <w:jc w:val="center"/>
        <w:rPr>
          <w:rFonts w:ascii="Calibri" w:hAnsi="Calibri"/>
          <w:b/>
          <w:sz w:val="50"/>
          <w:szCs w:val="52"/>
        </w:rPr>
      </w:pPr>
      <w:r w:rsidRPr="007B2462">
        <w:rPr>
          <w:rFonts w:ascii="Calibri" w:hAnsi="Calibri"/>
          <w:b/>
          <w:sz w:val="52"/>
          <w:szCs w:val="52"/>
        </w:rPr>
        <w:t>201</w:t>
      </w:r>
      <w:r>
        <w:rPr>
          <w:rFonts w:ascii="Calibri" w:hAnsi="Calibri"/>
          <w:b/>
          <w:sz w:val="52"/>
          <w:szCs w:val="52"/>
        </w:rPr>
        <w:t>7</w:t>
      </w:r>
      <w:r>
        <w:rPr>
          <w:rFonts w:ascii="Calibri" w:hAnsi="Calibri"/>
          <w:b/>
          <w:sz w:val="52"/>
          <w:szCs w:val="52"/>
        </w:rPr>
        <w:noBreakHyphen/>
        <w:t>18</w:t>
      </w:r>
    </w:p>
    <w:p w:rsidR="00A46DCA" w:rsidRDefault="00A46DCA" w:rsidP="00A2031D">
      <w:pPr>
        <w:jc w:val="center"/>
        <w:rPr>
          <w:rFonts w:ascii="Calibri" w:hAnsi="Calibri"/>
          <w:sz w:val="30"/>
          <w:szCs w:val="30"/>
        </w:rPr>
      </w:pPr>
    </w:p>
    <w:p w:rsidR="00A46DCA" w:rsidRPr="007B2462" w:rsidRDefault="00A46DCA" w:rsidP="00A2031D">
      <w:pPr>
        <w:jc w:val="center"/>
        <w:rPr>
          <w:rFonts w:ascii="Calibri" w:hAnsi="Calibri"/>
          <w:sz w:val="30"/>
          <w:szCs w:val="30"/>
        </w:rPr>
      </w:pPr>
    </w:p>
    <w:p w:rsidR="00A46DCA" w:rsidRPr="007B2462" w:rsidRDefault="00A46DCA" w:rsidP="00A2031D">
      <w:pPr>
        <w:jc w:val="center"/>
      </w:pPr>
      <w:r w:rsidRPr="00D26163">
        <w:rPr>
          <w:rFonts w:ascii="Calibri" w:hAnsi="Calibri" w:cs="Calibri"/>
          <w:noProof/>
          <w:lang w:eastAsia="en-AU"/>
        </w:rPr>
        <w:drawing>
          <wp:inline distT="0" distB="0" distL="0" distR="0" wp14:anchorId="1071663C" wp14:editId="696BCEC8">
            <wp:extent cx="940435" cy="11474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40435" cy="1147445"/>
                    </a:xfrm>
                    <a:prstGeom prst="rect">
                      <a:avLst/>
                    </a:prstGeom>
                    <a:noFill/>
                    <a:ln>
                      <a:noFill/>
                    </a:ln>
                  </pic:spPr>
                </pic:pic>
              </a:graphicData>
            </a:graphic>
          </wp:inline>
        </w:drawing>
      </w:r>
    </w:p>
    <w:p w:rsidR="00A46DCA" w:rsidRPr="007B2462" w:rsidRDefault="00A46DCA" w:rsidP="00A2031D">
      <w:pPr>
        <w:jc w:val="center"/>
        <w:rPr>
          <w:sz w:val="36"/>
          <w:szCs w:val="36"/>
        </w:rPr>
      </w:pPr>
    </w:p>
    <w:p w:rsidR="00A46DCA" w:rsidRPr="007B2462" w:rsidRDefault="00A46DCA" w:rsidP="00A2031D">
      <w:pPr>
        <w:jc w:val="center"/>
        <w:rPr>
          <w:sz w:val="36"/>
          <w:szCs w:val="36"/>
        </w:rPr>
      </w:pPr>
    </w:p>
    <w:p w:rsidR="00A46DCA" w:rsidRPr="007B2462" w:rsidRDefault="00A46DCA" w:rsidP="00A2031D">
      <w:pPr>
        <w:jc w:val="center"/>
        <w:rPr>
          <w:sz w:val="36"/>
          <w:szCs w:val="36"/>
        </w:rPr>
      </w:pPr>
    </w:p>
    <w:p w:rsidR="00A46DCA" w:rsidRPr="007B2462" w:rsidRDefault="00A46DCA" w:rsidP="00A2031D">
      <w:pPr>
        <w:jc w:val="center"/>
        <w:rPr>
          <w:rFonts w:ascii="Calibri" w:hAnsi="Calibri"/>
          <w:sz w:val="28"/>
          <w:szCs w:val="28"/>
        </w:rPr>
      </w:pPr>
      <w:r w:rsidRPr="007B2462">
        <w:rPr>
          <w:rFonts w:ascii="Calibri" w:hAnsi="Calibri"/>
          <w:sz w:val="28"/>
          <w:szCs w:val="28"/>
        </w:rPr>
        <w:t>Presented by</w:t>
      </w:r>
    </w:p>
    <w:p w:rsidR="00A46DCA" w:rsidRPr="00D26163" w:rsidRDefault="00A46DCA" w:rsidP="00A2031D">
      <w:pPr>
        <w:jc w:val="center"/>
        <w:rPr>
          <w:rFonts w:ascii="Calibri" w:hAnsi="Calibri" w:cs="Calibri"/>
          <w:b/>
          <w:sz w:val="36"/>
          <w:szCs w:val="36"/>
        </w:rPr>
      </w:pPr>
      <w:r w:rsidRPr="00D26163">
        <w:rPr>
          <w:rFonts w:ascii="Calibri" w:hAnsi="Calibri" w:cs="Calibri"/>
          <w:b/>
          <w:sz w:val="36"/>
          <w:szCs w:val="36"/>
        </w:rPr>
        <w:t>Tim Pallas MP</w:t>
      </w:r>
    </w:p>
    <w:p w:rsidR="00A46DCA" w:rsidRPr="00D26163" w:rsidRDefault="00A46DCA" w:rsidP="00A2031D">
      <w:pPr>
        <w:jc w:val="center"/>
        <w:rPr>
          <w:rFonts w:ascii="Calibri" w:hAnsi="Calibri" w:cs="Calibri"/>
          <w:sz w:val="28"/>
          <w:szCs w:val="28"/>
        </w:rPr>
      </w:pPr>
      <w:r w:rsidRPr="00D26163">
        <w:rPr>
          <w:rFonts w:ascii="Calibri" w:hAnsi="Calibri" w:cs="Calibri"/>
          <w:sz w:val="28"/>
          <w:szCs w:val="28"/>
        </w:rPr>
        <w:t>Treasurer of the State of Victoria</w:t>
      </w:r>
    </w:p>
    <w:p w:rsidR="00A46DCA" w:rsidRPr="007B2462" w:rsidRDefault="00A46DCA" w:rsidP="00A2031D">
      <w:pPr>
        <w:jc w:val="center"/>
        <w:rPr>
          <w:rFonts w:ascii="Calibri" w:hAnsi="Calibri"/>
          <w:sz w:val="30"/>
          <w:szCs w:val="30"/>
        </w:rPr>
      </w:pPr>
      <w:r w:rsidRPr="007B2462">
        <w:rPr>
          <w:rFonts w:ascii="Calibri" w:hAnsi="Calibri"/>
          <w:sz w:val="30"/>
          <w:szCs w:val="30"/>
        </w:rPr>
        <w:t>for the information of Honourable Members</w:t>
      </w:r>
    </w:p>
    <w:p w:rsidR="00715FC3" w:rsidRDefault="00715FC3" w:rsidP="00A2031D">
      <w:pPr>
        <w:sectPr w:rsidR="00715FC3" w:rsidSect="00287535">
          <w:type w:val="continuous"/>
          <w:pgSz w:w="9979" w:h="14175" w:code="9"/>
          <w:pgMar w:top="850" w:right="1134" w:bottom="850" w:left="1134" w:header="624" w:footer="567" w:gutter="0"/>
          <w:cols w:sep="1" w:space="567"/>
          <w:docGrid w:linePitch="360"/>
        </w:sectPr>
      </w:pPr>
    </w:p>
    <w:p w:rsidR="00A46DCA" w:rsidRPr="007B2462" w:rsidRDefault="00A46DCA" w:rsidP="00A2031D">
      <w:bookmarkStart w:id="0" w:name="_GoBack"/>
      <w:bookmarkEnd w:id="0"/>
    </w:p>
    <w:p w:rsidR="00A46DCA" w:rsidRDefault="00715FC3" w:rsidP="00715FC3">
      <w:r w:rsidRPr="00715FC3">
        <w:drawing>
          <wp:inline distT="0" distB="0" distL="0" distR="0" wp14:anchorId="420F2062" wp14:editId="595A1462">
            <wp:extent cx="2885704" cy="459606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83796" cy="4593024"/>
                    </a:xfrm>
                    <a:prstGeom prst="rect">
                      <a:avLst/>
                    </a:prstGeom>
                    <a:noFill/>
                    <a:ln>
                      <a:noFill/>
                    </a:ln>
                  </pic:spPr>
                </pic:pic>
              </a:graphicData>
            </a:graphic>
          </wp:inline>
        </w:drawing>
      </w:r>
    </w:p>
    <w:p w:rsidR="00A46DCA" w:rsidRDefault="00A46DCA" w:rsidP="008416B3"/>
    <w:p w:rsidR="00A46DCA" w:rsidRDefault="00A46DCA" w:rsidP="008416B3">
      <w:pPr>
        <w:sectPr w:rsidR="00A46DCA" w:rsidSect="00715FC3">
          <w:footerReference w:type="even" r:id="rId11"/>
          <w:pgSz w:w="9979" w:h="14175" w:code="34"/>
          <w:pgMar w:top="851" w:right="1134" w:bottom="851" w:left="1134" w:header="624" w:footer="567" w:gutter="0"/>
          <w:cols w:sep="1" w:space="567"/>
          <w:vAlign w:val="bottom"/>
          <w:docGrid w:linePitch="360"/>
        </w:sectPr>
      </w:pPr>
    </w:p>
    <w:p w:rsidR="00A46DCA" w:rsidRPr="006F6363" w:rsidRDefault="00A46DCA" w:rsidP="00A2031D">
      <w:pPr>
        <w:pBdr>
          <w:bottom w:val="single" w:sz="6" w:space="1" w:color="auto"/>
        </w:pBdr>
        <w:spacing w:before="1440" w:after="360"/>
        <w:rPr>
          <w:rFonts w:ascii="Calibri" w:hAnsi="Calibri"/>
          <w:b/>
          <w:caps/>
          <w:sz w:val="36"/>
        </w:rPr>
      </w:pPr>
      <w:bookmarkStart w:id="1" w:name="_Toc481013395"/>
      <w:r w:rsidRPr="006F6363">
        <w:rPr>
          <w:rFonts w:ascii="Calibri" w:hAnsi="Calibri"/>
          <w:b/>
          <w:caps/>
          <w:sz w:val="36"/>
        </w:rPr>
        <w:lastRenderedPageBreak/>
        <w:t>TABLE OF CONTENTS</w:t>
      </w:r>
      <w:bookmarkEnd w:id="1"/>
    </w:p>
    <w:p w:rsidR="00A46DCA" w:rsidRDefault="00A46DCA">
      <w:pPr>
        <w:pStyle w:val="TOC1"/>
        <w:rPr>
          <w:rFonts w:asciiTheme="minorHAnsi" w:eastAsiaTheme="minorEastAsia" w:hAnsiTheme="minorHAnsi"/>
          <w:b w:val="0"/>
          <w:noProof/>
          <w:spacing w:val="0"/>
          <w:szCs w:val="22"/>
          <w:lang w:eastAsia="en-AU"/>
        </w:rPr>
      </w:pPr>
      <w:r w:rsidRPr="000A1C51">
        <w:rPr>
          <w:b w:val="0"/>
        </w:rPr>
        <w:fldChar w:fldCharType="begin"/>
      </w:r>
      <w:r w:rsidRPr="000A1C51">
        <w:rPr>
          <w:b w:val="0"/>
        </w:rPr>
        <w:instrText xml:space="preserve"> TOC \h \z \t "Heading 1,2,Chapter heading,1,Heading 1 (#),2" </w:instrText>
      </w:r>
      <w:r w:rsidRPr="000A1C51">
        <w:rPr>
          <w:b w:val="0"/>
        </w:rPr>
        <w:fldChar w:fldCharType="separate"/>
      </w:r>
      <w:hyperlink w:anchor="_Toc500435560" w:history="1">
        <w:r w:rsidRPr="0051208A">
          <w:rPr>
            <w:rStyle w:val="Hyperlink"/>
            <w:noProof/>
          </w:rPr>
          <w:t>Chapter 1 – Economic and fiscal overview</w:t>
        </w:r>
        <w:r>
          <w:rPr>
            <w:noProof/>
            <w:webHidden/>
          </w:rPr>
          <w:tab/>
        </w:r>
        <w:r>
          <w:rPr>
            <w:noProof/>
            <w:webHidden/>
          </w:rPr>
          <w:fldChar w:fldCharType="begin"/>
        </w:r>
        <w:r>
          <w:rPr>
            <w:noProof/>
            <w:webHidden/>
          </w:rPr>
          <w:instrText xml:space="preserve"> PAGEREF _Toc500435560 \h </w:instrText>
        </w:r>
        <w:r>
          <w:rPr>
            <w:noProof/>
            <w:webHidden/>
          </w:rPr>
        </w:r>
        <w:r>
          <w:rPr>
            <w:noProof/>
            <w:webHidden/>
          </w:rPr>
          <w:fldChar w:fldCharType="separate"/>
        </w:r>
        <w:r w:rsidR="00715FC3">
          <w:rPr>
            <w:noProof/>
            <w:webHidden/>
          </w:rPr>
          <w:t>1</w:t>
        </w:r>
        <w:r>
          <w:rPr>
            <w:noProof/>
            <w:webHidden/>
          </w:rPr>
          <w:fldChar w:fldCharType="end"/>
        </w:r>
      </w:hyperlink>
    </w:p>
    <w:p w:rsidR="00A46DCA" w:rsidRDefault="00715FC3">
      <w:pPr>
        <w:pStyle w:val="TOC1"/>
        <w:rPr>
          <w:rFonts w:asciiTheme="minorHAnsi" w:eastAsiaTheme="minorEastAsia" w:hAnsiTheme="minorHAnsi"/>
          <w:b w:val="0"/>
          <w:noProof/>
          <w:spacing w:val="0"/>
          <w:szCs w:val="22"/>
          <w:lang w:eastAsia="en-AU"/>
        </w:rPr>
      </w:pPr>
      <w:hyperlink w:anchor="_Toc500435561" w:history="1">
        <w:r w:rsidR="00A46DCA" w:rsidRPr="0051208A">
          <w:rPr>
            <w:rStyle w:val="Hyperlink"/>
            <w:noProof/>
          </w:rPr>
          <w:t>Chapter 2 – Economic context</w:t>
        </w:r>
        <w:r w:rsidR="00A46DCA">
          <w:rPr>
            <w:noProof/>
            <w:webHidden/>
          </w:rPr>
          <w:tab/>
        </w:r>
        <w:r w:rsidR="00A46DCA">
          <w:rPr>
            <w:noProof/>
            <w:webHidden/>
          </w:rPr>
          <w:fldChar w:fldCharType="begin"/>
        </w:r>
        <w:r w:rsidR="00A46DCA">
          <w:rPr>
            <w:noProof/>
            <w:webHidden/>
          </w:rPr>
          <w:instrText xml:space="preserve"> PAGEREF _Toc500435561 \h </w:instrText>
        </w:r>
        <w:r w:rsidR="00A46DCA">
          <w:rPr>
            <w:noProof/>
            <w:webHidden/>
          </w:rPr>
        </w:r>
        <w:r w:rsidR="00A46DCA">
          <w:rPr>
            <w:noProof/>
            <w:webHidden/>
          </w:rPr>
          <w:fldChar w:fldCharType="separate"/>
        </w:r>
        <w:r>
          <w:rPr>
            <w:noProof/>
            <w:webHidden/>
          </w:rPr>
          <w:t>5</w:t>
        </w:r>
        <w:r w:rsidR="00A46DCA">
          <w:rPr>
            <w:noProof/>
            <w:webHidden/>
          </w:rPr>
          <w:fldChar w:fldCharType="end"/>
        </w:r>
      </w:hyperlink>
    </w:p>
    <w:p w:rsidR="00A46DCA" w:rsidRDefault="00715FC3">
      <w:pPr>
        <w:pStyle w:val="TOC2"/>
        <w:rPr>
          <w:rFonts w:asciiTheme="minorHAnsi" w:eastAsiaTheme="minorEastAsia" w:hAnsiTheme="minorHAnsi"/>
          <w:spacing w:val="0"/>
          <w:szCs w:val="22"/>
          <w:lang w:eastAsia="en-AU"/>
        </w:rPr>
      </w:pPr>
      <w:hyperlink w:anchor="_Toc500435562" w:history="1">
        <w:r w:rsidR="00A46DCA" w:rsidRPr="0051208A">
          <w:rPr>
            <w:rStyle w:val="Hyperlink"/>
          </w:rPr>
          <w:t>Victorian economic conditions and outlook</w:t>
        </w:r>
        <w:r w:rsidR="00A46DCA">
          <w:rPr>
            <w:webHidden/>
          </w:rPr>
          <w:tab/>
        </w:r>
        <w:r w:rsidR="00A46DCA">
          <w:rPr>
            <w:webHidden/>
          </w:rPr>
          <w:fldChar w:fldCharType="begin"/>
        </w:r>
        <w:r w:rsidR="00A46DCA">
          <w:rPr>
            <w:webHidden/>
          </w:rPr>
          <w:instrText xml:space="preserve"> PAGEREF _Toc500435562 \h </w:instrText>
        </w:r>
        <w:r w:rsidR="00A46DCA">
          <w:rPr>
            <w:webHidden/>
          </w:rPr>
        </w:r>
        <w:r w:rsidR="00A46DCA">
          <w:rPr>
            <w:webHidden/>
          </w:rPr>
          <w:fldChar w:fldCharType="separate"/>
        </w:r>
        <w:r>
          <w:rPr>
            <w:webHidden/>
          </w:rPr>
          <w:t>5</w:t>
        </w:r>
        <w:r w:rsidR="00A46DCA">
          <w:rPr>
            <w:webHidden/>
          </w:rPr>
          <w:fldChar w:fldCharType="end"/>
        </w:r>
      </w:hyperlink>
    </w:p>
    <w:p w:rsidR="00A46DCA" w:rsidRDefault="00715FC3">
      <w:pPr>
        <w:pStyle w:val="TOC2"/>
        <w:rPr>
          <w:rFonts w:asciiTheme="minorHAnsi" w:eastAsiaTheme="minorEastAsia" w:hAnsiTheme="minorHAnsi"/>
          <w:spacing w:val="0"/>
          <w:szCs w:val="22"/>
          <w:lang w:eastAsia="en-AU"/>
        </w:rPr>
      </w:pPr>
      <w:hyperlink w:anchor="_Toc500435563" w:history="1">
        <w:r w:rsidR="00A46DCA" w:rsidRPr="0051208A">
          <w:rPr>
            <w:rStyle w:val="Hyperlink"/>
          </w:rPr>
          <w:t>Australian economic conditions and outlook</w:t>
        </w:r>
        <w:r w:rsidR="00A46DCA">
          <w:rPr>
            <w:webHidden/>
          </w:rPr>
          <w:tab/>
        </w:r>
        <w:r w:rsidR="00A46DCA">
          <w:rPr>
            <w:webHidden/>
          </w:rPr>
          <w:fldChar w:fldCharType="begin"/>
        </w:r>
        <w:r w:rsidR="00A46DCA">
          <w:rPr>
            <w:webHidden/>
          </w:rPr>
          <w:instrText xml:space="preserve"> PAGEREF _Toc500435563 \h </w:instrText>
        </w:r>
        <w:r w:rsidR="00A46DCA">
          <w:rPr>
            <w:webHidden/>
          </w:rPr>
        </w:r>
        <w:r w:rsidR="00A46DCA">
          <w:rPr>
            <w:webHidden/>
          </w:rPr>
          <w:fldChar w:fldCharType="separate"/>
        </w:r>
        <w:r>
          <w:rPr>
            <w:webHidden/>
          </w:rPr>
          <w:t>10</w:t>
        </w:r>
        <w:r w:rsidR="00A46DCA">
          <w:rPr>
            <w:webHidden/>
          </w:rPr>
          <w:fldChar w:fldCharType="end"/>
        </w:r>
      </w:hyperlink>
    </w:p>
    <w:p w:rsidR="00A46DCA" w:rsidRDefault="00715FC3">
      <w:pPr>
        <w:pStyle w:val="TOC2"/>
        <w:rPr>
          <w:rFonts w:asciiTheme="minorHAnsi" w:eastAsiaTheme="minorEastAsia" w:hAnsiTheme="minorHAnsi"/>
          <w:spacing w:val="0"/>
          <w:szCs w:val="22"/>
          <w:lang w:eastAsia="en-AU"/>
        </w:rPr>
      </w:pPr>
      <w:hyperlink w:anchor="_Toc500435564" w:history="1">
        <w:r w:rsidR="00A46DCA" w:rsidRPr="0051208A">
          <w:rPr>
            <w:rStyle w:val="Hyperlink"/>
          </w:rPr>
          <w:t>International economic conditions and outlook</w:t>
        </w:r>
        <w:r w:rsidR="00A46DCA">
          <w:rPr>
            <w:webHidden/>
          </w:rPr>
          <w:tab/>
        </w:r>
        <w:r w:rsidR="00A46DCA">
          <w:rPr>
            <w:webHidden/>
          </w:rPr>
          <w:fldChar w:fldCharType="begin"/>
        </w:r>
        <w:r w:rsidR="00A46DCA">
          <w:rPr>
            <w:webHidden/>
          </w:rPr>
          <w:instrText xml:space="preserve"> PAGEREF _Toc500435564 \h </w:instrText>
        </w:r>
        <w:r w:rsidR="00A46DCA">
          <w:rPr>
            <w:webHidden/>
          </w:rPr>
        </w:r>
        <w:r w:rsidR="00A46DCA">
          <w:rPr>
            <w:webHidden/>
          </w:rPr>
          <w:fldChar w:fldCharType="separate"/>
        </w:r>
        <w:r>
          <w:rPr>
            <w:webHidden/>
          </w:rPr>
          <w:t>10</w:t>
        </w:r>
        <w:r w:rsidR="00A46DCA">
          <w:rPr>
            <w:webHidden/>
          </w:rPr>
          <w:fldChar w:fldCharType="end"/>
        </w:r>
      </w:hyperlink>
    </w:p>
    <w:p w:rsidR="00A46DCA" w:rsidRDefault="00715FC3">
      <w:pPr>
        <w:pStyle w:val="TOC2"/>
        <w:rPr>
          <w:rFonts w:asciiTheme="minorHAnsi" w:eastAsiaTheme="minorEastAsia" w:hAnsiTheme="minorHAnsi"/>
          <w:spacing w:val="0"/>
          <w:szCs w:val="22"/>
          <w:lang w:eastAsia="en-AU"/>
        </w:rPr>
      </w:pPr>
      <w:hyperlink w:anchor="_Toc500435565" w:history="1">
        <w:r w:rsidR="00A46DCA" w:rsidRPr="0051208A">
          <w:rPr>
            <w:rStyle w:val="Hyperlink"/>
          </w:rPr>
          <w:t>Risks to the outlook</w:t>
        </w:r>
        <w:r w:rsidR="00A46DCA">
          <w:rPr>
            <w:webHidden/>
          </w:rPr>
          <w:tab/>
        </w:r>
        <w:r w:rsidR="00A46DCA">
          <w:rPr>
            <w:webHidden/>
          </w:rPr>
          <w:fldChar w:fldCharType="begin"/>
        </w:r>
        <w:r w:rsidR="00A46DCA">
          <w:rPr>
            <w:webHidden/>
          </w:rPr>
          <w:instrText xml:space="preserve"> PAGEREF _Toc500435565 \h </w:instrText>
        </w:r>
        <w:r w:rsidR="00A46DCA">
          <w:rPr>
            <w:webHidden/>
          </w:rPr>
        </w:r>
        <w:r w:rsidR="00A46DCA">
          <w:rPr>
            <w:webHidden/>
          </w:rPr>
          <w:fldChar w:fldCharType="separate"/>
        </w:r>
        <w:r>
          <w:rPr>
            <w:webHidden/>
          </w:rPr>
          <w:t>11</w:t>
        </w:r>
        <w:r w:rsidR="00A46DCA">
          <w:rPr>
            <w:webHidden/>
          </w:rPr>
          <w:fldChar w:fldCharType="end"/>
        </w:r>
      </w:hyperlink>
    </w:p>
    <w:p w:rsidR="00A46DCA" w:rsidRDefault="00715FC3">
      <w:pPr>
        <w:pStyle w:val="TOC1"/>
        <w:rPr>
          <w:rFonts w:asciiTheme="minorHAnsi" w:eastAsiaTheme="minorEastAsia" w:hAnsiTheme="minorHAnsi"/>
          <w:b w:val="0"/>
          <w:noProof/>
          <w:spacing w:val="0"/>
          <w:szCs w:val="22"/>
          <w:lang w:eastAsia="en-AU"/>
        </w:rPr>
      </w:pPr>
      <w:hyperlink w:anchor="_Toc500435566" w:history="1">
        <w:r w:rsidR="00A46DCA" w:rsidRPr="0051208A">
          <w:rPr>
            <w:rStyle w:val="Hyperlink"/>
            <w:noProof/>
          </w:rPr>
          <w:t>Chapter 3 – Budget position and outlook</w:t>
        </w:r>
        <w:r w:rsidR="00A46DCA">
          <w:rPr>
            <w:noProof/>
            <w:webHidden/>
          </w:rPr>
          <w:tab/>
        </w:r>
        <w:r w:rsidR="00A46DCA">
          <w:rPr>
            <w:noProof/>
            <w:webHidden/>
          </w:rPr>
          <w:fldChar w:fldCharType="begin"/>
        </w:r>
        <w:r w:rsidR="00A46DCA">
          <w:rPr>
            <w:noProof/>
            <w:webHidden/>
          </w:rPr>
          <w:instrText xml:space="preserve"> PAGEREF _Toc500435566 \h </w:instrText>
        </w:r>
        <w:r w:rsidR="00A46DCA">
          <w:rPr>
            <w:noProof/>
            <w:webHidden/>
          </w:rPr>
        </w:r>
        <w:r w:rsidR="00A46DCA">
          <w:rPr>
            <w:noProof/>
            <w:webHidden/>
          </w:rPr>
          <w:fldChar w:fldCharType="separate"/>
        </w:r>
        <w:r>
          <w:rPr>
            <w:noProof/>
            <w:webHidden/>
          </w:rPr>
          <w:t>13</w:t>
        </w:r>
        <w:r w:rsidR="00A46DCA">
          <w:rPr>
            <w:noProof/>
            <w:webHidden/>
          </w:rPr>
          <w:fldChar w:fldCharType="end"/>
        </w:r>
      </w:hyperlink>
    </w:p>
    <w:p w:rsidR="00A46DCA" w:rsidRDefault="00715FC3">
      <w:pPr>
        <w:pStyle w:val="TOC2"/>
        <w:rPr>
          <w:rFonts w:asciiTheme="minorHAnsi" w:eastAsiaTheme="minorEastAsia" w:hAnsiTheme="minorHAnsi"/>
          <w:spacing w:val="0"/>
          <w:szCs w:val="22"/>
          <w:lang w:eastAsia="en-AU"/>
        </w:rPr>
      </w:pPr>
      <w:hyperlink w:anchor="_Toc500435567" w:history="1">
        <w:r w:rsidR="00A46DCA" w:rsidRPr="0051208A">
          <w:rPr>
            <w:rStyle w:val="Hyperlink"/>
          </w:rPr>
          <w:t>General government sector</w:t>
        </w:r>
        <w:r w:rsidR="00A46DCA">
          <w:rPr>
            <w:webHidden/>
          </w:rPr>
          <w:tab/>
        </w:r>
        <w:r w:rsidR="00A46DCA">
          <w:rPr>
            <w:webHidden/>
          </w:rPr>
          <w:fldChar w:fldCharType="begin"/>
        </w:r>
        <w:r w:rsidR="00A46DCA">
          <w:rPr>
            <w:webHidden/>
          </w:rPr>
          <w:instrText xml:space="preserve"> PAGEREF _Toc500435567 \h </w:instrText>
        </w:r>
        <w:r w:rsidR="00A46DCA">
          <w:rPr>
            <w:webHidden/>
          </w:rPr>
        </w:r>
        <w:r w:rsidR="00A46DCA">
          <w:rPr>
            <w:webHidden/>
          </w:rPr>
          <w:fldChar w:fldCharType="separate"/>
        </w:r>
        <w:r>
          <w:rPr>
            <w:webHidden/>
          </w:rPr>
          <w:t>14</w:t>
        </w:r>
        <w:r w:rsidR="00A46DCA">
          <w:rPr>
            <w:webHidden/>
          </w:rPr>
          <w:fldChar w:fldCharType="end"/>
        </w:r>
      </w:hyperlink>
    </w:p>
    <w:p w:rsidR="00A46DCA" w:rsidRDefault="00715FC3">
      <w:pPr>
        <w:pStyle w:val="TOC2"/>
        <w:rPr>
          <w:rFonts w:asciiTheme="minorHAnsi" w:eastAsiaTheme="minorEastAsia" w:hAnsiTheme="minorHAnsi"/>
          <w:spacing w:val="0"/>
          <w:szCs w:val="22"/>
          <w:lang w:eastAsia="en-AU"/>
        </w:rPr>
      </w:pPr>
      <w:hyperlink w:anchor="_Toc500435568" w:history="1">
        <w:r w:rsidR="00A46DCA" w:rsidRPr="0051208A">
          <w:rPr>
            <w:rStyle w:val="Hyperlink"/>
          </w:rPr>
          <w:t>Budget and forward estimates outlook</w:t>
        </w:r>
        <w:r w:rsidR="00A46DCA">
          <w:rPr>
            <w:webHidden/>
          </w:rPr>
          <w:tab/>
        </w:r>
        <w:r w:rsidR="00A46DCA">
          <w:rPr>
            <w:webHidden/>
          </w:rPr>
          <w:fldChar w:fldCharType="begin"/>
        </w:r>
        <w:r w:rsidR="00A46DCA">
          <w:rPr>
            <w:webHidden/>
          </w:rPr>
          <w:instrText xml:space="preserve"> PAGEREF _Toc500435568 \h </w:instrText>
        </w:r>
        <w:r w:rsidR="00A46DCA">
          <w:rPr>
            <w:webHidden/>
          </w:rPr>
        </w:r>
        <w:r w:rsidR="00A46DCA">
          <w:rPr>
            <w:webHidden/>
          </w:rPr>
          <w:fldChar w:fldCharType="separate"/>
        </w:r>
        <w:r>
          <w:rPr>
            <w:webHidden/>
          </w:rPr>
          <w:t>15</w:t>
        </w:r>
        <w:r w:rsidR="00A46DCA">
          <w:rPr>
            <w:webHidden/>
          </w:rPr>
          <w:fldChar w:fldCharType="end"/>
        </w:r>
      </w:hyperlink>
    </w:p>
    <w:p w:rsidR="00A46DCA" w:rsidRDefault="00715FC3">
      <w:pPr>
        <w:pStyle w:val="TOC2"/>
        <w:rPr>
          <w:rFonts w:asciiTheme="minorHAnsi" w:eastAsiaTheme="minorEastAsia" w:hAnsiTheme="minorHAnsi"/>
          <w:spacing w:val="0"/>
          <w:szCs w:val="22"/>
          <w:lang w:eastAsia="en-AU"/>
        </w:rPr>
      </w:pPr>
      <w:hyperlink w:anchor="_Toc500435569" w:history="1">
        <w:r w:rsidR="00A46DCA" w:rsidRPr="0051208A">
          <w:rPr>
            <w:rStyle w:val="Hyperlink"/>
          </w:rPr>
          <w:t>Fiscal risks</w:t>
        </w:r>
        <w:r w:rsidR="00A46DCA">
          <w:rPr>
            <w:webHidden/>
          </w:rPr>
          <w:tab/>
        </w:r>
        <w:r w:rsidR="00A46DCA">
          <w:rPr>
            <w:webHidden/>
          </w:rPr>
          <w:fldChar w:fldCharType="begin"/>
        </w:r>
        <w:r w:rsidR="00A46DCA">
          <w:rPr>
            <w:webHidden/>
          </w:rPr>
          <w:instrText xml:space="preserve"> PAGEREF _Toc500435569 \h </w:instrText>
        </w:r>
        <w:r w:rsidR="00A46DCA">
          <w:rPr>
            <w:webHidden/>
          </w:rPr>
        </w:r>
        <w:r w:rsidR="00A46DCA">
          <w:rPr>
            <w:webHidden/>
          </w:rPr>
          <w:fldChar w:fldCharType="separate"/>
        </w:r>
        <w:r>
          <w:rPr>
            <w:webHidden/>
          </w:rPr>
          <w:t>25</w:t>
        </w:r>
        <w:r w:rsidR="00A46DCA">
          <w:rPr>
            <w:webHidden/>
          </w:rPr>
          <w:fldChar w:fldCharType="end"/>
        </w:r>
      </w:hyperlink>
    </w:p>
    <w:p w:rsidR="00A46DCA" w:rsidRDefault="00715FC3">
      <w:pPr>
        <w:pStyle w:val="TOC2"/>
        <w:rPr>
          <w:rFonts w:asciiTheme="minorHAnsi" w:eastAsiaTheme="minorEastAsia" w:hAnsiTheme="minorHAnsi"/>
          <w:spacing w:val="0"/>
          <w:szCs w:val="22"/>
          <w:lang w:eastAsia="en-AU"/>
        </w:rPr>
      </w:pPr>
      <w:hyperlink w:anchor="_Toc500435570" w:history="1">
        <w:r w:rsidR="00A46DCA" w:rsidRPr="0051208A">
          <w:rPr>
            <w:rStyle w:val="Hyperlink"/>
          </w:rPr>
          <w:t>Non</w:t>
        </w:r>
        <w:r w:rsidR="00A46DCA" w:rsidRPr="0051208A">
          <w:rPr>
            <w:rStyle w:val="Hyperlink"/>
          </w:rPr>
          <w:noBreakHyphen/>
          <w:t>financial public sector</w:t>
        </w:r>
        <w:r w:rsidR="00A46DCA">
          <w:rPr>
            <w:webHidden/>
          </w:rPr>
          <w:tab/>
        </w:r>
        <w:r w:rsidR="00A46DCA">
          <w:rPr>
            <w:webHidden/>
          </w:rPr>
          <w:fldChar w:fldCharType="begin"/>
        </w:r>
        <w:r w:rsidR="00A46DCA">
          <w:rPr>
            <w:webHidden/>
          </w:rPr>
          <w:instrText xml:space="preserve"> PAGEREF _Toc500435570 \h </w:instrText>
        </w:r>
        <w:r w:rsidR="00A46DCA">
          <w:rPr>
            <w:webHidden/>
          </w:rPr>
        </w:r>
        <w:r w:rsidR="00A46DCA">
          <w:rPr>
            <w:webHidden/>
          </w:rPr>
          <w:fldChar w:fldCharType="separate"/>
        </w:r>
        <w:r>
          <w:rPr>
            <w:webHidden/>
          </w:rPr>
          <w:t>28</w:t>
        </w:r>
        <w:r w:rsidR="00A46DCA">
          <w:rPr>
            <w:webHidden/>
          </w:rPr>
          <w:fldChar w:fldCharType="end"/>
        </w:r>
      </w:hyperlink>
    </w:p>
    <w:p w:rsidR="00A46DCA" w:rsidRDefault="00715FC3">
      <w:pPr>
        <w:pStyle w:val="TOC2"/>
        <w:rPr>
          <w:rFonts w:asciiTheme="minorHAnsi" w:eastAsiaTheme="minorEastAsia" w:hAnsiTheme="minorHAnsi"/>
          <w:spacing w:val="0"/>
          <w:szCs w:val="22"/>
          <w:lang w:eastAsia="en-AU"/>
        </w:rPr>
      </w:pPr>
      <w:hyperlink w:anchor="_Toc500435571" w:history="1">
        <w:r w:rsidR="00A46DCA" w:rsidRPr="0051208A">
          <w:rPr>
            <w:rStyle w:val="Hyperlink"/>
          </w:rPr>
          <w:t>Non</w:t>
        </w:r>
        <w:r w:rsidR="00A46DCA" w:rsidRPr="0051208A">
          <w:rPr>
            <w:rStyle w:val="Hyperlink"/>
          </w:rPr>
          <w:noBreakHyphen/>
          <w:t>financial public sector net debt and net financial liabilities</w:t>
        </w:r>
        <w:r w:rsidR="00A46DCA">
          <w:rPr>
            <w:webHidden/>
          </w:rPr>
          <w:tab/>
        </w:r>
        <w:r w:rsidR="00A46DCA">
          <w:rPr>
            <w:webHidden/>
          </w:rPr>
          <w:fldChar w:fldCharType="begin"/>
        </w:r>
        <w:r w:rsidR="00A46DCA">
          <w:rPr>
            <w:webHidden/>
          </w:rPr>
          <w:instrText xml:space="preserve"> PAGEREF _Toc500435571 \h </w:instrText>
        </w:r>
        <w:r w:rsidR="00A46DCA">
          <w:rPr>
            <w:webHidden/>
          </w:rPr>
        </w:r>
        <w:r w:rsidR="00A46DCA">
          <w:rPr>
            <w:webHidden/>
          </w:rPr>
          <w:fldChar w:fldCharType="separate"/>
        </w:r>
        <w:r>
          <w:rPr>
            <w:webHidden/>
          </w:rPr>
          <w:t>31</w:t>
        </w:r>
        <w:r w:rsidR="00A46DCA">
          <w:rPr>
            <w:webHidden/>
          </w:rPr>
          <w:fldChar w:fldCharType="end"/>
        </w:r>
      </w:hyperlink>
    </w:p>
    <w:p w:rsidR="00A46DCA" w:rsidRDefault="00715FC3">
      <w:pPr>
        <w:pStyle w:val="TOC2"/>
        <w:rPr>
          <w:rFonts w:asciiTheme="minorHAnsi" w:eastAsiaTheme="minorEastAsia" w:hAnsiTheme="minorHAnsi"/>
          <w:spacing w:val="0"/>
          <w:szCs w:val="22"/>
          <w:lang w:eastAsia="en-AU"/>
        </w:rPr>
      </w:pPr>
      <w:hyperlink w:anchor="_Toc500435572" w:history="1">
        <w:r w:rsidR="00A46DCA" w:rsidRPr="0051208A">
          <w:rPr>
            <w:rStyle w:val="Hyperlink"/>
          </w:rPr>
          <w:t>State of Victoria</w:t>
        </w:r>
        <w:r w:rsidR="00A46DCA">
          <w:rPr>
            <w:webHidden/>
          </w:rPr>
          <w:tab/>
        </w:r>
        <w:r w:rsidR="00A46DCA">
          <w:rPr>
            <w:webHidden/>
          </w:rPr>
          <w:fldChar w:fldCharType="begin"/>
        </w:r>
        <w:r w:rsidR="00A46DCA">
          <w:rPr>
            <w:webHidden/>
          </w:rPr>
          <w:instrText xml:space="preserve"> PAGEREF _Toc500435572 \h </w:instrText>
        </w:r>
        <w:r w:rsidR="00A46DCA">
          <w:rPr>
            <w:webHidden/>
          </w:rPr>
        </w:r>
        <w:r w:rsidR="00A46DCA">
          <w:rPr>
            <w:webHidden/>
          </w:rPr>
          <w:fldChar w:fldCharType="separate"/>
        </w:r>
        <w:r>
          <w:rPr>
            <w:webHidden/>
          </w:rPr>
          <w:t>33</w:t>
        </w:r>
        <w:r w:rsidR="00A46DCA">
          <w:rPr>
            <w:webHidden/>
          </w:rPr>
          <w:fldChar w:fldCharType="end"/>
        </w:r>
      </w:hyperlink>
    </w:p>
    <w:p w:rsidR="00A46DCA" w:rsidRDefault="00715FC3">
      <w:pPr>
        <w:pStyle w:val="TOC1"/>
        <w:rPr>
          <w:rFonts w:asciiTheme="minorHAnsi" w:eastAsiaTheme="minorEastAsia" w:hAnsiTheme="minorHAnsi"/>
          <w:b w:val="0"/>
          <w:noProof/>
          <w:spacing w:val="0"/>
          <w:szCs w:val="22"/>
          <w:lang w:eastAsia="en-AU"/>
        </w:rPr>
      </w:pPr>
      <w:hyperlink w:anchor="_Toc500435573" w:history="1">
        <w:r w:rsidR="00A46DCA" w:rsidRPr="0051208A">
          <w:rPr>
            <w:rStyle w:val="Hyperlink"/>
            <w:noProof/>
          </w:rPr>
          <w:t xml:space="preserve">Chapter 4 – Estimated </w:t>
        </w:r>
        <w:r w:rsidR="00FB563F">
          <w:rPr>
            <w:rStyle w:val="Hyperlink"/>
            <w:noProof/>
          </w:rPr>
          <w:t>F</w:t>
        </w:r>
        <w:r w:rsidR="00A46DCA" w:rsidRPr="0051208A">
          <w:rPr>
            <w:rStyle w:val="Hyperlink"/>
            <w:noProof/>
          </w:rPr>
          <w:t xml:space="preserve">inancial </w:t>
        </w:r>
        <w:r w:rsidR="00FB563F">
          <w:rPr>
            <w:rStyle w:val="Hyperlink"/>
            <w:noProof/>
          </w:rPr>
          <w:t>S</w:t>
        </w:r>
        <w:r w:rsidR="00A46DCA" w:rsidRPr="0051208A">
          <w:rPr>
            <w:rStyle w:val="Hyperlink"/>
            <w:noProof/>
          </w:rPr>
          <w:t>tatement</w:t>
        </w:r>
        <w:r w:rsidR="00FB563F">
          <w:rPr>
            <w:rStyle w:val="Hyperlink"/>
            <w:noProof/>
          </w:rPr>
          <w:t>s</w:t>
        </w:r>
        <w:r w:rsidR="00A46DCA" w:rsidRPr="0051208A">
          <w:rPr>
            <w:rStyle w:val="Hyperlink"/>
            <w:noProof/>
          </w:rPr>
          <w:t xml:space="preserve"> and notes</w:t>
        </w:r>
        <w:r w:rsidR="00A46DCA">
          <w:rPr>
            <w:noProof/>
            <w:webHidden/>
          </w:rPr>
          <w:tab/>
        </w:r>
        <w:r w:rsidR="00A46DCA">
          <w:rPr>
            <w:noProof/>
            <w:webHidden/>
          </w:rPr>
          <w:fldChar w:fldCharType="begin"/>
        </w:r>
        <w:r w:rsidR="00A46DCA">
          <w:rPr>
            <w:noProof/>
            <w:webHidden/>
          </w:rPr>
          <w:instrText xml:space="preserve"> PAGEREF _Toc500435573 \h </w:instrText>
        </w:r>
        <w:r w:rsidR="00A46DCA">
          <w:rPr>
            <w:noProof/>
            <w:webHidden/>
          </w:rPr>
        </w:r>
        <w:r w:rsidR="00A46DCA">
          <w:rPr>
            <w:noProof/>
            <w:webHidden/>
          </w:rPr>
          <w:fldChar w:fldCharType="separate"/>
        </w:r>
        <w:r>
          <w:rPr>
            <w:noProof/>
            <w:webHidden/>
          </w:rPr>
          <w:t>35</w:t>
        </w:r>
        <w:r w:rsidR="00A46DCA">
          <w:rPr>
            <w:noProof/>
            <w:webHidden/>
          </w:rPr>
          <w:fldChar w:fldCharType="end"/>
        </w:r>
      </w:hyperlink>
    </w:p>
    <w:p w:rsidR="00A46DCA" w:rsidRDefault="00715FC3">
      <w:pPr>
        <w:pStyle w:val="TOC2"/>
        <w:rPr>
          <w:rFonts w:asciiTheme="minorHAnsi" w:eastAsiaTheme="minorEastAsia" w:hAnsiTheme="minorHAnsi"/>
          <w:spacing w:val="0"/>
          <w:szCs w:val="22"/>
          <w:lang w:eastAsia="en-AU"/>
        </w:rPr>
      </w:pPr>
      <w:hyperlink w:anchor="_Toc500435574" w:history="1">
        <w:r w:rsidR="00A46DCA" w:rsidRPr="0051208A">
          <w:rPr>
            <w:rStyle w:val="Hyperlink"/>
          </w:rPr>
          <w:t>Estimated general government sector  comprehensive operating statement</w:t>
        </w:r>
        <w:r w:rsidR="00A46DCA">
          <w:rPr>
            <w:webHidden/>
          </w:rPr>
          <w:tab/>
        </w:r>
        <w:r w:rsidR="00A46DCA">
          <w:rPr>
            <w:webHidden/>
          </w:rPr>
          <w:fldChar w:fldCharType="begin"/>
        </w:r>
        <w:r w:rsidR="00A46DCA">
          <w:rPr>
            <w:webHidden/>
          </w:rPr>
          <w:instrText xml:space="preserve"> PAGEREF _Toc500435574 \h </w:instrText>
        </w:r>
        <w:r w:rsidR="00A46DCA">
          <w:rPr>
            <w:webHidden/>
          </w:rPr>
        </w:r>
        <w:r w:rsidR="00A46DCA">
          <w:rPr>
            <w:webHidden/>
          </w:rPr>
          <w:fldChar w:fldCharType="separate"/>
        </w:r>
        <w:r>
          <w:rPr>
            <w:webHidden/>
          </w:rPr>
          <w:t>35</w:t>
        </w:r>
        <w:r w:rsidR="00A46DCA">
          <w:rPr>
            <w:webHidden/>
          </w:rPr>
          <w:fldChar w:fldCharType="end"/>
        </w:r>
      </w:hyperlink>
    </w:p>
    <w:p w:rsidR="00A46DCA" w:rsidRDefault="00715FC3">
      <w:pPr>
        <w:pStyle w:val="TOC2"/>
        <w:rPr>
          <w:rFonts w:asciiTheme="minorHAnsi" w:eastAsiaTheme="minorEastAsia" w:hAnsiTheme="minorHAnsi"/>
          <w:spacing w:val="0"/>
          <w:szCs w:val="22"/>
          <w:lang w:eastAsia="en-AU"/>
        </w:rPr>
      </w:pPr>
      <w:hyperlink w:anchor="_Toc500435575" w:history="1">
        <w:r w:rsidR="00A46DCA" w:rsidRPr="0051208A">
          <w:rPr>
            <w:rStyle w:val="Hyperlink"/>
          </w:rPr>
          <w:t>Estimated general government sector  balance sheet</w:t>
        </w:r>
        <w:r w:rsidR="00A46DCA">
          <w:rPr>
            <w:webHidden/>
          </w:rPr>
          <w:tab/>
        </w:r>
        <w:r w:rsidR="00A46DCA">
          <w:rPr>
            <w:webHidden/>
          </w:rPr>
          <w:fldChar w:fldCharType="begin"/>
        </w:r>
        <w:r w:rsidR="00A46DCA">
          <w:rPr>
            <w:webHidden/>
          </w:rPr>
          <w:instrText xml:space="preserve"> PAGEREF _Toc500435575 \h </w:instrText>
        </w:r>
        <w:r w:rsidR="00A46DCA">
          <w:rPr>
            <w:webHidden/>
          </w:rPr>
        </w:r>
        <w:r w:rsidR="00A46DCA">
          <w:rPr>
            <w:webHidden/>
          </w:rPr>
          <w:fldChar w:fldCharType="separate"/>
        </w:r>
        <w:r>
          <w:rPr>
            <w:webHidden/>
          </w:rPr>
          <w:t>37</w:t>
        </w:r>
        <w:r w:rsidR="00A46DCA">
          <w:rPr>
            <w:webHidden/>
          </w:rPr>
          <w:fldChar w:fldCharType="end"/>
        </w:r>
      </w:hyperlink>
    </w:p>
    <w:p w:rsidR="00A46DCA" w:rsidRDefault="00715FC3">
      <w:pPr>
        <w:pStyle w:val="TOC2"/>
        <w:rPr>
          <w:rFonts w:asciiTheme="minorHAnsi" w:eastAsiaTheme="minorEastAsia" w:hAnsiTheme="minorHAnsi"/>
          <w:spacing w:val="0"/>
          <w:szCs w:val="22"/>
          <w:lang w:eastAsia="en-AU"/>
        </w:rPr>
      </w:pPr>
      <w:hyperlink w:anchor="_Toc500435576" w:history="1">
        <w:r w:rsidR="00A46DCA" w:rsidRPr="0051208A">
          <w:rPr>
            <w:rStyle w:val="Hyperlink"/>
          </w:rPr>
          <w:t>Estimated general government sector  cash flow statement</w:t>
        </w:r>
        <w:r w:rsidR="00A46DCA">
          <w:rPr>
            <w:webHidden/>
          </w:rPr>
          <w:tab/>
        </w:r>
        <w:r w:rsidR="00A46DCA">
          <w:rPr>
            <w:webHidden/>
          </w:rPr>
          <w:fldChar w:fldCharType="begin"/>
        </w:r>
        <w:r w:rsidR="00A46DCA">
          <w:rPr>
            <w:webHidden/>
          </w:rPr>
          <w:instrText xml:space="preserve"> PAGEREF _Toc500435576 \h </w:instrText>
        </w:r>
        <w:r w:rsidR="00A46DCA">
          <w:rPr>
            <w:webHidden/>
          </w:rPr>
        </w:r>
        <w:r w:rsidR="00A46DCA">
          <w:rPr>
            <w:webHidden/>
          </w:rPr>
          <w:fldChar w:fldCharType="separate"/>
        </w:r>
        <w:r>
          <w:rPr>
            <w:webHidden/>
          </w:rPr>
          <w:t>38</w:t>
        </w:r>
        <w:r w:rsidR="00A46DCA">
          <w:rPr>
            <w:webHidden/>
          </w:rPr>
          <w:fldChar w:fldCharType="end"/>
        </w:r>
      </w:hyperlink>
    </w:p>
    <w:p w:rsidR="00A46DCA" w:rsidRDefault="00715FC3">
      <w:pPr>
        <w:pStyle w:val="TOC2"/>
        <w:rPr>
          <w:rFonts w:asciiTheme="minorHAnsi" w:eastAsiaTheme="minorEastAsia" w:hAnsiTheme="minorHAnsi"/>
          <w:spacing w:val="0"/>
          <w:szCs w:val="22"/>
          <w:lang w:eastAsia="en-AU"/>
        </w:rPr>
      </w:pPr>
      <w:hyperlink w:anchor="_Toc500435577" w:history="1">
        <w:r w:rsidR="00A46DCA" w:rsidRPr="0051208A">
          <w:rPr>
            <w:rStyle w:val="Hyperlink"/>
          </w:rPr>
          <w:t>Estimated general government sector  statement of changes in equity</w:t>
        </w:r>
        <w:r w:rsidR="00A46DCA">
          <w:rPr>
            <w:webHidden/>
          </w:rPr>
          <w:tab/>
        </w:r>
        <w:r w:rsidR="00A46DCA">
          <w:rPr>
            <w:webHidden/>
          </w:rPr>
          <w:fldChar w:fldCharType="begin"/>
        </w:r>
        <w:r w:rsidR="00A46DCA">
          <w:rPr>
            <w:webHidden/>
          </w:rPr>
          <w:instrText xml:space="preserve"> PAGEREF _Toc500435577 \h </w:instrText>
        </w:r>
        <w:r w:rsidR="00A46DCA">
          <w:rPr>
            <w:webHidden/>
          </w:rPr>
        </w:r>
        <w:r w:rsidR="00A46DCA">
          <w:rPr>
            <w:webHidden/>
          </w:rPr>
          <w:fldChar w:fldCharType="separate"/>
        </w:r>
        <w:r>
          <w:rPr>
            <w:webHidden/>
          </w:rPr>
          <w:t>40</w:t>
        </w:r>
        <w:r w:rsidR="00A46DCA">
          <w:rPr>
            <w:webHidden/>
          </w:rPr>
          <w:fldChar w:fldCharType="end"/>
        </w:r>
      </w:hyperlink>
    </w:p>
    <w:p w:rsidR="00A46DCA" w:rsidRDefault="00715FC3">
      <w:pPr>
        <w:pStyle w:val="TOC1"/>
        <w:rPr>
          <w:rFonts w:asciiTheme="minorHAnsi" w:eastAsiaTheme="minorEastAsia" w:hAnsiTheme="minorHAnsi"/>
          <w:b w:val="0"/>
          <w:noProof/>
          <w:spacing w:val="0"/>
          <w:szCs w:val="22"/>
          <w:lang w:eastAsia="en-AU"/>
        </w:rPr>
      </w:pPr>
      <w:hyperlink w:anchor="_Toc500435578" w:history="1">
        <w:r w:rsidR="00A46DCA" w:rsidRPr="0051208A">
          <w:rPr>
            <w:rStyle w:val="Hyperlink"/>
            <w:noProof/>
          </w:rPr>
          <w:t>Chapter 5 – Supplementary uniform presentation framework tables</w:t>
        </w:r>
        <w:r w:rsidR="00A46DCA">
          <w:rPr>
            <w:noProof/>
            <w:webHidden/>
          </w:rPr>
          <w:tab/>
        </w:r>
        <w:r w:rsidR="00A46DCA">
          <w:rPr>
            <w:noProof/>
            <w:webHidden/>
          </w:rPr>
          <w:fldChar w:fldCharType="begin"/>
        </w:r>
        <w:r w:rsidR="00A46DCA">
          <w:rPr>
            <w:noProof/>
            <w:webHidden/>
          </w:rPr>
          <w:instrText xml:space="preserve"> PAGEREF _Toc500435578 \h </w:instrText>
        </w:r>
        <w:r w:rsidR="00A46DCA">
          <w:rPr>
            <w:noProof/>
            <w:webHidden/>
          </w:rPr>
        </w:r>
        <w:r w:rsidR="00A46DCA">
          <w:rPr>
            <w:noProof/>
            <w:webHidden/>
          </w:rPr>
          <w:fldChar w:fldCharType="separate"/>
        </w:r>
        <w:r>
          <w:rPr>
            <w:noProof/>
            <w:webHidden/>
          </w:rPr>
          <w:t>71</w:t>
        </w:r>
        <w:r w:rsidR="00A46DCA">
          <w:rPr>
            <w:noProof/>
            <w:webHidden/>
          </w:rPr>
          <w:fldChar w:fldCharType="end"/>
        </w:r>
      </w:hyperlink>
    </w:p>
    <w:p w:rsidR="00A46DCA" w:rsidRDefault="00715FC3">
      <w:pPr>
        <w:pStyle w:val="TOC2"/>
        <w:rPr>
          <w:rFonts w:asciiTheme="minorHAnsi" w:eastAsiaTheme="minorEastAsia" w:hAnsiTheme="minorHAnsi"/>
          <w:spacing w:val="0"/>
          <w:szCs w:val="22"/>
          <w:lang w:eastAsia="en-AU"/>
        </w:rPr>
      </w:pPr>
      <w:hyperlink w:anchor="_Toc500435579" w:history="1">
        <w:r w:rsidR="00A46DCA" w:rsidRPr="0051208A">
          <w:rPr>
            <w:rStyle w:val="Hyperlink"/>
          </w:rPr>
          <w:t>Victoria</w:t>
        </w:r>
        <w:r w:rsidR="00A46DCA">
          <w:rPr>
            <w:rStyle w:val="Hyperlink"/>
          </w:rPr>
          <w:t>’</w:t>
        </w:r>
        <w:r w:rsidR="00A46DCA" w:rsidRPr="0051208A">
          <w:rPr>
            <w:rStyle w:val="Hyperlink"/>
          </w:rPr>
          <w:t>s loan council allocation</w:t>
        </w:r>
        <w:r w:rsidR="00A46DCA">
          <w:rPr>
            <w:webHidden/>
          </w:rPr>
          <w:tab/>
        </w:r>
        <w:r w:rsidR="00A46DCA">
          <w:rPr>
            <w:webHidden/>
          </w:rPr>
          <w:fldChar w:fldCharType="begin"/>
        </w:r>
        <w:r w:rsidR="00A46DCA">
          <w:rPr>
            <w:webHidden/>
          </w:rPr>
          <w:instrText xml:space="preserve"> PAGEREF _Toc500435579 \h </w:instrText>
        </w:r>
        <w:r w:rsidR="00A46DCA">
          <w:rPr>
            <w:webHidden/>
          </w:rPr>
        </w:r>
        <w:r w:rsidR="00A46DCA">
          <w:rPr>
            <w:webHidden/>
          </w:rPr>
          <w:fldChar w:fldCharType="separate"/>
        </w:r>
        <w:r>
          <w:rPr>
            <w:webHidden/>
          </w:rPr>
          <w:t>96</w:t>
        </w:r>
        <w:r w:rsidR="00A46DCA">
          <w:rPr>
            <w:webHidden/>
          </w:rPr>
          <w:fldChar w:fldCharType="end"/>
        </w:r>
      </w:hyperlink>
    </w:p>
    <w:p w:rsidR="00A46DCA" w:rsidRDefault="00715FC3">
      <w:pPr>
        <w:pStyle w:val="TOC2"/>
        <w:rPr>
          <w:rFonts w:asciiTheme="minorHAnsi" w:eastAsiaTheme="minorEastAsia" w:hAnsiTheme="minorHAnsi"/>
          <w:spacing w:val="0"/>
          <w:szCs w:val="22"/>
          <w:lang w:eastAsia="en-AU"/>
        </w:rPr>
      </w:pPr>
      <w:hyperlink w:anchor="_Toc500435580" w:history="1">
        <w:r w:rsidR="00A46DCA" w:rsidRPr="0051208A">
          <w:rPr>
            <w:rStyle w:val="Hyperlink"/>
          </w:rPr>
          <w:t>New infrastructure projects with private sector involvement</w:t>
        </w:r>
        <w:r w:rsidR="00A46DCA">
          <w:rPr>
            <w:webHidden/>
          </w:rPr>
          <w:tab/>
        </w:r>
        <w:r w:rsidR="00A46DCA">
          <w:rPr>
            <w:webHidden/>
          </w:rPr>
          <w:fldChar w:fldCharType="begin"/>
        </w:r>
        <w:r w:rsidR="00A46DCA">
          <w:rPr>
            <w:webHidden/>
          </w:rPr>
          <w:instrText xml:space="preserve"> PAGEREF _Toc500435580 \h </w:instrText>
        </w:r>
        <w:r w:rsidR="00A46DCA">
          <w:rPr>
            <w:webHidden/>
          </w:rPr>
        </w:r>
        <w:r w:rsidR="00A46DCA">
          <w:rPr>
            <w:webHidden/>
          </w:rPr>
          <w:fldChar w:fldCharType="separate"/>
        </w:r>
        <w:r>
          <w:rPr>
            <w:webHidden/>
          </w:rPr>
          <w:t>97</w:t>
        </w:r>
        <w:r w:rsidR="00A46DCA">
          <w:rPr>
            <w:webHidden/>
          </w:rPr>
          <w:fldChar w:fldCharType="end"/>
        </w:r>
      </w:hyperlink>
    </w:p>
    <w:p w:rsidR="00A46DCA" w:rsidRDefault="00715FC3">
      <w:pPr>
        <w:pStyle w:val="TOC1"/>
        <w:rPr>
          <w:rFonts w:asciiTheme="minorHAnsi" w:eastAsiaTheme="minorEastAsia" w:hAnsiTheme="minorHAnsi"/>
          <w:b w:val="0"/>
          <w:noProof/>
          <w:spacing w:val="0"/>
          <w:szCs w:val="22"/>
          <w:lang w:eastAsia="en-AU"/>
        </w:rPr>
      </w:pPr>
      <w:hyperlink w:anchor="_Toc500435581" w:history="1">
        <w:r w:rsidR="00A46DCA" w:rsidRPr="0051208A">
          <w:rPr>
            <w:rStyle w:val="Hyperlink"/>
            <w:noProof/>
          </w:rPr>
          <w:t>Chapter 6 – Contingent assets and contingent liabilities</w:t>
        </w:r>
        <w:r w:rsidR="00A46DCA">
          <w:rPr>
            <w:noProof/>
            <w:webHidden/>
          </w:rPr>
          <w:tab/>
        </w:r>
        <w:r w:rsidR="00A46DCA">
          <w:rPr>
            <w:noProof/>
            <w:webHidden/>
          </w:rPr>
          <w:fldChar w:fldCharType="begin"/>
        </w:r>
        <w:r w:rsidR="00A46DCA">
          <w:rPr>
            <w:noProof/>
            <w:webHidden/>
          </w:rPr>
          <w:instrText xml:space="preserve"> PAGEREF _Toc500435581 \h </w:instrText>
        </w:r>
        <w:r w:rsidR="00A46DCA">
          <w:rPr>
            <w:noProof/>
            <w:webHidden/>
          </w:rPr>
        </w:r>
        <w:r w:rsidR="00A46DCA">
          <w:rPr>
            <w:noProof/>
            <w:webHidden/>
          </w:rPr>
          <w:fldChar w:fldCharType="separate"/>
        </w:r>
        <w:r>
          <w:rPr>
            <w:noProof/>
            <w:webHidden/>
          </w:rPr>
          <w:t>99</w:t>
        </w:r>
        <w:r w:rsidR="00A46DCA">
          <w:rPr>
            <w:noProof/>
            <w:webHidden/>
          </w:rPr>
          <w:fldChar w:fldCharType="end"/>
        </w:r>
      </w:hyperlink>
    </w:p>
    <w:p w:rsidR="00A46DCA" w:rsidRDefault="00715FC3">
      <w:pPr>
        <w:pStyle w:val="TOC2"/>
        <w:rPr>
          <w:rFonts w:asciiTheme="minorHAnsi" w:eastAsiaTheme="minorEastAsia" w:hAnsiTheme="minorHAnsi"/>
          <w:spacing w:val="0"/>
          <w:szCs w:val="22"/>
          <w:lang w:eastAsia="en-AU"/>
        </w:rPr>
      </w:pPr>
      <w:hyperlink w:anchor="_Toc500435582" w:history="1">
        <w:r w:rsidR="00A46DCA" w:rsidRPr="0051208A">
          <w:rPr>
            <w:rStyle w:val="Hyperlink"/>
          </w:rPr>
          <w:t>Contingent assets</w:t>
        </w:r>
        <w:r w:rsidR="00A46DCA">
          <w:rPr>
            <w:webHidden/>
          </w:rPr>
          <w:tab/>
        </w:r>
        <w:r w:rsidR="00A46DCA">
          <w:rPr>
            <w:webHidden/>
          </w:rPr>
          <w:fldChar w:fldCharType="begin"/>
        </w:r>
        <w:r w:rsidR="00A46DCA">
          <w:rPr>
            <w:webHidden/>
          </w:rPr>
          <w:instrText xml:space="preserve"> PAGEREF _Toc500435582 \h </w:instrText>
        </w:r>
        <w:r w:rsidR="00A46DCA">
          <w:rPr>
            <w:webHidden/>
          </w:rPr>
        </w:r>
        <w:r w:rsidR="00A46DCA">
          <w:rPr>
            <w:webHidden/>
          </w:rPr>
          <w:fldChar w:fldCharType="separate"/>
        </w:r>
        <w:r>
          <w:rPr>
            <w:webHidden/>
          </w:rPr>
          <w:t>99</w:t>
        </w:r>
        <w:r w:rsidR="00A46DCA">
          <w:rPr>
            <w:webHidden/>
          </w:rPr>
          <w:fldChar w:fldCharType="end"/>
        </w:r>
      </w:hyperlink>
    </w:p>
    <w:p w:rsidR="00A46DCA" w:rsidRDefault="00715FC3">
      <w:pPr>
        <w:pStyle w:val="TOC2"/>
        <w:rPr>
          <w:rFonts w:asciiTheme="minorHAnsi" w:eastAsiaTheme="minorEastAsia" w:hAnsiTheme="minorHAnsi"/>
          <w:spacing w:val="0"/>
          <w:szCs w:val="22"/>
          <w:lang w:eastAsia="en-AU"/>
        </w:rPr>
      </w:pPr>
      <w:hyperlink w:anchor="_Toc500435583" w:history="1">
        <w:r w:rsidR="00A46DCA" w:rsidRPr="0051208A">
          <w:rPr>
            <w:rStyle w:val="Hyperlink"/>
          </w:rPr>
          <w:t>Contingent liabilities</w:t>
        </w:r>
        <w:r w:rsidR="00A46DCA">
          <w:rPr>
            <w:webHidden/>
          </w:rPr>
          <w:tab/>
        </w:r>
        <w:r w:rsidR="00A46DCA">
          <w:rPr>
            <w:webHidden/>
          </w:rPr>
          <w:fldChar w:fldCharType="begin"/>
        </w:r>
        <w:r w:rsidR="00A46DCA">
          <w:rPr>
            <w:webHidden/>
          </w:rPr>
          <w:instrText xml:space="preserve"> PAGEREF _Toc500435583 \h </w:instrText>
        </w:r>
        <w:r w:rsidR="00A46DCA">
          <w:rPr>
            <w:webHidden/>
          </w:rPr>
        </w:r>
        <w:r w:rsidR="00A46DCA">
          <w:rPr>
            <w:webHidden/>
          </w:rPr>
          <w:fldChar w:fldCharType="separate"/>
        </w:r>
        <w:r>
          <w:rPr>
            <w:webHidden/>
          </w:rPr>
          <w:t>100</w:t>
        </w:r>
        <w:r w:rsidR="00A46DCA">
          <w:rPr>
            <w:webHidden/>
          </w:rPr>
          <w:fldChar w:fldCharType="end"/>
        </w:r>
      </w:hyperlink>
    </w:p>
    <w:p w:rsidR="00A46DCA" w:rsidRDefault="00A46DCA">
      <w:pPr>
        <w:keepLines w:val="0"/>
        <w:rPr>
          <w:rStyle w:val="Hyperlink"/>
          <w:rFonts w:asciiTheme="majorHAnsi" w:hAnsiTheme="majorHAnsi"/>
          <w:b/>
          <w:noProof/>
          <w:spacing w:val="-2"/>
          <w:szCs w:val="19"/>
        </w:rPr>
      </w:pPr>
      <w:r>
        <w:rPr>
          <w:rStyle w:val="Hyperlink"/>
          <w:noProof/>
        </w:rPr>
        <w:br w:type="page"/>
      </w:r>
    </w:p>
    <w:p w:rsidR="00A46DCA" w:rsidRDefault="00715FC3" w:rsidP="002E2498">
      <w:pPr>
        <w:pStyle w:val="TOC1"/>
        <w:pageBreakBefore/>
        <w:spacing w:before="480"/>
        <w:rPr>
          <w:rFonts w:asciiTheme="minorHAnsi" w:eastAsiaTheme="minorEastAsia" w:hAnsiTheme="minorHAnsi"/>
          <w:b w:val="0"/>
          <w:noProof/>
          <w:spacing w:val="0"/>
          <w:szCs w:val="22"/>
          <w:lang w:eastAsia="en-AU"/>
        </w:rPr>
      </w:pPr>
      <w:hyperlink w:anchor="_Toc500435584" w:history="1">
        <w:r w:rsidR="00A46DCA" w:rsidRPr="0051208A">
          <w:rPr>
            <w:rStyle w:val="Hyperlink"/>
            <w:noProof/>
          </w:rPr>
          <w:t>Appendix A – Specific policy initiatives affecting the budget position</w:t>
        </w:r>
        <w:r w:rsidR="00A46DCA">
          <w:rPr>
            <w:noProof/>
            <w:webHidden/>
          </w:rPr>
          <w:tab/>
        </w:r>
        <w:r w:rsidR="00A46DCA">
          <w:rPr>
            <w:noProof/>
            <w:webHidden/>
          </w:rPr>
          <w:fldChar w:fldCharType="begin"/>
        </w:r>
        <w:r w:rsidR="00A46DCA">
          <w:rPr>
            <w:noProof/>
            <w:webHidden/>
          </w:rPr>
          <w:instrText xml:space="preserve"> PAGEREF _Toc500435584 \h </w:instrText>
        </w:r>
        <w:r w:rsidR="00A46DCA">
          <w:rPr>
            <w:noProof/>
            <w:webHidden/>
          </w:rPr>
        </w:r>
        <w:r w:rsidR="00A46DCA">
          <w:rPr>
            <w:noProof/>
            <w:webHidden/>
          </w:rPr>
          <w:fldChar w:fldCharType="separate"/>
        </w:r>
        <w:r>
          <w:rPr>
            <w:noProof/>
            <w:webHidden/>
          </w:rPr>
          <w:t>107</w:t>
        </w:r>
        <w:r w:rsidR="00A46DCA">
          <w:rPr>
            <w:noProof/>
            <w:webHidden/>
          </w:rPr>
          <w:fldChar w:fldCharType="end"/>
        </w:r>
      </w:hyperlink>
    </w:p>
    <w:p w:rsidR="00A46DCA" w:rsidRDefault="00715FC3">
      <w:pPr>
        <w:pStyle w:val="TOC2"/>
        <w:rPr>
          <w:rFonts w:asciiTheme="minorHAnsi" w:eastAsiaTheme="minorEastAsia" w:hAnsiTheme="minorHAnsi"/>
          <w:spacing w:val="0"/>
          <w:szCs w:val="22"/>
          <w:lang w:eastAsia="en-AU"/>
        </w:rPr>
      </w:pPr>
      <w:hyperlink w:anchor="_Toc500435585" w:history="1">
        <w:r w:rsidR="00A46DCA" w:rsidRPr="0051208A">
          <w:rPr>
            <w:rStyle w:val="Hyperlink"/>
          </w:rPr>
          <w:t>Revenue initiatives</w:t>
        </w:r>
        <w:r w:rsidR="00A46DCA">
          <w:rPr>
            <w:webHidden/>
          </w:rPr>
          <w:tab/>
        </w:r>
        <w:r w:rsidR="00A46DCA">
          <w:rPr>
            <w:webHidden/>
          </w:rPr>
          <w:fldChar w:fldCharType="begin"/>
        </w:r>
        <w:r w:rsidR="00A46DCA">
          <w:rPr>
            <w:webHidden/>
          </w:rPr>
          <w:instrText xml:space="preserve"> PAGEREF _Toc500435585 \h </w:instrText>
        </w:r>
        <w:r w:rsidR="00A46DCA">
          <w:rPr>
            <w:webHidden/>
          </w:rPr>
        </w:r>
        <w:r w:rsidR="00A46DCA">
          <w:rPr>
            <w:webHidden/>
          </w:rPr>
          <w:fldChar w:fldCharType="separate"/>
        </w:r>
        <w:r>
          <w:rPr>
            <w:webHidden/>
          </w:rPr>
          <w:t>108</w:t>
        </w:r>
        <w:r w:rsidR="00A46DCA">
          <w:rPr>
            <w:webHidden/>
          </w:rPr>
          <w:fldChar w:fldCharType="end"/>
        </w:r>
      </w:hyperlink>
    </w:p>
    <w:p w:rsidR="00A46DCA" w:rsidRDefault="00715FC3">
      <w:pPr>
        <w:pStyle w:val="TOC2"/>
        <w:rPr>
          <w:rFonts w:asciiTheme="minorHAnsi" w:eastAsiaTheme="minorEastAsia" w:hAnsiTheme="minorHAnsi"/>
          <w:spacing w:val="0"/>
          <w:szCs w:val="22"/>
          <w:lang w:eastAsia="en-AU"/>
        </w:rPr>
      </w:pPr>
      <w:hyperlink w:anchor="_Toc500435586" w:history="1">
        <w:r w:rsidR="00A46DCA" w:rsidRPr="0051208A">
          <w:rPr>
            <w:rStyle w:val="Hyperlink"/>
          </w:rPr>
          <w:t>Department of Economic Development, Jobs, Transport and Resources</w:t>
        </w:r>
        <w:r w:rsidR="00A46DCA">
          <w:rPr>
            <w:webHidden/>
          </w:rPr>
          <w:tab/>
        </w:r>
        <w:r w:rsidR="00A46DCA">
          <w:rPr>
            <w:webHidden/>
          </w:rPr>
          <w:fldChar w:fldCharType="begin"/>
        </w:r>
        <w:r w:rsidR="00A46DCA">
          <w:rPr>
            <w:webHidden/>
          </w:rPr>
          <w:instrText xml:space="preserve"> PAGEREF _Toc500435586 \h </w:instrText>
        </w:r>
        <w:r w:rsidR="00A46DCA">
          <w:rPr>
            <w:webHidden/>
          </w:rPr>
        </w:r>
        <w:r w:rsidR="00A46DCA">
          <w:rPr>
            <w:webHidden/>
          </w:rPr>
          <w:fldChar w:fldCharType="separate"/>
        </w:r>
        <w:r>
          <w:rPr>
            <w:webHidden/>
          </w:rPr>
          <w:t>109</w:t>
        </w:r>
        <w:r w:rsidR="00A46DCA">
          <w:rPr>
            <w:webHidden/>
          </w:rPr>
          <w:fldChar w:fldCharType="end"/>
        </w:r>
      </w:hyperlink>
    </w:p>
    <w:p w:rsidR="00A46DCA" w:rsidRDefault="00715FC3">
      <w:pPr>
        <w:pStyle w:val="TOC2"/>
        <w:rPr>
          <w:rFonts w:asciiTheme="minorHAnsi" w:eastAsiaTheme="minorEastAsia" w:hAnsiTheme="minorHAnsi"/>
          <w:spacing w:val="0"/>
          <w:szCs w:val="22"/>
          <w:lang w:eastAsia="en-AU"/>
        </w:rPr>
      </w:pPr>
      <w:hyperlink w:anchor="_Toc500435587" w:history="1">
        <w:r w:rsidR="00A46DCA" w:rsidRPr="0051208A">
          <w:rPr>
            <w:rStyle w:val="Hyperlink"/>
            <w:lang w:eastAsia="en-AU"/>
          </w:rPr>
          <w:t>Department of Education and Training</w:t>
        </w:r>
        <w:r w:rsidR="00A46DCA">
          <w:rPr>
            <w:webHidden/>
          </w:rPr>
          <w:tab/>
        </w:r>
        <w:r w:rsidR="00A46DCA">
          <w:rPr>
            <w:webHidden/>
          </w:rPr>
          <w:fldChar w:fldCharType="begin"/>
        </w:r>
        <w:r w:rsidR="00A46DCA">
          <w:rPr>
            <w:webHidden/>
          </w:rPr>
          <w:instrText xml:space="preserve"> PAGEREF _Toc500435587 \h </w:instrText>
        </w:r>
        <w:r w:rsidR="00A46DCA">
          <w:rPr>
            <w:webHidden/>
          </w:rPr>
        </w:r>
        <w:r w:rsidR="00A46DCA">
          <w:rPr>
            <w:webHidden/>
          </w:rPr>
          <w:fldChar w:fldCharType="separate"/>
        </w:r>
        <w:r>
          <w:rPr>
            <w:webHidden/>
          </w:rPr>
          <w:t>116</w:t>
        </w:r>
        <w:r w:rsidR="00A46DCA">
          <w:rPr>
            <w:webHidden/>
          </w:rPr>
          <w:fldChar w:fldCharType="end"/>
        </w:r>
      </w:hyperlink>
    </w:p>
    <w:p w:rsidR="00A46DCA" w:rsidRDefault="00715FC3">
      <w:pPr>
        <w:pStyle w:val="TOC2"/>
        <w:rPr>
          <w:rFonts w:asciiTheme="minorHAnsi" w:eastAsiaTheme="minorEastAsia" w:hAnsiTheme="minorHAnsi"/>
          <w:spacing w:val="0"/>
          <w:szCs w:val="22"/>
          <w:lang w:eastAsia="en-AU"/>
        </w:rPr>
      </w:pPr>
      <w:hyperlink w:anchor="_Toc500435588" w:history="1">
        <w:r w:rsidR="00A46DCA" w:rsidRPr="0051208A">
          <w:rPr>
            <w:rStyle w:val="Hyperlink"/>
            <w:lang w:eastAsia="en-AU"/>
          </w:rPr>
          <w:t>Department of Environment, Land, Water and Planning</w:t>
        </w:r>
        <w:r w:rsidR="00A46DCA">
          <w:rPr>
            <w:webHidden/>
          </w:rPr>
          <w:tab/>
        </w:r>
        <w:r w:rsidR="00A46DCA">
          <w:rPr>
            <w:webHidden/>
          </w:rPr>
          <w:fldChar w:fldCharType="begin"/>
        </w:r>
        <w:r w:rsidR="00A46DCA">
          <w:rPr>
            <w:webHidden/>
          </w:rPr>
          <w:instrText xml:space="preserve"> PAGEREF _Toc500435588 \h </w:instrText>
        </w:r>
        <w:r w:rsidR="00A46DCA">
          <w:rPr>
            <w:webHidden/>
          </w:rPr>
        </w:r>
        <w:r w:rsidR="00A46DCA">
          <w:rPr>
            <w:webHidden/>
          </w:rPr>
          <w:fldChar w:fldCharType="separate"/>
        </w:r>
        <w:r>
          <w:rPr>
            <w:webHidden/>
          </w:rPr>
          <w:t>118</w:t>
        </w:r>
        <w:r w:rsidR="00A46DCA">
          <w:rPr>
            <w:webHidden/>
          </w:rPr>
          <w:fldChar w:fldCharType="end"/>
        </w:r>
      </w:hyperlink>
    </w:p>
    <w:p w:rsidR="00A46DCA" w:rsidRDefault="00715FC3">
      <w:pPr>
        <w:pStyle w:val="TOC2"/>
        <w:rPr>
          <w:rFonts w:asciiTheme="minorHAnsi" w:eastAsiaTheme="minorEastAsia" w:hAnsiTheme="minorHAnsi"/>
          <w:spacing w:val="0"/>
          <w:szCs w:val="22"/>
          <w:lang w:eastAsia="en-AU"/>
        </w:rPr>
      </w:pPr>
      <w:hyperlink w:anchor="_Toc500435589" w:history="1">
        <w:r w:rsidR="00A46DCA" w:rsidRPr="0051208A">
          <w:rPr>
            <w:rStyle w:val="Hyperlink"/>
            <w:lang w:eastAsia="en-AU"/>
          </w:rPr>
          <w:t>Department of Health and Human Services</w:t>
        </w:r>
        <w:r w:rsidR="00A46DCA">
          <w:rPr>
            <w:webHidden/>
          </w:rPr>
          <w:tab/>
        </w:r>
        <w:r w:rsidR="00A46DCA">
          <w:rPr>
            <w:webHidden/>
          </w:rPr>
          <w:fldChar w:fldCharType="begin"/>
        </w:r>
        <w:r w:rsidR="00A46DCA">
          <w:rPr>
            <w:webHidden/>
          </w:rPr>
          <w:instrText xml:space="preserve"> PAGEREF _Toc500435589 \h </w:instrText>
        </w:r>
        <w:r w:rsidR="00A46DCA">
          <w:rPr>
            <w:webHidden/>
          </w:rPr>
        </w:r>
        <w:r w:rsidR="00A46DCA">
          <w:rPr>
            <w:webHidden/>
          </w:rPr>
          <w:fldChar w:fldCharType="separate"/>
        </w:r>
        <w:r>
          <w:rPr>
            <w:webHidden/>
          </w:rPr>
          <w:t>119</w:t>
        </w:r>
        <w:r w:rsidR="00A46DCA">
          <w:rPr>
            <w:webHidden/>
          </w:rPr>
          <w:fldChar w:fldCharType="end"/>
        </w:r>
      </w:hyperlink>
    </w:p>
    <w:p w:rsidR="00A46DCA" w:rsidRDefault="00715FC3">
      <w:pPr>
        <w:pStyle w:val="TOC2"/>
        <w:rPr>
          <w:rFonts w:asciiTheme="minorHAnsi" w:eastAsiaTheme="minorEastAsia" w:hAnsiTheme="minorHAnsi"/>
          <w:spacing w:val="0"/>
          <w:szCs w:val="22"/>
          <w:lang w:eastAsia="en-AU"/>
        </w:rPr>
      </w:pPr>
      <w:hyperlink w:anchor="_Toc500435590" w:history="1">
        <w:r w:rsidR="00A46DCA" w:rsidRPr="0051208A">
          <w:rPr>
            <w:rStyle w:val="Hyperlink"/>
            <w:lang w:eastAsia="en-AU"/>
          </w:rPr>
          <w:t>Department of Justice and Regulation</w:t>
        </w:r>
        <w:r w:rsidR="00A46DCA">
          <w:rPr>
            <w:webHidden/>
          </w:rPr>
          <w:tab/>
        </w:r>
        <w:r w:rsidR="00A46DCA">
          <w:rPr>
            <w:webHidden/>
          </w:rPr>
          <w:fldChar w:fldCharType="begin"/>
        </w:r>
        <w:r w:rsidR="00A46DCA">
          <w:rPr>
            <w:webHidden/>
          </w:rPr>
          <w:instrText xml:space="preserve"> PAGEREF _Toc500435590 \h </w:instrText>
        </w:r>
        <w:r w:rsidR="00A46DCA">
          <w:rPr>
            <w:webHidden/>
          </w:rPr>
        </w:r>
        <w:r w:rsidR="00A46DCA">
          <w:rPr>
            <w:webHidden/>
          </w:rPr>
          <w:fldChar w:fldCharType="separate"/>
        </w:r>
        <w:r>
          <w:rPr>
            <w:webHidden/>
          </w:rPr>
          <w:t>121</w:t>
        </w:r>
        <w:r w:rsidR="00A46DCA">
          <w:rPr>
            <w:webHidden/>
          </w:rPr>
          <w:fldChar w:fldCharType="end"/>
        </w:r>
      </w:hyperlink>
    </w:p>
    <w:p w:rsidR="00A46DCA" w:rsidRDefault="00715FC3">
      <w:pPr>
        <w:pStyle w:val="TOC2"/>
        <w:rPr>
          <w:rFonts w:asciiTheme="minorHAnsi" w:eastAsiaTheme="minorEastAsia" w:hAnsiTheme="minorHAnsi"/>
          <w:spacing w:val="0"/>
          <w:szCs w:val="22"/>
          <w:lang w:eastAsia="en-AU"/>
        </w:rPr>
      </w:pPr>
      <w:hyperlink w:anchor="_Toc500435591" w:history="1">
        <w:r w:rsidR="00A46DCA" w:rsidRPr="0051208A">
          <w:rPr>
            <w:rStyle w:val="Hyperlink"/>
            <w:lang w:eastAsia="en-AU"/>
          </w:rPr>
          <w:t>Department of Premier and Cabinet</w:t>
        </w:r>
        <w:r w:rsidR="00A46DCA">
          <w:rPr>
            <w:webHidden/>
          </w:rPr>
          <w:tab/>
        </w:r>
        <w:r w:rsidR="00A46DCA">
          <w:rPr>
            <w:webHidden/>
          </w:rPr>
          <w:fldChar w:fldCharType="begin"/>
        </w:r>
        <w:r w:rsidR="00A46DCA">
          <w:rPr>
            <w:webHidden/>
          </w:rPr>
          <w:instrText xml:space="preserve"> PAGEREF _Toc500435591 \h </w:instrText>
        </w:r>
        <w:r w:rsidR="00A46DCA">
          <w:rPr>
            <w:webHidden/>
          </w:rPr>
        </w:r>
        <w:r w:rsidR="00A46DCA">
          <w:rPr>
            <w:webHidden/>
          </w:rPr>
          <w:fldChar w:fldCharType="separate"/>
        </w:r>
        <w:r>
          <w:rPr>
            <w:webHidden/>
          </w:rPr>
          <w:t>124</w:t>
        </w:r>
        <w:r w:rsidR="00A46DCA">
          <w:rPr>
            <w:webHidden/>
          </w:rPr>
          <w:fldChar w:fldCharType="end"/>
        </w:r>
      </w:hyperlink>
    </w:p>
    <w:p w:rsidR="00A46DCA" w:rsidRDefault="00715FC3">
      <w:pPr>
        <w:pStyle w:val="TOC2"/>
        <w:rPr>
          <w:rFonts w:asciiTheme="minorHAnsi" w:eastAsiaTheme="minorEastAsia" w:hAnsiTheme="minorHAnsi"/>
          <w:spacing w:val="0"/>
          <w:szCs w:val="22"/>
          <w:lang w:eastAsia="en-AU"/>
        </w:rPr>
      </w:pPr>
      <w:hyperlink w:anchor="_Toc500435592" w:history="1">
        <w:r w:rsidR="00A46DCA" w:rsidRPr="0051208A">
          <w:rPr>
            <w:rStyle w:val="Hyperlink"/>
            <w:lang w:eastAsia="en-AU"/>
          </w:rPr>
          <w:t>Department of Treasury and Finance</w:t>
        </w:r>
        <w:r w:rsidR="00A46DCA">
          <w:rPr>
            <w:webHidden/>
          </w:rPr>
          <w:tab/>
        </w:r>
        <w:r w:rsidR="00A46DCA">
          <w:rPr>
            <w:webHidden/>
          </w:rPr>
          <w:fldChar w:fldCharType="begin"/>
        </w:r>
        <w:r w:rsidR="00A46DCA">
          <w:rPr>
            <w:webHidden/>
          </w:rPr>
          <w:instrText xml:space="preserve"> PAGEREF _Toc500435592 \h </w:instrText>
        </w:r>
        <w:r w:rsidR="00A46DCA">
          <w:rPr>
            <w:webHidden/>
          </w:rPr>
        </w:r>
        <w:r w:rsidR="00A46DCA">
          <w:rPr>
            <w:webHidden/>
          </w:rPr>
          <w:fldChar w:fldCharType="separate"/>
        </w:r>
        <w:r>
          <w:rPr>
            <w:webHidden/>
          </w:rPr>
          <w:t>125</w:t>
        </w:r>
        <w:r w:rsidR="00A46DCA">
          <w:rPr>
            <w:webHidden/>
          </w:rPr>
          <w:fldChar w:fldCharType="end"/>
        </w:r>
      </w:hyperlink>
    </w:p>
    <w:p w:rsidR="00A46DCA" w:rsidRDefault="00715FC3">
      <w:pPr>
        <w:pStyle w:val="TOC2"/>
        <w:rPr>
          <w:rFonts w:asciiTheme="minorHAnsi" w:eastAsiaTheme="minorEastAsia" w:hAnsiTheme="minorHAnsi"/>
          <w:spacing w:val="0"/>
          <w:szCs w:val="22"/>
          <w:lang w:eastAsia="en-AU"/>
        </w:rPr>
      </w:pPr>
      <w:hyperlink w:anchor="_Toc500435593" w:history="1">
        <w:r w:rsidR="00A46DCA" w:rsidRPr="0051208A">
          <w:rPr>
            <w:rStyle w:val="Hyperlink"/>
            <w:lang w:eastAsia="en-AU"/>
          </w:rPr>
          <w:t>Parliament</w:t>
        </w:r>
        <w:r w:rsidR="00A46DCA">
          <w:rPr>
            <w:webHidden/>
          </w:rPr>
          <w:tab/>
        </w:r>
        <w:r w:rsidR="00A46DCA">
          <w:rPr>
            <w:webHidden/>
          </w:rPr>
          <w:fldChar w:fldCharType="begin"/>
        </w:r>
        <w:r w:rsidR="00A46DCA">
          <w:rPr>
            <w:webHidden/>
          </w:rPr>
          <w:instrText xml:space="preserve"> PAGEREF _Toc500435593 \h </w:instrText>
        </w:r>
        <w:r w:rsidR="00A46DCA">
          <w:rPr>
            <w:webHidden/>
          </w:rPr>
        </w:r>
        <w:r w:rsidR="00A46DCA">
          <w:rPr>
            <w:webHidden/>
          </w:rPr>
          <w:fldChar w:fldCharType="separate"/>
        </w:r>
        <w:r>
          <w:rPr>
            <w:webHidden/>
          </w:rPr>
          <w:t>126</w:t>
        </w:r>
        <w:r w:rsidR="00A46DCA">
          <w:rPr>
            <w:webHidden/>
          </w:rPr>
          <w:fldChar w:fldCharType="end"/>
        </w:r>
      </w:hyperlink>
    </w:p>
    <w:p w:rsidR="00A46DCA" w:rsidRDefault="00715FC3">
      <w:pPr>
        <w:pStyle w:val="TOC2"/>
        <w:rPr>
          <w:rFonts w:asciiTheme="minorHAnsi" w:eastAsiaTheme="minorEastAsia" w:hAnsiTheme="minorHAnsi"/>
          <w:spacing w:val="0"/>
          <w:szCs w:val="22"/>
          <w:lang w:eastAsia="en-AU"/>
        </w:rPr>
      </w:pPr>
      <w:hyperlink w:anchor="_Toc500435594" w:history="1">
        <w:r w:rsidR="00A46DCA" w:rsidRPr="0051208A">
          <w:rPr>
            <w:rStyle w:val="Hyperlink"/>
          </w:rPr>
          <w:t>Court Services Victoria</w:t>
        </w:r>
        <w:r w:rsidR="00A46DCA">
          <w:rPr>
            <w:webHidden/>
          </w:rPr>
          <w:tab/>
        </w:r>
        <w:r w:rsidR="00A46DCA">
          <w:rPr>
            <w:webHidden/>
          </w:rPr>
          <w:fldChar w:fldCharType="begin"/>
        </w:r>
        <w:r w:rsidR="00A46DCA">
          <w:rPr>
            <w:webHidden/>
          </w:rPr>
          <w:instrText xml:space="preserve"> PAGEREF _Toc500435594 \h </w:instrText>
        </w:r>
        <w:r w:rsidR="00A46DCA">
          <w:rPr>
            <w:webHidden/>
          </w:rPr>
        </w:r>
        <w:r w:rsidR="00A46DCA">
          <w:rPr>
            <w:webHidden/>
          </w:rPr>
          <w:fldChar w:fldCharType="separate"/>
        </w:r>
        <w:r>
          <w:rPr>
            <w:webHidden/>
          </w:rPr>
          <w:t>127</w:t>
        </w:r>
        <w:r w:rsidR="00A46DCA">
          <w:rPr>
            <w:webHidden/>
          </w:rPr>
          <w:fldChar w:fldCharType="end"/>
        </w:r>
      </w:hyperlink>
    </w:p>
    <w:p w:rsidR="00A46DCA" w:rsidRDefault="00715FC3">
      <w:pPr>
        <w:pStyle w:val="TOC1"/>
        <w:rPr>
          <w:rFonts w:asciiTheme="minorHAnsi" w:eastAsiaTheme="minorEastAsia" w:hAnsiTheme="minorHAnsi"/>
          <w:b w:val="0"/>
          <w:noProof/>
          <w:spacing w:val="0"/>
          <w:szCs w:val="22"/>
          <w:lang w:eastAsia="en-AU"/>
        </w:rPr>
      </w:pPr>
      <w:hyperlink w:anchor="_Toc500435595" w:history="1">
        <w:r w:rsidR="00A46DCA" w:rsidRPr="0051208A">
          <w:rPr>
            <w:rStyle w:val="Hyperlink"/>
            <w:noProof/>
          </w:rPr>
          <w:t>Appendix B – Amendments to the 2017</w:t>
        </w:r>
        <w:r w:rsidR="00A46DCA" w:rsidRPr="0051208A">
          <w:rPr>
            <w:rStyle w:val="Hyperlink"/>
            <w:noProof/>
          </w:rPr>
          <w:noBreakHyphen/>
          <w:t>18 output performance measures</w:t>
        </w:r>
        <w:r w:rsidR="00A46DCA">
          <w:rPr>
            <w:noProof/>
            <w:webHidden/>
          </w:rPr>
          <w:tab/>
        </w:r>
        <w:r w:rsidR="00A46DCA">
          <w:rPr>
            <w:noProof/>
            <w:webHidden/>
          </w:rPr>
          <w:fldChar w:fldCharType="begin"/>
        </w:r>
        <w:r w:rsidR="00A46DCA">
          <w:rPr>
            <w:noProof/>
            <w:webHidden/>
          </w:rPr>
          <w:instrText xml:space="preserve"> PAGEREF _Toc500435595 \h </w:instrText>
        </w:r>
        <w:r w:rsidR="00A46DCA">
          <w:rPr>
            <w:noProof/>
            <w:webHidden/>
          </w:rPr>
        </w:r>
        <w:r w:rsidR="00A46DCA">
          <w:rPr>
            <w:noProof/>
            <w:webHidden/>
          </w:rPr>
          <w:fldChar w:fldCharType="separate"/>
        </w:r>
        <w:r>
          <w:rPr>
            <w:noProof/>
            <w:webHidden/>
          </w:rPr>
          <w:t>129</w:t>
        </w:r>
        <w:r w:rsidR="00A46DCA">
          <w:rPr>
            <w:noProof/>
            <w:webHidden/>
          </w:rPr>
          <w:fldChar w:fldCharType="end"/>
        </w:r>
      </w:hyperlink>
    </w:p>
    <w:p w:rsidR="00A46DCA" w:rsidRDefault="00715FC3">
      <w:pPr>
        <w:pStyle w:val="TOC1"/>
        <w:rPr>
          <w:rFonts w:asciiTheme="minorHAnsi" w:eastAsiaTheme="minorEastAsia" w:hAnsiTheme="minorHAnsi"/>
          <w:b w:val="0"/>
          <w:noProof/>
          <w:spacing w:val="0"/>
          <w:szCs w:val="22"/>
          <w:lang w:eastAsia="en-AU"/>
        </w:rPr>
      </w:pPr>
      <w:hyperlink w:anchor="_Toc500435596" w:history="1">
        <w:r w:rsidR="00A46DCA" w:rsidRPr="0051208A">
          <w:rPr>
            <w:rStyle w:val="Hyperlink"/>
            <w:noProof/>
          </w:rPr>
          <w:t>Appendix C – Tax expenditures and concessions</w:t>
        </w:r>
        <w:r w:rsidR="00A46DCA">
          <w:rPr>
            <w:noProof/>
            <w:webHidden/>
          </w:rPr>
          <w:tab/>
        </w:r>
        <w:r w:rsidR="00A46DCA">
          <w:rPr>
            <w:noProof/>
            <w:webHidden/>
          </w:rPr>
          <w:fldChar w:fldCharType="begin"/>
        </w:r>
        <w:r w:rsidR="00A46DCA">
          <w:rPr>
            <w:noProof/>
            <w:webHidden/>
          </w:rPr>
          <w:instrText xml:space="preserve"> PAGEREF _Toc500435596 \h </w:instrText>
        </w:r>
        <w:r w:rsidR="00A46DCA">
          <w:rPr>
            <w:noProof/>
            <w:webHidden/>
          </w:rPr>
        </w:r>
        <w:r w:rsidR="00A46DCA">
          <w:rPr>
            <w:noProof/>
            <w:webHidden/>
          </w:rPr>
          <w:fldChar w:fldCharType="separate"/>
        </w:r>
        <w:r>
          <w:rPr>
            <w:noProof/>
            <w:webHidden/>
          </w:rPr>
          <w:t>131</w:t>
        </w:r>
        <w:r w:rsidR="00A46DCA">
          <w:rPr>
            <w:noProof/>
            <w:webHidden/>
          </w:rPr>
          <w:fldChar w:fldCharType="end"/>
        </w:r>
      </w:hyperlink>
    </w:p>
    <w:p w:rsidR="00A46DCA" w:rsidRDefault="00715FC3">
      <w:pPr>
        <w:pStyle w:val="TOC2"/>
        <w:rPr>
          <w:rFonts w:asciiTheme="minorHAnsi" w:eastAsiaTheme="minorEastAsia" w:hAnsiTheme="minorHAnsi"/>
          <w:spacing w:val="0"/>
          <w:szCs w:val="22"/>
          <w:lang w:eastAsia="en-AU"/>
        </w:rPr>
      </w:pPr>
      <w:hyperlink w:anchor="_Toc500435597" w:history="1">
        <w:r w:rsidR="00A46DCA" w:rsidRPr="0051208A">
          <w:rPr>
            <w:rStyle w:val="Hyperlink"/>
          </w:rPr>
          <w:t>Tax expenditures</w:t>
        </w:r>
        <w:r w:rsidR="00A46DCA">
          <w:rPr>
            <w:webHidden/>
          </w:rPr>
          <w:tab/>
        </w:r>
        <w:r w:rsidR="00A46DCA">
          <w:rPr>
            <w:webHidden/>
          </w:rPr>
          <w:fldChar w:fldCharType="begin"/>
        </w:r>
        <w:r w:rsidR="00A46DCA">
          <w:rPr>
            <w:webHidden/>
          </w:rPr>
          <w:instrText xml:space="preserve"> PAGEREF _Toc500435597 \h </w:instrText>
        </w:r>
        <w:r w:rsidR="00A46DCA">
          <w:rPr>
            <w:webHidden/>
          </w:rPr>
        </w:r>
        <w:r w:rsidR="00A46DCA">
          <w:rPr>
            <w:webHidden/>
          </w:rPr>
          <w:fldChar w:fldCharType="separate"/>
        </w:r>
        <w:r>
          <w:rPr>
            <w:webHidden/>
          </w:rPr>
          <w:t>131</w:t>
        </w:r>
        <w:r w:rsidR="00A46DCA">
          <w:rPr>
            <w:webHidden/>
          </w:rPr>
          <w:fldChar w:fldCharType="end"/>
        </w:r>
      </w:hyperlink>
    </w:p>
    <w:p w:rsidR="00A46DCA" w:rsidRDefault="00715FC3">
      <w:pPr>
        <w:pStyle w:val="TOC2"/>
        <w:rPr>
          <w:rFonts w:asciiTheme="minorHAnsi" w:eastAsiaTheme="minorEastAsia" w:hAnsiTheme="minorHAnsi"/>
          <w:spacing w:val="0"/>
          <w:szCs w:val="22"/>
          <w:lang w:eastAsia="en-AU"/>
        </w:rPr>
      </w:pPr>
      <w:hyperlink w:anchor="_Toc500435598" w:history="1">
        <w:r w:rsidR="00A46DCA" w:rsidRPr="0051208A">
          <w:rPr>
            <w:rStyle w:val="Hyperlink"/>
          </w:rPr>
          <w:t>Concessions</w:t>
        </w:r>
        <w:r w:rsidR="00A46DCA">
          <w:rPr>
            <w:webHidden/>
          </w:rPr>
          <w:tab/>
        </w:r>
        <w:r w:rsidR="00A46DCA">
          <w:rPr>
            <w:webHidden/>
          </w:rPr>
          <w:fldChar w:fldCharType="begin"/>
        </w:r>
        <w:r w:rsidR="00A46DCA">
          <w:rPr>
            <w:webHidden/>
          </w:rPr>
          <w:instrText xml:space="preserve"> PAGEREF _Toc500435598 \h </w:instrText>
        </w:r>
        <w:r w:rsidR="00A46DCA">
          <w:rPr>
            <w:webHidden/>
          </w:rPr>
        </w:r>
        <w:r w:rsidR="00A46DCA">
          <w:rPr>
            <w:webHidden/>
          </w:rPr>
          <w:fldChar w:fldCharType="separate"/>
        </w:r>
        <w:r>
          <w:rPr>
            <w:webHidden/>
          </w:rPr>
          <w:t>132</w:t>
        </w:r>
        <w:r w:rsidR="00A46DCA">
          <w:rPr>
            <w:webHidden/>
          </w:rPr>
          <w:fldChar w:fldCharType="end"/>
        </w:r>
      </w:hyperlink>
    </w:p>
    <w:p w:rsidR="00A46DCA" w:rsidRDefault="00715FC3">
      <w:pPr>
        <w:pStyle w:val="TOC1"/>
        <w:rPr>
          <w:rFonts w:asciiTheme="minorHAnsi" w:eastAsiaTheme="minorEastAsia" w:hAnsiTheme="minorHAnsi"/>
          <w:b w:val="0"/>
          <w:noProof/>
          <w:spacing w:val="0"/>
          <w:szCs w:val="22"/>
          <w:lang w:eastAsia="en-AU"/>
        </w:rPr>
      </w:pPr>
      <w:hyperlink w:anchor="_Toc500435599" w:history="1">
        <w:r w:rsidR="00A46DCA" w:rsidRPr="0051208A">
          <w:rPr>
            <w:rStyle w:val="Hyperlink"/>
            <w:rFonts w:eastAsia="Times New Roman"/>
            <w:noProof/>
          </w:rPr>
          <w:t>Appendix D – Sensitivity analysis</w:t>
        </w:r>
        <w:r w:rsidR="00A46DCA">
          <w:rPr>
            <w:noProof/>
            <w:webHidden/>
          </w:rPr>
          <w:tab/>
        </w:r>
        <w:r w:rsidR="00A46DCA">
          <w:rPr>
            <w:noProof/>
            <w:webHidden/>
          </w:rPr>
          <w:fldChar w:fldCharType="begin"/>
        </w:r>
        <w:r w:rsidR="00A46DCA">
          <w:rPr>
            <w:noProof/>
            <w:webHidden/>
          </w:rPr>
          <w:instrText xml:space="preserve"> PAGEREF _Toc500435599 \h </w:instrText>
        </w:r>
        <w:r w:rsidR="00A46DCA">
          <w:rPr>
            <w:noProof/>
            <w:webHidden/>
          </w:rPr>
        </w:r>
        <w:r w:rsidR="00A46DCA">
          <w:rPr>
            <w:noProof/>
            <w:webHidden/>
          </w:rPr>
          <w:fldChar w:fldCharType="separate"/>
        </w:r>
        <w:r>
          <w:rPr>
            <w:noProof/>
            <w:webHidden/>
          </w:rPr>
          <w:t>135</w:t>
        </w:r>
        <w:r w:rsidR="00A46DCA">
          <w:rPr>
            <w:noProof/>
            <w:webHidden/>
          </w:rPr>
          <w:fldChar w:fldCharType="end"/>
        </w:r>
      </w:hyperlink>
    </w:p>
    <w:p w:rsidR="00A46DCA" w:rsidRDefault="00715FC3">
      <w:pPr>
        <w:pStyle w:val="TOC2"/>
        <w:rPr>
          <w:rFonts w:asciiTheme="minorHAnsi" w:eastAsiaTheme="minorEastAsia" w:hAnsiTheme="minorHAnsi"/>
          <w:spacing w:val="0"/>
          <w:szCs w:val="22"/>
          <w:lang w:eastAsia="en-AU"/>
        </w:rPr>
      </w:pPr>
      <w:hyperlink w:anchor="_Toc500435600" w:history="1">
        <w:r w:rsidR="00A46DCA" w:rsidRPr="0051208A">
          <w:rPr>
            <w:rStyle w:val="Hyperlink"/>
            <w:rFonts w:eastAsia="Times New Roman"/>
          </w:rPr>
          <w:t>Sensitivity to independent variations in major economic parameters</w:t>
        </w:r>
        <w:r w:rsidR="00A46DCA">
          <w:rPr>
            <w:webHidden/>
          </w:rPr>
          <w:tab/>
        </w:r>
        <w:r w:rsidR="00A46DCA">
          <w:rPr>
            <w:webHidden/>
          </w:rPr>
          <w:fldChar w:fldCharType="begin"/>
        </w:r>
        <w:r w:rsidR="00A46DCA">
          <w:rPr>
            <w:webHidden/>
          </w:rPr>
          <w:instrText xml:space="preserve"> PAGEREF _Toc500435600 \h </w:instrText>
        </w:r>
        <w:r w:rsidR="00A46DCA">
          <w:rPr>
            <w:webHidden/>
          </w:rPr>
        </w:r>
        <w:r w:rsidR="00A46DCA">
          <w:rPr>
            <w:webHidden/>
          </w:rPr>
          <w:fldChar w:fldCharType="separate"/>
        </w:r>
        <w:r>
          <w:rPr>
            <w:webHidden/>
          </w:rPr>
          <w:t>135</w:t>
        </w:r>
        <w:r w:rsidR="00A46DCA">
          <w:rPr>
            <w:webHidden/>
          </w:rPr>
          <w:fldChar w:fldCharType="end"/>
        </w:r>
      </w:hyperlink>
    </w:p>
    <w:p w:rsidR="00A46DCA" w:rsidRDefault="00715FC3">
      <w:pPr>
        <w:pStyle w:val="TOC2"/>
        <w:rPr>
          <w:rFonts w:asciiTheme="minorHAnsi" w:eastAsiaTheme="minorEastAsia" w:hAnsiTheme="minorHAnsi"/>
          <w:spacing w:val="0"/>
          <w:szCs w:val="22"/>
          <w:lang w:eastAsia="en-AU"/>
        </w:rPr>
      </w:pPr>
      <w:hyperlink w:anchor="_Toc500435601" w:history="1">
        <w:r w:rsidR="00A46DCA" w:rsidRPr="0051208A">
          <w:rPr>
            <w:rStyle w:val="Hyperlink"/>
            <w:rFonts w:eastAsia="Times New Roman"/>
          </w:rPr>
          <w:t>Impacts of variations to the economic outlook</w:t>
        </w:r>
        <w:r w:rsidR="00A46DCA">
          <w:rPr>
            <w:webHidden/>
          </w:rPr>
          <w:tab/>
        </w:r>
        <w:r w:rsidR="00A46DCA">
          <w:rPr>
            <w:webHidden/>
          </w:rPr>
          <w:fldChar w:fldCharType="begin"/>
        </w:r>
        <w:r w:rsidR="00A46DCA">
          <w:rPr>
            <w:webHidden/>
          </w:rPr>
          <w:instrText xml:space="preserve"> PAGEREF _Toc500435601 \h </w:instrText>
        </w:r>
        <w:r w:rsidR="00A46DCA">
          <w:rPr>
            <w:webHidden/>
          </w:rPr>
        </w:r>
        <w:r w:rsidR="00A46DCA">
          <w:rPr>
            <w:webHidden/>
          </w:rPr>
          <w:fldChar w:fldCharType="separate"/>
        </w:r>
        <w:r>
          <w:rPr>
            <w:webHidden/>
          </w:rPr>
          <w:t>138</w:t>
        </w:r>
        <w:r w:rsidR="00A46DCA">
          <w:rPr>
            <w:webHidden/>
          </w:rPr>
          <w:fldChar w:fldCharType="end"/>
        </w:r>
      </w:hyperlink>
    </w:p>
    <w:p w:rsidR="00A46DCA" w:rsidRDefault="00715FC3">
      <w:pPr>
        <w:pStyle w:val="TOC1"/>
        <w:rPr>
          <w:rFonts w:asciiTheme="minorHAnsi" w:eastAsiaTheme="minorEastAsia" w:hAnsiTheme="minorHAnsi"/>
          <w:b w:val="0"/>
          <w:noProof/>
          <w:spacing w:val="0"/>
          <w:szCs w:val="22"/>
          <w:lang w:eastAsia="en-AU"/>
        </w:rPr>
      </w:pPr>
      <w:hyperlink w:anchor="_Toc500435602" w:history="1">
        <w:r w:rsidR="00A46DCA" w:rsidRPr="0051208A">
          <w:rPr>
            <w:rStyle w:val="Hyperlink"/>
            <w:noProof/>
          </w:rPr>
          <w:t xml:space="preserve">Appendix E – Requirements of The </w:t>
        </w:r>
        <w:r w:rsidR="00A46DCA" w:rsidRPr="0051208A">
          <w:rPr>
            <w:rStyle w:val="Hyperlink"/>
            <w:i/>
            <w:noProof/>
          </w:rPr>
          <w:t>Financial Management Act 1994</w:t>
        </w:r>
        <w:r w:rsidR="00A46DCA">
          <w:rPr>
            <w:noProof/>
            <w:webHidden/>
          </w:rPr>
          <w:tab/>
        </w:r>
        <w:r w:rsidR="00A46DCA">
          <w:rPr>
            <w:noProof/>
            <w:webHidden/>
          </w:rPr>
          <w:fldChar w:fldCharType="begin"/>
        </w:r>
        <w:r w:rsidR="00A46DCA">
          <w:rPr>
            <w:noProof/>
            <w:webHidden/>
          </w:rPr>
          <w:instrText xml:space="preserve"> PAGEREF _Toc500435602 \h </w:instrText>
        </w:r>
        <w:r w:rsidR="00A46DCA">
          <w:rPr>
            <w:noProof/>
            <w:webHidden/>
          </w:rPr>
        </w:r>
        <w:r w:rsidR="00A46DCA">
          <w:rPr>
            <w:noProof/>
            <w:webHidden/>
          </w:rPr>
          <w:fldChar w:fldCharType="separate"/>
        </w:r>
        <w:r>
          <w:rPr>
            <w:noProof/>
            <w:webHidden/>
          </w:rPr>
          <w:t>143</w:t>
        </w:r>
        <w:r w:rsidR="00A46DCA">
          <w:rPr>
            <w:noProof/>
            <w:webHidden/>
          </w:rPr>
          <w:fldChar w:fldCharType="end"/>
        </w:r>
      </w:hyperlink>
    </w:p>
    <w:p w:rsidR="00A46DCA" w:rsidRDefault="00715FC3">
      <w:pPr>
        <w:pStyle w:val="TOC1"/>
        <w:rPr>
          <w:rFonts w:asciiTheme="minorHAnsi" w:eastAsiaTheme="minorEastAsia" w:hAnsiTheme="minorHAnsi"/>
          <w:b w:val="0"/>
          <w:noProof/>
          <w:spacing w:val="0"/>
          <w:szCs w:val="22"/>
          <w:lang w:eastAsia="en-AU"/>
        </w:rPr>
      </w:pPr>
      <w:hyperlink w:anchor="_Toc500435603" w:history="1">
        <w:r w:rsidR="00A46DCA" w:rsidRPr="0051208A">
          <w:rPr>
            <w:rStyle w:val="Hyperlink"/>
            <w:noProof/>
          </w:rPr>
          <w:t>Style conventions</w:t>
        </w:r>
        <w:r w:rsidR="00A46DCA">
          <w:rPr>
            <w:noProof/>
            <w:webHidden/>
          </w:rPr>
          <w:tab/>
        </w:r>
        <w:r w:rsidR="00A46DCA">
          <w:rPr>
            <w:noProof/>
            <w:webHidden/>
          </w:rPr>
          <w:fldChar w:fldCharType="begin"/>
        </w:r>
        <w:r w:rsidR="00A46DCA">
          <w:rPr>
            <w:noProof/>
            <w:webHidden/>
          </w:rPr>
          <w:instrText xml:space="preserve"> PAGEREF _Toc500435603 \h </w:instrText>
        </w:r>
        <w:r w:rsidR="00A46DCA">
          <w:rPr>
            <w:noProof/>
            <w:webHidden/>
          </w:rPr>
        </w:r>
        <w:r w:rsidR="00A46DCA">
          <w:rPr>
            <w:noProof/>
            <w:webHidden/>
          </w:rPr>
          <w:fldChar w:fldCharType="separate"/>
        </w:r>
        <w:r>
          <w:rPr>
            <w:noProof/>
            <w:webHidden/>
          </w:rPr>
          <w:t>145</w:t>
        </w:r>
        <w:r w:rsidR="00A46DCA">
          <w:rPr>
            <w:noProof/>
            <w:webHidden/>
          </w:rPr>
          <w:fldChar w:fldCharType="end"/>
        </w:r>
      </w:hyperlink>
    </w:p>
    <w:p w:rsidR="00A46DCA" w:rsidRDefault="00A46DCA" w:rsidP="00A2031D">
      <w:pPr>
        <w:keepLines w:val="0"/>
      </w:pPr>
      <w:r w:rsidRPr="000A1C51">
        <w:rPr>
          <w:rFonts w:asciiTheme="majorHAnsi" w:hAnsiTheme="majorHAnsi"/>
          <w:b/>
          <w:spacing w:val="-2"/>
          <w:szCs w:val="19"/>
        </w:rPr>
        <w:fldChar w:fldCharType="end"/>
      </w:r>
    </w:p>
    <w:p w:rsidR="00A46DCA" w:rsidRDefault="00A46DCA" w:rsidP="00A2031D">
      <w:pPr>
        <w:keepLines w:val="0"/>
      </w:pPr>
    </w:p>
    <w:p w:rsidR="00A46DCA" w:rsidRDefault="00A46DCA" w:rsidP="008416B3">
      <w:pPr>
        <w:sectPr w:rsidR="00A46DCA" w:rsidSect="00480C94">
          <w:footerReference w:type="even" r:id="rId12"/>
          <w:footerReference w:type="default" r:id="rId13"/>
          <w:type w:val="oddPage"/>
          <w:pgSz w:w="9979" w:h="14175" w:code="9"/>
          <w:pgMar w:top="851" w:right="1134" w:bottom="851" w:left="1134" w:header="624" w:footer="567" w:gutter="0"/>
          <w:pgNumType w:fmt="lowerRoman" w:start="1"/>
          <w:cols w:sep="1" w:space="567"/>
          <w:docGrid w:linePitch="360"/>
        </w:sectPr>
      </w:pPr>
    </w:p>
    <w:p w:rsidR="00A46DCA" w:rsidRDefault="00A46DCA" w:rsidP="00400B44"/>
    <w:p w:rsidR="00A46DCA" w:rsidRDefault="00A46DCA" w:rsidP="00480C94">
      <w:pPr>
        <w:sectPr w:rsidR="00A46DCA" w:rsidSect="00480C94">
          <w:headerReference w:type="even" r:id="rId14"/>
          <w:headerReference w:type="default" r:id="rId15"/>
          <w:footerReference w:type="even" r:id="rId16"/>
          <w:footerReference w:type="default" r:id="rId17"/>
          <w:headerReference w:type="first" r:id="rId18"/>
          <w:footerReference w:type="first" r:id="rId19"/>
          <w:type w:val="continuous"/>
          <w:pgSz w:w="9979" w:h="14175" w:code="9"/>
          <w:pgMar w:top="851" w:right="1134" w:bottom="851" w:left="1134" w:header="624" w:footer="567" w:gutter="0"/>
          <w:cols w:sep="1" w:space="567"/>
          <w:docGrid w:linePitch="360"/>
        </w:sectPr>
      </w:pPr>
    </w:p>
    <w:p w:rsidR="00A46DCA" w:rsidRDefault="00A46DCA" w:rsidP="00480C94">
      <w:pPr>
        <w:pStyle w:val="Chapterheading"/>
      </w:pPr>
      <w:bookmarkStart w:id="2" w:name="_Toc472072539"/>
      <w:bookmarkStart w:id="3" w:name="_Toc500435560"/>
      <w:r>
        <w:lastRenderedPageBreak/>
        <w:t>Chapter 1 – Economic and fiscal overview</w:t>
      </w:r>
      <w:bookmarkEnd w:id="2"/>
      <w:bookmarkEnd w:id="3"/>
    </w:p>
    <w:p w:rsidR="00A46DCA" w:rsidRDefault="00A46DCA" w:rsidP="00496047">
      <w:r>
        <w:t xml:space="preserve">The Victorian economy continued to grow strongly in 2016-17, with real gross state product (GSP) growth of 3.3 per cent – the strongest of all Australian states. The robust performance reflects above-trend growth in household consumption, dwelling investment and public demand. </w:t>
      </w:r>
    </w:p>
    <w:p w:rsidR="00A46DCA" w:rsidRDefault="00A46DCA" w:rsidP="008416B3">
      <w:r w:rsidRPr="00857EAA">
        <w:t>Victoria</w:t>
      </w:r>
      <w:r>
        <w:t>’</w:t>
      </w:r>
      <w:r w:rsidRPr="00857EAA">
        <w:t>s G</w:t>
      </w:r>
      <w:r>
        <w:t xml:space="preserve">SP growth is forecast to be 3.0 per cent in 2017-18, 0.25 percentage points higher than in the </w:t>
      </w:r>
      <w:r w:rsidRPr="005F4685">
        <w:rPr>
          <w:i/>
        </w:rPr>
        <w:t>2017-18 Budget</w:t>
      </w:r>
      <w:r w:rsidRPr="00857EAA">
        <w:t xml:space="preserve">. The </w:t>
      </w:r>
      <w:r>
        <w:t xml:space="preserve">positive </w:t>
      </w:r>
      <w:r w:rsidRPr="00857EAA">
        <w:t xml:space="preserve">outlook is supported by </w:t>
      </w:r>
      <w:r>
        <w:t>high</w:t>
      </w:r>
      <w:r w:rsidRPr="00857EAA">
        <w:t xml:space="preserve"> population </w:t>
      </w:r>
      <w:r>
        <w:t>growth, above trend</w:t>
      </w:r>
      <w:r w:rsidRPr="00857EAA">
        <w:t xml:space="preserve"> employment growth, low interest rates and the global economic environment. Victoria</w:t>
      </w:r>
      <w:r>
        <w:t>’</w:t>
      </w:r>
      <w:r w:rsidRPr="00857EAA">
        <w:t xml:space="preserve">s population growth is </w:t>
      </w:r>
      <w:r>
        <w:t xml:space="preserve">historically high </w:t>
      </w:r>
      <w:r w:rsidRPr="00857EAA">
        <w:t>and is expe</w:t>
      </w:r>
      <w:r>
        <w:t>cted to be 2.3 per cent in 2017-</w:t>
      </w:r>
      <w:r w:rsidRPr="00857EAA">
        <w:t xml:space="preserve">18, </w:t>
      </w:r>
      <w:r w:rsidRPr="006B134B">
        <w:t>0.4</w:t>
      </w:r>
      <w:r w:rsidRPr="00857EAA">
        <w:t xml:space="preserve"> percentage points higher than forecast in the </w:t>
      </w:r>
      <w:r w:rsidRPr="00861CEA">
        <w:rPr>
          <w:i/>
        </w:rPr>
        <w:t>2017-18 Budget</w:t>
      </w:r>
      <w:r w:rsidRPr="00857EAA">
        <w:t>.</w:t>
      </w:r>
      <w:r>
        <w:t xml:space="preserve"> Victoria’s high population growth reflects the attraction of Victoria as a place to live, study and work.</w:t>
      </w:r>
    </w:p>
    <w:p w:rsidR="00A46DCA" w:rsidRDefault="00A46DCA" w:rsidP="008B2473">
      <w:pPr>
        <w:ind w:right="-227"/>
      </w:pPr>
      <w:r w:rsidRPr="00857EAA">
        <w:t xml:space="preserve">Victorian employment grew by </w:t>
      </w:r>
      <w:r>
        <w:t>3.9</w:t>
      </w:r>
      <w:r w:rsidRPr="00857EAA">
        <w:t xml:space="preserve"> per </w:t>
      </w:r>
      <w:r>
        <w:t>cent in 2016-17, the highest growth since 1989-90.</w:t>
      </w:r>
      <w:r w:rsidRPr="00857EAA">
        <w:t xml:space="preserve"> </w:t>
      </w:r>
      <w:r>
        <w:t>R</w:t>
      </w:r>
      <w:r w:rsidRPr="00857EAA">
        <w:t>egional employment increas</w:t>
      </w:r>
      <w:r>
        <w:t>ed</w:t>
      </w:r>
      <w:r w:rsidRPr="00857EAA">
        <w:t xml:space="preserve"> by </w:t>
      </w:r>
      <w:r>
        <w:t>3</w:t>
      </w:r>
      <w:r w:rsidRPr="00857EAA">
        <w:t>.</w:t>
      </w:r>
      <w:r>
        <w:t>7</w:t>
      </w:r>
      <w:r w:rsidRPr="00857EAA">
        <w:t xml:space="preserve"> per cent, adding </w:t>
      </w:r>
      <w:r>
        <w:t>more than 25 0</w:t>
      </w:r>
      <w:r w:rsidRPr="00857EAA">
        <w:t>00 jobs in the regions.</w:t>
      </w:r>
      <w:r>
        <w:t xml:space="preserve"> Since November 2014 more than 284 000 jobs have been created in Victoria.</w:t>
      </w:r>
      <w:r w:rsidRPr="00857EAA">
        <w:t xml:space="preserve"> The strongest regional </w:t>
      </w:r>
      <w:r>
        <w:t xml:space="preserve">per cent </w:t>
      </w:r>
      <w:r w:rsidRPr="00857EAA">
        <w:t>growt</w:t>
      </w:r>
      <w:r>
        <w:t>h has been in Latrobe-Gippsland</w:t>
      </w:r>
      <w:r w:rsidRPr="00857EAA">
        <w:t xml:space="preserve">, with </w:t>
      </w:r>
      <w:r>
        <w:t>11</w:t>
      </w:r>
      <w:r w:rsidRPr="00857EAA">
        <w:t xml:space="preserve"> 200 jobs created over the </w:t>
      </w:r>
      <w:r>
        <w:t xml:space="preserve">year to October.  </w:t>
      </w:r>
    </w:p>
    <w:p w:rsidR="00A46DCA" w:rsidRDefault="00A46DCA" w:rsidP="00DB162B">
      <w:r w:rsidRPr="00FB74BA">
        <w:t>Victoria</w:t>
      </w:r>
      <w:r>
        <w:t>’</w:t>
      </w:r>
      <w:r w:rsidRPr="00FB74BA">
        <w:t>s general</w:t>
      </w:r>
      <w:r>
        <w:t xml:space="preserve"> g</w:t>
      </w:r>
      <w:r w:rsidRPr="00FB74BA">
        <w:t xml:space="preserve">overnment sector surplus is </w:t>
      </w:r>
      <w:r w:rsidRPr="008D3D71">
        <w:t>forecast to be $1.7 billion in 2017-18, up</w:t>
      </w:r>
      <w:r w:rsidR="00FB563F">
        <w:t> </w:t>
      </w:r>
      <w:r w:rsidRPr="008D3D71">
        <w:t>from $1.2 billion in the</w:t>
      </w:r>
      <w:r w:rsidRPr="008D3D71">
        <w:rPr>
          <w:i/>
        </w:rPr>
        <w:t xml:space="preserve"> 2017-18 Budget </w:t>
      </w:r>
      <w:r w:rsidRPr="008D3D71">
        <w:t>and</w:t>
      </w:r>
      <w:r w:rsidRPr="008D3D71">
        <w:rPr>
          <w:i/>
        </w:rPr>
        <w:t xml:space="preserve"> </w:t>
      </w:r>
      <w:r w:rsidRPr="008D3D71">
        <w:t>growing to $2.6 billion in 2020-21. The improvement in the fiscal outlook is largely due to strong revenue growth, underpinned by increases in population and employment, combined with the uplift in broader</w:t>
      </w:r>
      <w:r>
        <w:t xml:space="preserve"> economic growth and dwelling investment. </w:t>
      </w:r>
    </w:p>
    <w:p w:rsidR="00A46DCA" w:rsidRDefault="00A46DCA" w:rsidP="008416B3">
      <w:r>
        <w:t>Net debt as a proportion of GSP is expected to be 5.1 per cent in 2017-18, before increasing to 5.7 per cent by 2020-21. The level of net debt</w:t>
      </w:r>
      <w:r w:rsidRPr="00E84509">
        <w:t xml:space="preserve"> reflects the Government</w:t>
      </w:r>
      <w:r>
        <w:t>’</w:t>
      </w:r>
      <w:r w:rsidRPr="00E84509">
        <w:t xml:space="preserve">s significant </w:t>
      </w:r>
      <w:r>
        <w:t xml:space="preserve">ongoing </w:t>
      </w:r>
      <w:r w:rsidRPr="00E84509">
        <w:t>investment in productivi</w:t>
      </w:r>
      <w:r>
        <w:t>ty</w:t>
      </w:r>
      <w:r>
        <w:noBreakHyphen/>
        <w:t>enhancing infrastructure, and</w:t>
      </w:r>
      <w:r w:rsidRPr="00E84509">
        <w:t xml:space="preserve"> </w:t>
      </w:r>
      <w:r>
        <w:t xml:space="preserve">is </w:t>
      </w:r>
      <w:r w:rsidRPr="00E84509">
        <w:t>maintain</w:t>
      </w:r>
      <w:r>
        <w:t>ed</w:t>
      </w:r>
      <w:r w:rsidRPr="00E84509">
        <w:t xml:space="preserve"> </w:t>
      </w:r>
      <w:r>
        <w:t xml:space="preserve">at </w:t>
      </w:r>
      <w:r w:rsidRPr="00E84509">
        <w:t>manageable levels consistent with a triple</w:t>
      </w:r>
      <w:r w:rsidRPr="00E84509">
        <w:noBreakHyphen/>
        <w:t>A credit rating</w:t>
      </w:r>
      <w:r>
        <w:t xml:space="preserve">. This investment will provide the  necessary service capability to meet a growing population. </w:t>
      </w:r>
    </w:p>
    <w:p w:rsidR="00A46DCA" w:rsidRDefault="00A46DCA" w:rsidP="00FB563F">
      <w:pPr>
        <w:ind w:right="-227"/>
      </w:pPr>
      <w:r>
        <w:t>Continuing the Government’s dedication to upskilling the Victorian workforce, t</w:t>
      </w:r>
      <w:r w:rsidRPr="00764EAA">
        <w:t xml:space="preserve">he current payroll tax exemption for wages paid to apprentices and trainees </w:t>
      </w:r>
      <w:r>
        <w:t xml:space="preserve">by not-for-profit Group Training Organisations </w:t>
      </w:r>
      <w:r w:rsidRPr="00764EAA">
        <w:t xml:space="preserve">will be extended to include for-profit </w:t>
      </w:r>
      <w:r>
        <w:t>Group Training O</w:t>
      </w:r>
      <w:r w:rsidRPr="00764EAA">
        <w:t>rganisations that employ new entrants under an approved training scheme</w:t>
      </w:r>
      <w:r>
        <w:t xml:space="preserve">. This builds on the regional payroll tax cut announced in the </w:t>
      </w:r>
      <w:r w:rsidRPr="00606397">
        <w:rPr>
          <w:i/>
        </w:rPr>
        <w:t>2017-18 Budget</w:t>
      </w:r>
      <w:r>
        <w:t xml:space="preserve">. </w:t>
      </w:r>
    </w:p>
    <w:p w:rsidR="00A46DCA" w:rsidRDefault="00A46DCA" w:rsidP="008416B3">
      <w:pPr>
        <w:autoSpaceDE w:val="0"/>
        <w:autoSpaceDN w:val="0"/>
        <w:adjustRightInd w:val="0"/>
      </w:pPr>
      <w:r>
        <w:lastRenderedPageBreak/>
        <w:t xml:space="preserve">Further to the </w:t>
      </w:r>
      <w:r>
        <w:rPr>
          <w:i/>
        </w:rPr>
        <w:t>Homes for Victorians</w:t>
      </w:r>
      <w:r>
        <w:t xml:space="preserve"> package announced in March 2017, the Government has produced a set of rental reforms designed to make renting fairer. These reforms include limiting rent increases to once a year, making bonds smaller and fairer, allowing tenants to more easily keep pets, cracking down on rental bidding, reimbursing tenants faster for repairs and prohibiting false, misleading and deceptive representations by landlords. </w:t>
      </w:r>
    </w:p>
    <w:p w:rsidR="00A46DCA" w:rsidRDefault="00A46DCA" w:rsidP="008416B3">
      <w:r>
        <w:t>The Government continues to ease the financial burden on families and individuals. From 1 January 2018 vehicle registration changes</w:t>
      </w:r>
      <w:r w:rsidRPr="00BE0913">
        <w:t xml:space="preserve"> will </w:t>
      </w:r>
      <w:r>
        <w:t>enable</w:t>
      </w:r>
      <w:r w:rsidRPr="00BE0913">
        <w:t xml:space="preserve"> owners of cars, utes, vans, motorcycles and other light vehicles </w:t>
      </w:r>
      <w:r>
        <w:t xml:space="preserve">the flexibility to choose between </w:t>
      </w:r>
      <w:r w:rsidRPr="00BE0913">
        <w:t xml:space="preserve">shorter term </w:t>
      </w:r>
      <w:r>
        <w:t xml:space="preserve">quarterly or half yearly </w:t>
      </w:r>
      <w:r w:rsidRPr="00BE0913">
        <w:t>registration</w:t>
      </w:r>
      <w:r>
        <w:t xml:space="preserve">s </w:t>
      </w:r>
      <w:r w:rsidRPr="00BE0913">
        <w:t>or continue w</w:t>
      </w:r>
      <w:r>
        <w:t>ith an annual registration fee.</w:t>
      </w:r>
    </w:p>
    <w:p w:rsidR="00A46DCA" w:rsidRDefault="00A46DCA" w:rsidP="008B2473">
      <w:pPr>
        <w:autoSpaceDE w:val="0"/>
        <w:autoSpaceDN w:val="0"/>
        <w:adjustRightInd w:val="0"/>
        <w:ind w:right="56"/>
      </w:pPr>
      <w:r>
        <w:t xml:space="preserve">New enhanced franchise agreements for operating Melbourne’s train and tram networks have recently been established. These enhancements will create </w:t>
      </w:r>
      <w:r w:rsidRPr="00477B16">
        <w:t>700 new jobs</w:t>
      </w:r>
      <w:r>
        <w:t>,</w:t>
      </w:r>
      <w:r w:rsidRPr="00477B16">
        <w:t xml:space="preserve"> including 375</w:t>
      </w:r>
      <w:r>
        <w:t> </w:t>
      </w:r>
      <w:r w:rsidRPr="00477B16">
        <w:t>apprenticeships</w:t>
      </w:r>
      <w:r>
        <w:t>,</w:t>
      </w:r>
      <w:r w:rsidRPr="00477B16">
        <w:t xml:space="preserve"> and </w:t>
      </w:r>
      <w:r>
        <w:t>require</w:t>
      </w:r>
      <w:r w:rsidRPr="00477B16">
        <w:t xml:space="preserve"> a minimum 85 per cent local content</w:t>
      </w:r>
      <w:r>
        <w:t xml:space="preserve"> in </w:t>
      </w:r>
      <w:r w:rsidRPr="007E5ACD">
        <w:t>operating the networks and maintaining the network infrastructure and rolling stock.</w:t>
      </w:r>
      <w:r w:rsidRPr="00477B16">
        <w:t xml:space="preserve"> </w:t>
      </w:r>
      <w:r w:rsidRPr="00902878">
        <w:t>Under the new contract there will be higher targets for reliability, punctuality and other performance indicators.</w:t>
      </w:r>
      <w:r w:rsidRPr="002C138E">
        <w:t xml:space="preserve"> </w:t>
      </w:r>
    </w:p>
    <w:p w:rsidR="00A46DCA" w:rsidRDefault="00A46DCA" w:rsidP="008416B3">
      <w:pPr>
        <w:autoSpaceDE w:val="0"/>
        <w:autoSpaceDN w:val="0"/>
        <w:adjustRightInd w:val="0"/>
      </w:pPr>
      <w:r>
        <w:t>The efficiency of Victoria’s rail transport network will be further improved by investing $222 million in upgrades on the Cranbourne-Pakenham line to enable High Capacity Metro Trains to operate. In addition to this, the Government has secured funding from the Commonwealth for the Regional Rail Revival Plan (see Box 1.1 for further information).</w:t>
      </w:r>
    </w:p>
    <w:p w:rsidR="00A46DCA" w:rsidRDefault="00A46DCA" w:rsidP="008416B3">
      <w:pPr>
        <w:autoSpaceDE w:val="0"/>
        <w:autoSpaceDN w:val="0"/>
        <w:adjustRightInd w:val="0"/>
      </w:pPr>
      <w:r w:rsidRPr="000D5220">
        <w:t xml:space="preserve">The Government is </w:t>
      </w:r>
      <w:r>
        <w:t xml:space="preserve">also </w:t>
      </w:r>
      <w:r w:rsidRPr="000D5220">
        <w:t>making significant investments to promote community safety a</w:t>
      </w:r>
      <w:r>
        <w:t xml:space="preserve">s Victoria’s population grows. </w:t>
      </w:r>
      <w:r w:rsidRPr="000D5220">
        <w:t>Recruitment and deployment is continuing for the 3</w:t>
      </w:r>
      <w:r>
        <w:t> </w:t>
      </w:r>
      <w:r w:rsidRPr="000D5220">
        <w:t xml:space="preserve">135 new police officers funded </w:t>
      </w:r>
      <w:r>
        <w:t>in the 2016-17 and 2017-18 b</w:t>
      </w:r>
      <w:r w:rsidRPr="000D5220">
        <w:t>udgets, along with new custody officers an</w:t>
      </w:r>
      <w:r>
        <w:t xml:space="preserve">d Protective Service Officers. </w:t>
      </w:r>
      <w:r w:rsidRPr="000D5220">
        <w:t>New investments also support increased capacity in the corrections and youth justice systems.</w:t>
      </w:r>
    </w:p>
    <w:p w:rsidR="00A46DCA" w:rsidRDefault="00A46DCA" w:rsidP="002F7A44">
      <w:r>
        <w:t>Despite Victoria having the highest population growth in the nation, Victoria currently receives a disproportionately low share of Commonwealth funding and will receive only 10.3 per cent</w:t>
      </w:r>
      <w:r w:rsidRPr="00606397">
        <w:t xml:space="preserve"> </w:t>
      </w:r>
      <w:r>
        <w:t xml:space="preserve">of Commonwealth infrastructure funding, compared to a population share of 25.5 per cent </w:t>
      </w:r>
      <w:r>
        <w:rPr>
          <w:rStyle w:val="FootnoteReference"/>
        </w:rPr>
        <w:footnoteReference w:id="1"/>
      </w:r>
      <w:r>
        <w:t xml:space="preserve">. The Victorian Government continues to advocate for a fair share of Commonwealth funding. </w:t>
      </w:r>
    </w:p>
    <w:p w:rsidR="00A46DCA" w:rsidRDefault="00A46DCA" w:rsidP="00FB563F">
      <w:pPr>
        <w:keepLines w:val="0"/>
        <w:ind w:right="-86"/>
      </w:pPr>
      <w:r w:rsidRPr="00606397">
        <w:t>In recent times</w:t>
      </w:r>
      <w:r>
        <w:t xml:space="preserve"> the Commonwealth G</w:t>
      </w:r>
      <w:r w:rsidRPr="00606397">
        <w:t xml:space="preserve">overnment has adopted an increasingly coercive approach to federal financial relations, which risks compromising </w:t>
      </w:r>
      <w:r>
        <w:t xml:space="preserve">the </w:t>
      </w:r>
      <w:r w:rsidRPr="00606397">
        <w:t>states</w:t>
      </w:r>
      <w:r>
        <w:t>’</w:t>
      </w:r>
      <w:r w:rsidRPr="00606397">
        <w:t xml:space="preserve"> </w:t>
      </w:r>
      <w:r>
        <w:t xml:space="preserve">and territories’ </w:t>
      </w:r>
      <w:r w:rsidRPr="00606397">
        <w:t>fiscal autonomy and service delivery obligations. Victoria looks forward to a return to a more collaborative approach to federal financial relations.</w:t>
      </w:r>
    </w:p>
    <w:p w:rsidR="00A46DCA" w:rsidRDefault="00A46DCA" w:rsidP="00A26D04">
      <w:pPr>
        <w:keepLines w:val="0"/>
      </w:pPr>
    </w:p>
    <w:p w:rsidR="00A46DCA" w:rsidRDefault="00A46DCA" w:rsidP="00A26D04">
      <w:pPr>
        <w:keepLines w:val="0"/>
      </w:pPr>
    </w:p>
    <w:p w:rsidR="00A46DCA" w:rsidRDefault="00A46DCA" w:rsidP="00A26D04">
      <w:pPr>
        <w:keepLines w:val="0"/>
      </w:pPr>
    </w:p>
    <w:p w:rsidR="00A46DCA" w:rsidRDefault="00A46DCA" w:rsidP="00A26D04">
      <w:pPr>
        <w:keepLines w:val="0"/>
      </w:pPr>
    </w:p>
    <w:p w:rsidR="00A46DCA" w:rsidRDefault="00A46DCA" w:rsidP="006108E6">
      <w:pPr>
        <w:pStyle w:val="HighlightBoxHeading"/>
        <w:tabs>
          <w:tab w:val="left" w:pos="1107"/>
        </w:tabs>
      </w:pPr>
      <w:r>
        <w:lastRenderedPageBreak/>
        <w:t xml:space="preserve">Box 1.1: </w:t>
      </w:r>
      <w:r>
        <w:tab/>
        <w:t>Regional Rail Revival Plan</w:t>
      </w:r>
    </w:p>
    <w:p w:rsidR="00A46DCA" w:rsidRDefault="00A46DCA" w:rsidP="00A26D04">
      <w:pPr>
        <w:pStyle w:val="HighlightBoxText"/>
      </w:pPr>
      <w:r>
        <w:t xml:space="preserve">In the </w:t>
      </w:r>
      <w:r>
        <w:rPr>
          <w:i/>
        </w:rPr>
        <w:t xml:space="preserve">2017-18 Budget, </w:t>
      </w:r>
      <w:r>
        <w:t>the Government announced the Regional Rail Revival Plan, the biggest revival of all time of the rail network in regional Victoria.</w:t>
      </w:r>
    </w:p>
    <w:p w:rsidR="00A46DCA" w:rsidRDefault="00A46DCA" w:rsidP="00A26D04">
      <w:pPr>
        <w:pStyle w:val="HighlightBoxText"/>
      </w:pPr>
      <w:r>
        <w:t xml:space="preserve">Funding of the Plan required full receipt of Victoria’s entitlement under the National Partnership Agreement on Asset Recycling from the Commonwealth. Under this agreement, Victoria was entitled to a further $1.5 billion from the lease of the Port of Melbourne to invest in priority infrastructure. The Government has now secured this funding commitment from the Commonwealth. </w:t>
      </w:r>
      <w:r w:rsidRPr="009B4681">
        <w:t xml:space="preserve">The Plan will </w:t>
      </w:r>
      <w:r>
        <w:t xml:space="preserve">fund </w:t>
      </w:r>
      <w:r w:rsidRPr="009B4681">
        <w:t>upgrade</w:t>
      </w:r>
      <w:r>
        <w:t>s</w:t>
      </w:r>
      <w:r w:rsidRPr="009B4681">
        <w:t xml:space="preserve"> </w:t>
      </w:r>
      <w:r>
        <w:t xml:space="preserve">on </w:t>
      </w:r>
      <w:r w:rsidRPr="009B4681">
        <w:t>every regional passenger rail line and support the creation of over 1</w:t>
      </w:r>
      <w:r>
        <w:t xml:space="preserve"> </w:t>
      </w:r>
      <w:r w:rsidRPr="009B4681">
        <w:t>000 jobs in regional Victoria</w:t>
      </w:r>
      <w:r>
        <w:t>.</w:t>
      </w:r>
    </w:p>
    <w:p w:rsidR="00A46DCA" w:rsidRDefault="00A46DCA" w:rsidP="00A26D04">
      <w:pPr>
        <w:keepLines w:val="0"/>
      </w:pPr>
      <w:r>
        <w:t xml:space="preserve">The </w:t>
      </w:r>
      <w:r w:rsidRPr="00AE67FF">
        <w:rPr>
          <w:i/>
        </w:rPr>
        <w:t>2017-18 Budget</w:t>
      </w:r>
      <w:r>
        <w:t xml:space="preserve"> was prepared with a view to the Government’s long-term financial management objectives outlined in Table 1.1.</w:t>
      </w:r>
    </w:p>
    <w:p w:rsidR="00A46DCA" w:rsidRDefault="00A46DCA" w:rsidP="008416B3">
      <w:pPr>
        <w:pStyle w:val="TableHeading"/>
      </w:pPr>
      <w:r w:rsidRPr="00E0632C">
        <w:t>Table 1.</w:t>
      </w:r>
      <w:r>
        <w:t>1:</w:t>
      </w:r>
      <w:r>
        <w:tab/>
        <w:t>Long-</w:t>
      </w:r>
      <w:r w:rsidRPr="00E0632C">
        <w:t>term financial management objectives</w:t>
      </w:r>
    </w:p>
    <w:tbl>
      <w:tblPr>
        <w:tblStyle w:val="DTFTextTable"/>
        <w:tblW w:w="0" w:type="auto"/>
        <w:tblLook w:val="06A0" w:firstRow="1" w:lastRow="0" w:firstColumn="1" w:lastColumn="0" w:noHBand="1" w:noVBand="1"/>
      </w:tblPr>
      <w:tblGrid>
        <w:gridCol w:w="2156"/>
        <w:gridCol w:w="5641"/>
      </w:tblGrid>
      <w:tr w:rsidR="00A46DCA" w:rsidRPr="008B2473" w:rsidTr="00A26D0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6" w:type="dxa"/>
          </w:tcPr>
          <w:p w:rsidR="00A46DCA" w:rsidRPr="008B2473" w:rsidRDefault="00A46DCA" w:rsidP="00A26D04">
            <w:pPr>
              <w:rPr>
                <w:sz w:val="18"/>
              </w:rPr>
            </w:pPr>
            <w:r w:rsidRPr="008B2473">
              <w:rPr>
                <w:sz w:val="18"/>
              </w:rPr>
              <w:t>Priority</w:t>
            </w:r>
          </w:p>
        </w:tc>
        <w:tc>
          <w:tcPr>
            <w:tcW w:w="5641" w:type="dxa"/>
          </w:tcPr>
          <w:p w:rsidR="00A46DCA" w:rsidRPr="008B2473" w:rsidRDefault="00A46DCA" w:rsidP="00A26D04">
            <w:pPr>
              <w:cnfStyle w:val="100000000000" w:firstRow="1" w:lastRow="0" w:firstColumn="0" w:lastColumn="0" w:oddVBand="0" w:evenVBand="0" w:oddHBand="0" w:evenHBand="0" w:firstRowFirstColumn="0" w:firstRowLastColumn="0" w:lastRowFirstColumn="0" w:lastRowLastColumn="0"/>
              <w:rPr>
                <w:sz w:val="18"/>
              </w:rPr>
            </w:pPr>
            <w:r w:rsidRPr="008B2473">
              <w:rPr>
                <w:sz w:val="18"/>
              </w:rPr>
              <w:t>Objective</w:t>
            </w:r>
          </w:p>
        </w:tc>
      </w:tr>
      <w:tr w:rsidR="00A46DCA" w:rsidRPr="008B2473" w:rsidTr="00A26D04">
        <w:tc>
          <w:tcPr>
            <w:cnfStyle w:val="001000000000" w:firstRow="0" w:lastRow="0" w:firstColumn="1" w:lastColumn="0" w:oddVBand="0" w:evenVBand="0" w:oddHBand="0" w:evenHBand="0" w:firstRowFirstColumn="0" w:firstRowLastColumn="0" w:lastRowFirstColumn="0" w:lastRowLastColumn="0"/>
            <w:tcW w:w="2156" w:type="dxa"/>
          </w:tcPr>
          <w:p w:rsidR="00A46DCA" w:rsidRPr="008B2473" w:rsidRDefault="00A46DCA" w:rsidP="00A26D04">
            <w:pPr>
              <w:ind w:left="0" w:firstLine="0"/>
              <w:rPr>
                <w:sz w:val="18"/>
              </w:rPr>
            </w:pPr>
            <w:r w:rsidRPr="008B2473">
              <w:rPr>
                <w:sz w:val="18"/>
              </w:rPr>
              <w:t>Sound financial management</w:t>
            </w:r>
          </w:p>
        </w:tc>
        <w:tc>
          <w:tcPr>
            <w:tcW w:w="5641" w:type="dxa"/>
          </w:tcPr>
          <w:p w:rsidR="00A46DCA" w:rsidRPr="008B2473" w:rsidRDefault="00A46DCA" w:rsidP="00A26D04">
            <w:pPr>
              <w:cnfStyle w:val="000000000000" w:firstRow="0" w:lastRow="0" w:firstColumn="0" w:lastColumn="0" w:oddVBand="0" w:evenVBand="0" w:oddHBand="0" w:evenHBand="0" w:firstRowFirstColumn="0" w:firstRowLastColumn="0" w:lastRowFirstColumn="0" w:lastRowLastColumn="0"/>
              <w:rPr>
                <w:sz w:val="18"/>
              </w:rPr>
            </w:pPr>
            <w:r w:rsidRPr="008B2473">
              <w:rPr>
                <w:sz w:val="18"/>
              </w:rPr>
              <w:t>Victoria</w:t>
            </w:r>
            <w:r>
              <w:rPr>
                <w:sz w:val="18"/>
              </w:rPr>
              <w:t>’</w:t>
            </w:r>
            <w:r w:rsidRPr="008B2473">
              <w:rPr>
                <w:sz w:val="18"/>
              </w:rPr>
              <w:t>s finances will be managed in a responsible manner to provide capacity to fund services and infrastructure at levels consistent with maintaining a triple</w:t>
            </w:r>
            <w:r w:rsidRPr="008B2473">
              <w:rPr>
                <w:rFonts w:ascii="MS Mincho" w:eastAsia="MS Mincho" w:hAnsi="MS Mincho" w:cs="MS Mincho" w:hint="eastAsia"/>
                <w:sz w:val="18"/>
              </w:rPr>
              <w:t>‑</w:t>
            </w:r>
            <w:r w:rsidRPr="008B2473">
              <w:rPr>
                <w:sz w:val="18"/>
              </w:rPr>
              <w:t>A credit rating.</w:t>
            </w:r>
          </w:p>
        </w:tc>
      </w:tr>
      <w:tr w:rsidR="00A46DCA" w:rsidRPr="008B2473" w:rsidTr="00A26D04">
        <w:tc>
          <w:tcPr>
            <w:cnfStyle w:val="001000000000" w:firstRow="0" w:lastRow="0" w:firstColumn="1" w:lastColumn="0" w:oddVBand="0" w:evenVBand="0" w:oddHBand="0" w:evenHBand="0" w:firstRowFirstColumn="0" w:firstRowLastColumn="0" w:lastRowFirstColumn="0" w:lastRowLastColumn="0"/>
            <w:tcW w:w="2156" w:type="dxa"/>
          </w:tcPr>
          <w:p w:rsidR="00A46DCA" w:rsidRPr="008B2473" w:rsidRDefault="00A46DCA" w:rsidP="00A26D04">
            <w:pPr>
              <w:ind w:left="0" w:firstLine="0"/>
              <w:rPr>
                <w:sz w:val="18"/>
              </w:rPr>
            </w:pPr>
            <w:r w:rsidRPr="008B2473">
              <w:rPr>
                <w:sz w:val="18"/>
              </w:rPr>
              <w:t>Improving services</w:t>
            </w:r>
          </w:p>
        </w:tc>
        <w:tc>
          <w:tcPr>
            <w:tcW w:w="5641" w:type="dxa"/>
          </w:tcPr>
          <w:p w:rsidR="00A46DCA" w:rsidRPr="008B2473" w:rsidRDefault="00A46DCA" w:rsidP="00A26D04">
            <w:pPr>
              <w:cnfStyle w:val="000000000000" w:firstRow="0" w:lastRow="0" w:firstColumn="0" w:lastColumn="0" w:oddVBand="0" w:evenVBand="0" w:oddHBand="0" w:evenHBand="0" w:firstRowFirstColumn="0" w:firstRowLastColumn="0" w:lastRowFirstColumn="0" w:lastRowLastColumn="0"/>
              <w:rPr>
                <w:sz w:val="18"/>
              </w:rPr>
            </w:pPr>
            <w:r w:rsidRPr="008B2473">
              <w:rPr>
                <w:sz w:val="18"/>
              </w:rPr>
              <w:t>Public services will improve over time.</w:t>
            </w:r>
          </w:p>
        </w:tc>
      </w:tr>
      <w:tr w:rsidR="00A46DCA" w:rsidRPr="008B2473" w:rsidTr="00A26D04">
        <w:tc>
          <w:tcPr>
            <w:cnfStyle w:val="001000000000" w:firstRow="0" w:lastRow="0" w:firstColumn="1" w:lastColumn="0" w:oddVBand="0" w:evenVBand="0" w:oddHBand="0" w:evenHBand="0" w:firstRowFirstColumn="0" w:firstRowLastColumn="0" w:lastRowFirstColumn="0" w:lastRowLastColumn="0"/>
            <w:tcW w:w="2156" w:type="dxa"/>
          </w:tcPr>
          <w:p w:rsidR="00A46DCA" w:rsidRPr="008B2473" w:rsidRDefault="00A46DCA" w:rsidP="00A26D04">
            <w:pPr>
              <w:ind w:left="0" w:firstLine="0"/>
              <w:rPr>
                <w:sz w:val="18"/>
              </w:rPr>
            </w:pPr>
            <w:r w:rsidRPr="008B2473">
              <w:rPr>
                <w:sz w:val="18"/>
              </w:rPr>
              <w:t>Building infrastructure</w:t>
            </w:r>
          </w:p>
        </w:tc>
        <w:tc>
          <w:tcPr>
            <w:tcW w:w="5641" w:type="dxa"/>
          </w:tcPr>
          <w:p w:rsidR="00A46DCA" w:rsidRPr="008B2473" w:rsidRDefault="00A46DCA" w:rsidP="00A26D04">
            <w:pPr>
              <w:cnfStyle w:val="000000000000" w:firstRow="0" w:lastRow="0" w:firstColumn="0" w:lastColumn="0" w:oddVBand="0" w:evenVBand="0" w:oddHBand="0" w:evenHBand="0" w:firstRowFirstColumn="0" w:firstRowLastColumn="0" w:lastRowFirstColumn="0" w:lastRowLastColumn="0"/>
              <w:rPr>
                <w:sz w:val="18"/>
              </w:rPr>
            </w:pPr>
            <w:r w:rsidRPr="008B2473">
              <w:rPr>
                <w:sz w:val="18"/>
              </w:rPr>
              <w:t>Public infrastructure will grow steadily over time to meet the needs of a growing population.</w:t>
            </w:r>
          </w:p>
        </w:tc>
      </w:tr>
      <w:tr w:rsidR="00A46DCA" w:rsidRPr="008B2473" w:rsidTr="00A26D04">
        <w:tc>
          <w:tcPr>
            <w:cnfStyle w:val="001000000000" w:firstRow="0" w:lastRow="0" w:firstColumn="1" w:lastColumn="0" w:oddVBand="0" w:evenVBand="0" w:oddHBand="0" w:evenHBand="0" w:firstRowFirstColumn="0" w:firstRowLastColumn="0" w:lastRowFirstColumn="0" w:lastRowLastColumn="0"/>
            <w:tcW w:w="2156" w:type="dxa"/>
          </w:tcPr>
          <w:p w:rsidR="00A46DCA" w:rsidRPr="008B2473" w:rsidRDefault="00A46DCA" w:rsidP="00A26D04">
            <w:pPr>
              <w:ind w:left="0" w:firstLine="0"/>
              <w:rPr>
                <w:sz w:val="18"/>
              </w:rPr>
            </w:pPr>
            <w:r w:rsidRPr="008B2473">
              <w:rPr>
                <w:sz w:val="18"/>
              </w:rPr>
              <w:t xml:space="preserve">Efficient use of </w:t>
            </w:r>
            <w:r w:rsidRPr="008B2473">
              <w:rPr>
                <w:sz w:val="18"/>
              </w:rPr>
              <w:br/>
              <w:t>public resources</w:t>
            </w:r>
          </w:p>
        </w:tc>
        <w:tc>
          <w:tcPr>
            <w:tcW w:w="5641" w:type="dxa"/>
          </w:tcPr>
          <w:p w:rsidR="00A46DCA" w:rsidRPr="008B2473" w:rsidRDefault="00A46DCA" w:rsidP="00A26D04">
            <w:pPr>
              <w:cnfStyle w:val="000000000000" w:firstRow="0" w:lastRow="0" w:firstColumn="0" w:lastColumn="0" w:oddVBand="0" w:evenVBand="0" w:oddHBand="0" w:evenHBand="0" w:firstRowFirstColumn="0" w:firstRowLastColumn="0" w:lastRowFirstColumn="0" w:lastRowLastColumn="0"/>
              <w:rPr>
                <w:sz w:val="18"/>
              </w:rPr>
            </w:pPr>
            <w:r w:rsidRPr="008B2473">
              <w:rPr>
                <w:sz w:val="18"/>
              </w:rPr>
              <w:t>Public sector resources will be invested in services and infrastructure to maximise the economic, social and environmental benefits.</w:t>
            </w:r>
          </w:p>
        </w:tc>
      </w:tr>
    </w:tbl>
    <w:p w:rsidR="00A46DCA" w:rsidRDefault="00A46DCA" w:rsidP="008416B3">
      <w:pPr>
        <w:keepLines w:val="0"/>
      </w:pPr>
      <w:r>
        <w:t>The targets in Table 1.2 measure progress towards these long-term financial management objectives.</w:t>
      </w:r>
    </w:p>
    <w:p w:rsidR="00A46DCA" w:rsidRDefault="00A46DCA" w:rsidP="008416B3">
      <w:pPr>
        <w:pStyle w:val="TableHeading"/>
      </w:pPr>
      <w:r w:rsidRPr="00E0632C">
        <w:t>Table 1.</w:t>
      </w:r>
      <w:r>
        <w:t>2</w:t>
      </w:r>
      <w:r w:rsidRPr="00E0632C">
        <w:t>:</w:t>
      </w:r>
      <w:r w:rsidRPr="00E0632C">
        <w:tab/>
        <w:t>Financial me</w:t>
      </w:r>
      <w:r>
        <w:t xml:space="preserve">asures and targets for the </w:t>
      </w:r>
      <w:r w:rsidRPr="00E0632C">
        <w:rPr>
          <w:i/>
        </w:rPr>
        <w:t>2017-18 Budget</w:t>
      </w:r>
    </w:p>
    <w:tbl>
      <w:tblPr>
        <w:tblStyle w:val="DTFTextTable"/>
        <w:tblW w:w="0" w:type="auto"/>
        <w:tblLook w:val="06A0" w:firstRow="1" w:lastRow="0" w:firstColumn="1" w:lastColumn="0" w:noHBand="1" w:noVBand="1"/>
      </w:tblPr>
      <w:tblGrid>
        <w:gridCol w:w="2297"/>
        <w:gridCol w:w="5500"/>
      </w:tblGrid>
      <w:tr w:rsidR="00A46DCA" w:rsidRPr="008B2473" w:rsidTr="00A26D0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7" w:type="dxa"/>
          </w:tcPr>
          <w:p w:rsidR="00A46DCA" w:rsidRPr="008B2473" w:rsidRDefault="00A46DCA" w:rsidP="00A26D04">
            <w:pPr>
              <w:rPr>
                <w:sz w:val="18"/>
              </w:rPr>
            </w:pPr>
            <w:r w:rsidRPr="008B2473">
              <w:rPr>
                <w:sz w:val="18"/>
              </w:rPr>
              <w:t xml:space="preserve">Financial measures </w:t>
            </w:r>
          </w:p>
        </w:tc>
        <w:tc>
          <w:tcPr>
            <w:tcW w:w="5500" w:type="dxa"/>
          </w:tcPr>
          <w:p w:rsidR="00A46DCA" w:rsidRPr="008B2473" w:rsidRDefault="00A46DCA" w:rsidP="00A26D04">
            <w:pPr>
              <w:cnfStyle w:val="100000000000" w:firstRow="1" w:lastRow="0" w:firstColumn="0" w:lastColumn="0" w:oddVBand="0" w:evenVBand="0" w:oddHBand="0" w:evenHBand="0" w:firstRowFirstColumn="0" w:firstRowLastColumn="0" w:lastRowFirstColumn="0" w:lastRowLastColumn="0"/>
              <w:rPr>
                <w:sz w:val="18"/>
              </w:rPr>
            </w:pPr>
            <w:r w:rsidRPr="008B2473">
              <w:rPr>
                <w:sz w:val="18"/>
              </w:rPr>
              <w:t>Target</w:t>
            </w:r>
          </w:p>
        </w:tc>
      </w:tr>
      <w:tr w:rsidR="00A46DCA" w:rsidRPr="008B2473" w:rsidTr="00A26D04">
        <w:tc>
          <w:tcPr>
            <w:cnfStyle w:val="001000000000" w:firstRow="0" w:lastRow="0" w:firstColumn="1" w:lastColumn="0" w:oddVBand="0" w:evenVBand="0" w:oddHBand="0" w:evenHBand="0" w:firstRowFirstColumn="0" w:firstRowLastColumn="0" w:lastRowFirstColumn="0" w:lastRowLastColumn="0"/>
            <w:tcW w:w="2297" w:type="dxa"/>
          </w:tcPr>
          <w:p w:rsidR="00A46DCA" w:rsidRPr="008B2473" w:rsidRDefault="00A46DCA" w:rsidP="00852314">
            <w:pPr>
              <w:rPr>
                <w:sz w:val="18"/>
              </w:rPr>
            </w:pPr>
            <w:r w:rsidRPr="008B2473">
              <w:rPr>
                <w:sz w:val="18"/>
              </w:rPr>
              <w:t>Net debt</w:t>
            </w:r>
          </w:p>
        </w:tc>
        <w:tc>
          <w:tcPr>
            <w:tcW w:w="5500" w:type="dxa"/>
          </w:tcPr>
          <w:p w:rsidR="00A46DCA" w:rsidRPr="008B2473" w:rsidRDefault="00A46DCA" w:rsidP="00852314">
            <w:pPr>
              <w:cnfStyle w:val="000000000000" w:firstRow="0" w:lastRow="0" w:firstColumn="0" w:lastColumn="0" w:oddVBand="0" w:evenVBand="0" w:oddHBand="0" w:evenHBand="0" w:firstRowFirstColumn="0" w:firstRowLastColumn="0" w:lastRowFirstColumn="0" w:lastRowLastColumn="0"/>
              <w:rPr>
                <w:sz w:val="18"/>
              </w:rPr>
            </w:pPr>
            <w:r w:rsidRPr="008B2473">
              <w:rPr>
                <w:sz w:val="18"/>
              </w:rPr>
              <w:t>General government net debt as a percentage of GSP to be maintained at a sustainable level over the medium term.</w:t>
            </w:r>
          </w:p>
        </w:tc>
      </w:tr>
      <w:tr w:rsidR="00A46DCA" w:rsidRPr="008B2473" w:rsidTr="00A26D04">
        <w:tc>
          <w:tcPr>
            <w:cnfStyle w:val="001000000000" w:firstRow="0" w:lastRow="0" w:firstColumn="1" w:lastColumn="0" w:oddVBand="0" w:evenVBand="0" w:oddHBand="0" w:evenHBand="0" w:firstRowFirstColumn="0" w:firstRowLastColumn="0" w:lastRowFirstColumn="0" w:lastRowLastColumn="0"/>
            <w:tcW w:w="2297" w:type="dxa"/>
          </w:tcPr>
          <w:p w:rsidR="00A46DCA" w:rsidRPr="008B2473" w:rsidRDefault="00A46DCA" w:rsidP="00852314">
            <w:pPr>
              <w:rPr>
                <w:sz w:val="18"/>
              </w:rPr>
            </w:pPr>
            <w:r w:rsidRPr="008B2473">
              <w:rPr>
                <w:sz w:val="18"/>
              </w:rPr>
              <w:t>Superannuation liabilities</w:t>
            </w:r>
          </w:p>
        </w:tc>
        <w:tc>
          <w:tcPr>
            <w:tcW w:w="5500" w:type="dxa"/>
          </w:tcPr>
          <w:p w:rsidR="00A46DCA" w:rsidRPr="008B2473" w:rsidRDefault="00A46DCA" w:rsidP="00852314">
            <w:pPr>
              <w:cnfStyle w:val="000000000000" w:firstRow="0" w:lastRow="0" w:firstColumn="0" w:lastColumn="0" w:oddVBand="0" w:evenVBand="0" w:oddHBand="0" w:evenHBand="0" w:firstRowFirstColumn="0" w:firstRowLastColumn="0" w:lastRowFirstColumn="0" w:lastRowLastColumn="0"/>
              <w:rPr>
                <w:sz w:val="18"/>
              </w:rPr>
            </w:pPr>
            <w:r w:rsidRPr="008B2473">
              <w:rPr>
                <w:sz w:val="18"/>
              </w:rPr>
              <w:t>Fully fund the unfunded superannuation liability by 2035.</w:t>
            </w:r>
          </w:p>
        </w:tc>
      </w:tr>
      <w:tr w:rsidR="00A46DCA" w:rsidRPr="008B2473" w:rsidTr="00A26D04">
        <w:tc>
          <w:tcPr>
            <w:cnfStyle w:val="001000000000" w:firstRow="0" w:lastRow="0" w:firstColumn="1" w:lastColumn="0" w:oddVBand="0" w:evenVBand="0" w:oddHBand="0" w:evenHBand="0" w:firstRowFirstColumn="0" w:firstRowLastColumn="0" w:lastRowFirstColumn="0" w:lastRowLastColumn="0"/>
            <w:tcW w:w="2297" w:type="dxa"/>
          </w:tcPr>
          <w:p w:rsidR="00A46DCA" w:rsidRPr="008B2473" w:rsidRDefault="00A46DCA" w:rsidP="00852314">
            <w:pPr>
              <w:rPr>
                <w:sz w:val="18"/>
              </w:rPr>
            </w:pPr>
            <w:r w:rsidRPr="008B2473">
              <w:rPr>
                <w:sz w:val="18"/>
              </w:rPr>
              <w:t>Operating surplus</w:t>
            </w:r>
          </w:p>
        </w:tc>
        <w:tc>
          <w:tcPr>
            <w:tcW w:w="5500" w:type="dxa"/>
          </w:tcPr>
          <w:p w:rsidR="00A46DCA" w:rsidRPr="008B2473" w:rsidRDefault="00A46DCA" w:rsidP="00852314">
            <w:pPr>
              <w:cnfStyle w:val="000000000000" w:firstRow="0" w:lastRow="0" w:firstColumn="0" w:lastColumn="0" w:oddVBand="0" w:evenVBand="0" w:oddHBand="0" w:evenHBand="0" w:firstRowFirstColumn="0" w:firstRowLastColumn="0" w:lastRowFirstColumn="0" w:lastRowLastColumn="0"/>
              <w:rPr>
                <w:sz w:val="18"/>
              </w:rPr>
            </w:pPr>
            <w:r w:rsidRPr="008B2473">
              <w:rPr>
                <w:sz w:val="18"/>
              </w:rPr>
              <w:t>A net operating surplus consistent with maintaining general government net debt at a sustainable level over the medium term.</w:t>
            </w:r>
          </w:p>
        </w:tc>
      </w:tr>
    </w:tbl>
    <w:p w:rsidR="00A46DCA" w:rsidRDefault="00A46DCA" w:rsidP="008416B3">
      <w:r>
        <w:t xml:space="preserve">This Budget Update confirms Victoria remains on track to meet the objectives and targets set out in the </w:t>
      </w:r>
      <w:r>
        <w:rPr>
          <w:i/>
        </w:rPr>
        <w:t>2017-18 Budget</w:t>
      </w:r>
      <w:r>
        <w:t>.</w:t>
      </w:r>
    </w:p>
    <w:p w:rsidR="00A46DCA" w:rsidRDefault="00A46DCA">
      <w:pPr>
        <w:keepLines w:val="0"/>
      </w:pPr>
      <w:r>
        <w:br w:type="page"/>
      </w:r>
    </w:p>
    <w:p w:rsidR="00A46DCA" w:rsidRDefault="00A46DCA" w:rsidP="008416B3">
      <w:pPr>
        <w:sectPr w:rsidR="00A46DCA" w:rsidSect="00480C94">
          <w:headerReference w:type="even" r:id="rId20"/>
          <w:headerReference w:type="default" r:id="rId21"/>
          <w:footerReference w:type="even" r:id="rId22"/>
          <w:footerReference w:type="default" r:id="rId23"/>
          <w:headerReference w:type="first" r:id="rId24"/>
          <w:footerReference w:type="first" r:id="rId25"/>
          <w:type w:val="oddPage"/>
          <w:pgSz w:w="9979" w:h="14175" w:code="34"/>
          <w:pgMar w:top="851" w:right="1134" w:bottom="851" w:left="1134" w:header="624" w:footer="567" w:gutter="0"/>
          <w:pgNumType w:start="1"/>
          <w:cols w:sep="1" w:space="567"/>
          <w:docGrid w:linePitch="360"/>
        </w:sectPr>
      </w:pPr>
    </w:p>
    <w:p w:rsidR="00A46DCA" w:rsidRDefault="00A46DCA" w:rsidP="00480C94">
      <w:pPr>
        <w:sectPr w:rsidR="00A46DCA" w:rsidSect="00480C94">
          <w:headerReference w:type="even" r:id="rId26"/>
          <w:headerReference w:type="default" r:id="rId27"/>
          <w:footerReference w:type="even" r:id="rId28"/>
          <w:footerReference w:type="default" r:id="rId29"/>
          <w:headerReference w:type="first" r:id="rId30"/>
          <w:footerReference w:type="first" r:id="rId31"/>
          <w:type w:val="continuous"/>
          <w:pgSz w:w="9979" w:h="14175" w:code="9"/>
          <w:pgMar w:top="851" w:right="1134" w:bottom="851" w:left="1134" w:header="624" w:footer="567" w:gutter="0"/>
          <w:cols w:sep="1" w:space="567"/>
          <w:docGrid w:linePitch="360"/>
        </w:sectPr>
      </w:pPr>
    </w:p>
    <w:p w:rsidR="00A46DCA" w:rsidRDefault="00A46DCA" w:rsidP="00A26D04">
      <w:pPr>
        <w:pStyle w:val="Chapterheading"/>
      </w:pPr>
      <w:bookmarkStart w:id="4" w:name="_Toc500435561"/>
      <w:r>
        <w:lastRenderedPageBreak/>
        <w:t>Chapter 2 – Economic context</w:t>
      </w:r>
      <w:bookmarkEnd w:id="4"/>
    </w:p>
    <w:p w:rsidR="00A46DCA" w:rsidRDefault="00A46DCA" w:rsidP="00A26D04">
      <w:pPr>
        <w:pStyle w:val="HighlightBoxBullet"/>
      </w:pPr>
      <w:r>
        <w:t>Economic conditions in Victoria are strong and forecast to remain robust.</w:t>
      </w:r>
    </w:p>
    <w:p w:rsidR="00A46DCA" w:rsidRDefault="00A46DCA" w:rsidP="00A26D04">
      <w:pPr>
        <w:pStyle w:val="HighlightBoxBullet"/>
      </w:pPr>
      <w:r>
        <w:t xml:space="preserve">The outlook for real gross state product (GSP) has strengthened since the </w:t>
      </w:r>
      <w:r w:rsidRPr="00975D85">
        <w:rPr>
          <w:i/>
        </w:rPr>
        <w:t>2017</w:t>
      </w:r>
      <w:r>
        <w:rPr>
          <w:i/>
        </w:rPr>
        <w:noBreakHyphen/>
      </w:r>
      <w:r w:rsidRPr="00975D85">
        <w:rPr>
          <w:i/>
        </w:rPr>
        <w:t>18</w:t>
      </w:r>
      <w:r>
        <w:rPr>
          <w:i/>
        </w:rPr>
        <w:t> </w:t>
      </w:r>
      <w:r w:rsidRPr="00975D85">
        <w:rPr>
          <w:i/>
        </w:rPr>
        <w:t>Budget</w:t>
      </w:r>
      <w:r>
        <w:rPr>
          <w:i/>
        </w:rPr>
        <w:t>,</w:t>
      </w:r>
      <w:r>
        <w:t xml:space="preserve"> reflecting upward revisions to Victoria’s population growth, employment growth and continued low interest rates. </w:t>
      </w:r>
    </w:p>
    <w:p w:rsidR="00A46DCA" w:rsidRDefault="00A46DCA" w:rsidP="00A26D04">
      <w:pPr>
        <w:pStyle w:val="HighlightBoxBullet"/>
      </w:pPr>
      <w:r>
        <w:t xml:space="preserve">Real GSP growth is now forecast to be </w:t>
      </w:r>
      <w:r w:rsidRPr="002E282C">
        <w:t>3.0</w:t>
      </w:r>
      <w:r w:rsidRPr="00176CAC">
        <w:t xml:space="preserve"> </w:t>
      </w:r>
      <w:r>
        <w:t xml:space="preserve">per cent in 2017-18, 0.25 percentage points higher than in </w:t>
      </w:r>
      <w:r w:rsidRPr="00B67E16">
        <w:t>the</w:t>
      </w:r>
      <w:r w:rsidRPr="00B67E16">
        <w:rPr>
          <w:i/>
        </w:rPr>
        <w:t xml:space="preserve"> 2017-18 Budget</w:t>
      </w:r>
      <w:r>
        <w:t>. Dwelling construction, household consumption and public infrastructure spending are expected to contribute positively to growth.</w:t>
      </w:r>
    </w:p>
    <w:p w:rsidR="00A46DCA" w:rsidRDefault="00A46DCA" w:rsidP="00A26D04">
      <w:pPr>
        <w:pStyle w:val="HighlightBoxBullet"/>
      </w:pPr>
      <w:r>
        <w:t>The risks to the outlook are roughly balanced. The potential for further strength in population growth and the labour market broadly offsets the downside risks from high household debt and weak income growth.</w:t>
      </w:r>
    </w:p>
    <w:p w:rsidR="00A46DCA" w:rsidRDefault="00A46DCA" w:rsidP="00526B73">
      <w:pPr>
        <w:pStyle w:val="Heading10"/>
      </w:pPr>
      <w:bookmarkStart w:id="5" w:name="_Toc500435562"/>
      <w:r w:rsidRPr="00E823C8">
        <w:t>Victorian</w:t>
      </w:r>
      <w:r>
        <w:t xml:space="preserve"> economic conditions and outlook</w:t>
      </w:r>
      <w:bookmarkEnd w:id="5"/>
    </w:p>
    <w:p w:rsidR="00A46DCA" w:rsidRDefault="00A46DCA" w:rsidP="00A26D04">
      <w:r>
        <w:t>Economic conditions in Victoria are strong and t</w:t>
      </w:r>
      <w:r w:rsidRPr="0098568C">
        <w:t>he outlook has strengthen</w:t>
      </w:r>
      <w:r>
        <w:t>ed</w:t>
      </w:r>
      <w:r w:rsidRPr="0098568C">
        <w:t xml:space="preserve"> since the </w:t>
      </w:r>
      <w:r>
        <w:rPr>
          <w:i/>
        </w:rPr>
        <w:t>2017</w:t>
      </w:r>
      <w:r>
        <w:rPr>
          <w:i/>
        </w:rPr>
        <w:noBreakHyphen/>
        <w:t>18 </w:t>
      </w:r>
      <w:r w:rsidRPr="00DD572F">
        <w:rPr>
          <w:i/>
        </w:rPr>
        <w:t>Budget</w:t>
      </w:r>
      <w:r>
        <w:t xml:space="preserve">. The forecasts for real GSP and employment growth have been upgraded. </w:t>
      </w:r>
    </w:p>
    <w:p w:rsidR="00A46DCA" w:rsidRDefault="00A46DCA" w:rsidP="00FB563F">
      <w:r>
        <w:t>Economic growth is now expected to remain above-trend in 2017-18, supported by robust population and employment growth, low interest rates and a generally supportive global economic environment. Real GSP per capita increased 0.9 per cent in 2016-17 and is forecast to continue to grow over the forward estimates.</w:t>
      </w:r>
    </w:p>
    <w:p w:rsidR="00A46DCA" w:rsidRDefault="00A46DCA" w:rsidP="00A26D04">
      <w:r>
        <w:t xml:space="preserve">Victoria’s labour market is strong. The labour force participation rate reached an historic peak of 65.7 per cent in 2016-17. Employment growth is forecast to be above trend in 2017-18 and 2018-19, reflecting stronger economic conditions, faster population growth and a higher labour force participation rate. </w:t>
      </w:r>
    </w:p>
    <w:p w:rsidR="00A46DCA" w:rsidRDefault="00A46DCA" w:rsidP="00A26D04">
      <w:r>
        <w:t xml:space="preserve">Household consumption is expected to grow near trend, with the positive impact of strong employment growth, population growth, and rising household wealth partly offset by high household debt and low income growth. </w:t>
      </w:r>
    </w:p>
    <w:p w:rsidR="00A46DCA" w:rsidRDefault="00A46DCA" w:rsidP="00A26D04">
      <w:r>
        <w:t xml:space="preserve">There is also a greater demand for government services from the growing and ageing population, and increased government investment spending, including in transport infrastructure. </w:t>
      </w:r>
    </w:p>
    <w:p w:rsidR="00A46DCA" w:rsidRDefault="00A46DCA" w:rsidP="00A26D04">
      <w:r>
        <w:t xml:space="preserve">Growth in international services exports, particularly in tourism and education, should improve Victoria’s international trade position. </w:t>
      </w:r>
      <w:r w:rsidRPr="00EE0C9F">
        <w:t>Strong demand from Asia is supporting the outlook for trade</w:t>
      </w:r>
      <w:r>
        <w:t>,</w:t>
      </w:r>
      <w:r w:rsidRPr="00EE0C9F">
        <w:t xml:space="preserve"> including for Victoria</w:t>
      </w:r>
      <w:r>
        <w:t>’</w:t>
      </w:r>
      <w:r w:rsidRPr="00EE0C9F">
        <w:t>s food and fibre exports which rose 6.0 per cent to $12.8 billion in 2016-17.</w:t>
      </w:r>
      <w:r>
        <w:t xml:space="preserve"> </w:t>
      </w:r>
    </w:p>
    <w:p w:rsidR="00A46DCA" w:rsidRDefault="00A46DCA" w:rsidP="00A26D04">
      <w:r>
        <w:lastRenderedPageBreak/>
        <w:t>Business investment is expected to remain subdued, consistent with conditions in other jurisdictions.</w:t>
      </w:r>
    </w:p>
    <w:p w:rsidR="00A46DCA" w:rsidRDefault="00A46DCA" w:rsidP="00A26D04">
      <w:r>
        <w:t xml:space="preserve">Dwelling investment is expected to remain high, but growth is forecast to moderate to trend over the forward estimates after a long period of robust growth. </w:t>
      </w:r>
    </w:p>
    <w:p w:rsidR="00A46DCA" w:rsidRDefault="00A46DCA" w:rsidP="00A26D04">
      <w:pPr>
        <w:spacing w:before="100"/>
      </w:pPr>
      <w:r>
        <w:t xml:space="preserve">Population growth is forecast to be </w:t>
      </w:r>
      <w:r w:rsidRPr="007062CB">
        <w:t>2.3</w:t>
      </w:r>
      <w:r>
        <w:t xml:space="preserve"> per cent in 2017</w:t>
      </w:r>
      <w:r>
        <w:noBreakHyphen/>
        <w:t xml:space="preserve">18, 0.4 percentage points higher than forecast in the </w:t>
      </w:r>
      <w:r w:rsidRPr="00D6102E">
        <w:rPr>
          <w:i/>
        </w:rPr>
        <w:t>2017-18 Budget</w:t>
      </w:r>
      <w:r>
        <w:t>. The upgrade is mostly due to the significant upward revision to Victoria’s estimated population growth as a result of the Australian Bureau of Statistics (ABS) 2016 Census</w:t>
      </w:r>
      <w:r w:rsidRPr="00642654">
        <w:t xml:space="preserve"> </w:t>
      </w:r>
      <w:r>
        <w:t>(see Box 2.1: Victoria’s population revisions).</w:t>
      </w:r>
    </w:p>
    <w:p w:rsidR="00A46DCA" w:rsidRPr="00613251" w:rsidRDefault="00A46DCA" w:rsidP="00A26D04">
      <w:pPr>
        <w:spacing w:before="100"/>
      </w:pPr>
      <w:r>
        <w:t xml:space="preserve">Nationally, inflation expectations for consumer prices and wages remain subdued. The upgrade to population growth has seen a temporary lift in the unemployment rate forecast relative to the </w:t>
      </w:r>
      <w:r>
        <w:rPr>
          <w:i/>
        </w:rPr>
        <w:t>2017-18 Budget</w:t>
      </w:r>
      <w:r>
        <w:t xml:space="preserve"> as the economy absorbs the large increase in the labour force.</w:t>
      </w:r>
    </w:p>
    <w:p w:rsidR="00A46DCA" w:rsidRDefault="00A46DCA" w:rsidP="00A26D04">
      <w:pPr>
        <w:spacing w:before="100"/>
      </w:pPr>
      <w:r w:rsidRPr="003573D9">
        <w:t xml:space="preserve">Table 2.1 sets out the economic forecasts, with the </w:t>
      </w:r>
      <w:r w:rsidRPr="003573D9">
        <w:rPr>
          <w:i/>
        </w:rPr>
        <w:t>201</w:t>
      </w:r>
      <w:r>
        <w:rPr>
          <w:i/>
        </w:rPr>
        <w:t>7</w:t>
      </w:r>
      <w:r w:rsidRPr="003573D9">
        <w:rPr>
          <w:i/>
        </w:rPr>
        <w:t>-1</w:t>
      </w:r>
      <w:r>
        <w:rPr>
          <w:i/>
        </w:rPr>
        <w:t>8</w:t>
      </w:r>
      <w:r w:rsidRPr="003573D9">
        <w:rPr>
          <w:i/>
        </w:rPr>
        <w:t xml:space="preserve"> Budget</w:t>
      </w:r>
      <w:r w:rsidRPr="003573D9">
        <w:t xml:space="preserve"> forecasts in </w:t>
      </w:r>
      <w:r>
        <w:t>italics</w:t>
      </w:r>
      <w:r w:rsidRPr="003573D9">
        <w:t xml:space="preserve"> where different</w:t>
      </w:r>
      <w:r>
        <w:t>.</w:t>
      </w:r>
    </w:p>
    <w:p w:rsidR="00A46DCA" w:rsidRPr="0022683E" w:rsidRDefault="00A46DCA" w:rsidP="00A26D04">
      <w:pPr>
        <w:pStyle w:val="TableHeading"/>
        <w:rPr>
          <w:bCs/>
          <w:lang w:val="en-US"/>
        </w:rPr>
      </w:pPr>
      <w:r>
        <w:t>Table 2.1:</w:t>
      </w:r>
      <w:r>
        <w:tab/>
      </w:r>
      <w:r w:rsidRPr="00873680">
        <w:t>Victorian economic forecasts</w:t>
      </w:r>
      <w:r>
        <w:t xml:space="preserve"> </w:t>
      </w:r>
      <w:r w:rsidRPr="00873680">
        <w:rPr>
          <w:vertAlign w:val="superscript"/>
        </w:rPr>
        <w:t>(a)</w:t>
      </w:r>
      <w:r>
        <w:rPr>
          <w:vertAlign w:val="superscript"/>
        </w:rPr>
        <w:t xml:space="preserve"> </w:t>
      </w:r>
      <w:r>
        <w:rPr>
          <w:vertAlign w:val="superscript"/>
        </w:rPr>
        <w:tab/>
      </w:r>
      <w:r w:rsidRPr="00E62178">
        <w:t>(per cent)</w:t>
      </w:r>
    </w:p>
    <w:tbl>
      <w:tblPr>
        <w:tblStyle w:val="DTFTable"/>
        <w:tblW w:w="7765" w:type="dxa"/>
        <w:tblInd w:w="45" w:type="dxa"/>
        <w:tblLayout w:type="fixed"/>
        <w:tblCellMar>
          <w:left w:w="45" w:type="dxa"/>
          <w:right w:w="45" w:type="dxa"/>
        </w:tblCellMar>
        <w:tblLook w:val="06A0" w:firstRow="1" w:lastRow="0" w:firstColumn="1" w:lastColumn="0" w:noHBand="1" w:noVBand="1"/>
      </w:tblPr>
      <w:tblGrid>
        <w:gridCol w:w="3515"/>
        <w:gridCol w:w="850"/>
        <w:gridCol w:w="850"/>
        <w:gridCol w:w="850"/>
        <w:gridCol w:w="850"/>
        <w:gridCol w:w="850"/>
      </w:tblGrid>
      <w:tr w:rsidR="00A26D04" w:rsidRPr="0022683E" w:rsidTr="007A7C8C">
        <w:trPr>
          <w:cnfStyle w:val="100000000000" w:firstRow="1" w:lastRow="0" w:firstColumn="0" w:lastColumn="0" w:oddVBand="0" w:evenVBand="0" w:oddHBand="0" w:evenHBand="0" w:firstRowFirstColumn="0" w:firstRowLastColumn="0" w:lastRowFirstColumn="0" w:lastRowLastColumn="0"/>
          <w:trHeight w:val="36"/>
        </w:trPr>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shd w:val="solid" w:color="000000" w:fill="auto"/>
          </w:tcPr>
          <w:p w:rsidR="00A26D04" w:rsidRPr="0022683E" w:rsidRDefault="00A26D04" w:rsidP="00A26D04">
            <w:pPr>
              <w:autoSpaceDE w:val="0"/>
              <w:autoSpaceDN w:val="0"/>
              <w:adjustRightInd w:val="0"/>
              <w:rPr>
                <w:rFonts w:eastAsiaTheme="minorEastAsia" w:cs="Calibri"/>
                <w:iCs/>
                <w:color w:val="FFFFFF"/>
                <w:szCs w:val="20"/>
                <w:lang w:eastAsia="en-AU"/>
              </w:rPr>
            </w:pPr>
            <w:r w:rsidRPr="0022683E">
              <w:rPr>
                <w:rFonts w:eastAsiaTheme="minorEastAsia" w:cs="Calibri"/>
                <w:iCs/>
                <w:color w:val="FFFFFF"/>
                <w:szCs w:val="20"/>
                <w:lang w:eastAsia="en-AU"/>
              </w:rPr>
              <w:t xml:space="preserve">  </w:t>
            </w:r>
          </w:p>
        </w:tc>
        <w:tc>
          <w:tcPr>
            <w:tcW w:w="850" w:type="dxa"/>
            <w:tcBorders>
              <w:top w:val="nil"/>
              <w:left w:val="nil"/>
              <w:bottom w:val="nil"/>
              <w:right w:val="nil"/>
            </w:tcBorders>
            <w:shd w:val="solid" w:color="000000" w:fill="auto"/>
          </w:tcPr>
          <w:p w:rsidR="00A26D04" w:rsidRPr="0022683E" w:rsidRDefault="00A26D04" w:rsidP="00A26D0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20"/>
                <w:lang w:eastAsia="en-AU"/>
              </w:rPr>
            </w:pPr>
            <w:r w:rsidRPr="0022683E">
              <w:rPr>
                <w:rFonts w:eastAsiaTheme="minorEastAsia" w:cs="Calibri"/>
                <w:iCs/>
                <w:color w:val="FFFFFF"/>
                <w:szCs w:val="20"/>
                <w:lang w:eastAsia="en-AU"/>
              </w:rPr>
              <w:t>2016-17</w:t>
            </w:r>
            <w:r>
              <w:rPr>
                <w:rFonts w:eastAsiaTheme="minorEastAsia" w:cs="Calibri"/>
                <w:iCs/>
                <w:color w:val="FFFFFF"/>
                <w:szCs w:val="20"/>
                <w:lang w:eastAsia="en-AU"/>
              </w:rPr>
              <w:br/>
            </w:r>
            <w:r w:rsidRPr="0022683E">
              <w:rPr>
                <w:rFonts w:eastAsiaTheme="minorEastAsia" w:cs="Calibri"/>
                <w:iCs/>
                <w:color w:val="FFFFFF"/>
                <w:szCs w:val="20"/>
                <w:lang w:eastAsia="en-AU"/>
              </w:rPr>
              <w:t>actual</w:t>
            </w:r>
          </w:p>
        </w:tc>
        <w:tc>
          <w:tcPr>
            <w:tcW w:w="850" w:type="dxa"/>
            <w:tcBorders>
              <w:top w:val="nil"/>
              <w:left w:val="nil"/>
              <w:bottom w:val="nil"/>
              <w:right w:val="nil"/>
            </w:tcBorders>
            <w:shd w:val="solid" w:color="000000" w:fill="auto"/>
          </w:tcPr>
          <w:p w:rsidR="00A26D04" w:rsidRPr="0022683E" w:rsidRDefault="00A26D04" w:rsidP="00A26D0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20"/>
                <w:lang w:eastAsia="en-AU"/>
              </w:rPr>
            </w:pPr>
            <w:r w:rsidRPr="0022683E">
              <w:rPr>
                <w:rFonts w:eastAsiaTheme="minorEastAsia" w:cs="Calibri"/>
                <w:iCs/>
                <w:color w:val="FFFFFF"/>
                <w:szCs w:val="20"/>
                <w:lang w:eastAsia="en-AU"/>
              </w:rPr>
              <w:t>2017-18</w:t>
            </w:r>
            <w:r>
              <w:rPr>
                <w:rFonts w:eastAsiaTheme="minorEastAsia" w:cs="Calibri"/>
                <w:iCs/>
                <w:color w:val="FFFFFF"/>
                <w:szCs w:val="20"/>
                <w:lang w:eastAsia="en-AU"/>
              </w:rPr>
              <w:br/>
            </w:r>
            <w:r w:rsidRPr="0022683E">
              <w:rPr>
                <w:rFonts w:eastAsiaTheme="minorEastAsia" w:cs="Calibri"/>
                <w:iCs/>
                <w:color w:val="FFFFFF"/>
                <w:szCs w:val="20"/>
                <w:lang w:eastAsia="en-AU"/>
              </w:rPr>
              <w:t>forecast</w:t>
            </w:r>
          </w:p>
        </w:tc>
        <w:tc>
          <w:tcPr>
            <w:tcW w:w="850" w:type="dxa"/>
            <w:tcBorders>
              <w:top w:val="nil"/>
              <w:left w:val="nil"/>
              <w:bottom w:val="nil"/>
              <w:right w:val="nil"/>
            </w:tcBorders>
            <w:shd w:val="solid" w:color="000000" w:fill="auto"/>
          </w:tcPr>
          <w:p w:rsidR="00A26D04" w:rsidRPr="0022683E" w:rsidRDefault="00A26D04" w:rsidP="00A26D0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20"/>
                <w:lang w:eastAsia="en-AU"/>
              </w:rPr>
            </w:pPr>
            <w:r w:rsidRPr="0022683E">
              <w:rPr>
                <w:rFonts w:eastAsiaTheme="minorEastAsia" w:cs="Calibri"/>
                <w:iCs/>
                <w:color w:val="FFFFFF"/>
                <w:szCs w:val="20"/>
                <w:lang w:eastAsia="en-AU"/>
              </w:rPr>
              <w:t>2018-19</w:t>
            </w:r>
            <w:r>
              <w:rPr>
                <w:rFonts w:eastAsiaTheme="minorEastAsia" w:cs="Calibri"/>
                <w:iCs/>
                <w:color w:val="FFFFFF"/>
                <w:szCs w:val="20"/>
                <w:lang w:eastAsia="en-AU"/>
              </w:rPr>
              <w:br/>
            </w:r>
            <w:r w:rsidRPr="0022683E">
              <w:rPr>
                <w:rFonts w:eastAsiaTheme="minorEastAsia" w:cs="Calibri"/>
                <w:iCs/>
                <w:color w:val="FFFFFF"/>
                <w:szCs w:val="20"/>
                <w:lang w:eastAsia="en-AU"/>
              </w:rPr>
              <w:t>forecast</w:t>
            </w:r>
          </w:p>
        </w:tc>
        <w:tc>
          <w:tcPr>
            <w:tcW w:w="850" w:type="dxa"/>
            <w:tcBorders>
              <w:top w:val="nil"/>
              <w:left w:val="nil"/>
              <w:bottom w:val="nil"/>
              <w:right w:val="nil"/>
            </w:tcBorders>
            <w:shd w:val="solid" w:color="000000" w:fill="auto"/>
          </w:tcPr>
          <w:p w:rsidR="00A26D04" w:rsidRPr="0022683E" w:rsidRDefault="00A26D04" w:rsidP="00A26D0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20"/>
                <w:lang w:eastAsia="en-AU"/>
              </w:rPr>
            </w:pPr>
            <w:r w:rsidRPr="0022683E">
              <w:rPr>
                <w:rFonts w:eastAsiaTheme="minorEastAsia" w:cs="Calibri"/>
                <w:iCs/>
                <w:color w:val="FFFFFF"/>
                <w:szCs w:val="20"/>
                <w:lang w:eastAsia="en-AU"/>
              </w:rPr>
              <w:t>2019-20</w:t>
            </w:r>
            <w:r>
              <w:rPr>
                <w:rFonts w:eastAsiaTheme="minorEastAsia" w:cs="Calibri"/>
                <w:iCs/>
                <w:color w:val="FFFFFF"/>
                <w:szCs w:val="20"/>
                <w:lang w:eastAsia="en-AU"/>
              </w:rPr>
              <w:br/>
            </w:r>
            <w:r w:rsidRPr="0022683E">
              <w:rPr>
                <w:rFonts w:eastAsiaTheme="minorEastAsia" w:cs="Calibri"/>
                <w:iCs/>
                <w:color w:val="FFFFFF"/>
                <w:szCs w:val="20"/>
                <w:lang w:eastAsia="en-AU"/>
              </w:rPr>
              <w:t>projection</w:t>
            </w:r>
          </w:p>
        </w:tc>
        <w:tc>
          <w:tcPr>
            <w:tcW w:w="850" w:type="dxa"/>
            <w:tcBorders>
              <w:top w:val="nil"/>
              <w:left w:val="nil"/>
              <w:bottom w:val="nil"/>
              <w:right w:val="nil"/>
            </w:tcBorders>
            <w:shd w:val="solid" w:color="000000" w:fill="auto"/>
          </w:tcPr>
          <w:p w:rsidR="00A26D04" w:rsidRPr="0022683E" w:rsidRDefault="00A26D04" w:rsidP="00A26D0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20"/>
                <w:lang w:eastAsia="en-AU"/>
              </w:rPr>
            </w:pPr>
            <w:r w:rsidRPr="0022683E">
              <w:rPr>
                <w:rFonts w:eastAsiaTheme="minorEastAsia" w:cs="Calibri"/>
                <w:iCs/>
                <w:color w:val="FFFFFF"/>
                <w:szCs w:val="20"/>
                <w:lang w:eastAsia="en-AU"/>
              </w:rPr>
              <w:t>2020-21</w:t>
            </w:r>
            <w:r>
              <w:rPr>
                <w:rFonts w:eastAsiaTheme="minorEastAsia" w:cs="Calibri"/>
                <w:iCs/>
                <w:color w:val="FFFFFF"/>
                <w:szCs w:val="20"/>
                <w:lang w:eastAsia="en-AU"/>
              </w:rPr>
              <w:br/>
            </w:r>
            <w:r w:rsidRPr="0022683E">
              <w:rPr>
                <w:rFonts w:eastAsiaTheme="minorEastAsia" w:cs="Calibri"/>
                <w:iCs/>
                <w:color w:val="FFFFFF"/>
                <w:szCs w:val="20"/>
                <w:lang w:eastAsia="en-AU"/>
              </w:rPr>
              <w:t>projection</w:t>
            </w:r>
          </w:p>
        </w:tc>
      </w:tr>
      <w:tr w:rsidR="00A46DCA" w:rsidRPr="0022683E" w:rsidTr="007A7C8C">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A46DCA" w:rsidRPr="0022683E" w:rsidRDefault="00A46DCA" w:rsidP="00A26D04">
            <w:pPr>
              <w:keepLines w:val="0"/>
              <w:autoSpaceDE w:val="0"/>
              <w:autoSpaceDN w:val="0"/>
              <w:adjustRightInd w:val="0"/>
              <w:rPr>
                <w:rFonts w:eastAsiaTheme="minorEastAsia" w:cs="Calibri"/>
                <w:color w:val="000000"/>
                <w:szCs w:val="20"/>
                <w:lang w:eastAsia="en-AU"/>
              </w:rPr>
            </w:pPr>
            <w:r w:rsidRPr="0022683E">
              <w:rPr>
                <w:rFonts w:eastAsiaTheme="minorEastAsia" w:cs="Calibri"/>
                <w:color w:val="000000"/>
                <w:szCs w:val="20"/>
                <w:lang w:eastAsia="en-AU"/>
              </w:rPr>
              <w:t>Real gross state product</w:t>
            </w:r>
          </w:p>
        </w:tc>
        <w:tc>
          <w:tcPr>
            <w:tcW w:w="850" w:type="dxa"/>
            <w:tcBorders>
              <w:top w:val="nil"/>
              <w:left w:val="nil"/>
              <w:bottom w:val="nil"/>
              <w:right w:val="nil"/>
            </w:tcBorders>
          </w:tcPr>
          <w:p w:rsidR="00A46DCA" w:rsidRPr="0022683E"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22683E">
              <w:rPr>
                <w:rFonts w:eastAsiaTheme="minorEastAsia" w:cs="Calibri"/>
                <w:color w:val="000000"/>
                <w:szCs w:val="20"/>
                <w:lang w:eastAsia="en-AU"/>
              </w:rPr>
              <w:t>3.3</w:t>
            </w:r>
          </w:p>
        </w:tc>
        <w:tc>
          <w:tcPr>
            <w:tcW w:w="850" w:type="dxa"/>
            <w:tcBorders>
              <w:top w:val="nil"/>
              <w:left w:val="nil"/>
              <w:bottom w:val="nil"/>
              <w:right w:val="nil"/>
            </w:tcBorders>
          </w:tcPr>
          <w:p w:rsidR="00A46DCA" w:rsidRPr="0022683E"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22683E">
              <w:rPr>
                <w:rFonts w:eastAsiaTheme="minorEastAsia" w:cs="Calibri"/>
                <w:color w:val="000000"/>
                <w:szCs w:val="20"/>
                <w:lang w:eastAsia="en-AU"/>
              </w:rPr>
              <w:t>3.00</w:t>
            </w:r>
          </w:p>
        </w:tc>
        <w:tc>
          <w:tcPr>
            <w:tcW w:w="850" w:type="dxa"/>
            <w:tcBorders>
              <w:top w:val="nil"/>
              <w:left w:val="nil"/>
              <w:bottom w:val="nil"/>
              <w:right w:val="nil"/>
            </w:tcBorders>
          </w:tcPr>
          <w:p w:rsidR="00A46DCA" w:rsidRPr="0022683E"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22683E">
              <w:rPr>
                <w:rFonts w:eastAsiaTheme="minorEastAsia" w:cs="Calibri"/>
                <w:color w:val="000000"/>
                <w:szCs w:val="20"/>
                <w:lang w:eastAsia="en-AU"/>
              </w:rPr>
              <w:t>2.75</w:t>
            </w:r>
          </w:p>
        </w:tc>
        <w:tc>
          <w:tcPr>
            <w:tcW w:w="850" w:type="dxa"/>
            <w:tcBorders>
              <w:top w:val="nil"/>
              <w:left w:val="nil"/>
              <w:bottom w:val="nil"/>
              <w:right w:val="nil"/>
            </w:tcBorders>
          </w:tcPr>
          <w:p w:rsidR="00A46DCA" w:rsidRPr="0022683E"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22683E">
              <w:rPr>
                <w:rFonts w:eastAsiaTheme="minorEastAsia" w:cs="Calibri"/>
                <w:color w:val="000000"/>
                <w:szCs w:val="20"/>
                <w:lang w:eastAsia="en-AU"/>
              </w:rPr>
              <w:t>2.75</w:t>
            </w:r>
          </w:p>
        </w:tc>
        <w:tc>
          <w:tcPr>
            <w:tcW w:w="850" w:type="dxa"/>
            <w:tcBorders>
              <w:top w:val="nil"/>
              <w:left w:val="nil"/>
              <w:bottom w:val="nil"/>
              <w:right w:val="nil"/>
            </w:tcBorders>
          </w:tcPr>
          <w:p w:rsidR="00A46DCA" w:rsidRPr="0022683E"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22683E">
              <w:rPr>
                <w:rFonts w:eastAsiaTheme="minorEastAsia" w:cs="Calibri"/>
                <w:color w:val="000000"/>
                <w:szCs w:val="20"/>
                <w:lang w:eastAsia="en-AU"/>
              </w:rPr>
              <w:t>2.75</w:t>
            </w:r>
          </w:p>
        </w:tc>
      </w:tr>
      <w:tr w:rsidR="00A46DCA" w:rsidRPr="0022683E" w:rsidTr="00A26D04">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A46DCA" w:rsidRPr="0022683E" w:rsidRDefault="00A46DCA" w:rsidP="00A26D04">
            <w:pPr>
              <w:keepLines w:val="0"/>
              <w:autoSpaceDE w:val="0"/>
              <w:autoSpaceDN w:val="0"/>
              <w:adjustRightInd w:val="0"/>
              <w:rPr>
                <w:rFonts w:eastAsiaTheme="minorEastAsia" w:cs="Calibri"/>
                <w:color w:val="000000"/>
                <w:szCs w:val="20"/>
                <w:lang w:eastAsia="en-AU"/>
              </w:rPr>
            </w:pPr>
            <w:r w:rsidRPr="0022683E">
              <w:rPr>
                <w:rFonts w:eastAsiaTheme="minorEastAsia" w:cs="Calibri"/>
                <w:color w:val="000000"/>
                <w:szCs w:val="20"/>
                <w:lang w:eastAsia="en-AU"/>
              </w:rPr>
              <w:t xml:space="preserve"> </w:t>
            </w:r>
          </w:p>
        </w:tc>
        <w:tc>
          <w:tcPr>
            <w:tcW w:w="850" w:type="dxa"/>
            <w:tcBorders>
              <w:top w:val="nil"/>
              <w:left w:val="nil"/>
              <w:bottom w:val="nil"/>
              <w:right w:val="nil"/>
            </w:tcBorders>
          </w:tcPr>
          <w:p w:rsidR="00A46DCA" w:rsidRPr="0022683E"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22683E">
              <w:rPr>
                <w:rFonts w:eastAsiaTheme="minorEastAsia" w:cs="Calibri"/>
                <w:color w:val="000000"/>
                <w:szCs w:val="20"/>
                <w:lang w:eastAsia="en-AU"/>
              </w:rPr>
              <w:t xml:space="preserve"> </w:t>
            </w:r>
          </w:p>
        </w:tc>
        <w:tc>
          <w:tcPr>
            <w:tcW w:w="850" w:type="dxa"/>
            <w:tcBorders>
              <w:top w:val="nil"/>
              <w:left w:val="nil"/>
              <w:bottom w:val="nil"/>
              <w:right w:val="nil"/>
            </w:tcBorders>
          </w:tcPr>
          <w:p w:rsidR="00A46DCA" w:rsidRPr="0022683E"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i/>
                <w:iCs/>
                <w:color w:val="000000"/>
                <w:szCs w:val="20"/>
                <w:lang w:eastAsia="en-AU"/>
              </w:rPr>
            </w:pPr>
            <w:r w:rsidRPr="0022683E">
              <w:rPr>
                <w:rFonts w:eastAsiaTheme="minorEastAsia" w:cs="Calibri"/>
                <w:i/>
                <w:iCs/>
                <w:color w:val="000000"/>
                <w:szCs w:val="20"/>
                <w:lang w:eastAsia="en-AU"/>
              </w:rPr>
              <w:t>2.75</w:t>
            </w:r>
          </w:p>
        </w:tc>
        <w:tc>
          <w:tcPr>
            <w:tcW w:w="850" w:type="dxa"/>
            <w:tcBorders>
              <w:top w:val="nil"/>
              <w:left w:val="nil"/>
              <w:bottom w:val="nil"/>
              <w:right w:val="nil"/>
            </w:tcBorders>
          </w:tcPr>
          <w:p w:rsidR="00A46DCA" w:rsidRPr="0022683E"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i/>
                <w:iCs/>
                <w:color w:val="000000"/>
                <w:szCs w:val="20"/>
                <w:lang w:eastAsia="en-AU"/>
              </w:rPr>
            </w:pPr>
          </w:p>
        </w:tc>
        <w:tc>
          <w:tcPr>
            <w:tcW w:w="850" w:type="dxa"/>
            <w:tcBorders>
              <w:top w:val="nil"/>
              <w:left w:val="nil"/>
              <w:bottom w:val="nil"/>
              <w:right w:val="nil"/>
            </w:tcBorders>
          </w:tcPr>
          <w:p w:rsidR="00A46DCA" w:rsidRPr="0022683E"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22683E">
              <w:rPr>
                <w:rFonts w:eastAsiaTheme="minorEastAsia" w:cs="Calibri"/>
                <w:color w:val="000000"/>
                <w:szCs w:val="20"/>
                <w:lang w:eastAsia="en-AU"/>
              </w:rPr>
              <w:t xml:space="preserve"> </w:t>
            </w:r>
          </w:p>
        </w:tc>
        <w:tc>
          <w:tcPr>
            <w:tcW w:w="850" w:type="dxa"/>
            <w:tcBorders>
              <w:top w:val="nil"/>
              <w:left w:val="nil"/>
              <w:bottom w:val="nil"/>
              <w:right w:val="nil"/>
            </w:tcBorders>
          </w:tcPr>
          <w:p w:rsidR="00A46DCA" w:rsidRPr="0022683E"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22683E">
              <w:rPr>
                <w:rFonts w:eastAsiaTheme="minorEastAsia" w:cs="Calibri"/>
                <w:color w:val="000000"/>
                <w:szCs w:val="20"/>
                <w:lang w:eastAsia="en-AU"/>
              </w:rPr>
              <w:t xml:space="preserve"> </w:t>
            </w:r>
          </w:p>
        </w:tc>
      </w:tr>
      <w:tr w:rsidR="00A46DCA" w:rsidRPr="0022683E" w:rsidTr="00A26D04">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A46DCA" w:rsidRPr="0022683E" w:rsidRDefault="00A46DCA" w:rsidP="00A26D04">
            <w:pPr>
              <w:keepLines w:val="0"/>
              <w:autoSpaceDE w:val="0"/>
              <w:autoSpaceDN w:val="0"/>
              <w:adjustRightInd w:val="0"/>
              <w:rPr>
                <w:rFonts w:eastAsiaTheme="minorEastAsia" w:cs="Calibri"/>
                <w:color w:val="000000"/>
                <w:szCs w:val="20"/>
                <w:vertAlign w:val="superscript"/>
                <w:lang w:eastAsia="en-AU"/>
              </w:rPr>
            </w:pPr>
            <w:r w:rsidRPr="0022683E">
              <w:rPr>
                <w:rFonts w:eastAsiaTheme="minorEastAsia" w:cs="Calibri"/>
                <w:color w:val="000000"/>
                <w:szCs w:val="20"/>
                <w:lang w:eastAsia="en-AU"/>
              </w:rPr>
              <w:t>Employment</w:t>
            </w:r>
          </w:p>
        </w:tc>
        <w:tc>
          <w:tcPr>
            <w:tcW w:w="850" w:type="dxa"/>
            <w:tcBorders>
              <w:top w:val="nil"/>
              <w:left w:val="nil"/>
              <w:bottom w:val="nil"/>
              <w:right w:val="nil"/>
            </w:tcBorders>
          </w:tcPr>
          <w:p w:rsidR="00A46DCA" w:rsidRPr="0022683E"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22683E">
              <w:rPr>
                <w:rFonts w:eastAsiaTheme="minorEastAsia" w:cs="Calibri"/>
                <w:color w:val="000000"/>
                <w:szCs w:val="20"/>
                <w:lang w:eastAsia="en-AU"/>
              </w:rPr>
              <w:t>3.9</w:t>
            </w:r>
          </w:p>
        </w:tc>
        <w:tc>
          <w:tcPr>
            <w:tcW w:w="850" w:type="dxa"/>
            <w:tcBorders>
              <w:top w:val="nil"/>
              <w:left w:val="nil"/>
              <w:bottom w:val="nil"/>
              <w:right w:val="nil"/>
            </w:tcBorders>
          </w:tcPr>
          <w:p w:rsidR="00A46DCA" w:rsidRPr="0022683E"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22683E">
              <w:rPr>
                <w:rFonts w:eastAsiaTheme="minorEastAsia" w:cs="Calibri"/>
                <w:color w:val="000000"/>
                <w:szCs w:val="20"/>
                <w:lang w:eastAsia="en-AU"/>
              </w:rPr>
              <w:t>3.00</w:t>
            </w:r>
          </w:p>
        </w:tc>
        <w:tc>
          <w:tcPr>
            <w:tcW w:w="850" w:type="dxa"/>
            <w:tcBorders>
              <w:top w:val="nil"/>
              <w:left w:val="nil"/>
              <w:bottom w:val="nil"/>
              <w:right w:val="nil"/>
            </w:tcBorders>
          </w:tcPr>
          <w:p w:rsidR="00A46DCA" w:rsidRPr="0022683E"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22683E">
              <w:rPr>
                <w:rFonts w:eastAsiaTheme="minorEastAsia" w:cs="Calibri"/>
                <w:color w:val="000000"/>
                <w:szCs w:val="20"/>
                <w:lang w:eastAsia="en-AU"/>
              </w:rPr>
              <w:t>2.00</w:t>
            </w:r>
          </w:p>
        </w:tc>
        <w:tc>
          <w:tcPr>
            <w:tcW w:w="850" w:type="dxa"/>
            <w:tcBorders>
              <w:top w:val="nil"/>
              <w:left w:val="nil"/>
              <w:bottom w:val="nil"/>
              <w:right w:val="nil"/>
            </w:tcBorders>
          </w:tcPr>
          <w:p w:rsidR="00A46DCA" w:rsidRPr="0022683E"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22683E">
              <w:rPr>
                <w:rFonts w:eastAsiaTheme="minorEastAsia" w:cs="Calibri"/>
                <w:color w:val="000000"/>
                <w:szCs w:val="20"/>
                <w:lang w:eastAsia="en-AU"/>
              </w:rPr>
              <w:t>1.75</w:t>
            </w:r>
          </w:p>
        </w:tc>
        <w:tc>
          <w:tcPr>
            <w:tcW w:w="850" w:type="dxa"/>
            <w:tcBorders>
              <w:top w:val="nil"/>
              <w:left w:val="nil"/>
              <w:bottom w:val="nil"/>
              <w:right w:val="nil"/>
            </w:tcBorders>
          </w:tcPr>
          <w:p w:rsidR="00A46DCA" w:rsidRPr="0022683E"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22683E">
              <w:rPr>
                <w:rFonts w:eastAsiaTheme="minorEastAsia" w:cs="Calibri"/>
                <w:color w:val="000000"/>
                <w:szCs w:val="20"/>
                <w:lang w:eastAsia="en-AU"/>
              </w:rPr>
              <w:t>1.75</w:t>
            </w:r>
          </w:p>
        </w:tc>
      </w:tr>
      <w:tr w:rsidR="00A46DCA" w:rsidRPr="0022683E" w:rsidTr="00A26D04">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A46DCA" w:rsidRPr="0022683E" w:rsidRDefault="00A46DCA" w:rsidP="00A26D04">
            <w:pPr>
              <w:keepLines w:val="0"/>
              <w:autoSpaceDE w:val="0"/>
              <w:autoSpaceDN w:val="0"/>
              <w:adjustRightInd w:val="0"/>
              <w:rPr>
                <w:rFonts w:eastAsiaTheme="minorEastAsia" w:cs="Calibri"/>
                <w:color w:val="000000"/>
                <w:szCs w:val="20"/>
                <w:lang w:eastAsia="en-AU"/>
              </w:rPr>
            </w:pPr>
            <w:r w:rsidRPr="0022683E">
              <w:rPr>
                <w:rFonts w:eastAsiaTheme="minorEastAsia" w:cs="Calibri"/>
                <w:color w:val="000000"/>
                <w:szCs w:val="20"/>
                <w:lang w:eastAsia="en-AU"/>
              </w:rPr>
              <w:t xml:space="preserve"> </w:t>
            </w:r>
          </w:p>
        </w:tc>
        <w:tc>
          <w:tcPr>
            <w:tcW w:w="850" w:type="dxa"/>
            <w:tcBorders>
              <w:top w:val="nil"/>
              <w:left w:val="nil"/>
              <w:bottom w:val="nil"/>
              <w:right w:val="nil"/>
            </w:tcBorders>
          </w:tcPr>
          <w:p w:rsidR="00A46DCA" w:rsidRPr="0022683E"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22683E">
              <w:rPr>
                <w:rFonts w:eastAsiaTheme="minorEastAsia" w:cs="Calibri"/>
                <w:color w:val="000000"/>
                <w:szCs w:val="20"/>
                <w:lang w:eastAsia="en-AU"/>
              </w:rPr>
              <w:t xml:space="preserve"> </w:t>
            </w:r>
          </w:p>
        </w:tc>
        <w:tc>
          <w:tcPr>
            <w:tcW w:w="850" w:type="dxa"/>
            <w:tcBorders>
              <w:top w:val="nil"/>
              <w:left w:val="nil"/>
              <w:bottom w:val="nil"/>
              <w:right w:val="nil"/>
            </w:tcBorders>
          </w:tcPr>
          <w:p w:rsidR="00A46DCA" w:rsidRPr="0022683E"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i/>
                <w:iCs/>
                <w:color w:val="000000"/>
                <w:szCs w:val="20"/>
                <w:lang w:eastAsia="en-AU"/>
              </w:rPr>
            </w:pPr>
            <w:r w:rsidRPr="0022683E">
              <w:rPr>
                <w:rFonts w:eastAsiaTheme="minorEastAsia" w:cs="Calibri"/>
                <w:i/>
                <w:iCs/>
                <w:color w:val="000000"/>
                <w:szCs w:val="20"/>
                <w:lang w:eastAsia="en-AU"/>
              </w:rPr>
              <w:t>2.00</w:t>
            </w:r>
          </w:p>
        </w:tc>
        <w:tc>
          <w:tcPr>
            <w:tcW w:w="850" w:type="dxa"/>
            <w:tcBorders>
              <w:top w:val="nil"/>
              <w:left w:val="nil"/>
              <w:bottom w:val="nil"/>
              <w:right w:val="nil"/>
            </w:tcBorders>
          </w:tcPr>
          <w:p w:rsidR="00A46DCA" w:rsidRPr="0022683E"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i/>
                <w:iCs/>
                <w:color w:val="000000"/>
                <w:szCs w:val="20"/>
                <w:lang w:eastAsia="en-AU"/>
              </w:rPr>
            </w:pPr>
            <w:r w:rsidRPr="0022683E">
              <w:rPr>
                <w:rFonts w:eastAsiaTheme="minorEastAsia" w:cs="Calibri"/>
                <w:i/>
                <w:iCs/>
                <w:color w:val="000000"/>
                <w:szCs w:val="20"/>
                <w:lang w:eastAsia="en-AU"/>
              </w:rPr>
              <w:t>1.50</w:t>
            </w:r>
          </w:p>
        </w:tc>
        <w:tc>
          <w:tcPr>
            <w:tcW w:w="850" w:type="dxa"/>
            <w:tcBorders>
              <w:top w:val="nil"/>
              <w:left w:val="nil"/>
              <w:bottom w:val="nil"/>
              <w:right w:val="nil"/>
            </w:tcBorders>
          </w:tcPr>
          <w:p w:rsidR="00A46DCA" w:rsidRPr="0022683E"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i/>
                <w:iCs/>
                <w:color w:val="000000"/>
                <w:szCs w:val="20"/>
                <w:lang w:eastAsia="en-AU"/>
              </w:rPr>
            </w:pPr>
            <w:r w:rsidRPr="0022683E">
              <w:rPr>
                <w:rFonts w:eastAsiaTheme="minorEastAsia" w:cs="Calibri"/>
                <w:i/>
                <w:iCs/>
                <w:color w:val="000000"/>
                <w:szCs w:val="20"/>
                <w:lang w:eastAsia="en-AU"/>
              </w:rPr>
              <w:t>1.50</w:t>
            </w:r>
          </w:p>
        </w:tc>
        <w:tc>
          <w:tcPr>
            <w:tcW w:w="850" w:type="dxa"/>
            <w:tcBorders>
              <w:top w:val="nil"/>
              <w:left w:val="nil"/>
              <w:bottom w:val="nil"/>
              <w:right w:val="nil"/>
            </w:tcBorders>
          </w:tcPr>
          <w:p w:rsidR="00A46DCA" w:rsidRPr="0022683E"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i/>
                <w:iCs/>
                <w:color w:val="000000"/>
                <w:szCs w:val="20"/>
                <w:lang w:eastAsia="en-AU"/>
              </w:rPr>
            </w:pPr>
            <w:r w:rsidRPr="0022683E">
              <w:rPr>
                <w:rFonts w:eastAsiaTheme="minorEastAsia" w:cs="Calibri"/>
                <w:i/>
                <w:iCs/>
                <w:color w:val="000000"/>
                <w:szCs w:val="20"/>
                <w:lang w:eastAsia="en-AU"/>
              </w:rPr>
              <w:t>1.50</w:t>
            </w:r>
          </w:p>
        </w:tc>
      </w:tr>
      <w:tr w:rsidR="00A46DCA" w:rsidRPr="0022683E" w:rsidTr="00A26D04">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A46DCA" w:rsidRPr="0022683E" w:rsidRDefault="00A46DCA" w:rsidP="00A26D04">
            <w:pPr>
              <w:keepLines w:val="0"/>
              <w:autoSpaceDE w:val="0"/>
              <w:autoSpaceDN w:val="0"/>
              <w:adjustRightInd w:val="0"/>
              <w:rPr>
                <w:rFonts w:eastAsiaTheme="minorEastAsia" w:cs="Calibri"/>
                <w:color w:val="000000"/>
                <w:szCs w:val="20"/>
                <w:lang w:eastAsia="en-AU"/>
              </w:rPr>
            </w:pPr>
            <w:r w:rsidRPr="0022683E">
              <w:rPr>
                <w:rFonts w:eastAsiaTheme="minorEastAsia" w:cs="Calibri"/>
                <w:color w:val="000000"/>
                <w:szCs w:val="20"/>
                <w:lang w:eastAsia="en-AU"/>
              </w:rPr>
              <w:t xml:space="preserve">Unemployment rate </w:t>
            </w:r>
            <w:r w:rsidRPr="0022683E">
              <w:rPr>
                <w:rFonts w:eastAsiaTheme="minorEastAsia" w:cs="Calibri"/>
                <w:color w:val="000000"/>
                <w:szCs w:val="20"/>
                <w:vertAlign w:val="superscript"/>
                <w:lang w:eastAsia="en-AU"/>
              </w:rPr>
              <w:t>(b)</w:t>
            </w:r>
          </w:p>
        </w:tc>
        <w:tc>
          <w:tcPr>
            <w:tcW w:w="850" w:type="dxa"/>
            <w:tcBorders>
              <w:top w:val="nil"/>
              <w:left w:val="nil"/>
              <w:bottom w:val="nil"/>
              <w:right w:val="nil"/>
            </w:tcBorders>
          </w:tcPr>
          <w:p w:rsidR="00A46DCA" w:rsidRPr="0022683E"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22683E">
              <w:rPr>
                <w:rFonts w:eastAsiaTheme="minorEastAsia" w:cs="Calibri"/>
                <w:color w:val="000000"/>
                <w:szCs w:val="20"/>
                <w:lang w:eastAsia="en-AU"/>
              </w:rPr>
              <w:t>5.9</w:t>
            </w:r>
          </w:p>
        </w:tc>
        <w:tc>
          <w:tcPr>
            <w:tcW w:w="850" w:type="dxa"/>
            <w:tcBorders>
              <w:top w:val="nil"/>
              <w:left w:val="nil"/>
              <w:bottom w:val="nil"/>
              <w:right w:val="nil"/>
            </w:tcBorders>
          </w:tcPr>
          <w:p w:rsidR="00A46DCA" w:rsidRPr="0022683E"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22683E">
              <w:rPr>
                <w:rFonts w:eastAsiaTheme="minorEastAsia" w:cs="Calibri"/>
                <w:color w:val="000000"/>
                <w:szCs w:val="20"/>
                <w:lang w:eastAsia="en-AU"/>
              </w:rPr>
              <w:t>5.75</w:t>
            </w:r>
          </w:p>
        </w:tc>
        <w:tc>
          <w:tcPr>
            <w:tcW w:w="850" w:type="dxa"/>
            <w:tcBorders>
              <w:top w:val="nil"/>
              <w:left w:val="nil"/>
              <w:bottom w:val="nil"/>
              <w:right w:val="nil"/>
            </w:tcBorders>
          </w:tcPr>
          <w:p w:rsidR="00A46DCA" w:rsidRPr="0022683E"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22683E">
              <w:rPr>
                <w:rFonts w:eastAsiaTheme="minorEastAsia" w:cs="Calibri"/>
                <w:color w:val="000000"/>
                <w:szCs w:val="20"/>
                <w:lang w:eastAsia="en-AU"/>
              </w:rPr>
              <w:t>5.75</w:t>
            </w:r>
          </w:p>
        </w:tc>
        <w:tc>
          <w:tcPr>
            <w:tcW w:w="850" w:type="dxa"/>
            <w:tcBorders>
              <w:top w:val="nil"/>
              <w:left w:val="nil"/>
              <w:bottom w:val="nil"/>
              <w:right w:val="nil"/>
            </w:tcBorders>
          </w:tcPr>
          <w:p w:rsidR="00A46DCA" w:rsidRPr="0022683E"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22683E">
              <w:rPr>
                <w:rFonts w:eastAsiaTheme="minorEastAsia" w:cs="Calibri"/>
                <w:color w:val="000000"/>
                <w:szCs w:val="20"/>
                <w:lang w:eastAsia="en-AU"/>
              </w:rPr>
              <w:t>5.50</w:t>
            </w:r>
          </w:p>
        </w:tc>
        <w:tc>
          <w:tcPr>
            <w:tcW w:w="850" w:type="dxa"/>
            <w:tcBorders>
              <w:top w:val="nil"/>
              <w:left w:val="nil"/>
              <w:bottom w:val="nil"/>
              <w:right w:val="nil"/>
            </w:tcBorders>
          </w:tcPr>
          <w:p w:rsidR="00A46DCA" w:rsidRPr="0022683E"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22683E">
              <w:rPr>
                <w:rFonts w:eastAsiaTheme="minorEastAsia" w:cs="Calibri"/>
                <w:color w:val="000000"/>
                <w:szCs w:val="20"/>
                <w:lang w:eastAsia="en-AU"/>
              </w:rPr>
              <w:t>5.50</w:t>
            </w:r>
          </w:p>
        </w:tc>
      </w:tr>
      <w:tr w:rsidR="00A46DCA" w:rsidRPr="0022683E" w:rsidTr="00A26D04">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A46DCA" w:rsidRPr="0022683E" w:rsidRDefault="00A46DCA" w:rsidP="00A26D04">
            <w:pPr>
              <w:keepLines w:val="0"/>
              <w:autoSpaceDE w:val="0"/>
              <w:autoSpaceDN w:val="0"/>
              <w:adjustRightInd w:val="0"/>
              <w:rPr>
                <w:rFonts w:eastAsiaTheme="minorEastAsia" w:cs="Calibri"/>
                <w:color w:val="000000"/>
                <w:szCs w:val="20"/>
                <w:lang w:eastAsia="en-AU"/>
              </w:rPr>
            </w:pPr>
            <w:r w:rsidRPr="0022683E">
              <w:rPr>
                <w:rFonts w:eastAsiaTheme="minorEastAsia" w:cs="Calibri"/>
                <w:color w:val="000000"/>
                <w:szCs w:val="20"/>
                <w:lang w:eastAsia="en-AU"/>
              </w:rPr>
              <w:t xml:space="preserve"> </w:t>
            </w:r>
          </w:p>
        </w:tc>
        <w:tc>
          <w:tcPr>
            <w:tcW w:w="850" w:type="dxa"/>
            <w:tcBorders>
              <w:top w:val="nil"/>
              <w:left w:val="nil"/>
              <w:bottom w:val="nil"/>
              <w:right w:val="nil"/>
            </w:tcBorders>
          </w:tcPr>
          <w:p w:rsidR="00A46DCA" w:rsidRPr="0022683E"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22683E">
              <w:rPr>
                <w:rFonts w:eastAsiaTheme="minorEastAsia" w:cs="Calibri"/>
                <w:color w:val="000000"/>
                <w:szCs w:val="20"/>
                <w:lang w:eastAsia="en-AU"/>
              </w:rPr>
              <w:t xml:space="preserve"> </w:t>
            </w:r>
          </w:p>
        </w:tc>
        <w:tc>
          <w:tcPr>
            <w:tcW w:w="850" w:type="dxa"/>
            <w:tcBorders>
              <w:top w:val="nil"/>
              <w:left w:val="nil"/>
              <w:bottom w:val="nil"/>
              <w:right w:val="nil"/>
            </w:tcBorders>
          </w:tcPr>
          <w:p w:rsidR="00A46DCA" w:rsidRPr="0022683E"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i/>
                <w:iCs/>
                <w:color w:val="000000"/>
                <w:szCs w:val="20"/>
                <w:lang w:eastAsia="en-AU"/>
              </w:rPr>
            </w:pPr>
            <w:r w:rsidRPr="0022683E">
              <w:rPr>
                <w:rFonts w:eastAsiaTheme="minorEastAsia" w:cs="Calibri"/>
                <w:i/>
                <w:iCs/>
                <w:color w:val="000000"/>
                <w:szCs w:val="20"/>
                <w:lang w:eastAsia="en-AU"/>
              </w:rPr>
              <w:t>5.50</w:t>
            </w:r>
          </w:p>
        </w:tc>
        <w:tc>
          <w:tcPr>
            <w:tcW w:w="850" w:type="dxa"/>
            <w:tcBorders>
              <w:top w:val="nil"/>
              <w:left w:val="nil"/>
              <w:bottom w:val="nil"/>
              <w:right w:val="nil"/>
            </w:tcBorders>
          </w:tcPr>
          <w:p w:rsidR="00A46DCA" w:rsidRPr="0022683E"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i/>
                <w:iCs/>
                <w:color w:val="000000"/>
                <w:szCs w:val="20"/>
                <w:lang w:eastAsia="en-AU"/>
              </w:rPr>
            </w:pPr>
            <w:r w:rsidRPr="0022683E">
              <w:rPr>
                <w:rFonts w:eastAsiaTheme="minorEastAsia" w:cs="Calibri"/>
                <w:i/>
                <w:iCs/>
                <w:color w:val="000000"/>
                <w:szCs w:val="20"/>
                <w:lang w:eastAsia="en-AU"/>
              </w:rPr>
              <w:t>5.50</w:t>
            </w:r>
          </w:p>
        </w:tc>
        <w:tc>
          <w:tcPr>
            <w:tcW w:w="850" w:type="dxa"/>
            <w:tcBorders>
              <w:top w:val="nil"/>
              <w:left w:val="nil"/>
              <w:bottom w:val="nil"/>
              <w:right w:val="nil"/>
            </w:tcBorders>
          </w:tcPr>
          <w:p w:rsidR="00A46DCA" w:rsidRPr="0022683E"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22683E">
              <w:rPr>
                <w:rFonts w:eastAsiaTheme="minorEastAsia" w:cs="Calibri"/>
                <w:color w:val="000000"/>
                <w:szCs w:val="20"/>
                <w:lang w:eastAsia="en-AU"/>
              </w:rPr>
              <w:t xml:space="preserve"> </w:t>
            </w:r>
          </w:p>
        </w:tc>
        <w:tc>
          <w:tcPr>
            <w:tcW w:w="850" w:type="dxa"/>
            <w:tcBorders>
              <w:top w:val="nil"/>
              <w:left w:val="nil"/>
              <w:bottom w:val="nil"/>
              <w:right w:val="nil"/>
            </w:tcBorders>
          </w:tcPr>
          <w:p w:rsidR="00A46DCA" w:rsidRPr="0022683E"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22683E">
              <w:rPr>
                <w:rFonts w:eastAsiaTheme="minorEastAsia" w:cs="Calibri"/>
                <w:color w:val="000000"/>
                <w:szCs w:val="20"/>
                <w:lang w:eastAsia="en-AU"/>
              </w:rPr>
              <w:t xml:space="preserve"> </w:t>
            </w:r>
          </w:p>
        </w:tc>
      </w:tr>
      <w:tr w:rsidR="00A46DCA" w:rsidRPr="0022683E" w:rsidTr="00A26D04">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A46DCA" w:rsidRPr="0022683E" w:rsidRDefault="00A46DCA" w:rsidP="00A26D04">
            <w:pPr>
              <w:keepLines w:val="0"/>
              <w:autoSpaceDE w:val="0"/>
              <w:autoSpaceDN w:val="0"/>
              <w:adjustRightInd w:val="0"/>
              <w:rPr>
                <w:rFonts w:eastAsiaTheme="minorEastAsia" w:cs="Calibri"/>
                <w:color w:val="000000"/>
                <w:szCs w:val="20"/>
                <w:lang w:eastAsia="en-AU"/>
              </w:rPr>
            </w:pPr>
            <w:r w:rsidRPr="0022683E">
              <w:rPr>
                <w:rFonts w:eastAsiaTheme="minorEastAsia" w:cs="Calibri"/>
                <w:color w:val="000000"/>
                <w:szCs w:val="20"/>
                <w:lang w:eastAsia="en-AU"/>
              </w:rPr>
              <w:t xml:space="preserve">Consumer price index </w:t>
            </w:r>
            <w:r w:rsidRPr="0022683E">
              <w:rPr>
                <w:rFonts w:eastAsiaTheme="minorEastAsia" w:cs="Calibri"/>
                <w:color w:val="000000"/>
                <w:szCs w:val="20"/>
                <w:vertAlign w:val="superscript"/>
                <w:lang w:eastAsia="en-AU"/>
              </w:rPr>
              <w:t>(c)</w:t>
            </w:r>
          </w:p>
        </w:tc>
        <w:tc>
          <w:tcPr>
            <w:tcW w:w="850" w:type="dxa"/>
            <w:tcBorders>
              <w:top w:val="nil"/>
              <w:left w:val="nil"/>
              <w:bottom w:val="nil"/>
              <w:right w:val="nil"/>
            </w:tcBorders>
          </w:tcPr>
          <w:p w:rsidR="00A46DCA" w:rsidRPr="0022683E"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22683E">
              <w:rPr>
                <w:rFonts w:eastAsiaTheme="minorEastAsia" w:cs="Calibri"/>
                <w:color w:val="000000"/>
                <w:szCs w:val="20"/>
                <w:lang w:eastAsia="en-AU"/>
              </w:rPr>
              <w:t>1.9</w:t>
            </w:r>
          </w:p>
        </w:tc>
        <w:tc>
          <w:tcPr>
            <w:tcW w:w="850" w:type="dxa"/>
            <w:tcBorders>
              <w:top w:val="nil"/>
              <w:left w:val="nil"/>
              <w:bottom w:val="nil"/>
              <w:right w:val="nil"/>
            </w:tcBorders>
          </w:tcPr>
          <w:p w:rsidR="00A46DCA" w:rsidRPr="0022683E"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22683E">
              <w:rPr>
                <w:rFonts w:eastAsiaTheme="minorEastAsia" w:cs="Calibri"/>
                <w:color w:val="000000"/>
                <w:szCs w:val="20"/>
                <w:lang w:eastAsia="en-AU"/>
              </w:rPr>
              <w:t>2.00</w:t>
            </w:r>
          </w:p>
        </w:tc>
        <w:tc>
          <w:tcPr>
            <w:tcW w:w="850" w:type="dxa"/>
            <w:tcBorders>
              <w:top w:val="nil"/>
              <w:left w:val="nil"/>
              <w:bottom w:val="nil"/>
              <w:right w:val="nil"/>
            </w:tcBorders>
          </w:tcPr>
          <w:p w:rsidR="00A46DCA" w:rsidRPr="0022683E"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22683E">
              <w:rPr>
                <w:rFonts w:eastAsiaTheme="minorEastAsia" w:cs="Calibri"/>
                <w:color w:val="000000"/>
                <w:szCs w:val="20"/>
                <w:lang w:eastAsia="en-AU"/>
              </w:rPr>
              <w:t>2.25</w:t>
            </w:r>
          </w:p>
        </w:tc>
        <w:tc>
          <w:tcPr>
            <w:tcW w:w="850" w:type="dxa"/>
            <w:tcBorders>
              <w:top w:val="nil"/>
              <w:left w:val="nil"/>
              <w:bottom w:val="nil"/>
              <w:right w:val="nil"/>
            </w:tcBorders>
          </w:tcPr>
          <w:p w:rsidR="00A46DCA" w:rsidRPr="0022683E"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22683E">
              <w:rPr>
                <w:rFonts w:eastAsiaTheme="minorEastAsia" w:cs="Calibri"/>
                <w:color w:val="000000"/>
                <w:szCs w:val="20"/>
                <w:lang w:eastAsia="en-AU"/>
              </w:rPr>
              <w:t>2.50</w:t>
            </w:r>
          </w:p>
        </w:tc>
        <w:tc>
          <w:tcPr>
            <w:tcW w:w="850" w:type="dxa"/>
            <w:tcBorders>
              <w:top w:val="nil"/>
              <w:left w:val="nil"/>
              <w:bottom w:val="nil"/>
              <w:right w:val="nil"/>
            </w:tcBorders>
          </w:tcPr>
          <w:p w:rsidR="00A46DCA" w:rsidRPr="0022683E"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22683E">
              <w:rPr>
                <w:rFonts w:eastAsiaTheme="minorEastAsia" w:cs="Calibri"/>
                <w:color w:val="000000"/>
                <w:szCs w:val="20"/>
                <w:lang w:eastAsia="en-AU"/>
              </w:rPr>
              <w:t>2.50</w:t>
            </w:r>
          </w:p>
        </w:tc>
      </w:tr>
      <w:tr w:rsidR="00A46DCA" w:rsidRPr="0022683E" w:rsidTr="00A26D04">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A46DCA" w:rsidRPr="0022683E" w:rsidRDefault="00A46DCA" w:rsidP="00A26D04">
            <w:pPr>
              <w:keepLines w:val="0"/>
              <w:autoSpaceDE w:val="0"/>
              <w:autoSpaceDN w:val="0"/>
              <w:adjustRightInd w:val="0"/>
              <w:rPr>
                <w:rFonts w:eastAsiaTheme="minorEastAsia" w:cs="Calibri"/>
                <w:color w:val="000000"/>
                <w:szCs w:val="20"/>
                <w:lang w:eastAsia="en-AU"/>
              </w:rPr>
            </w:pPr>
            <w:r w:rsidRPr="0022683E">
              <w:rPr>
                <w:rFonts w:eastAsiaTheme="minorEastAsia" w:cs="Calibri"/>
                <w:color w:val="000000"/>
                <w:szCs w:val="20"/>
                <w:lang w:eastAsia="en-AU"/>
              </w:rPr>
              <w:t xml:space="preserve"> </w:t>
            </w:r>
          </w:p>
        </w:tc>
        <w:tc>
          <w:tcPr>
            <w:tcW w:w="850" w:type="dxa"/>
            <w:tcBorders>
              <w:top w:val="nil"/>
              <w:left w:val="nil"/>
              <w:bottom w:val="nil"/>
              <w:right w:val="nil"/>
            </w:tcBorders>
          </w:tcPr>
          <w:p w:rsidR="00A46DCA" w:rsidRPr="0022683E"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22683E">
              <w:rPr>
                <w:rFonts w:eastAsiaTheme="minorEastAsia" w:cs="Calibri"/>
                <w:color w:val="000000"/>
                <w:szCs w:val="20"/>
                <w:lang w:eastAsia="en-AU"/>
              </w:rPr>
              <w:t xml:space="preserve"> </w:t>
            </w:r>
          </w:p>
        </w:tc>
        <w:tc>
          <w:tcPr>
            <w:tcW w:w="850" w:type="dxa"/>
            <w:tcBorders>
              <w:top w:val="nil"/>
              <w:left w:val="nil"/>
              <w:bottom w:val="nil"/>
              <w:right w:val="nil"/>
            </w:tcBorders>
          </w:tcPr>
          <w:p w:rsidR="00A46DCA" w:rsidRPr="0022683E"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22683E">
              <w:rPr>
                <w:rFonts w:eastAsiaTheme="minorEastAsia" w:cs="Calibri"/>
                <w:color w:val="000000"/>
                <w:szCs w:val="20"/>
                <w:lang w:eastAsia="en-AU"/>
              </w:rPr>
              <w:t xml:space="preserve"> </w:t>
            </w:r>
          </w:p>
        </w:tc>
        <w:tc>
          <w:tcPr>
            <w:tcW w:w="850" w:type="dxa"/>
            <w:tcBorders>
              <w:top w:val="nil"/>
              <w:left w:val="nil"/>
              <w:bottom w:val="nil"/>
              <w:right w:val="nil"/>
            </w:tcBorders>
          </w:tcPr>
          <w:p w:rsidR="00A46DCA" w:rsidRPr="0022683E"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22683E">
              <w:rPr>
                <w:rFonts w:eastAsiaTheme="minorEastAsia" w:cs="Calibri"/>
                <w:color w:val="000000"/>
                <w:szCs w:val="20"/>
                <w:lang w:eastAsia="en-AU"/>
              </w:rPr>
              <w:t xml:space="preserve"> </w:t>
            </w:r>
          </w:p>
        </w:tc>
        <w:tc>
          <w:tcPr>
            <w:tcW w:w="850" w:type="dxa"/>
            <w:tcBorders>
              <w:top w:val="nil"/>
              <w:left w:val="nil"/>
              <w:bottom w:val="nil"/>
              <w:right w:val="nil"/>
            </w:tcBorders>
          </w:tcPr>
          <w:p w:rsidR="00A46DCA" w:rsidRPr="0022683E"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22683E">
              <w:rPr>
                <w:rFonts w:eastAsiaTheme="minorEastAsia" w:cs="Calibri"/>
                <w:color w:val="000000"/>
                <w:szCs w:val="20"/>
                <w:lang w:eastAsia="en-AU"/>
              </w:rPr>
              <w:t xml:space="preserve"> </w:t>
            </w:r>
          </w:p>
        </w:tc>
        <w:tc>
          <w:tcPr>
            <w:tcW w:w="850" w:type="dxa"/>
            <w:tcBorders>
              <w:top w:val="nil"/>
              <w:left w:val="nil"/>
              <w:bottom w:val="nil"/>
              <w:right w:val="nil"/>
            </w:tcBorders>
          </w:tcPr>
          <w:p w:rsidR="00A46DCA" w:rsidRPr="0022683E"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22683E">
              <w:rPr>
                <w:rFonts w:eastAsiaTheme="minorEastAsia" w:cs="Calibri"/>
                <w:color w:val="000000"/>
                <w:szCs w:val="20"/>
                <w:lang w:eastAsia="en-AU"/>
              </w:rPr>
              <w:t xml:space="preserve"> </w:t>
            </w:r>
          </w:p>
        </w:tc>
      </w:tr>
      <w:tr w:rsidR="00A46DCA" w:rsidRPr="0022683E" w:rsidTr="00A26D04">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A46DCA" w:rsidRPr="0022683E" w:rsidRDefault="00A46DCA" w:rsidP="00A26D04">
            <w:pPr>
              <w:keepLines w:val="0"/>
              <w:autoSpaceDE w:val="0"/>
              <w:autoSpaceDN w:val="0"/>
              <w:adjustRightInd w:val="0"/>
              <w:rPr>
                <w:rFonts w:eastAsiaTheme="minorEastAsia" w:cs="Calibri"/>
                <w:color w:val="000000"/>
                <w:szCs w:val="20"/>
                <w:lang w:eastAsia="en-AU"/>
              </w:rPr>
            </w:pPr>
            <w:r w:rsidRPr="0022683E">
              <w:rPr>
                <w:rFonts w:eastAsiaTheme="minorEastAsia" w:cs="Calibri"/>
                <w:color w:val="000000"/>
                <w:szCs w:val="20"/>
                <w:lang w:eastAsia="en-AU"/>
              </w:rPr>
              <w:t xml:space="preserve">Wage price index </w:t>
            </w:r>
            <w:r w:rsidRPr="0022683E">
              <w:rPr>
                <w:rFonts w:eastAsiaTheme="minorEastAsia" w:cs="Calibri"/>
                <w:color w:val="000000"/>
                <w:szCs w:val="20"/>
                <w:vertAlign w:val="superscript"/>
                <w:lang w:eastAsia="en-AU"/>
              </w:rPr>
              <w:t>(d)</w:t>
            </w:r>
          </w:p>
        </w:tc>
        <w:tc>
          <w:tcPr>
            <w:tcW w:w="850" w:type="dxa"/>
            <w:tcBorders>
              <w:top w:val="nil"/>
              <w:left w:val="nil"/>
              <w:bottom w:val="nil"/>
              <w:right w:val="nil"/>
            </w:tcBorders>
          </w:tcPr>
          <w:p w:rsidR="00A46DCA" w:rsidRPr="0022683E"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22683E">
              <w:rPr>
                <w:rFonts w:eastAsiaTheme="minorEastAsia" w:cs="Calibri"/>
                <w:color w:val="000000"/>
                <w:szCs w:val="20"/>
                <w:lang w:eastAsia="en-AU"/>
              </w:rPr>
              <w:t>2.0</w:t>
            </w:r>
          </w:p>
        </w:tc>
        <w:tc>
          <w:tcPr>
            <w:tcW w:w="850" w:type="dxa"/>
            <w:tcBorders>
              <w:top w:val="nil"/>
              <w:left w:val="nil"/>
              <w:bottom w:val="nil"/>
              <w:right w:val="nil"/>
            </w:tcBorders>
          </w:tcPr>
          <w:p w:rsidR="00A46DCA" w:rsidRPr="0022683E"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22683E">
              <w:rPr>
                <w:rFonts w:eastAsiaTheme="minorEastAsia" w:cs="Calibri"/>
                <w:color w:val="000000"/>
                <w:szCs w:val="20"/>
                <w:lang w:eastAsia="en-AU"/>
              </w:rPr>
              <w:t>2.25</w:t>
            </w:r>
          </w:p>
        </w:tc>
        <w:tc>
          <w:tcPr>
            <w:tcW w:w="850" w:type="dxa"/>
            <w:tcBorders>
              <w:top w:val="nil"/>
              <w:left w:val="nil"/>
              <w:bottom w:val="nil"/>
              <w:right w:val="nil"/>
            </w:tcBorders>
          </w:tcPr>
          <w:p w:rsidR="00A46DCA" w:rsidRPr="0022683E"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22683E">
              <w:rPr>
                <w:rFonts w:eastAsiaTheme="minorEastAsia" w:cs="Calibri"/>
                <w:color w:val="000000"/>
                <w:szCs w:val="20"/>
                <w:lang w:eastAsia="en-AU"/>
              </w:rPr>
              <w:t>2.50</w:t>
            </w:r>
          </w:p>
        </w:tc>
        <w:tc>
          <w:tcPr>
            <w:tcW w:w="850" w:type="dxa"/>
            <w:tcBorders>
              <w:top w:val="nil"/>
              <w:left w:val="nil"/>
              <w:bottom w:val="nil"/>
              <w:right w:val="nil"/>
            </w:tcBorders>
          </w:tcPr>
          <w:p w:rsidR="00A46DCA" w:rsidRPr="0022683E"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22683E">
              <w:rPr>
                <w:rFonts w:eastAsiaTheme="minorEastAsia" w:cs="Calibri"/>
                <w:color w:val="000000"/>
                <w:szCs w:val="20"/>
                <w:lang w:eastAsia="en-AU"/>
              </w:rPr>
              <w:t>2.75</w:t>
            </w:r>
          </w:p>
        </w:tc>
        <w:tc>
          <w:tcPr>
            <w:tcW w:w="850" w:type="dxa"/>
            <w:tcBorders>
              <w:top w:val="nil"/>
              <w:left w:val="nil"/>
              <w:bottom w:val="nil"/>
              <w:right w:val="nil"/>
            </w:tcBorders>
          </w:tcPr>
          <w:p w:rsidR="00A46DCA" w:rsidRPr="0022683E"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22683E">
              <w:rPr>
                <w:rFonts w:eastAsiaTheme="minorEastAsia" w:cs="Calibri"/>
                <w:color w:val="000000"/>
                <w:szCs w:val="20"/>
                <w:lang w:eastAsia="en-AU"/>
              </w:rPr>
              <w:t>3.00</w:t>
            </w:r>
          </w:p>
        </w:tc>
      </w:tr>
      <w:tr w:rsidR="00A46DCA" w:rsidRPr="0022683E" w:rsidTr="00A26D04">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A46DCA" w:rsidRPr="0022683E" w:rsidRDefault="00A46DCA" w:rsidP="00A26D04">
            <w:pPr>
              <w:keepLines w:val="0"/>
              <w:autoSpaceDE w:val="0"/>
              <w:autoSpaceDN w:val="0"/>
              <w:adjustRightInd w:val="0"/>
              <w:rPr>
                <w:rFonts w:eastAsiaTheme="minorEastAsia" w:cs="Calibri"/>
                <w:color w:val="000000"/>
                <w:szCs w:val="20"/>
                <w:lang w:eastAsia="en-AU"/>
              </w:rPr>
            </w:pPr>
            <w:r w:rsidRPr="0022683E">
              <w:rPr>
                <w:rFonts w:eastAsiaTheme="minorEastAsia" w:cs="Calibri"/>
                <w:color w:val="000000"/>
                <w:szCs w:val="20"/>
                <w:lang w:eastAsia="en-AU"/>
              </w:rPr>
              <w:t xml:space="preserve"> </w:t>
            </w:r>
          </w:p>
        </w:tc>
        <w:tc>
          <w:tcPr>
            <w:tcW w:w="850" w:type="dxa"/>
            <w:tcBorders>
              <w:top w:val="nil"/>
              <w:left w:val="nil"/>
              <w:bottom w:val="nil"/>
              <w:right w:val="nil"/>
            </w:tcBorders>
          </w:tcPr>
          <w:p w:rsidR="00A46DCA" w:rsidRPr="0022683E"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22683E">
              <w:rPr>
                <w:rFonts w:eastAsiaTheme="minorEastAsia" w:cs="Calibri"/>
                <w:color w:val="000000"/>
                <w:szCs w:val="20"/>
                <w:lang w:eastAsia="en-AU"/>
              </w:rPr>
              <w:t xml:space="preserve"> </w:t>
            </w:r>
          </w:p>
        </w:tc>
        <w:tc>
          <w:tcPr>
            <w:tcW w:w="850" w:type="dxa"/>
            <w:tcBorders>
              <w:top w:val="nil"/>
              <w:left w:val="nil"/>
              <w:bottom w:val="nil"/>
              <w:right w:val="nil"/>
            </w:tcBorders>
          </w:tcPr>
          <w:p w:rsidR="00A46DCA" w:rsidRPr="0022683E"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22683E">
              <w:rPr>
                <w:rFonts w:eastAsiaTheme="minorEastAsia" w:cs="Calibri"/>
                <w:color w:val="000000"/>
                <w:szCs w:val="20"/>
                <w:lang w:eastAsia="en-AU"/>
              </w:rPr>
              <w:t xml:space="preserve"> </w:t>
            </w:r>
          </w:p>
        </w:tc>
        <w:tc>
          <w:tcPr>
            <w:tcW w:w="850" w:type="dxa"/>
            <w:tcBorders>
              <w:top w:val="nil"/>
              <w:left w:val="nil"/>
              <w:bottom w:val="nil"/>
              <w:right w:val="nil"/>
            </w:tcBorders>
          </w:tcPr>
          <w:p w:rsidR="00A46DCA" w:rsidRPr="0022683E"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i/>
                <w:iCs/>
                <w:color w:val="000000"/>
                <w:szCs w:val="20"/>
                <w:lang w:eastAsia="en-AU"/>
              </w:rPr>
            </w:pPr>
            <w:r w:rsidRPr="0022683E">
              <w:rPr>
                <w:rFonts w:eastAsiaTheme="minorEastAsia" w:cs="Calibri"/>
                <w:i/>
                <w:iCs/>
                <w:color w:val="000000"/>
                <w:szCs w:val="20"/>
                <w:lang w:eastAsia="en-AU"/>
              </w:rPr>
              <w:t>2.75</w:t>
            </w:r>
          </w:p>
        </w:tc>
        <w:tc>
          <w:tcPr>
            <w:tcW w:w="850" w:type="dxa"/>
            <w:tcBorders>
              <w:top w:val="nil"/>
              <w:left w:val="nil"/>
              <w:bottom w:val="nil"/>
              <w:right w:val="nil"/>
            </w:tcBorders>
          </w:tcPr>
          <w:p w:rsidR="00A46DCA" w:rsidRPr="0022683E"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i/>
                <w:iCs/>
                <w:color w:val="000000"/>
                <w:szCs w:val="20"/>
                <w:lang w:eastAsia="en-AU"/>
              </w:rPr>
            </w:pPr>
            <w:r w:rsidRPr="0022683E">
              <w:rPr>
                <w:rFonts w:eastAsiaTheme="minorEastAsia" w:cs="Calibri"/>
                <w:i/>
                <w:iCs/>
                <w:color w:val="000000"/>
                <w:szCs w:val="20"/>
                <w:lang w:eastAsia="en-AU"/>
              </w:rPr>
              <w:t>3.00</w:t>
            </w:r>
          </w:p>
        </w:tc>
        <w:tc>
          <w:tcPr>
            <w:tcW w:w="850" w:type="dxa"/>
            <w:tcBorders>
              <w:top w:val="nil"/>
              <w:left w:val="nil"/>
              <w:bottom w:val="nil"/>
              <w:right w:val="nil"/>
            </w:tcBorders>
          </w:tcPr>
          <w:p w:rsidR="00A46DCA" w:rsidRPr="0022683E"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i/>
                <w:iCs/>
                <w:color w:val="000000"/>
                <w:szCs w:val="20"/>
                <w:lang w:eastAsia="en-AU"/>
              </w:rPr>
            </w:pPr>
            <w:r w:rsidRPr="0022683E">
              <w:rPr>
                <w:rFonts w:eastAsiaTheme="minorEastAsia" w:cs="Calibri"/>
                <w:i/>
                <w:iCs/>
                <w:color w:val="000000"/>
                <w:szCs w:val="20"/>
                <w:lang w:eastAsia="en-AU"/>
              </w:rPr>
              <w:t>3.25</w:t>
            </w:r>
          </w:p>
        </w:tc>
      </w:tr>
      <w:tr w:rsidR="00A46DCA" w:rsidRPr="0022683E" w:rsidTr="00A26D04">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A46DCA" w:rsidRPr="0022683E" w:rsidRDefault="00A46DCA" w:rsidP="00A26D04">
            <w:pPr>
              <w:keepLines w:val="0"/>
              <w:autoSpaceDE w:val="0"/>
              <w:autoSpaceDN w:val="0"/>
              <w:adjustRightInd w:val="0"/>
              <w:rPr>
                <w:rFonts w:eastAsiaTheme="minorEastAsia" w:cs="Calibri"/>
                <w:color w:val="000000"/>
                <w:szCs w:val="20"/>
                <w:lang w:eastAsia="en-AU"/>
              </w:rPr>
            </w:pPr>
            <w:r w:rsidRPr="0022683E">
              <w:rPr>
                <w:rFonts w:eastAsiaTheme="minorEastAsia" w:cs="Calibri"/>
                <w:color w:val="000000"/>
                <w:szCs w:val="20"/>
                <w:lang w:eastAsia="en-AU"/>
              </w:rPr>
              <w:t xml:space="preserve">Population </w:t>
            </w:r>
            <w:r w:rsidRPr="0022683E">
              <w:rPr>
                <w:rFonts w:eastAsiaTheme="minorEastAsia" w:cs="Calibri"/>
                <w:color w:val="000000"/>
                <w:szCs w:val="20"/>
                <w:vertAlign w:val="superscript"/>
                <w:lang w:eastAsia="en-AU"/>
              </w:rPr>
              <w:t>(e)</w:t>
            </w:r>
          </w:p>
        </w:tc>
        <w:tc>
          <w:tcPr>
            <w:tcW w:w="850" w:type="dxa"/>
            <w:tcBorders>
              <w:top w:val="nil"/>
              <w:left w:val="nil"/>
              <w:bottom w:val="nil"/>
              <w:right w:val="nil"/>
            </w:tcBorders>
          </w:tcPr>
          <w:p w:rsidR="00A46DCA" w:rsidRPr="0022683E"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22683E">
              <w:rPr>
                <w:rFonts w:eastAsiaTheme="minorEastAsia" w:cs="Calibri"/>
                <w:color w:val="000000"/>
                <w:szCs w:val="20"/>
                <w:lang w:eastAsia="en-AU"/>
              </w:rPr>
              <w:t xml:space="preserve">2.4 </w:t>
            </w:r>
            <w:r w:rsidRPr="0022683E">
              <w:rPr>
                <w:rFonts w:eastAsiaTheme="minorEastAsia" w:cs="Calibri"/>
                <w:color w:val="000000"/>
                <w:szCs w:val="20"/>
                <w:vertAlign w:val="superscript"/>
                <w:lang w:eastAsia="en-AU"/>
              </w:rPr>
              <w:t>(f)</w:t>
            </w:r>
          </w:p>
        </w:tc>
        <w:tc>
          <w:tcPr>
            <w:tcW w:w="850" w:type="dxa"/>
            <w:tcBorders>
              <w:top w:val="nil"/>
              <w:left w:val="nil"/>
              <w:bottom w:val="nil"/>
              <w:right w:val="nil"/>
            </w:tcBorders>
          </w:tcPr>
          <w:p w:rsidR="00A46DCA" w:rsidRPr="0022683E"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22683E">
              <w:rPr>
                <w:rFonts w:eastAsiaTheme="minorEastAsia" w:cs="Calibri"/>
                <w:color w:val="000000"/>
                <w:szCs w:val="20"/>
                <w:lang w:eastAsia="en-AU"/>
              </w:rPr>
              <w:t>2.3</w:t>
            </w:r>
          </w:p>
        </w:tc>
        <w:tc>
          <w:tcPr>
            <w:tcW w:w="850" w:type="dxa"/>
            <w:tcBorders>
              <w:top w:val="nil"/>
              <w:left w:val="nil"/>
              <w:bottom w:val="nil"/>
              <w:right w:val="nil"/>
            </w:tcBorders>
          </w:tcPr>
          <w:p w:rsidR="00A46DCA" w:rsidRPr="0022683E"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22683E">
              <w:rPr>
                <w:rFonts w:eastAsiaTheme="minorEastAsia" w:cs="Calibri"/>
                <w:color w:val="000000"/>
                <w:szCs w:val="20"/>
                <w:lang w:eastAsia="en-AU"/>
              </w:rPr>
              <w:t>2.2</w:t>
            </w:r>
          </w:p>
        </w:tc>
        <w:tc>
          <w:tcPr>
            <w:tcW w:w="850" w:type="dxa"/>
            <w:tcBorders>
              <w:top w:val="nil"/>
              <w:left w:val="nil"/>
              <w:bottom w:val="nil"/>
              <w:right w:val="nil"/>
            </w:tcBorders>
          </w:tcPr>
          <w:p w:rsidR="00A46DCA" w:rsidRPr="0022683E"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22683E">
              <w:rPr>
                <w:rFonts w:eastAsiaTheme="minorEastAsia" w:cs="Calibri"/>
                <w:color w:val="000000"/>
                <w:szCs w:val="20"/>
                <w:lang w:eastAsia="en-AU"/>
              </w:rPr>
              <w:t>2.1</w:t>
            </w:r>
          </w:p>
        </w:tc>
        <w:tc>
          <w:tcPr>
            <w:tcW w:w="850" w:type="dxa"/>
            <w:tcBorders>
              <w:top w:val="nil"/>
              <w:left w:val="nil"/>
              <w:bottom w:val="nil"/>
              <w:right w:val="nil"/>
            </w:tcBorders>
          </w:tcPr>
          <w:p w:rsidR="00A46DCA" w:rsidRPr="0022683E"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22683E">
              <w:rPr>
                <w:rFonts w:eastAsiaTheme="minorEastAsia" w:cs="Calibri"/>
                <w:color w:val="000000"/>
                <w:szCs w:val="20"/>
                <w:lang w:eastAsia="en-AU"/>
              </w:rPr>
              <w:t>2.0</w:t>
            </w:r>
          </w:p>
        </w:tc>
      </w:tr>
      <w:tr w:rsidR="00A46DCA" w:rsidRPr="0022683E" w:rsidTr="00A26D04">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single" w:sz="12" w:space="0" w:color="auto"/>
              <w:right w:val="nil"/>
            </w:tcBorders>
          </w:tcPr>
          <w:p w:rsidR="00A46DCA" w:rsidRPr="0022683E" w:rsidRDefault="00A46DCA" w:rsidP="00A26D04">
            <w:pPr>
              <w:keepLines w:val="0"/>
              <w:autoSpaceDE w:val="0"/>
              <w:autoSpaceDN w:val="0"/>
              <w:adjustRightInd w:val="0"/>
              <w:rPr>
                <w:rFonts w:eastAsiaTheme="minorEastAsia" w:cs="Calibri"/>
                <w:color w:val="000000"/>
                <w:szCs w:val="20"/>
                <w:lang w:eastAsia="en-AU"/>
              </w:rPr>
            </w:pPr>
            <w:r w:rsidRPr="0022683E">
              <w:rPr>
                <w:rFonts w:eastAsiaTheme="minorEastAsia" w:cs="Calibri"/>
                <w:color w:val="000000"/>
                <w:szCs w:val="20"/>
                <w:lang w:eastAsia="en-AU"/>
              </w:rPr>
              <w:t xml:space="preserve"> </w:t>
            </w:r>
          </w:p>
        </w:tc>
        <w:tc>
          <w:tcPr>
            <w:tcW w:w="850" w:type="dxa"/>
            <w:tcBorders>
              <w:top w:val="nil"/>
              <w:left w:val="nil"/>
              <w:bottom w:val="single" w:sz="12" w:space="0" w:color="auto"/>
              <w:right w:val="nil"/>
            </w:tcBorders>
          </w:tcPr>
          <w:p w:rsidR="00A46DCA" w:rsidRPr="0022683E"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22683E">
              <w:rPr>
                <w:rFonts w:eastAsiaTheme="minorEastAsia" w:cs="Calibri"/>
                <w:color w:val="000000"/>
                <w:szCs w:val="20"/>
                <w:lang w:eastAsia="en-AU"/>
              </w:rPr>
              <w:t xml:space="preserve"> </w:t>
            </w:r>
          </w:p>
        </w:tc>
        <w:tc>
          <w:tcPr>
            <w:tcW w:w="850" w:type="dxa"/>
            <w:tcBorders>
              <w:top w:val="nil"/>
              <w:left w:val="nil"/>
              <w:bottom w:val="single" w:sz="12" w:space="0" w:color="auto"/>
              <w:right w:val="nil"/>
            </w:tcBorders>
          </w:tcPr>
          <w:p w:rsidR="00A46DCA" w:rsidRPr="0022683E"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i/>
                <w:iCs/>
                <w:color w:val="000000"/>
                <w:szCs w:val="20"/>
                <w:lang w:eastAsia="en-AU"/>
              </w:rPr>
            </w:pPr>
            <w:r w:rsidRPr="0022683E">
              <w:rPr>
                <w:rFonts w:eastAsiaTheme="minorEastAsia" w:cs="Calibri"/>
                <w:i/>
                <w:iCs/>
                <w:color w:val="000000"/>
                <w:szCs w:val="20"/>
                <w:lang w:eastAsia="en-AU"/>
              </w:rPr>
              <w:t>1.9</w:t>
            </w:r>
          </w:p>
        </w:tc>
        <w:tc>
          <w:tcPr>
            <w:tcW w:w="850" w:type="dxa"/>
            <w:tcBorders>
              <w:top w:val="nil"/>
              <w:left w:val="nil"/>
              <w:bottom w:val="single" w:sz="12" w:space="0" w:color="auto"/>
              <w:right w:val="nil"/>
            </w:tcBorders>
          </w:tcPr>
          <w:p w:rsidR="00A46DCA" w:rsidRPr="0022683E"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i/>
                <w:iCs/>
                <w:color w:val="000000"/>
                <w:szCs w:val="20"/>
                <w:lang w:eastAsia="en-AU"/>
              </w:rPr>
            </w:pPr>
            <w:r w:rsidRPr="0022683E">
              <w:rPr>
                <w:rFonts w:eastAsiaTheme="minorEastAsia" w:cs="Calibri"/>
                <w:i/>
                <w:iCs/>
                <w:color w:val="000000"/>
                <w:szCs w:val="20"/>
                <w:lang w:eastAsia="en-AU"/>
              </w:rPr>
              <w:t>1.8</w:t>
            </w:r>
          </w:p>
        </w:tc>
        <w:tc>
          <w:tcPr>
            <w:tcW w:w="850" w:type="dxa"/>
            <w:tcBorders>
              <w:top w:val="nil"/>
              <w:left w:val="nil"/>
              <w:bottom w:val="single" w:sz="12" w:space="0" w:color="auto"/>
              <w:right w:val="nil"/>
            </w:tcBorders>
          </w:tcPr>
          <w:p w:rsidR="00A46DCA" w:rsidRPr="0022683E"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i/>
                <w:iCs/>
                <w:color w:val="000000"/>
                <w:szCs w:val="20"/>
                <w:lang w:eastAsia="en-AU"/>
              </w:rPr>
            </w:pPr>
            <w:r w:rsidRPr="0022683E">
              <w:rPr>
                <w:rFonts w:eastAsiaTheme="minorEastAsia" w:cs="Calibri"/>
                <w:i/>
                <w:iCs/>
                <w:color w:val="000000"/>
                <w:szCs w:val="20"/>
                <w:lang w:eastAsia="en-AU"/>
              </w:rPr>
              <w:t>1.8</w:t>
            </w:r>
          </w:p>
        </w:tc>
        <w:tc>
          <w:tcPr>
            <w:tcW w:w="850" w:type="dxa"/>
            <w:tcBorders>
              <w:top w:val="nil"/>
              <w:left w:val="nil"/>
              <w:bottom w:val="single" w:sz="12" w:space="0" w:color="auto"/>
              <w:right w:val="nil"/>
            </w:tcBorders>
          </w:tcPr>
          <w:p w:rsidR="00A46DCA" w:rsidRPr="0022683E"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i/>
                <w:iCs/>
                <w:color w:val="000000"/>
                <w:szCs w:val="20"/>
                <w:lang w:eastAsia="en-AU"/>
              </w:rPr>
            </w:pPr>
            <w:r w:rsidRPr="0022683E">
              <w:rPr>
                <w:rFonts w:eastAsiaTheme="minorEastAsia" w:cs="Calibri"/>
                <w:i/>
                <w:iCs/>
                <w:color w:val="000000"/>
                <w:szCs w:val="20"/>
                <w:lang w:eastAsia="en-AU"/>
              </w:rPr>
              <w:t>1.8</w:t>
            </w:r>
          </w:p>
        </w:tc>
      </w:tr>
    </w:tbl>
    <w:p w:rsidR="00A46DCA" w:rsidRPr="00873680" w:rsidRDefault="00A46DCA" w:rsidP="00A26D04">
      <w:pPr>
        <w:pStyle w:val="Source"/>
      </w:pPr>
      <w:r w:rsidRPr="00873680">
        <w:t>Sources: Australian Bureau of Statistics; Department of Treasury and Finance</w:t>
      </w:r>
    </w:p>
    <w:p w:rsidR="00A46DCA" w:rsidRPr="00873680" w:rsidRDefault="00A46DCA" w:rsidP="00A26D04">
      <w:pPr>
        <w:pStyle w:val="Note"/>
      </w:pPr>
      <w:r w:rsidRPr="00873680">
        <w:t>Notes:</w:t>
      </w:r>
    </w:p>
    <w:p w:rsidR="00A46DCA" w:rsidRPr="00873680" w:rsidRDefault="00A46DCA" w:rsidP="00A26D04">
      <w:pPr>
        <w:pStyle w:val="Note"/>
      </w:pPr>
      <w:r>
        <w:t>(a)</w:t>
      </w:r>
      <w:r>
        <w:tab/>
        <w:t>Percentage</w:t>
      </w:r>
      <w:r w:rsidRPr="00873680">
        <w:t xml:space="preserve"> change in year average compared with previous year, except for unemployment rate (see note (</w:t>
      </w:r>
      <w:r>
        <w:t>b</w:t>
      </w:r>
      <w:r w:rsidRPr="00873680">
        <w:t>)) and population (see note (</w:t>
      </w:r>
      <w:r>
        <w:t>e</w:t>
      </w:r>
      <w:r w:rsidRPr="00873680">
        <w:t>)). Forecasts are rounded to the nearest 0.25 percentage points, except for population (see note(</w:t>
      </w:r>
      <w:r>
        <w:t>e</w:t>
      </w:r>
      <w:r w:rsidRPr="00873680">
        <w:t>)).</w:t>
      </w:r>
    </w:p>
    <w:p w:rsidR="00A46DCA" w:rsidRDefault="00A46DCA" w:rsidP="00A26D04">
      <w:pPr>
        <w:pStyle w:val="Note"/>
      </w:pPr>
      <w:r w:rsidRPr="00873680">
        <w:tab/>
      </w:r>
      <w:r w:rsidRPr="00745E69">
        <w:t>The key assumptions underlying the economic forecasts include: interest rates that follow the market forward curve; the exchange rate remaining at its current level; and oil prices that follow the path implied by oil futures.</w:t>
      </w:r>
    </w:p>
    <w:p w:rsidR="00A46DCA" w:rsidRPr="00873680" w:rsidRDefault="00A46DCA" w:rsidP="00A26D04">
      <w:pPr>
        <w:pStyle w:val="Note"/>
      </w:pPr>
      <w:r w:rsidRPr="00873680">
        <w:t>(</w:t>
      </w:r>
      <w:r>
        <w:t>b)</w:t>
      </w:r>
      <w:r>
        <w:tab/>
        <w:t>Year average, per cent.</w:t>
      </w:r>
    </w:p>
    <w:p w:rsidR="00A46DCA" w:rsidRPr="00873680" w:rsidRDefault="00A46DCA" w:rsidP="00A26D04">
      <w:pPr>
        <w:pStyle w:val="Note"/>
      </w:pPr>
      <w:r w:rsidRPr="00873680">
        <w:t>(</w:t>
      </w:r>
      <w:r>
        <w:t>c</w:t>
      </w:r>
      <w:r w:rsidRPr="00873680">
        <w:t>)</w:t>
      </w:r>
      <w:r w:rsidRPr="00873680">
        <w:tab/>
        <w:t>Melbourne consumer price index.</w:t>
      </w:r>
    </w:p>
    <w:p w:rsidR="00A46DCA" w:rsidRPr="00873680" w:rsidRDefault="00A46DCA" w:rsidP="00A26D04">
      <w:pPr>
        <w:pStyle w:val="Note"/>
      </w:pPr>
      <w:r w:rsidRPr="00873680">
        <w:t>(</w:t>
      </w:r>
      <w:r>
        <w:t>d</w:t>
      </w:r>
      <w:r w:rsidRPr="00873680">
        <w:t>)</w:t>
      </w:r>
      <w:r w:rsidRPr="00873680">
        <w:tab/>
        <w:t>Total hourly rate excluding bonuses.</w:t>
      </w:r>
    </w:p>
    <w:p w:rsidR="00A46DCA" w:rsidRDefault="00A46DCA" w:rsidP="00A26D04">
      <w:pPr>
        <w:pStyle w:val="Note"/>
      </w:pPr>
      <w:r w:rsidRPr="00873680">
        <w:t>(</w:t>
      </w:r>
      <w:r>
        <w:t>e</w:t>
      </w:r>
      <w:r w:rsidRPr="00873680">
        <w:t>)</w:t>
      </w:r>
      <w:r w:rsidRPr="00873680">
        <w:tab/>
        <w:t>P</w:t>
      </w:r>
      <w:r>
        <w:t>ercentage</w:t>
      </w:r>
      <w:r w:rsidRPr="00873680">
        <w:t xml:space="preserve"> change over the year to 30 June. Forecasts are rounded to the nearest 0.1 percentage point.</w:t>
      </w:r>
    </w:p>
    <w:p w:rsidR="00A46DCA" w:rsidRPr="00873680" w:rsidRDefault="00A46DCA" w:rsidP="00A26D04">
      <w:pPr>
        <w:pStyle w:val="Note"/>
      </w:pPr>
      <w:r>
        <w:t>(f)</w:t>
      </w:r>
      <w:r>
        <w:tab/>
        <w:t>Forecast.</w:t>
      </w:r>
    </w:p>
    <w:p w:rsidR="00A46DCA" w:rsidRDefault="00A46DCA" w:rsidP="00A26D04">
      <w:pPr>
        <w:pStyle w:val="Heading20"/>
        <w:spacing w:before="180"/>
      </w:pPr>
      <w:r>
        <w:t>Gross state product</w:t>
      </w:r>
    </w:p>
    <w:p w:rsidR="00A46DCA" w:rsidRDefault="00A46DCA" w:rsidP="00A26D04">
      <w:pPr>
        <w:spacing w:before="100"/>
      </w:pPr>
      <w:r>
        <w:t>Victoria’s GSP expanded by 3.3 per cent in 2016-17, the strongest of all the states and the 25</w:t>
      </w:r>
      <w:r w:rsidRPr="0098790F">
        <w:rPr>
          <w:vertAlign w:val="superscript"/>
        </w:rPr>
        <w:t>th</w:t>
      </w:r>
      <w:r>
        <w:t> year of uninterrupted growth. The largest contributors to growth were household consumption, public demand and dwelling investment.</w:t>
      </w:r>
    </w:p>
    <w:p w:rsidR="00A46DCA" w:rsidRDefault="00A46DCA" w:rsidP="00A26D04">
      <w:pPr>
        <w:spacing w:before="100"/>
      </w:pPr>
      <w:r>
        <w:t>The forecast for real GSP has been upgraded and growth is now expected to remain above-trend in 2017-18, supported by robust population and employment growth, low interest rates and the supportive global economic environment.</w:t>
      </w:r>
    </w:p>
    <w:p w:rsidR="00A46DCA" w:rsidRDefault="00A46DCA" w:rsidP="00A26D04">
      <w:r>
        <w:lastRenderedPageBreak/>
        <w:t>Household consumption growth was the strongest of all the states in 2016</w:t>
      </w:r>
      <w:r>
        <w:noBreakHyphen/>
        <w:t>17, due to population and employment growth, and the positive impact from low interest rates. Household consumption is forecast to grow at trend, reflecting high levels of net interstate and overseas migration, strong employment growth, rising household wealth, and the positive impact on purchasing power from subdued inflation.</w:t>
      </w:r>
    </w:p>
    <w:p w:rsidR="00A46DCA" w:rsidRDefault="00A46DCA" w:rsidP="00A26D04">
      <w:pPr>
        <w:keepLines w:val="0"/>
      </w:pPr>
      <w:r w:rsidRPr="00714CC7">
        <w:t>Conditions in Victoria</w:t>
      </w:r>
      <w:r>
        <w:t>’</w:t>
      </w:r>
      <w:r w:rsidRPr="00714CC7">
        <w:t xml:space="preserve">s housing market are solid and house price growth has been higher than average. In the near term, dwelling investment is forecast to remain high, mostly due to the large amount of high-density construction work in the pipeline. </w:t>
      </w:r>
      <w:r w:rsidRPr="00EE0C9F">
        <w:t>Growth is forecast to remain positive over the forward estimates, supported by high population growth, but to moderate to trend after a long period of robust growth. House price</w:t>
      </w:r>
      <w:r w:rsidRPr="00714CC7">
        <w:t xml:space="preserve"> growth is expected to remain positive but </w:t>
      </w:r>
      <w:r>
        <w:t xml:space="preserve">to </w:t>
      </w:r>
      <w:r w:rsidRPr="00714CC7">
        <w:t>slow as the recent increase in supply enters the market and as int</w:t>
      </w:r>
      <w:r>
        <w:t>erest rates begin to normalise.</w:t>
      </w:r>
    </w:p>
    <w:p w:rsidR="00A46DCA" w:rsidRDefault="00A46DCA" w:rsidP="00A26D04">
      <w:pPr>
        <w:keepLines w:val="0"/>
      </w:pPr>
      <w:r>
        <w:t xml:space="preserve">Business investment is forecast to remain subdued, consistent with trends observed in other national and international jurisdictions. While the outlook for non-residential construction is robust, machinery and equipment investment remains weak. </w:t>
      </w:r>
    </w:p>
    <w:p w:rsidR="00A46DCA" w:rsidRDefault="00A46DCA" w:rsidP="00A26D04">
      <w:r>
        <w:t>Demand for government services and infrastructure has increased mostly due to Victoria’s population growth, and is expected to grow over the forward estimates.</w:t>
      </w:r>
    </w:p>
    <w:p w:rsidR="00A46DCA" w:rsidRPr="00FF2397" w:rsidRDefault="00A46DCA" w:rsidP="00A26D04">
      <w:r>
        <w:t xml:space="preserve">Victoria’s international trade is benefiting from supportive conditions in the global economy, including in China, despite the modest rise in the exchange rate since the </w:t>
      </w:r>
      <w:r w:rsidRPr="0035282A">
        <w:rPr>
          <w:i/>
        </w:rPr>
        <w:t>2017</w:t>
      </w:r>
      <w:r>
        <w:rPr>
          <w:i/>
        </w:rPr>
        <w:noBreakHyphen/>
      </w:r>
      <w:r w:rsidRPr="0035282A">
        <w:rPr>
          <w:i/>
        </w:rPr>
        <w:t>18 Budget</w:t>
      </w:r>
      <w:r>
        <w:t>. International services exports, particularly in tourism and education, are likely to support international trade, which is forecast to grow around trend over the forward estimates. The modestly higher exchange rate is not expected to have a material impact on the outlook for Victoria’s international trade.</w:t>
      </w:r>
    </w:p>
    <w:p w:rsidR="00A46DCA" w:rsidRDefault="00A46DCA" w:rsidP="00A26D04">
      <w:pPr>
        <w:rPr>
          <w:rFonts w:asciiTheme="majorHAnsi" w:eastAsiaTheme="majorEastAsia" w:hAnsiTheme="majorHAnsi" w:cstheme="majorBidi"/>
          <w:b/>
          <w:spacing w:val="-2"/>
          <w:sz w:val="26"/>
          <w:szCs w:val="26"/>
        </w:rPr>
      </w:pPr>
      <w:r w:rsidRPr="008C1D6D">
        <w:rPr>
          <w:rFonts w:asciiTheme="majorHAnsi" w:eastAsiaTheme="majorEastAsia" w:hAnsiTheme="majorHAnsi" w:cstheme="majorBidi"/>
          <w:b/>
          <w:spacing w:val="-2"/>
          <w:sz w:val="26"/>
          <w:szCs w:val="26"/>
        </w:rPr>
        <w:t xml:space="preserve">Inflation </w:t>
      </w:r>
    </w:p>
    <w:p w:rsidR="00A46DCA" w:rsidRDefault="00A46DCA" w:rsidP="00A26D04">
      <w:r w:rsidRPr="008C1D6D">
        <w:t xml:space="preserve">Inflation was </w:t>
      </w:r>
      <w:r>
        <w:t>below the Reserve Bank of Australia’</w:t>
      </w:r>
      <w:r w:rsidRPr="008C1D6D">
        <w:t>s</w:t>
      </w:r>
      <w:r>
        <w:t xml:space="preserve"> (RBA)</w:t>
      </w:r>
      <w:r w:rsidRPr="008C1D6D">
        <w:t xml:space="preserve"> target band of 2</w:t>
      </w:r>
      <w:r>
        <w:noBreakHyphen/>
      </w:r>
      <w:r w:rsidRPr="008C1D6D">
        <w:t>3</w:t>
      </w:r>
      <w:r>
        <w:t> </w:t>
      </w:r>
      <w:r w:rsidRPr="008C1D6D">
        <w:t>per</w:t>
      </w:r>
      <w:r>
        <w:t> </w:t>
      </w:r>
      <w:r w:rsidRPr="008C1D6D">
        <w:t>cent</w:t>
      </w:r>
      <w:r>
        <w:t xml:space="preserve"> in 2016-17</w:t>
      </w:r>
      <w:r w:rsidRPr="008C1D6D">
        <w:t>. This reflects lower wage</w:t>
      </w:r>
      <w:r>
        <w:t>s</w:t>
      </w:r>
      <w:r w:rsidRPr="008C1D6D">
        <w:t xml:space="preserve"> </w:t>
      </w:r>
      <w:r>
        <w:t>growth</w:t>
      </w:r>
      <w:r w:rsidRPr="008C1D6D">
        <w:t xml:space="preserve">, the effect of increased competition in the retail sector, and </w:t>
      </w:r>
      <w:r>
        <w:t xml:space="preserve">elevated </w:t>
      </w:r>
      <w:r w:rsidRPr="008C1D6D">
        <w:t xml:space="preserve">spare capacity in the economy. </w:t>
      </w:r>
    </w:p>
    <w:p w:rsidR="00A46DCA" w:rsidRDefault="00A46DCA" w:rsidP="00A26D04">
      <w:r w:rsidRPr="008C1D6D">
        <w:t xml:space="preserve">Looking forward, inflation is forecast to </w:t>
      </w:r>
      <w:r>
        <w:t>gradually return towards the RBA’s target band,</w:t>
      </w:r>
      <w:r w:rsidRPr="008C1D6D">
        <w:t xml:space="preserve"> consistent with the outlook for </w:t>
      </w:r>
      <w:r>
        <w:t xml:space="preserve">a modest recovery in </w:t>
      </w:r>
      <w:r w:rsidRPr="008C1D6D">
        <w:t xml:space="preserve">wages growth </w:t>
      </w:r>
      <w:r>
        <w:t xml:space="preserve">and a reduction in spare capacity in the economy. </w:t>
      </w:r>
      <w:r w:rsidRPr="00EE0C9F">
        <w:t>Measured inflation is likely to be lower following the ABS</w:t>
      </w:r>
      <w:r>
        <w:t>’</w:t>
      </w:r>
      <w:r w:rsidRPr="00EE0C9F">
        <w:t xml:space="preserve"> recent upd</w:t>
      </w:r>
      <w:r>
        <w:t>ate to the weights in the consumer price index</w:t>
      </w:r>
      <w:r w:rsidRPr="00EE0C9F">
        <w:t xml:space="preserve"> expenditure basket</w:t>
      </w:r>
      <w:r>
        <w:t xml:space="preserve">. This </w:t>
      </w:r>
      <w:r w:rsidRPr="00EE0C9F">
        <w:t>will result in a lower weight for higher inflation items.</w:t>
      </w:r>
    </w:p>
    <w:p w:rsidR="00A46DCA" w:rsidRPr="008C1D6D" w:rsidRDefault="00A46DCA" w:rsidP="00A26D04">
      <w:pPr>
        <w:rPr>
          <w:rFonts w:asciiTheme="majorHAnsi" w:eastAsiaTheme="majorEastAsia" w:hAnsiTheme="majorHAnsi" w:cstheme="majorBidi"/>
          <w:b/>
          <w:spacing w:val="-2"/>
          <w:sz w:val="26"/>
          <w:szCs w:val="26"/>
        </w:rPr>
      </w:pPr>
      <w:r w:rsidRPr="008C1D6D">
        <w:rPr>
          <w:rFonts w:asciiTheme="majorHAnsi" w:eastAsiaTheme="majorEastAsia" w:hAnsiTheme="majorHAnsi" w:cstheme="majorBidi"/>
          <w:b/>
          <w:spacing w:val="-2"/>
          <w:sz w:val="26"/>
          <w:szCs w:val="26"/>
        </w:rPr>
        <w:t>Labour market</w:t>
      </w:r>
      <w:r>
        <w:rPr>
          <w:rFonts w:asciiTheme="majorHAnsi" w:eastAsiaTheme="majorEastAsia" w:hAnsiTheme="majorHAnsi" w:cstheme="majorBidi"/>
          <w:b/>
          <w:spacing w:val="-2"/>
          <w:sz w:val="26"/>
          <w:szCs w:val="26"/>
        </w:rPr>
        <w:t xml:space="preserve"> and wages</w:t>
      </w:r>
    </w:p>
    <w:p w:rsidR="00A46DCA" w:rsidRDefault="00A46DCA" w:rsidP="00A26D04">
      <w:r>
        <w:t>Conditions in the labour market are strong and t</w:t>
      </w:r>
      <w:r w:rsidRPr="0098568C">
        <w:t xml:space="preserve">he outlook has </w:t>
      </w:r>
      <w:r>
        <w:t xml:space="preserve">generally </w:t>
      </w:r>
      <w:r w:rsidRPr="0098568C">
        <w:t>strengthen</w:t>
      </w:r>
      <w:r>
        <w:t>ed</w:t>
      </w:r>
      <w:r w:rsidRPr="0098568C">
        <w:t xml:space="preserve"> since the </w:t>
      </w:r>
      <w:r w:rsidRPr="00DD572F">
        <w:rPr>
          <w:i/>
        </w:rPr>
        <w:t>2017-18 Budget</w:t>
      </w:r>
      <w:r>
        <w:t xml:space="preserve">. </w:t>
      </w:r>
    </w:p>
    <w:p w:rsidR="00A46DCA" w:rsidRDefault="00A46DCA" w:rsidP="00A26D04">
      <w:r>
        <w:t>Employment rose by 3.9 per cent in 2016-17, which is the highest growth since 1989</w:t>
      </w:r>
      <w:r>
        <w:noBreakHyphen/>
        <w:t>90. The main contributors to growth were the service sectors including education, health care, and professional services. Activity was broad-based with regional employment growth the highest in regional Australia. Since November 2014 there have been more than 284 000 jobs created in Victoria.</w:t>
      </w:r>
    </w:p>
    <w:p w:rsidR="00A46DCA" w:rsidRDefault="00A46DCA" w:rsidP="00A26D04">
      <w:r w:rsidRPr="0063079F">
        <w:lastRenderedPageBreak/>
        <w:t xml:space="preserve">Employment growth is forecast to </w:t>
      </w:r>
      <w:r>
        <w:t>be</w:t>
      </w:r>
      <w:r w:rsidRPr="0063079F">
        <w:t xml:space="preserve"> above trend in 2017-18 and 2018-19, reflecting </w:t>
      </w:r>
      <w:r>
        <w:t>robust economic conditions on the demand side, and strong population growth and a higher labour force participation rate on the supply side.</w:t>
      </w:r>
      <w:r w:rsidRPr="00F92B8E">
        <w:t xml:space="preserve"> </w:t>
      </w:r>
      <w:r>
        <w:t>Employment is then forecast to grow at the revised estimate of trend growth in the projection years.</w:t>
      </w:r>
    </w:p>
    <w:p w:rsidR="00A46DCA" w:rsidRDefault="00A46DCA" w:rsidP="00A26D04">
      <w:r>
        <w:t>Victoria’s labour force participation rate increased 1.0 percentage points to a record high of 65.7 per cent in 2016-17. The increase was mostly due to rising female participation, including those aged over 50 years old. The participation rate is forecast to remain high but to moderate over the forward estimates.</w:t>
      </w:r>
    </w:p>
    <w:p w:rsidR="00A46DCA" w:rsidRDefault="00A46DCA" w:rsidP="00A26D04">
      <w:pPr>
        <w:ind w:right="-86"/>
      </w:pPr>
      <w:r>
        <w:t>Victoria’s unemployment rate was unchanged in 2016-17 as above-trend employment growth was sufficient to absorb the growth in the labour force. The forecasts now anticipate that the unemployment rate will gradually decline to its natural rate of around 5.5 per cent in line with continued solid economic conditions and an anticipated moderation in the participation rate.</w:t>
      </w:r>
    </w:p>
    <w:p w:rsidR="00A46DCA" w:rsidRDefault="00A46DCA" w:rsidP="00A26D04">
      <w:r>
        <w:t>While Victorian wages growth has been subdued, wages are forecast to gradually rise over the forward estimates as spare capacity in the labour market is absorbed and labour productivity growth strengthens.</w:t>
      </w:r>
    </w:p>
    <w:p w:rsidR="00A46DCA" w:rsidRDefault="00A46DCA" w:rsidP="00A26D04">
      <w:pPr>
        <w:pStyle w:val="Heading20"/>
      </w:pPr>
      <w:r>
        <w:t>Population</w:t>
      </w:r>
    </w:p>
    <w:p w:rsidR="00A46DCA" w:rsidRDefault="00A46DCA" w:rsidP="00FB563F">
      <w:pPr>
        <w:ind w:right="-86"/>
      </w:pPr>
      <w:r>
        <w:t>Population growth is forecast at 2.3 per cent in 2017</w:t>
      </w:r>
      <w:r>
        <w:noBreakHyphen/>
        <w:t xml:space="preserve">18, 0.4 percentage points higher than forecast in the </w:t>
      </w:r>
      <w:r w:rsidRPr="00EE1E2E">
        <w:rPr>
          <w:i/>
        </w:rPr>
        <w:t>2017-18 Budget</w:t>
      </w:r>
      <w:r>
        <w:rPr>
          <w:i/>
        </w:rPr>
        <w:t>.</w:t>
      </w:r>
      <w:r>
        <w:t xml:space="preserve"> The upgrade is mostly due to the significant upward revision to Victoria’s estimated population growth as a result of the Australian Bureau of Statistics (ABS) 2016 Census</w:t>
      </w:r>
      <w:r w:rsidRPr="00EE1E2E">
        <w:t xml:space="preserve"> </w:t>
      </w:r>
      <w:r>
        <w:t>(see Box 2.1: Victoria’s population revisions).</w:t>
      </w:r>
    </w:p>
    <w:p w:rsidR="00A46DCA" w:rsidRDefault="00A46DCA" w:rsidP="00A26D04">
      <w:r>
        <w:t>Population growth is forecast to moderate to around 2.0 per cent by 2020-21 as economic activity and labour market conditions return toward trend and as conditions in the mining states stabilise. The impact from the ageing of the population is expected to be mostly offset by growth in net overseas migration as overseas migrants are, on average, younger than the existing population.</w:t>
      </w:r>
    </w:p>
    <w:p w:rsidR="00A46DCA" w:rsidRDefault="00A46DCA" w:rsidP="00A26D04">
      <w:pPr>
        <w:pStyle w:val="HighlightBoxHeading"/>
        <w:tabs>
          <w:tab w:val="left" w:pos="1134"/>
        </w:tabs>
      </w:pPr>
      <w:r>
        <w:t>Box 2.1:</w:t>
      </w:r>
      <w:r>
        <w:tab/>
      </w:r>
      <w:r w:rsidRPr="00CC0E90">
        <w:t>Victoria</w:t>
      </w:r>
      <w:r>
        <w:t>’</w:t>
      </w:r>
      <w:r w:rsidRPr="00CC0E90">
        <w:t>s population revisions</w:t>
      </w:r>
    </w:p>
    <w:p w:rsidR="00A46DCA" w:rsidRDefault="00A46DCA" w:rsidP="00A26D04">
      <w:pPr>
        <w:pStyle w:val="HighlightBoxText"/>
      </w:pPr>
      <w:r>
        <w:t xml:space="preserve">As a result of the ABS’ 2016 Census ‘rebasing’ process, Victoria’s estimated residential population was revised up by 1.8 per cent to 6.18 million in June 2016, an increase of almost 110 000 people. The ABS is not able to identify which population categories (births, interstate migration or overseas migration) were previously underestimated. </w:t>
      </w:r>
    </w:p>
    <w:p w:rsidR="00A46DCA" w:rsidRDefault="00A46DCA" w:rsidP="00A26D04">
      <w:pPr>
        <w:pStyle w:val="HighlightBoxText"/>
      </w:pPr>
      <w:r w:rsidRPr="00CE0D72">
        <w:t>Victoria</w:t>
      </w:r>
      <w:r>
        <w:t>’</w:t>
      </w:r>
      <w:r w:rsidRPr="00CE0D72">
        <w:t>s net overseas migration of 74 051 persons in 2016 was the highest for a calendar year since 2008. As a share of national net overseas migration, Victoria accounted for 35.4</w:t>
      </w:r>
      <w:r>
        <w:t> </w:t>
      </w:r>
      <w:r w:rsidRPr="00CE0D72">
        <w:t>per cent, a record and well above Victoria</w:t>
      </w:r>
      <w:r>
        <w:t>’</w:t>
      </w:r>
      <w:r w:rsidRPr="00CE0D72">
        <w:t>s population share of 25</w:t>
      </w:r>
      <w:r>
        <w:t>.6 </w:t>
      </w:r>
      <w:r w:rsidRPr="00CE0D72">
        <w:t>per cent. In addition to net overseas migration, Victoria record</w:t>
      </w:r>
      <w:r>
        <w:t>ed</w:t>
      </w:r>
      <w:r w:rsidRPr="00CE0D72">
        <w:t xml:space="preserve"> the highest net interstate migration among the states in 2016 and a new record of 17 987 persons.</w:t>
      </w:r>
    </w:p>
    <w:p w:rsidR="00A46DCA" w:rsidRDefault="00A46DCA" w:rsidP="00A26D04">
      <w:pPr>
        <w:pStyle w:val="HighlightBoxText"/>
      </w:pPr>
      <w:r>
        <w:t>As a result of the rebasing, Victoria’s population growth was revised up by 0.35 percentage points to 2.4 per cent</w:t>
      </w:r>
      <w:r w:rsidRPr="00FD3925">
        <w:t xml:space="preserve"> </w:t>
      </w:r>
      <w:r>
        <w:t>over the year to June 2016. This is the highest population growth since the early 1980s and well above the national average of 1.6 per cent.</w:t>
      </w:r>
      <w:r w:rsidRPr="003E59E2">
        <w:t xml:space="preserve"> </w:t>
      </w:r>
    </w:p>
    <w:p w:rsidR="00A46DCA" w:rsidRDefault="00A46DCA" w:rsidP="00A26D04">
      <w:pPr>
        <w:pStyle w:val="HighlightBoxText"/>
      </w:pPr>
      <w:r>
        <w:lastRenderedPageBreak/>
        <w:t xml:space="preserve">The forecasts for population growth have been revised up compared to those in the </w:t>
      </w:r>
      <w:r w:rsidRPr="008C2D8B">
        <w:rPr>
          <w:i/>
        </w:rPr>
        <w:t>2017</w:t>
      </w:r>
      <w:r>
        <w:rPr>
          <w:i/>
        </w:rPr>
        <w:noBreakHyphen/>
        <w:t>18 </w:t>
      </w:r>
      <w:r w:rsidRPr="008C2D8B">
        <w:rPr>
          <w:i/>
        </w:rPr>
        <w:t>Budget</w:t>
      </w:r>
      <w:r>
        <w:t xml:space="preserve"> to reflect this updated information (Chart 2.1). Population growth is now forecast to be 2.0 per cent in 2020-21. </w:t>
      </w:r>
    </w:p>
    <w:p w:rsidR="00A46DCA" w:rsidRDefault="00A46DCA" w:rsidP="00A26D04">
      <w:pPr>
        <w:pStyle w:val="HighlightBoxText"/>
      </w:pPr>
      <w:r>
        <w:t xml:space="preserve">Higher population growth has significant implications for the economic and labour market outlook. More people generally translates into more spending and an increase in the supply of labour, which supports employment growth, along with increased demand for government services such as education, health and public transport. See Appendix D </w:t>
      </w:r>
      <w:r w:rsidRPr="00AC3BA1">
        <w:rPr>
          <w:i/>
        </w:rPr>
        <w:t>Sensitivity Analysis</w:t>
      </w:r>
      <w:r>
        <w:t xml:space="preserve"> for an assessment of the impact from higher than expected population growth and improved labour market conditions.</w:t>
      </w:r>
    </w:p>
    <w:p w:rsidR="00A46DCA" w:rsidRDefault="00A46DCA" w:rsidP="00A26D04">
      <w:pPr>
        <w:pStyle w:val="HighlightBoxText"/>
      </w:pPr>
      <w:r>
        <w:t>Victoria’s n</w:t>
      </w:r>
      <w:r w:rsidRPr="00AE5F6A">
        <w:t xml:space="preserve">et overseas migration </w:t>
      </w:r>
      <w:r>
        <w:t xml:space="preserve">was </w:t>
      </w:r>
      <w:r w:rsidRPr="00AE5F6A">
        <w:t xml:space="preserve">the largest contributor to </w:t>
      </w:r>
      <w:r>
        <w:t xml:space="preserve">Victoria’s </w:t>
      </w:r>
      <w:r w:rsidRPr="00AE5F6A">
        <w:t>population growth</w:t>
      </w:r>
      <w:r>
        <w:t xml:space="preserve"> in 2016 and an important contributor to economic activity</w:t>
      </w:r>
      <w:r w:rsidRPr="00AE5F6A">
        <w:t>.</w:t>
      </w:r>
      <w:r>
        <w:t xml:space="preserve"> Overseas migrants </w:t>
      </w:r>
      <w:r w:rsidR="00FB563F">
        <w:br/>
      </w:r>
      <w:r>
        <w:t>are typically younger than the average Victorian and are more educated with 48 per cent holding a post-school qualification compared to 43 per cent of the existing population.</w:t>
      </w:r>
    </w:p>
    <w:p w:rsidR="00A46DCA" w:rsidRDefault="00A46DCA" w:rsidP="00A26D04">
      <w:pPr>
        <w:pStyle w:val="HighlightBoxText"/>
      </w:pPr>
      <w:r>
        <w:t xml:space="preserve">Partly as a result of the upgrades to population growth, and the higher labour force participation rate, </w:t>
      </w:r>
      <w:r w:rsidRPr="009638A3">
        <w:t xml:space="preserve">the outlook for employment growth has been </w:t>
      </w:r>
      <w:r>
        <w:t xml:space="preserve">upgraded. Employment growth is now forecast to be </w:t>
      </w:r>
      <w:r w:rsidRPr="009638A3">
        <w:t>1.75 per cent</w:t>
      </w:r>
      <w:r>
        <w:t xml:space="preserve"> in 2019-20 and 2020-21, </w:t>
      </w:r>
      <w:r w:rsidRPr="009638A3">
        <w:t xml:space="preserve">0.25 percentage points </w:t>
      </w:r>
      <w:r>
        <w:t xml:space="preserve">higher </w:t>
      </w:r>
      <w:r w:rsidRPr="009638A3">
        <w:t>t</w:t>
      </w:r>
      <w:r>
        <w:t xml:space="preserve">han forecast in the </w:t>
      </w:r>
      <w:r w:rsidRPr="00D6102E">
        <w:rPr>
          <w:i/>
        </w:rPr>
        <w:t>2017-18 Budget</w:t>
      </w:r>
      <w:r w:rsidRPr="009638A3">
        <w:t>.</w:t>
      </w:r>
    </w:p>
    <w:p w:rsidR="00A46DCA" w:rsidRPr="00D6102E" w:rsidRDefault="00A46DCA" w:rsidP="00A26D04">
      <w:pPr>
        <w:pStyle w:val="HighlightBoxHeading"/>
        <w:tabs>
          <w:tab w:val="left" w:pos="1134"/>
        </w:tabs>
        <w:rPr>
          <w:sz w:val="20"/>
        </w:rPr>
      </w:pPr>
      <w:r w:rsidRPr="00D6102E">
        <w:rPr>
          <w:sz w:val="20"/>
        </w:rPr>
        <w:t xml:space="preserve">Chart 2.1: </w:t>
      </w:r>
      <w:r>
        <w:rPr>
          <w:sz w:val="20"/>
        </w:rPr>
        <w:tab/>
      </w:r>
      <w:r w:rsidRPr="00D6102E">
        <w:rPr>
          <w:sz w:val="20"/>
        </w:rPr>
        <w:t>Victoria</w:t>
      </w:r>
      <w:r>
        <w:rPr>
          <w:sz w:val="20"/>
        </w:rPr>
        <w:t>’</w:t>
      </w:r>
      <w:r w:rsidRPr="00D6102E">
        <w:rPr>
          <w:sz w:val="20"/>
        </w:rPr>
        <w:t>s population growth forecast</w:t>
      </w:r>
    </w:p>
    <w:p w:rsidR="00A46DCA" w:rsidRDefault="00715FC3" w:rsidP="00A26D04">
      <w:pPr>
        <w:pStyle w:val="HighlightBoxTex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5.15pt;height:260.85pt">
            <v:imagedata r:id="rId32" o:title=""/>
          </v:shape>
        </w:pict>
      </w:r>
    </w:p>
    <w:p w:rsidR="00A46DCA" w:rsidRDefault="00A46DCA">
      <w:pPr>
        <w:keepLines w:val="0"/>
        <w:rPr>
          <w:rFonts w:asciiTheme="majorHAnsi" w:hAnsiTheme="majorHAnsi"/>
          <w:b/>
          <w:sz w:val="20"/>
        </w:rPr>
      </w:pPr>
      <w:r>
        <w:rPr>
          <w:sz w:val="20"/>
        </w:rPr>
        <w:br w:type="page"/>
      </w:r>
    </w:p>
    <w:p w:rsidR="00A46DCA" w:rsidRDefault="00A46DCA" w:rsidP="00526B73">
      <w:pPr>
        <w:pStyle w:val="Heading10"/>
      </w:pPr>
      <w:bookmarkStart w:id="6" w:name="_Toc500435563"/>
      <w:r>
        <w:lastRenderedPageBreak/>
        <w:t>Australian economic conditions and outlook</w:t>
      </w:r>
      <w:bookmarkEnd w:id="6"/>
    </w:p>
    <w:p w:rsidR="00A46DCA" w:rsidRDefault="00A46DCA" w:rsidP="00A26D04">
      <w:r>
        <w:t xml:space="preserve">The Australian economy expanded by 2.0 per cent in 2016-17 as weakness in business investment was offset by higher household consumption, public demand and net exports. Wages growth and inflation were subdued. </w:t>
      </w:r>
    </w:p>
    <w:p w:rsidR="00A46DCA" w:rsidRDefault="00A46DCA" w:rsidP="00A26D04">
      <w:r>
        <w:t>Looking ahead, the Commonwealth Treasury forecasts the economy to strengthen, consistent with a pickup in household spending, improved business conditions and a recovering labour market. In the medium term, low interest rates, a broadening of the global economic recovery, and a further reduction in the drag on growth from mining investment will support Australia’s outlook.</w:t>
      </w:r>
    </w:p>
    <w:p w:rsidR="00A46DCA" w:rsidRPr="00FF2397" w:rsidRDefault="00A46DCA" w:rsidP="00A26D04">
      <w:r>
        <w:t>Economic conditions are expected to gradually converge across the states. The mining states of Queensland and Western Australia appear to be stabilising, evidenced by improving employment outcomes, and higher business confidence and conditions. Conditions in New South Wales are expected to remain solid, in line with robust household consumption and gradually improving non-mining business investment.</w:t>
      </w:r>
    </w:p>
    <w:p w:rsidR="00A46DCA" w:rsidRDefault="00A46DCA" w:rsidP="00A26D04">
      <w:r>
        <w:t>Wages growth and inflation are forecast to recover, consistent with a reduction in spare capacity in the labour market.</w:t>
      </w:r>
    </w:p>
    <w:p w:rsidR="00A46DCA" w:rsidRDefault="00A46DCA" w:rsidP="00526B73">
      <w:pPr>
        <w:pStyle w:val="Heading10"/>
      </w:pPr>
      <w:bookmarkStart w:id="7" w:name="_Toc500435564"/>
      <w:r>
        <w:t>International economic conditions and outlook</w:t>
      </w:r>
      <w:bookmarkEnd w:id="7"/>
    </w:p>
    <w:p w:rsidR="00A46DCA" w:rsidRDefault="00A46DCA" w:rsidP="00A26D04">
      <w:r>
        <w:t xml:space="preserve">The global economic outlook is broadly unchanged since the </w:t>
      </w:r>
      <w:r w:rsidRPr="00975D85">
        <w:rPr>
          <w:i/>
        </w:rPr>
        <w:t>2017-18 Budget</w:t>
      </w:r>
      <w:r>
        <w:t xml:space="preserve">. The International Monetary Fund (IMF) forecasts global growth to be 3.6 per cent in 2017 and 3.7 per cent in 2018. However, despite the solid headline forecasts, there are some risks to the outlook. Growth remains weak in a number of countries, including Japan and the United Kingdom, and inflation is low in most advanced economies. </w:t>
      </w:r>
    </w:p>
    <w:p w:rsidR="00A46DCA" w:rsidRDefault="00A46DCA" w:rsidP="00A26D04">
      <w:pPr>
        <w:ind w:right="-86"/>
      </w:pPr>
      <w:r>
        <w:t xml:space="preserve">The IMF lowered the outlook for the United States to growth of 2.2 per cent in 2017 and 2.3 per cent in 2018. The downward revision mostly reflects the unwinding of the proposed fiscal stimulus package from the Trump administration. </w:t>
      </w:r>
    </w:p>
    <w:p w:rsidR="00A46DCA" w:rsidRDefault="00A46DCA" w:rsidP="00A26D04">
      <w:r>
        <w:t xml:space="preserve">In Europe, the recovery is expected to proceed at a slightly faster pace, with gross domestic product (GDP) growth of 2.1 per cent and 1.9 per cent in 2017 and 2018, respectively. </w:t>
      </w:r>
    </w:p>
    <w:p w:rsidR="00A46DCA" w:rsidRDefault="00A46DCA" w:rsidP="00A26D04">
      <w:r>
        <w:t>The growth outlook for China has been raised by 0.2 percentage points to 6.8 per cent in 2017, reflecting the impact of policy easing and supply side reforms. The forecast for 2018 is also modestly higher at 6.5 per cent due to the expectation that the Chinese authorities will maintain an expansionary policy mix to meet the target of doubling China’s GDP between 2010 and 2020.</w:t>
      </w:r>
    </w:p>
    <w:p w:rsidR="00A46DCA" w:rsidRDefault="00A46DCA">
      <w:pPr>
        <w:keepLines w:val="0"/>
        <w:rPr>
          <w:rFonts w:asciiTheme="majorHAnsi" w:eastAsiaTheme="majorEastAsia" w:hAnsiTheme="majorHAnsi" w:cstheme="majorBidi"/>
          <w:b/>
          <w:bCs/>
          <w:caps/>
          <w:spacing w:val="-2"/>
          <w:sz w:val="26"/>
          <w:szCs w:val="28"/>
        </w:rPr>
      </w:pPr>
      <w:r>
        <w:br w:type="page"/>
      </w:r>
    </w:p>
    <w:p w:rsidR="00A46DCA" w:rsidRPr="00FF2397" w:rsidRDefault="00A46DCA" w:rsidP="00526B73">
      <w:pPr>
        <w:pStyle w:val="Heading10"/>
      </w:pPr>
      <w:bookmarkStart w:id="8" w:name="_Toc500435565"/>
      <w:r>
        <w:lastRenderedPageBreak/>
        <w:t>Risks to the outlook</w:t>
      </w:r>
      <w:bookmarkEnd w:id="8"/>
    </w:p>
    <w:p w:rsidR="00A46DCA" w:rsidRDefault="00A46DCA" w:rsidP="00A26D04">
      <w:r>
        <w:t xml:space="preserve">The risks to the outlook are broadly balanced and largely unchanged from the </w:t>
      </w:r>
      <w:r w:rsidRPr="00975D85">
        <w:rPr>
          <w:i/>
        </w:rPr>
        <w:t>2017-18 Budget</w:t>
      </w:r>
      <w:r>
        <w:t xml:space="preserve">. See Appendix D </w:t>
      </w:r>
      <w:r w:rsidRPr="00511D66">
        <w:rPr>
          <w:i/>
        </w:rPr>
        <w:t>Sensitivity Analysis</w:t>
      </w:r>
      <w:r>
        <w:t xml:space="preserve"> for an assessment of the impact from some of these risks.</w:t>
      </w:r>
    </w:p>
    <w:p w:rsidR="00A46DCA" w:rsidRDefault="00A46DCA" w:rsidP="00A26D04">
      <w:r>
        <w:t xml:space="preserve">The labour market has been a source of strength for Victoria’s economy. The </w:t>
      </w:r>
      <w:r>
        <w:rPr>
          <w:i/>
        </w:rPr>
        <w:t>2017</w:t>
      </w:r>
      <w:r>
        <w:rPr>
          <w:i/>
        </w:rPr>
        <w:noBreakHyphen/>
        <w:t xml:space="preserve">18 </w:t>
      </w:r>
      <w:r w:rsidRPr="00202B51">
        <w:rPr>
          <w:i/>
        </w:rPr>
        <w:t>Budget Update</w:t>
      </w:r>
      <w:r>
        <w:t xml:space="preserve"> forecasts above-trend growth in employment, a modest decline in the unemployment rate and an elevated but gradually declining participation rate. A higher than expected participation rate could lead to higher employment and GSP growth.</w:t>
      </w:r>
    </w:p>
    <w:p w:rsidR="00A46DCA" w:rsidRDefault="00A46DCA" w:rsidP="00A26D04">
      <w:r>
        <w:t xml:space="preserve">Australia’s economic performance is heavily influenced by global economic conditions and international trade. An increase in global tariffs could reduce the competitiveness of Victoria’s exports, lower Australia’s terms of trade and lower Victoria’s GSP growth. </w:t>
      </w:r>
    </w:p>
    <w:p w:rsidR="00A46DCA" w:rsidRDefault="00A46DCA" w:rsidP="00A26D04">
      <w:r>
        <w:t xml:space="preserve">Victoria’s population growth is dependent on interstate and overseas migration flows that are subject to economic and political uncertainty. Higher than expected migration flows, potentially from a policy change or improved economic conditions, could lead to stronger population growth and improved labour market and economic conditions. </w:t>
      </w:r>
    </w:p>
    <w:p w:rsidR="00A46DCA" w:rsidRDefault="00A46DCA" w:rsidP="00A26D04">
      <w:r>
        <w:t xml:space="preserve">Nationally, a faster than expected recovery in the mining states could lead to a reversal in Victoria’s positive interstate migration flows. This could reduce Victoria’s population growth and slow economic and labour market activity. </w:t>
      </w:r>
    </w:p>
    <w:p w:rsidR="00A46DCA" w:rsidRDefault="00A46DCA" w:rsidP="00A26D04">
      <w:r>
        <w:t>Given the elevated level of household debt, a faster than expected rise in interest rates could pressure household spending and confidence, resulting in slower dwelling construction and household consumption growth.</w:t>
      </w:r>
    </w:p>
    <w:p w:rsidR="00A46DCA" w:rsidRDefault="00A46DCA">
      <w:pPr>
        <w:keepLines w:val="0"/>
      </w:pPr>
      <w:r>
        <w:br w:type="page"/>
      </w:r>
    </w:p>
    <w:p w:rsidR="00A46DCA" w:rsidRDefault="00A46DCA" w:rsidP="00A26D04">
      <w:pPr>
        <w:sectPr w:rsidR="00A46DCA" w:rsidSect="00A26D04">
          <w:headerReference w:type="even" r:id="rId33"/>
          <w:headerReference w:type="default" r:id="rId34"/>
          <w:footerReference w:type="even" r:id="rId35"/>
          <w:footerReference w:type="default" r:id="rId36"/>
          <w:headerReference w:type="first" r:id="rId37"/>
          <w:footerReference w:type="first" r:id="rId38"/>
          <w:type w:val="continuous"/>
          <w:pgSz w:w="9979" w:h="14175" w:code="9"/>
          <w:pgMar w:top="850" w:right="1134" w:bottom="850" w:left="1134" w:header="624" w:footer="567" w:gutter="0"/>
          <w:cols w:sep="1" w:space="567"/>
          <w:docGrid w:linePitch="360"/>
        </w:sectPr>
      </w:pPr>
    </w:p>
    <w:p w:rsidR="00A46DCA" w:rsidRDefault="00A46DCA" w:rsidP="00480C94">
      <w:pPr>
        <w:sectPr w:rsidR="00A46DCA" w:rsidSect="00480C94">
          <w:footerReference w:type="even" r:id="rId39"/>
          <w:footerReference w:type="default" r:id="rId40"/>
          <w:type w:val="continuous"/>
          <w:pgSz w:w="9979" w:h="14175" w:code="9"/>
          <w:pgMar w:top="851" w:right="1134" w:bottom="851" w:left="1134" w:header="624" w:footer="567" w:gutter="0"/>
          <w:cols w:sep="1" w:space="567"/>
          <w:docGrid w:linePitch="360"/>
        </w:sectPr>
      </w:pPr>
    </w:p>
    <w:p w:rsidR="00A46DCA" w:rsidRDefault="00A46DCA" w:rsidP="000C43CD">
      <w:pPr>
        <w:pStyle w:val="Chapterheading"/>
      </w:pPr>
      <w:bookmarkStart w:id="9" w:name="_Toc500179524"/>
      <w:bookmarkStart w:id="10" w:name="_Toc500435566"/>
      <w:r>
        <w:lastRenderedPageBreak/>
        <w:t>Chapter 3 – Budget position and outlook</w:t>
      </w:r>
      <w:bookmarkEnd w:id="9"/>
      <w:bookmarkEnd w:id="10"/>
    </w:p>
    <w:p w:rsidR="00A46DCA" w:rsidRPr="00E84509" w:rsidRDefault="00A46DCA" w:rsidP="00A26D04">
      <w:pPr>
        <w:pStyle w:val="HighlightBoxBullet"/>
      </w:pPr>
      <w:r w:rsidRPr="00E84509">
        <w:t>The general government sector operatin</w:t>
      </w:r>
      <w:r>
        <w:t>g surplus is estimated to be $1.7 billion in 2017</w:t>
      </w:r>
      <w:r>
        <w:noBreakHyphen/>
        <w:t xml:space="preserve">18 and average $2.2 billion across the forward estimates. </w:t>
      </w:r>
    </w:p>
    <w:p w:rsidR="00A46DCA" w:rsidRDefault="00A46DCA" w:rsidP="00A26D04">
      <w:pPr>
        <w:pStyle w:val="HighlightBoxBullet"/>
      </w:pPr>
      <w:r>
        <w:t xml:space="preserve">Net debt is projected to be $28.2 billion by June 2021 or 5.7 per cent of gross state product (GSP). </w:t>
      </w:r>
      <w:r w:rsidRPr="00E84509">
        <w:t>This is consistent with maintaining Victoria</w:t>
      </w:r>
      <w:r>
        <w:t>’</w:t>
      </w:r>
      <w:r w:rsidRPr="00E84509">
        <w:t>s triple</w:t>
      </w:r>
      <w:r w:rsidRPr="00E84509">
        <w:noBreakHyphen/>
        <w:t>A credit rating.</w:t>
      </w:r>
    </w:p>
    <w:p w:rsidR="00A46DCA" w:rsidRPr="00E84509" w:rsidRDefault="00A46DCA" w:rsidP="00A26D04">
      <w:pPr>
        <w:pStyle w:val="HighlightBoxBullet"/>
      </w:pPr>
      <w:r>
        <w:t>Revenue growth is expected to average 4.5 per cent a year over the budget and forward estimates, exceeding average expense growth of 4.4 per cent a year.</w:t>
      </w:r>
    </w:p>
    <w:p w:rsidR="00A46DCA" w:rsidRPr="00E84509" w:rsidRDefault="00A46DCA" w:rsidP="00A26D04">
      <w:pPr>
        <w:pStyle w:val="HighlightBoxBullet"/>
      </w:pPr>
      <w:r>
        <w:t>Estimated government i</w:t>
      </w:r>
      <w:r w:rsidRPr="00E84509">
        <w:t>nfrastructur</w:t>
      </w:r>
      <w:r>
        <w:t>e investment (GII) averages $10.2</w:t>
      </w:r>
      <w:r w:rsidRPr="00E84509">
        <w:t xml:space="preserve"> billion a year over the budget and forward estimates compared with</w:t>
      </w:r>
      <w:r>
        <w:t xml:space="preserve"> an average of $4.9 billion a year from 2005</w:t>
      </w:r>
      <w:r>
        <w:noBreakHyphen/>
        <w:t>06 to 2014</w:t>
      </w:r>
      <w:r>
        <w:noBreakHyphen/>
        <w:t>15</w:t>
      </w:r>
      <w:r w:rsidRPr="00E84509">
        <w:t>.</w:t>
      </w:r>
    </w:p>
    <w:p w:rsidR="00A46DCA" w:rsidRPr="002E2383" w:rsidRDefault="00A46DCA" w:rsidP="00A26D04"/>
    <w:p w:rsidR="00A46DCA" w:rsidRDefault="00A46DCA" w:rsidP="00A26D04">
      <w:r w:rsidRPr="002E2383">
        <w:t xml:space="preserve">This chapter presents the </w:t>
      </w:r>
      <w:r>
        <w:t>revised budget</w:t>
      </w:r>
      <w:r w:rsidRPr="002E2383">
        <w:t xml:space="preserve"> position</w:t>
      </w:r>
      <w:r>
        <w:t xml:space="preserve"> </w:t>
      </w:r>
      <w:r w:rsidRPr="002E2383">
        <w:t xml:space="preserve">of the </w:t>
      </w:r>
      <w:r>
        <w:t>Victorian public</w:t>
      </w:r>
      <w:r w:rsidRPr="002E2383">
        <w:t xml:space="preserve"> sector</w:t>
      </w:r>
      <w:r>
        <w:t>, incorporating the general government sector, the public non</w:t>
      </w:r>
      <w:r>
        <w:noBreakHyphen/>
        <w:t>financial corporations (PNFC) sector and the public financial corporations (PFC) sector for the budget year and forward estimates.</w:t>
      </w:r>
    </w:p>
    <w:p w:rsidR="00A46DCA" w:rsidRDefault="00A46DCA" w:rsidP="00A26D04">
      <w:r>
        <w:t xml:space="preserve">This chapter also reconciles and explains any movements since the </w:t>
      </w:r>
      <w:r>
        <w:rPr>
          <w:i/>
        </w:rPr>
        <w:t>2017</w:t>
      </w:r>
      <w:r>
        <w:rPr>
          <w:i/>
        </w:rPr>
        <w:noBreakHyphen/>
        <w:t xml:space="preserve">18 Budget </w:t>
      </w:r>
      <w:r>
        <w:t>that affect the estimated net result from transactions, including the impact of new policy initiatives.</w:t>
      </w:r>
    </w:p>
    <w:p w:rsidR="00A46DCA" w:rsidRDefault="00A46DCA">
      <w:pPr>
        <w:keepLines w:val="0"/>
        <w:rPr>
          <w:rFonts w:asciiTheme="majorHAnsi" w:eastAsiaTheme="majorEastAsia" w:hAnsiTheme="majorHAnsi" w:cstheme="majorBidi"/>
          <w:b/>
          <w:bCs/>
          <w:caps/>
          <w:spacing w:val="-2"/>
          <w:sz w:val="26"/>
          <w:szCs w:val="28"/>
        </w:rPr>
      </w:pPr>
      <w:r>
        <w:br w:type="page"/>
      </w:r>
    </w:p>
    <w:p w:rsidR="00A46DCA" w:rsidRDefault="00A46DCA" w:rsidP="00A26D04">
      <w:pPr>
        <w:pStyle w:val="Heading10"/>
      </w:pPr>
      <w:bookmarkStart w:id="11" w:name="_Toc500179525"/>
      <w:bookmarkStart w:id="12" w:name="_Toc500435567"/>
      <w:r>
        <w:lastRenderedPageBreak/>
        <w:t>General government sector</w:t>
      </w:r>
      <w:bookmarkEnd w:id="11"/>
      <w:bookmarkEnd w:id="12"/>
    </w:p>
    <w:p w:rsidR="00A46DCA" w:rsidRDefault="00A46DCA" w:rsidP="00A26D04">
      <w:pPr>
        <w:pStyle w:val="Heading20"/>
      </w:pPr>
      <w:r>
        <w:t>Overview</w:t>
      </w:r>
    </w:p>
    <w:p w:rsidR="00A46DCA" w:rsidRDefault="00A46DCA" w:rsidP="00A26D04">
      <w:r w:rsidRPr="00E84509">
        <w:t xml:space="preserve">The operating result (net result from transactions) for the general government sector </w:t>
      </w:r>
      <w:r>
        <w:t xml:space="preserve">in 2017-18 </w:t>
      </w:r>
      <w:r w:rsidRPr="00E84509">
        <w:t xml:space="preserve">is </w:t>
      </w:r>
      <w:r>
        <w:t>forecast to be a surplus of $1.7</w:t>
      </w:r>
      <w:r w:rsidRPr="00E84509">
        <w:t> bil</w:t>
      </w:r>
      <w:r>
        <w:t>lion, with operating surpluses averaging $2.2 </w:t>
      </w:r>
      <w:r w:rsidRPr="00E84509">
        <w:t xml:space="preserve">billion over the forward estimates. </w:t>
      </w:r>
    </w:p>
    <w:p w:rsidR="00A46DCA" w:rsidRDefault="00A46DCA" w:rsidP="00A26D04">
      <w:r w:rsidRPr="00E84509">
        <w:t xml:space="preserve">Relative to the </w:t>
      </w:r>
      <w:r w:rsidRPr="00E84509">
        <w:rPr>
          <w:i/>
        </w:rPr>
        <w:t>2017-18 Budget</w:t>
      </w:r>
      <w:r w:rsidRPr="00E84509">
        <w:t>, the net result from transactions</w:t>
      </w:r>
      <w:r>
        <w:t xml:space="preserve"> in 2017-18</w:t>
      </w:r>
      <w:r w:rsidRPr="00E84509">
        <w:t xml:space="preserve"> has been </w:t>
      </w:r>
      <w:r>
        <w:t>revised up by $560</w:t>
      </w:r>
      <w:r w:rsidRPr="00E84509">
        <w:t> mil</w:t>
      </w:r>
      <w:r>
        <w:t xml:space="preserve">lion, reflecting stronger than expected taxation and GST revenue. </w:t>
      </w:r>
      <w:r w:rsidRPr="00E979E4">
        <w:t>The net result from transactions has been re</w:t>
      </w:r>
      <w:r>
        <w:t xml:space="preserve">vised down by an average of $253 </w:t>
      </w:r>
      <w:r w:rsidRPr="00E979E4">
        <w:t>m</w:t>
      </w:r>
      <w:r>
        <w:t>illion</w:t>
      </w:r>
      <w:r w:rsidRPr="00E979E4">
        <w:t xml:space="preserve"> in 2019-20 and 2020-21. </w:t>
      </w:r>
      <w:r w:rsidRPr="00A97E15">
        <w:t>This reflects the funding of new Government initiatives</w:t>
      </w:r>
      <w:r>
        <w:t xml:space="preserve"> to service a growing population</w:t>
      </w:r>
      <w:r w:rsidRPr="00A97E15">
        <w:t>, including the enhanced franchise agreements for operating Melbourne</w:t>
      </w:r>
      <w:r>
        <w:t>’s train and tram networks and</w:t>
      </w:r>
      <w:r w:rsidRPr="00A97E15">
        <w:t xml:space="preserve"> additional funding to support health services, including more elective surgery procedures.</w:t>
      </w:r>
    </w:p>
    <w:p w:rsidR="00A46DCA" w:rsidRPr="00004EEB" w:rsidRDefault="00A46DCA" w:rsidP="00A26D04">
      <w:pPr>
        <w:pStyle w:val="TableHeading"/>
        <w:rPr>
          <w:i/>
          <w:spacing w:val="-2"/>
          <w:sz w:val="14"/>
        </w:rPr>
      </w:pPr>
      <w:r w:rsidRPr="002E2383">
        <w:t xml:space="preserve">Table </w:t>
      </w:r>
      <w:r>
        <w:t>3.</w:t>
      </w:r>
      <w:r w:rsidRPr="002E2383">
        <w:t>1:</w:t>
      </w:r>
      <w:r w:rsidRPr="002E2383">
        <w:tab/>
        <w:t>General government fiscal aggregate</w:t>
      </w:r>
      <w:r>
        <w:t>s</w:t>
      </w:r>
    </w:p>
    <w:tbl>
      <w:tblPr>
        <w:tblStyle w:val="DTFTable"/>
        <w:tblW w:w="7765" w:type="dxa"/>
        <w:tblInd w:w="45" w:type="dxa"/>
        <w:tblLayout w:type="fixed"/>
        <w:tblCellMar>
          <w:left w:w="45" w:type="dxa"/>
          <w:right w:w="45" w:type="dxa"/>
        </w:tblCellMar>
        <w:tblLook w:val="06E0" w:firstRow="1" w:lastRow="1" w:firstColumn="1" w:lastColumn="0" w:noHBand="1" w:noVBand="1"/>
      </w:tblPr>
      <w:tblGrid>
        <w:gridCol w:w="3515"/>
        <w:gridCol w:w="850"/>
        <w:gridCol w:w="850"/>
        <w:gridCol w:w="850"/>
        <w:gridCol w:w="850"/>
        <w:gridCol w:w="850"/>
      </w:tblGrid>
      <w:tr w:rsidR="00A26D04" w:rsidRPr="00004EEB" w:rsidTr="00CA1219">
        <w:trPr>
          <w:cnfStyle w:val="100000000000" w:firstRow="1" w:lastRow="0" w:firstColumn="0" w:lastColumn="0" w:oddVBand="0" w:evenVBand="0" w:oddHBand="0" w:evenHBand="0" w:firstRowFirstColumn="0" w:firstRowLastColumn="0" w:lastRowFirstColumn="0" w:lastRowLastColumn="0"/>
          <w:trHeight w:val="66"/>
          <w:tblHeader/>
        </w:trPr>
        <w:tc>
          <w:tcPr>
            <w:cnfStyle w:val="001000000000" w:firstRow="0" w:lastRow="0" w:firstColumn="1" w:lastColumn="0" w:oddVBand="0" w:evenVBand="0" w:oddHBand="0" w:evenHBand="0" w:firstRowFirstColumn="0" w:firstRowLastColumn="0" w:lastRowFirstColumn="0" w:lastRowLastColumn="0"/>
            <w:tcW w:w="3515" w:type="dxa"/>
            <w:tcBorders>
              <w:top w:val="nil"/>
              <w:left w:val="nil"/>
              <w:right w:val="nil"/>
            </w:tcBorders>
            <w:shd w:val="solid" w:color="000000" w:fill="auto"/>
          </w:tcPr>
          <w:p w:rsidR="00A26D04" w:rsidRPr="00004EEB" w:rsidRDefault="00A26D04" w:rsidP="00A26D04">
            <w:pPr>
              <w:keepLines w:val="0"/>
              <w:autoSpaceDE w:val="0"/>
              <w:autoSpaceDN w:val="0"/>
              <w:adjustRightInd w:val="0"/>
              <w:rPr>
                <w:rFonts w:eastAsiaTheme="minorEastAsia" w:cs="Calibri"/>
                <w:iCs/>
                <w:color w:val="FFFFFF"/>
                <w:lang w:eastAsia="en-AU"/>
              </w:rPr>
            </w:pPr>
            <w:r w:rsidRPr="00004EEB">
              <w:rPr>
                <w:rFonts w:eastAsiaTheme="minorEastAsia" w:cs="Calibri"/>
                <w:iCs/>
                <w:color w:val="FFFFFF"/>
                <w:lang w:eastAsia="en-AU"/>
              </w:rPr>
              <w:t xml:space="preserve">  </w:t>
            </w:r>
          </w:p>
        </w:tc>
        <w:tc>
          <w:tcPr>
            <w:tcW w:w="850" w:type="dxa"/>
            <w:tcBorders>
              <w:top w:val="nil"/>
              <w:left w:val="nil"/>
              <w:right w:val="nil"/>
            </w:tcBorders>
            <w:shd w:val="solid" w:color="000000" w:fill="auto"/>
          </w:tcPr>
          <w:p w:rsidR="00A26D04" w:rsidRPr="00004EEB" w:rsidRDefault="00A26D04" w:rsidP="00CA1219">
            <w:pPr>
              <w:keepLines w:val="0"/>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004EEB">
              <w:rPr>
                <w:rFonts w:eastAsiaTheme="minorEastAsia" w:cs="Calibri"/>
                <w:iCs/>
                <w:color w:val="FFFFFF"/>
                <w:szCs w:val="18"/>
                <w:lang w:eastAsia="en-AU"/>
              </w:rPr>
              <w:t>Unit of</w:t>
            </w:r>
            <w:r>
              <w:rPr>
                <w:rFonts w:eastAsiaTheme="minorEastAsia" w:cs="Calibri"/>
                <w:iCs/>
                <w:color w:val="FFFFFF"/>
                <w:szCs w:val="18"/>
                <w:lang w:eastAsia="en-AU"/>
              </w:rPr>
              <w:br/>
            </w:r>
            <w:r w:rsidRPr="00004EEB">
              <w:rPr>
                <w:rFonts w:eastAsiaTheme="minorEastAsia" w:cs="Calibri"/>
                <w:iCs/>
                <w:color w:val="FFFFFF"/>
                <w:szCs w:val="18"/>
                <w:lang w:eastAsia="en-AU"/>
              </w:rPr>
              <w:t>measure</w:t>
            </w:r>
          </w:p>
        </w:tc>
        <w:tc>
          <w:tcPr>
            <w:tcW w:w="850" w:type="dxa"/>
            <w:tcBorders>
              <w:top w:val="nil"/>
              <w:left w:val="nil"/>
              <w:right w:val="nil"/>
            </w:tcBorders>
            <w:shd w:val="solid" w:color="000000" w:fill="auto"/>
          </w:tcPr>
          <w:p w:rsidR="00A26D04" w:rsidRPr="00004EEB" w:rsidRDefault="00A26D04" w:rsidP="00A26D0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004EEB">
              <w:rPr>
                <w:rFonts w:eastAsiaTheme="minorEastAsia" w:cs="Calibri"/>
                <w:iCs/>
                <w:color w:val="FFFFFF"/>
                <w:szCs w:val="18"/>
                <w:lang w:eastAsia="en-AU"/>
              </w:rPr>
              <w:t>2017-18</w:t>
            </w:r>
            <w:r>
              <w:rPr>
                <w:rFonts w:eastAsiaTheme="minorEastAsia" w:cs="Calibri"/>
                <w:iCs/>
                <w:color w:val="FFFFFF"/>
                <w:szCs w:val="18"/>
                <w:lang w:eastAsia="en-AU"/>
              </w:rPr>
              <w:br/>
            </w:r>
            <w:r w:rsidRPr="00004EEB">
              <w:rPr>
                <w:rFonts w:eastAsiaTheme="minorEastAsia" w:cs="Calibri"/>
                <w:iCs/>
                <w:color w:val="FFFFFF"/>
                <w:szCs w:val="18"/>
                <w:lang w:eastAsia="en-AU"/>
              </w:rPr>
              <w:t>revised</w:t>
            </w:r>
          </w:p>
        </w:tc>
        <w:tc>
          <w:tcPr>
            <w:tcW w:w="850" w:type="dxa"/>
            <w:tcBorders>
              <w:top w:val="nil"/>
              <w:left w:val="nil"/>
              <w:right w:val="nil"/>
            </w:tcBorders>
            <w:shd w:val="solid" w:color="000000" w:fill="auto"/>
          </w:tcPr>
          <w:p w:rsidR="00A26D04" w:rsidRPr="00004EEB" w:rsidRDefault="00A26D04" w:rsidP="00A26D0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004EEB">
              <w:rPr>
                <w:rFonts w:eastAsiaTheme="minorEastAsia" w:cs="Calibri"/>
                <w:iCs/>
                <w:color w:val="FFFFFF"/>
                <w:szCs w:val="18"/>
                <w:lang w:eastAsia="en-AU"/>
              </w:rPr>
              <w:t>2018-19</w:t>
            </w:r>
            <w:r>
              <w:rPr>
                <w:rFonts w:eastAsiaTheme="minorEastAsia" w:cs="Calibri"/>
                <w:iCs/>
                <w:color w:val="FFFFFF"/>
                <w:szCs w:val="18"/>
                <w:lang w:eastAsia="en-AU"/>
              </w:rPr>
              <w:br/>
            </w:r>
            <w:r w:rsidRPr="00004EEB">
              <w:rPr>
                <w:rFonts w:eastAsiaTheme="minorEastAsia" w:cs="Calibri"/>
                <w:iCs/>
                <w:color w:val="FFFFFF"/>
                <w:szCs w:val="18"/>
                <w:lang w:eastAsia="en-AU"/>
              </w:rPr>
              <w:t>estimate</w:t>
            </w:r>
          </w:p>
        </w:tc>
        <w:tc>
          <w:tcPr>
            <w:tcW w:w="850" w:type="dxa"/>
            <w:tcBorders>
              <w:top w:val="nil"/>
              <w:left w:val="nil"/>
              <w:right w:val="nil"/>
            </w:tcBorders>
            <w:shd w:val="solid" w:color="000000" w:fill="auto"/>
          </w:tcPr>
          <w:p w:rsidR="00A26D04" w:rsidRPr="00004EEB" w:rsidRDefault="00A26D04" w:rsidP="00A26D0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004EEB">
              <w:rPr>
                <w:rFonts w:eastAsiaTheme="minorEastAsia" w:cs="Calibri"/>
                <w:iCs/>
                <w:color w:val="FFFFFF"/>
                <w:szCs w:val="18"/>
                <w:lang w:eastAsia="en-AU"/>
              </w:rPr>
              <w:t>2019-20</w:t>
            </w:r>
            <w:r>
              <w:rPr>
                <w:rFonts w:eastAsiaTheme="minorEastAsia" w:cs="Calibri"/>
                <w:iCs/>
                <w:color w:val="FFFFFF"/>
                <w:szCs w:val="18"/>
                <w:lang w:eastAsia="en-AU"/>
              </w:rPr>
              <w:br/>
            </w:r>
            <w:r w:rsidRPr="00004EEB">
              <w:rPr>
                <w:rFonts w:eastAsiaTheme="minorEastAsia" w:cs="Calibri"/>
                <w:iCs/>
                <w:color w:val="FFFFFF"/>
                <w:szCs w:val="18"/>
                <w:lang w:eastAsia="en-AU"/>
              </w:rPr>
              <w:t>estimate</w:t>
            </w:r>
          </w:p>
        </w:tc>
        <w:tc>
          <w:tcPr>
            <w:tcW w:w="850" w:type="dxa"/>
            <w:tcBorders>
              <w:top w:val="nil"/>
              <w:left w:val="nil"/>
              <w:right w:val="nil"/>
            </w:tcBorders>
            <w:shd w:val="solid" w:color="000000" w:fill="auto"/>
          </w:tcPr>
          <w:p w:rsidR="00A26D04" w:rsidRPr="00004EEB" w:rsidRDefault="00A26D04" w:rsidP="00A26D0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004EEB">
              <w:rPr>
                <w:rFonts w:eastAsiaTheme="minorEastAsia" w:cs="Calibri"/>
                <w:iCs/>
                <w:color w:val="FFFFFF"/>
                <w:szCs w:val="18"/>
                <w:lang w:eastAsia="en-AU"/>
              </w:rPr>
              <w:t>2020-21</w:t>
            </w:r>
            <w:r>
              <w:rPr>
                <w:rFonts w:eastAsiaTheme="minorEastAsia" w:cs="Calibri"/>
                <w:iCs/>
                <w:color w:val="FFFFFF"/>
                <w:szCs w:val="18"/>
                <w:lang w:eastAsia="en-AU"/>
              </w:rPr>
              <w:br/>
            </w:r>
            <w:r w:rsidRPr="00004EEB">
              <w:rPr>
                <w:rFonts w:eastAsiaTheme="minorEastAsia" w:cs="Calibri"/>
                <w:iCs/>
                <w:color w:val="FFFFFF"/>
                <w:szCs w:val="18"/>
                <w:lang w:eastAsia="en-AU"/>
              </w:rPr>
              <w:t>estimate</w:t>
            </w:r>
          </w:p>
        </w:tc>
      </w:tr>
      <w:tr w:rsidR="00A46DCA" w:rsidRPr="00004EEB" w:rsidTr="00A26D04">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A46DCA" w:rsidRPr="00004EEB" w:rsidRDefault="00A46DCA" w:rsidP="00A26D04">
            <w:pPr>
              <w:keepLines w:val="0"/>
              <w:autoSpaceDE w:val="0"/>
              <w:autoSpaceDN w:val="0"/>
              <w:adjustRightInd w:val="0"/>
              <w:rPr>
                <w:rFonts w:eastAsiaTheme="minorEastAsia" w:cs="Calibri"/>
                <w:color w:val="000000"/>
                <w:szCs w:val="18"/>
                <w:lang w:eastAsia="en-AU"/>
              </w:rPr>
            </w:pPr>
            <w:r w:rsidRPr="00004EEB">
              <w:rPr>
                <w:rFonts w:eastAsiaTheme="minorEastAsia" w:cs="Calibri"/>
                <w:color w:val="000000"/>
                <w:szCs w:val="18"/>
                <w:lang w:eastAsia="en-AU"/>
              </w:rPr>
              <w:t>Net result from transactions</w:t>
            </w:r>
          </w:p>
        </w:tc>
        <w:tc>
          <w:tcPr>
            <w:tcW w:w="850" w:type="dxa"/>
            <w:tcBorders>
              <w:top w:val="nil"/>
              <w:left w:val="nil"/>
              <w:bottom w:val="nil"/>
              <w:right w:val="nil"/>
            </w:tcBorders>
          </w:tcPr>
          <w:p w:rsidR="00A46DCA" w:rsidRPr="00004EEB" w:rsidRDefault="00A46DCA" w:rsidP="00CA1219">
            <w:pPr>
              <w:keepLines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004EEB">
              <w:rPr>
                <w:rFonts w:eastAsiaTheme="minorEastAsia" w:cs="Calibri"/>
                <w:color w:val="000000"/>
                <w:szCs w:val="18"/>
                <w:lang w:eastAsia="en-AU"/>
              </w:rPr>
              <w:t>$ billion</w:t>
            </w:r>
          </w:p>
        </w:tc>
        <w:tc>
          <w:tcPr>
            <w:tcW w:w="850" w:type="dxa"/>
            <w:tcBorders>
              <w:top w:val="nil"/>
              <w:left w:val="nil"/>
              <w:bottom w:val="nil"/>
              <w:right w:val="nil"/>
            </w:tcBorders>
          </w:tcPr>
          <w:p w:rsidR="00A46DCA" w:rsidRPr="00004EEB"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1.7</w:t>
            </w:r>
          </w:p>
        </w:tc>
        <w:tc>
          <w:tcPr>
            <w:tcW w:w="850" w:type="dxa"/>
            <w:tcBorders>
              <w:top w:val="nil"/>
              <w:left w:val="nil"/>
              <w:bottom w:val="nil"/>
              <w:right w:val="nil"/>
            </w:tcBorders>
          </w:tcPr>
          <w:p w:rsidR="00A46DCA" w:rsidRPr="00004EEB"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2.1</w:t>
            </w:r>
          </w:p>
        </w:tc>
        <w:tc>
          <w:tcPr>
            <w:tcW w:w="850" w:type="dxa"/>
            <w:tcBorders>
              <w:top w:val="nil"/>
              <w:left w:val="nil"/>
              <w:bottom w:val="nil"/>
              <w:right w:val="nil"/>
            </w:tcBorders>
          </w:tcPr>
          <w:p w:rsidR="00A46DCA" w:rsidRPr="00004EEB"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2.0</w:t>
            </w:r>
          </w:p>
        </w:tc>
        <w:tc>
          <w:tcPr>
            <w:tcW w:w="850" w:type="dxa"/>
            <w:tcBorders>
              <w:top w:val="nil"/>
              <w:left w:val="nil"/>
              <w:bottom w:val="nil"/>
              <w:right w:val="nil"/>
            </w:tcBorders>
          </w:tcPr>
          <w:p w:rsidR="00A46DCA" w:rsidRPr="00004EEB"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2.6</w:t>
            </w:r>
          </w:p>
        </w:tc>
      </w:tr>
      <w:tr w:rsidR="00A46DCA" w:rsidRPr="00004EEB" w:rsidTr="00A26D04">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A46DCA" w:rsidRPr="00004EEB" w:rsidRDefault="00A46DCA" w:rsidP="00A26D04">
            <w:pPr>
              <w:keepLines w:val="0"/>
              <w:autoSpaceDE w:val="0"/>
              <w:autoSpaceDN w:val="0"/>
              <w:adjustRightInd w:val="0"/>
              <w:rPr>
                <w:rFonts w:eastAsiaTheme="minorEastAsia" w:cs="Calibri"/>
                <w:color w:val="000000"/>
                <w:szCs w:val="18"/>
                <w:lang w:eastAsia="en-AU"/>
              </w:rPr>
            </w:pPr>
            <w:r w:rsidRPr="00004EEB">
              <w:rPr>
                <w:rFonts w:eastAsiaTheme="minorEastAsia" w:cs="Calibri"/>
                <w:color w:val="000000"/>
                <w:szCs w:val="18"/>
                <w:lang w:eastAsia="en-AU"/>
              </w:rPr>
              <w:t xml:space="preserve">Government infrastructure investment </w:t>
            </w:r>
            <w:r w:rsidRPr="00004EEB">
              <w:rPr>
                <w:rFonts w:eastAsiaTheme="minorEastAsia" w:cs="Calibri"/>
                <w:color w:val="000000"/>
                <w:szCs w:val="18"/>
                <w:vertAlign w:val="superscript"/>
                <w:lang w:eastAsia="en-AU"/>
              </w:rPr>
              <w:t>(a)(b)</w:t>
            </w:r>
          </w:p>
        </w:tc>
        <w:tc>
          <w:tcPr>
            <w:tcW w:w="850" w:type="dxa"/>
            <w:tcBorders>
              <w:top w:val="nil"/>
              <w:left w:val="nil"/>
              <w:bottom w:val="nil"/>
              <w:right w:val="nil"/>
            </w:tcBorders>
          </w:tcPr>
          <w:p w:rsidR="00A46DCA" w:rsidRPr="00004EEB" w:rsidRDefault="00A46DCA" w:rsidP="00CA1219">
            <w:pPr>
              <w:keepLines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004EEB">
              <w:rPr>
                <w:rFonts w:eastAsiaTheme="minorEastAsia" w:cs="Calibri"/>
                <w:color w:val="000000"/>
                <w:szCs w:val="18"/>
                <w:lang w:eastAsia="en-AU"/>
              </w:rPr>
              <w:t>$ billion</w:t>
            </w:r>
          </w:p>
        </w:tc>
        <w:tc>
          <w:tcPr>
            <w:tcW w:w="850" w:type="dxa"/>
            <w:tcBorders>
              <w:top w:val="nil"/>
              <w:left w:val="nil"/>
              <w:bottom w:val="nil"/>
              <w:right w:val="nil"/>
            </w:tcBorders>
          </w:tcPr>
          <w:p w:rsidR="00A46DCA" w:rsidRPr="00004EEB"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10.6</w:t>
            </w:r>
          </w:p>
        </w:tc>
        <w:tc>
          <w:tcPr>
            <w:tcW w:w="850" w:type="dxa"/>
            <w:tcBorders>
              <w:top w:val="nil"/>
              <w:left w:val="nil"/>
              <w:bottom w:val="nil"/>
              <w:right w:val="nil"/>
            </w:tcBorders>
          </w:tcPr>
          <w:p w:rsidR="00A46DCA" w:rsidRPr="00004EEB"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10.7</w:t>
            </w:r>
          </w:p>
        </w:tc>
        <w:tc>
          <w:tcPr>
            <w:tcW w:w="850" w:type="dxa"/>
            <w:tcBorders>
              <w:top w:val="nil"/>
              <w:left w:val="nil"/>
              <w:bottom w:val="nil"/>
              <w:right w:val="nil"/>
            </w:tcBorders>
          </w:tcPr>
          <w:p w:rsidR="00A46DCA" w:rsidRPr="00004EEB"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10.3</w:t>
            </w:r>
          </w:p>
        </w:tc>
        <w:tc>
          <w:tcPr>
            <w:tcW w:w="850" w:type="dxa"/>
            <w:tcBorders>
              <w:top w:val="nil"/>
              <w:left w:val="nil"/>
              <w:bottom w:val="nil"/>
              <w:right w:val="nil"/>
            </w:tcBorders>
          </w:tcPr>
          <w:p w:rsidR="00A46DCA" w:rsidRPr="00004EEB"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9.0</w:t>
            </w:r>
          </w:p>
        </w:tc>
      </w:tr>
      <w:tr w:rsidR="00A46DCA" w:rsidRPr="00004EEB" w:rsidTr="00A26D04">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A46DCA" w:rsidRPr="00004EEB" w:rsidRDefault="00A46DCA" w:rsidP="00A26D04">
            <w:pPr>
              <w:keepLines w:val="0"/>
              <w:autoSpaceDE w:val="0"/>
              <w:autoSpaceDN w:val="0"/>
              <w:adjustRightInd w:val="0"/>
              <w:rPr>
                <w:rFonts w:eastAsiaTheme="minorEastAsia" w:cs="Calibri"/>
                <w:color w:val="000000"/>
                <w:szCs w:val="18"/>
                <w:lang w:eastAsia="en-AU"/>
              </w:rPr>
            </w:pPr>
            <w:r w:rsidRPr="00004EEB">
              <w:rPr>
                <w:rFonts w:eastAsiaTheme="minorEastAsia" w:cs="Calibri"/>
                <w:color w:val="000000"/>
                <w:szCs w:val="18"/>
                <w:lang w:eastAsia="en-AU"/>
              </w:rPr>
              <w:t>Net debt</w:t>
            </w:r>
          </w:p>
        </w:tc>
        <w:tc>
          <w:tcPr>
            <w:tcW w:w="850" w:type="dxa"/>
            <w:tcBorders>
              <w:top w:val="nil"/>
              <w:left w:val="nil"/>
              <w:bottom w:val="nil"/>
              <w:right w:val="nil"/>
            </w:tcBorders>
          </w:tcPr>
          <w:p w:rsidR="00A46DCA" w:rsidRPr="00004EEB" w:rsidRDefault="00A46DCA" w:rsidP="00CA1219">
            <w:pPr>
              <w:keepLines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004EEB">
              <w:rPr>
                <w:rFonts w:eastAsiaTheme="minorEastAsia" w:cs="Calibri"/>
                <w:color w:val="000000"/>
                <w:szCs w:val="18"/>
                <w:lang w:eastAsia="en-AU"/>
              </w:rPr>
              <w:t>$ billion</w:t>
            </w:r>
          </w:p>
        </w:tc>
        <w:tc>
          <w:tcPr>
            <w:tcW w:w="850" w:type="dxa"/>
            <w:tcBorders>
              <w:top w:val="nil"/>
              <w:left w:val="nil"/>
              <w:bottom w:val="nil"/>
              <w:right w:val="nil"/>
            </w:tcBorders>
          </w:tcPr>
          <w:p w:rsidR="00A46DCA" w:rsidRPr="00004EEB"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21.6</w:t>
            </w:r>
          </w:p>
        </w:tc>
        <w:tc>
          <w:tcPr>
            <w:tcW w:w="850" w:type="dxa"/>
            <w:tcBorders>
              <w:top w:val="nil"/>
              <w:left w:val="nil"/>
              <w:bottom w:val="nil"/>
              <w:right w:val="nil"/>
            </w:tcBorders>
          </w:tcPr>
          <w:p w:rsidR="00A46DCA" w:rsidRPr="00004EEB"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23.6</w:t>
            </w:r>
          </w:p>
        </w:tc>
        <w:tc>
          <w:tcPr>
            <w:tcW w:w="850" w:type="dxa"/>
            <w:tcBorders>
              <w:top w:val="nil"/>
              <w:left w:val="nil"/>
              <w:bottom w:val="nil"/>
              <w:right w:val="nil"/>
            </w:tcBorders>
          </w:tcPr>
          <w:p w:rsidR="00A46DCA" w:rsidRPr="00004EEB"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26.1</w:t>
            </w:r>
          </w:p>
        </w:tc>
        <w:tc>
          <w:tcPr>
            <w:tcW w:w="850" w:type="dxa"/>
            <w:tcBorders>
              <w:top w:val="nil"/>
              <w:left w:val="nil"/>
              <w:bottom w:val="nil"/>
              <w:right w:val="nil"/>
            </w:tcBorders>
          </w:tcPr>
          <w:p w:rsidR="00A46DCA" w:rsidRPr="00004EEB"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28.2</w:t>
            </w:r>
          </w:p>
        </w:tc>
      </w:tr>
      <w:tr w:rsidR="00A46DCA" w:rsidRPr="00004EEB" w:rsidTr="00A26D04">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5" w:type="dxa"/>
            <w:tcBorders>
              <w:top w:val="nil"/>
              <w:bottom w:val="single" w:sz="12" w:space="0" w:color="000000"/>
            </w:tcBorders>
          </w:tcPr>
          <w:p w:rsidR="00A46DCA" w:rsidRPr="00BF448F" w:rsidRDefault="00A46DCA" w:rsidP="00A26D04">
            <w:pPr>
              <w:keepLines w:val="0"/>
              <w:autoSpaceDE w:val="0"/>
              <w:autoSpaceDN w:val="0"/>
              <w:adjustRightInd w:val="0"/>
              <w:rPr>
                <w:rFonts w:eastAsiaTheme="minorEastAsia" w:cs="Calibri"/>
                <w:b w:val="0"/>
                <w:color w:val="000000"/>
                <w:szCs w:val="18"/>
                <w:lang w:eastAsia="en-AU"/>
              </w:rPr>
            </w:pPr>
            <w:r w:rsidRPr="00BF448F">
              <w:rPr>
                <w:rFonts w:eastAsiaTheme="minorEastAsia" w:cs="Calibri"/>
                <w:b w:val="0"/>
                <w:color w:val="000000"/>
                <w:szCs w:val="18"/>
                <w:lang w:eastAsia="en-AU"/>
              </w:rPr>
              <w:t>Net debt to GSP</w:t>
            </w:r>
          </w:p>
        </w:tc>
        <w:tc>
          <w:tcPr>
            <w:tcW w:w="850" w:type="dxa"/>
            <w:tcBorders>
              <w:top w:val="nil"/>
              <w:bottom w:val="single" w:sz="12" w:space="0" w:color="000000"/>
            </w:tcBorders>
          </w:tcPr>
          <w:p w:rsidR="00A46DCA" w:rsidRPr="00BF448F" w:rsidRDefault="00A46DCA" w:rsidP="00CA1219">
            <w:pPr>
              <w:keepLines w:val="0"/>
              <w:autoSpaceDE w:val="0"/>
              <w:autoSpaceDN w:val="0"/>
              <w:adjustRightInd w:val="0"/>
              <w:jc w:val="center"/>
              <w:cnfStyle w:val="010000000000" w:firstRow="0" w:lastRow="1" w:firstColumn="0" w:lastColumn="0" w:oddVBand="0" w:evenVBand="0" w:oddHBand="0" w:evenHBand="0" w:firstRowFirstColumn="0" w:firstRowLastColumn="0" w:lastRowFirstColumn="0" w:lastRowLastColumn="0"/>
              <w:rPr>
                <w:rFonts w:eastAsiaTheme="minorEastAsia" w:cs="Calibri"/>
                <w:b w:val="0"/>
                <w:color w:val="000000"/>
                <w:szCs w:val="18"/>
                <w:lang w:eastAsia="en-AU"/>
              </w:rPr>
            </w:pPr>
            <w:r w:rsidRPr="00BF448F">
              <w:rPr>
                <w:rFonts w:eastAsiaTheme="minorEastAsia" w:cs="Calibri"/>
                <w:b w:val="0"/>
                <w:color w:val="000000"/>
                <w:szCs w:val="18"/>
                <w:lang w:eastAsia="en-AU"/>
              </w:rPr>
              <w:t>per cent</w:t>
            </w:r>
          </w:p>
        </w:tc>
        <w:tc>
          <w:tcPr>
            <w:tcW w:w="850" w:type="dxa"/>
            <w:tcBorders>
              <w:top w:val="nil"/>
              <w:bottom w:val="single" w:sz="12" w:space="0" w:color="000000"/>
            </w:tcBorders>
          </w:tcPr>
          <w:p w:rsidR="00A46DCA" w:rsidRPr="00BF448F" w:rsidRDefault="00A46DCA" w:rsidP="00A26D0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 w:val="0"/>
                <w:color w:val="000000"/>
                <w:szCs w:val="18"/>
                <w:lang w:eastAsia="en-AU"/>
              </w:rPr>
            </w:pPr>
            <w:r w:rsidRPr="00BF448F">
              <w:rPr>
                <w:rFonts w:eastAsiaTheme="minorEastAsia" w:cs="Calibri"/>
                <w:b w:val="0"/>
                <w:color w:val="000000"/>
                <w:szCs w:val="18"/>
                <w:lang w:eastAsia="en-AU"/>
              </w:rPr>
              <w:t>5.1</w:t>
            </w:r>
          </w:p>
        </w:tc>
        <w:tc>
          <w:tcPr>
            <w:tcW w:w="850" w:type="dxa"/>
            <w:tcBorders>
              <w:top w:val="nil"/>
              <w:bottom w:val="single" w:sz="12" w:space="0" w:color="000000"/>
            </w:tcBorders>
          </w:tcPr>
          <w:p w:rsidR="00A46DCA" w:rsidRPr="00BF448F" w:rsidRDefault="00A46DCA" w:rsidP="00A26D0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 w:val="0"/>
                <w:color w:val="000000"/>
                <w:szCs w:val="18"/>
                <w:lang w:eastAsia="en-AU"/>
              </w:rPr>
            </w:pPr>
            <w:r w:rsidRPr="00BF448F">
              <w:rPr>
                <w:rFonts w:eastAsiaTheme="minorEastAsia" w:cs="Calibri"/>
                <w:b w:val="0"/>
                <w:color w:val="000000"/>
                <w:szCs w:val="18"/>
                <w:lang w:eastAsia="en-AU"/>
              </w:rPr>
              <w:t>5.3</w:t>
            </w:r>
          </w:p>
        </w:tc>
        <w:tc>
          <w:tcPr>
            <w:tcW w:w="850" w:type="dxa"/>
            <w:tcBorders>
              <w:top w:val="nil"/>
              <w:bottom w:val="single" w:sz="12" w:space="0" w:color="000000"/>
            </w:tcBorders>
          </w:tcPr>
          <w:p w:rsidR="00A46DCA" w:rsidRPr="00BF448F" w:rsidRDefault="00A46DCA" w:rsidP="00A26D0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 w:val="0"/>
                <w:color w:val="000000"/>
                <w:szCs w:val="18"/>
                <w:lang w:eastAsia="en-AU"/>
              </w:rPr>
            </w:pPr>
            <w:r w:rsidRPr="00BF448F">
              <w:rPr>
                <w:rFonts w:eastAsiaTheme="minorEastAsia" w:cs="Calibri"/>
                <w:b w:val="0"/>
                <w:color w:val="000000"/>
                <w:szCs w:val="18"/>
                <w:lang w:eastAsia="en-AU"/>
              </w:rPr>
              <w:t>5.5</w:t>
            </w:r>
          </w:p>
        </w:tc>
        <w:tc>
          <w:tcPr>
            <w:tcW w:w="850" w:type="dxa"/>
            <w:tcBorders>
              <w:top w:val="nil"/>
              <w:bottom w:val="single" w:sz="12" w:space="0" w:color="000000"/>
            </w:tcBorders>
          </w:tcPr>
          <w:p w:rsidR="00A46DCA" w:rsidRPr="00BF448F" w:rsidRDefault="00A46DCA" w:rsidP="00A26D0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 w:val="0"/>
                <w:color w:val="000000"/>
                <w:szCs w:val="18"/>
                <w:lang w:eastAsia="en-AU"/>
              </w:rPr>
            </w:pPr>
            <w:r w:rsidRPr="00BF448F">
              <w:rPr>
                <w:rFonts w:eastAsiaTheme="minorEastAsia" w:cs="Calibri"/>
                <w:b w:val="0"/>
                <w:color w:val="000000"/>
                <w:szCs w:val="18"/>
                <w:lang w:eastAsia="en-AU"/>
              </w:rPr>
              <w:t>5.7</w:t>
            </w:r>
          </w:p>
        </w:tc>
      </w:tr>
    </w:tbl>
    <w:p w:rsidR="00A46DCA" w:rsidRPr="002E2383" w:rsidRDefault="00A46DCA" w:rsidP="00A26D04">
      <w:pPr>
        <w:pStyle w:val="Note"/>
      </w:pPr>
      <w:r w:rsidRPr="002E2383">
        <w:t>Source: Department of Treasury and Finance</w:t>
      </w:r>
    </w:p>
    <w:p w:rsidR="00A46DCA" w:rsidRDefault="00A46DCA" w:rsidP="00A26D04">
      <w:pPr>
        <w:pStyle w:val="Note"/>
      </w:pPr>
      <w:r>
        <w:t>Notes:</w:t>
      </w:r>
    </w:p>
    <w:p w:rsidR="00A46DCA" w:rsidRPr="004513AF" w:rsidRDefault="00A46DCA" w:rsidP="00A26D04">
      <w:pPr>
        <w:pStyle w:val="Note"/>
      </w:pPr>
      <w:r>
        <w:t>(a</w:t>
      </w:r>
      <w:r w:rsidRPr="002E2383">
        <w:t>)</w:t>
      </w:r>
      <w:r w:rsidRPr="002E2383">
        <w:tab/>
      </w:r>
      <w:r w:rsidRPr="004513AF">
        <w:t>Includes general government net infrastructu</w:t>
      </w:r>
      <w:r>
        <w:t xml:space="preserve">re investment and estimated cash </w:t>
      </w:r>
      <w:r w:rsidRPr="004513AF">
        <w:t xml:space="preserve">flows for </w:t>
      </w:r>
      <w:r w:rsidRPr="00FF536B">
        <w:t>Partnerships Victoria</w:t>
      </w:r>
      <w:r w:rsidRPr="004513AF">
        <w:t xml:space="preserve"> projects</w:t>
      </w:r>
      <w:r w:rsidRPr="00965A08">
        <w:t xml:space="preserve"> </w:t>
      </w:r>
      <w:r w:rsidRPr="00304A44">
        <w:t>and the State contribution to the West Gate Tunnel Project</w:t>
      </w:r>
      <w:r w:rsidRPr="004513AF">
        <w:t>.</w:t>
      </w:r>
    </w:p>
    <w:p w:rsidR="00A46DCA" w:rsidRDefault="00A46DCA" w:rsidP="00A26D04">
      <w:pPr>
        <w:pStyle w:val="Note"/>
      </w:pPr>
      <w:r w:rsidRPr="004513AF">
        <w:t>(b)</w:t>
      </w:r>
      <w:r w:rsidRPr="004513AF">
        <w:tab/>
        <w:t>Excludes the impact</w:t>
      </w:r>
      <w:r>
        <w:t xml:space="preserve"> </w:t>
      </w:r>
      <w:r w:rsidRPr="004513AF">
        <w:t>of the medium</w:t>
      </w:r>
      <w:r>
        <w:noBreakHyphen/>
      </w:r>
      <w:r w:rsidRPr="004513AF">
        <w:t>term lease over the opera</w:t>
      </w:r>
      <w:r>
        <w:t>tions of the Port of Melbourne.</w:t>
      </w:r>
    </w:p>
    <w:p w:rsidR="00A46DCA" w:rsidRDefault="00A46DCA" w:rsidP="00A26D04">
      <w:pPr>
        <w:pStyle w:val="Note"/>
      </w:pPr>
    </w:p>
    <w:p w:rsidR="00A46DCA" w:rsidRPr="00E84509" w:rsidRDefault="00A46DCA" w:rsidP="00A26D04">
      <w:r w:rsidRPr="00E84509">
        <w:t>Infrastructure invest</w:t>
      </w:r>
      <w:r>
        <w:t>ment, as measured by GII, will average $10.2</w:t>
      </w:r>
      <w:r w:rsidRPr="00E84509">
        <w:t xml:space="preserve"> billion a year </w:t>
      </w:r>
      <w:r>
        <w:t>over the next four years. The historical average was $4.9</w:t>
      </w:r>
      <w:r w:rsidRPr="00E84509">
        <w:t xml:space="preserve"> billion a</w:t>
      </w:r>
      <w:r>
        <w:t xml:space="preserve"> year from 2005-06 to 2014</w:t>
      </w:r>
      <w:r>
        <w:noBreakHyphen/>
        <w:t>15</w:t>
      </w:r>
      <w:r w:rsidRPr="00E84509">
        <w:t xml:space="preserve">. </w:t>
      </w:r>
    </w:p>
    <w:p w:rsidR="00A46DCA" w:rsidRDefault="00A46DCA" w:rsidP="00A26D04">
      <w:r>
        <w:t xml:space="preserve">Relative to the </w:t>
      </w:r>
      <w:r w:rsidRPr="00D11A81">
        <w:rPr>
          <w:i/>
        </w:rPr>
        <w:t>2017-18 Budget</w:t>
      </w:r>
      <w:r>
        <w:t xml:space="preserve">, net debt to GSP has eased over the budget and forward estimates. </w:t>
      </w:r>
      <w:r w:rsidRPr="00E84509">
        <w:t>Net debt as a proport</w:t>
      </w:r>
      <w:r>
        <w:t>ion of GSP is expected to be 5.1</w:t>
      </w:r>
      <w:r w:rsidRPr="00E84509">
        <w:t xml:space="preserve"> per cent </w:t>
      </w:r>
      <w:r>
        <w:t>at June 2018, increasing to 5.7 </w:t>
      </w:r>
      <w:r w:rsidRPr="00E84509">
        <w:t>per</w:t>
      </w:r>
      <w:r>
        <w:t xml:space="preserve"> cent by June 2021, compared to </w:t>
      </w:r>
      <w:r w:rsidRPr="00D11A81">
        <w:t xml:space="preserve">6.0 per cent </w:t>
      </w:r>
      <w:r>
        <w:t xml:space="preserve">expected at the end of the forward estimates in the </w:t>
      </w:r>
      <w:r w:rsidRPr="00D11A81">
        <w:rPr>
          <w:i/>
        </w:rPr>
        <w:t>2017-18 Budget</w:t>
      </w:r>
      <w:r>
        <w:rPr>
          <w:i/>
        </w:rPr>
        <w:t>.</w:t>
      </w:r>
    </w:p>
    <w:p w:rsidR="00A46DCA" w:rsidRDefault="00A46DCA" w:rsidP="00A26D04"/>
    <w:p w:rsidR="00A46DCA" w:rsidRPr="00952908" w:rsidRDefault="00A46DCA" w:rsidP="00A26D04"/>
    <w:p w:rsidR="00A46DCA" w:rsidRDefault="00A46DCA">
      <w:pPr>
        <w:keepLines w:val="0"/>
        <w:rPr>
          <w:rFonts w:asciiTheme="majorHAnsi" w:eastAsiaTheme="majorEastAsia" w:hAnsiTheme="majorHAnsi" w:cstheme="majorBidi"/>
          <w:b/>
          <w:bCs/>
          <w:caps/>
          <w:spacing w:val="-2"/>
          <w:sz w:val="26"/>
          <w:szCs w:val="28"/>
        </w:rPr>
      </w:pPr>
      <w:r>
        <w:br w:type="page"/>
      </w:r>
    </w:p>
    <w:p w:rsidR="00A46DCA" w:rsidRDefault="00A46DCA" w:rsidP="00A26D04">
      <w:pPr>
        <w:pStyle w:val="Heading10"/>
      </w:pPr>
      <w:bookmarkStart w:id="13" w:name="_Toc500179526"/>
      <w:bookmarkStart w:id="14" w:name="_Toc500435568"/>
      <w:r>
        <w:lastRenderedPageBreak/>
        <w:t>Budget and forward estimates outlook</w:t>
      </w:r>
      <w:bookmarkEnd w:id="13"/>
      <w:bookmarkEnd w:id="14"/>
    </w:p>
    <w:p w:rsidR="00A46DCA" w:rsidRDefault="00A46DCA" w:rsidP="00A26D04">
      <w:pPr>
        <w:rPr>
          <w:i/>
        </w:rPr>
      </w:pPr>
      <w:r w:rsidRPr="002E2383">
        <w:t xml:space="preserve">Table </w:t>
      </w:r>
      <w:r>
        <w:t>3.</w:t>
      </w:r>
      <w:r w:rsidRPr="002E2383">
        <w:t>2 summarises the operating statement for the general government sector. A comprehensive o</w:t>
      </w:r>
      <w:r>
        <w:t>perating statement is presented in Chapter 4</w:t>
      </w:r>
      <w:r w:rsidRPr="00916A19">
        <w:t xml:space="preserve"> </w:t>
      </w:r>
      <w:r w:rsidRPr="00916A19">
        <w:rPr>
          <w:i/>
        </w:rPr>
        <w:t>Estimated </w:t>
      </w:r>
      <w:r w:rsidR="00FB563F" w:rsidRPr="00916A19">
        <w:rPr>
          <w:i/>
        </w:rPr>
        <w:t xml:space="preserve">Financial Statements </w:t>
      </w:r>
      <w:r w:rsidRPr="00916A19">
        <w:rPr>
          <w:i/>
        </w:rPr>
        <w:t>and notes.</w:t>
      </w:r>
    </w:p>
    <w:p w:rsidR="00A46DCA" w:rsidRPr="0042263B" w:rsidRDefault="00A46DCA" w:rsidP="00A26D04">
      <w:pPr>
        <w:pStyle w:val="TableHeading"/>
        <w:rPr>
          <w:bCs/>
          <w:lang w:val="en-US"/>
        </w:rPr>
      </w:pPr>
      <w:r w:rsidRPr="002E2383">
        <w:t xml:space="preserve">Table </w:t>
      </w:r>
      <w:r>
        <w:t>3.</w:t>
      </w:r>
      <w:r w:rsidRPr="002E2383">
        <w:t>2:</w:t>
      </w:r>
      <w:r w:rsidRPr="002E2383">
        <w:tab/>
        <w:t xml:space="preserve">Summary </w:t>
      </w:r>
      <w:r w:rsidRPr="001B3FC5">
        <w:t>operating</w:t>
      </w:r>
      <w:r w:rsidRPr="002E2383">
        <w:t xml:space="preserve"> statement for the general government sector</w:t>
      </w:r>
      <w:r>
        <w:t xml:space="preserve"> </w:t>
      </w:r>
      <w:r w:rsidRPr="00DE1179">
        <w:rPr>
          <w:vertAlign w:val="superscript"/>
        </w:rPr>
        <w:t>(a)</w:t>
      </w:r>
      <w:r>
        <w:rPr>
          <w:vertAlign w:val="superscript"/>
        </w:rPr>
        <w:tab/>
      </w:r>
      <w:r w:rsidRPr="003A5D4C">
        <w:t>($ million)</w:t>
      </w:r>
    </w:p>
    <w:tbl>
      <w:tblPr>
        <w:tblStyle w:val="DTFTable"/>
        <w:tblW w:w="7765" w:type="dxa"/>
        <w:tblInd w:w="45" w:type="dxa"/>
        <w:tblLayout w:type="fixed"/>
        <w:tblCellMar>
          <w:left w:w="45" w:type="dxa"/>
          <w:right w:w="45" w:type="dxa"/>
        </w:tblCellMar>
        <w:tblLook w:val="06E0" w:firstRow="1" w:lastRow="1" w:firstColumn="1" w:lastColumn="0" w:noHBand="1" w:noVBand="1"/>
      </w:tblPr>
      <w:tblGrid>
        <w:gridCol w:w="4365"/>
        <w:gridCol w:w="850"/>
        <w:gridCol w:w="850"/>
        <w:gridCol w:w="850"/>
        <w:gridCol w:w="850"/>
      </w:tblGrid>
      <w:tr w:rsidR="00A26D04" w:rsidRPr="0042263B" w:rsidTr="00CA1219">
        <w:trPr>
          <w:cnfStyle w:val="100000000000" w:firstRow="1" w:lastRow="0" w:firstColumn="0" w:lastColumn="0" w:oddVBand="0" w:evenVBand="0" w:oddHBand="0" w:evenHBand="0" w:firstRowFirstColumn="0" w:firstRowLastColumn="0" w:lastRowFirstColumn="0" w:lastRowLastColumn="0"/>
          <w:trHeight w:val="202"/>
          <w:tblHeader/>
        </w:trPr>
        <w:tc>
          <w:tcPr>
            <w:cnfStyle w:val="001000000000" w:firstRow="0" w:lastRow="0" w:firstColumn="1" w:lastColumn="0" w:oddVBand="0" w:evenVBand="0" w:oddHBand="0" w:evenHBand="0" w:firstRowFirstColumn="0" w:firstRowLastColumn="0" w:lastRowFirstColumn="0" w:lastRowLastColumn="0"/>
            <w:tcW w:w="4365" w:type="dxa"/>
            <w:tcBorders>
              <w:top w:val="nil"/>
              <w:left w:val="nil"/>
              <w:right w:val="nil"/>
            </w:tcBorders>
            <w:shd w:val="solid" w:color="000000" w:fill="auto"/>
          </w:tcPr>
          <w:p w:rsidR="00A26D04" w:rsidRPr="0042263B" w:rsidRDefault="00A26D04" w:rsidP="00A26D04">
            <w:pPr>
              <w:keepLines w:val="0"/>
              <w:autoSpaceDE w:val="0"/>
              <w:autoSpaceDN w:val="0"/>
              <w:adjustRightInd w:val="0"/>
              <w:rPr>
                <w:rFonts w:eastAsiaTheme="minorEastAsia" w:cs="Calibri"/>
                <w:iCs/>
                <w:color w:val="FFFFFF"/>
                <w:lang w:eastAsia="en-AU"/>
              </w:rPr>
            </w:pPr>
            <w:r w:rsidRPr="0042263B">
              <w:rPr>
                <w:rFonts w:eastAsiaTheme="minorEastAsia" w:cs="Calibri"/>
                <w:iCs/>
                <w:color w:val="FFFFFF"/>
                <w:lang w:eastAsia="en-AU"/>
              </w:rPr>
              <w:t xml:space="preserve">  </w:t>
            </w:r>
          </w:p>
        </w:tc>
        <w:tc>
          <w:tcPr>
            <w:tcW w:w="850" w:type="dxa"/>
            <w:tcBorders>
              <w:top w:val="nil"/>
              <w:left w:val="nil"/>
              <w:right w:val="nil"/>
            </w:tcBorders>
            <w:shd w:val="solid" w:color="000000" w:fill="auto"/>
          </w:tcPr>
          <w:p w:rsidR="00A26D04" w:rsidRPr="0042263B" w:rsidRDefault="00A26D04" w:rsidP="00A26D0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42263B">
              <w:rPr>
                <w:rFonts w:eastAsiaTheme="minorEastAsia" w:cs="Calibri"/>
                <w:iCs/>
                <w:color w:val="FFFFFF"/>
                <w:szCs w:val="18"/>
                <w:lang w:eastAsia="en-AU"/>
              </w:rPr>
              <w:t>2017-18</w:t>
            </w:r>
            <w:r>
              <w:rPr>
                <w:rFonts w:eastAsiaTheme="minorEastAsia" w:cs="Calibri"/>
                <w:iCs/>
                <w:color w:val="FFFFFF"/>
                <w:szCs w:val="18"/>
                <w:lang w:eastAsia="en-AU"/>
              </w:rPr>
              <w:br/>
            </w:r>
            <w:r w:rsidRPr="0042263B">
              <w:rPr>
                <w:rFonts w:eastAsiaTheme="minorEastAsia" w:cs="Calibri"/>
                <w:iCs/>
                <w:color w:val="FFFFFF"/>
                <w:szCs w:val="18"/>
                <w:lang w:eastAsia="en-AU"/>
              </w:rPr>
              <w:t>revised</w:t>
            </w:r>
          </w:p>
        </w:tc>
        <w:tc>
          <w:tcPr>
            <w:tcW w:w="850" w:type="dxa"/>
            <w:tcBorders>
              <w:top w:val="nil"/>
              <w:left w:val="nil"/>
              <w:right w:val="nil"/>
            </w:tcBorders>
            <w:shd w:val="solid" w:color="000000" w:fill="auto"/>
          </w:tcPr>
          <w:p w:rsidR="00A26D04" w:rsidRPr="0042263B" w:rsidRDefault="00A26D04" w:rsidP="00A26D0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42263B">
              <w:rPr>
                <w:rFonts w:eastAsiaTheme="minorEastAsia" w:cs="Calibri"/>
                <w:iCs/>
                <w:color w:val="FFFFFF"/>
                <w:szCs w:val="18"/>
                <w:lang w:eastAsia="en-AU"/>
              </w:rPr>
              <w:t>2018-19</w:t>
            </w:r>
            <w:r>
              <w:rPr>
                <w:rFonts w:eastAsiaTheme="minorEastAsia" w:cs="Calibri"/>
                <w:iCs/>
                <w:color w:val="FFFFFF"/>
                <w:szCs w:val="18"/>
                <w:lang w:eastAsia="en-AU"/>
              </w:rPr>
              <w:br/>
            </w:r>
            <w:r w:rsidRPr="0042263B">
              <w:rPr>
                <w:rFonts w:eastAsiaTheme="minorEastAsia" w:cs="Calibri"/>
                <w:iCs/>
                <w:color w:val="FFFFFF"/>
                <w:szCs w:val="18"/>
                <w:lang w:eastAsia="en-AU"/>
              </w:rPr>
              <w:t>estimate</w:t>
            </w:r>
          </w:p>
        </w:tc>
        <w:tc>
          <w:tcPr>
            <w:tcW w:w="850" w:type="dxa"/>
            <w:tcBorders>
              <w:top w:val="nil"/>
              <w:left w:val="nil"/>
              <w:right w:val="nil"/>
            </w:tcBorders>
            <w:shd w:val="solid" w:color="000000" w:fill="auto"/>
          </w:tcPr>
          <w:p w:rsidR="00A26D04" w:rsidRPr="0042263B" w:rsidRDefault="00A26D04" w:rsidP="00A26D0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42263B">
              <w:rPr>
                <w:rFonts w:eastAsiaTheme="minorEastAsia" w:cs="Calibri"/>
                <w:iCs/>
                <w:color w:val="FFFFFF"/>
                <w:szCs w:val="18"/>
                <w:lang w:eastAsia="en-AU"/>
              </w:rPr>
              <w:t>2019-20</w:t>
            </w:r>
            <w:r>
              <w:rPr>
                <w:rFonts w:eastAsiaTheme="minorEastAsia" w:cs="Calibri"/>
                <w:iCs/>
                <w:color w:val="FFFFFF"/>
                <w:szCs w:val="18"/>
                <w:lang w:eastAsia="en-AU"/>
              </w:rPr>
              <w:br/>
            </w:r>
            <w:r w:rsidRPr="0042263B">
              <w:rPr>
                <w:rFonts w:eastAsiaTheme="minorEastAsia" w:cs="Calibri"/>
                <w:iCs/>
                <w:color w:val="FFFFFF"/>
                <w:szCs w:val="18"/>
                <w:lang w:eastAsia="en-AU"/>
              </w:rPr>
              <w:t>estimate</w:t>
            </w:r>
          </w:p>
        </w:tc>
        <w:tc>
          <w:tcPr>
            <w:tcW w:w="850" w:type="dxa"/>
            <w:tcBorders>
              <w:top w:val="nil"/>
              <w:left w:val="nil"/>
              <w:right w:val="nil"/>
            </w:tcBorders>
            <w:shd w:val="solid" w:color="000000" w:fill="auto"/>
          </w:tcPr>
          <w:p w:rsidR="00A26D04" w:rsidRPr="0042263B" w:rsidRDefault="00A26D04" w:rsidP="00A26D0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42263B">
              <w:rPr>
                <w:rFonts w:eastAsiaTheme="minorEastAsia" w:cs="Calibri"/>
                <w:iCs/>
                <w:color w:val="FFFFFF"/>
                <w:szCs w:val="18"/>
                <w:lang w:eastAsia="en-AU"/>
              </w:rPr>
              <w:t>2020-21</w:t>
            </w:r>
            <w:r>
              <w:rPr>
                <w:rFonts w:eastAsiaTheme="minorEastAsia" w:cs="Calibri"/>
                <w:iCs/>
                <w:color w:val="FFFFFF"/>
                <w:szCs w:val="18"/>
                <w:lang w:eastAsia="en-AU"/>
              </w:rPr>
              <w:br/>
            </w:r>
            <w:r w:rsidRPr="0042263B">
              <w:rPr>
                <w:rFonts w:eastAsiaTheme="minorEastAsia" w:cs="Calibri"/>
                <w:iCs/>
                <w:color w:val="FFFFFF"/>
                <w:szCs w:val="18"/>
                <w:lang w:eastAsia="en-AU"/>
              </w:rPr>
              <w:t>estimate</w:t>
            </w:r>
          </w:p>
        </w:tc>
      </w:tr>
      <w:tr w:rsidR="00A46DCA" w:rsidRPr="0042263B" w:rsidTr="00A26D04">
        <w:tc>
          <w:tcPr>
            <w:cnfStyle w:val="001000000000" w:firstRow="0" w:lastRow="0" w:firstColumn="1" w:lastColumn="0" w:oddVBand="0" w:evenVBand="0" w:oddHBand="0" w:evenHBand="0" w:firstRowFirstColumn="0" w:firstRowLastColumn="0" w:lastRowFirstColumn="0" w:lastRowLastColumn="0"/>
            <w:tcW w:w="4365" w:type="dxa"/>
            <w:tcBorders>
              <w:top w:val="nil"/>
              <w:left w:val="nil"/>
              <w:bottom w:val="nil"/>
              <w:right w:val="nil"/>
            </w:tcBorders>
          </w:tcPr>
          <w:p w:rsidR="00A46DCA" w:rsidRPr="0042263B" w:rsidRDefault="00A46DCA" w:rsidP="00A26D04">
            <w:pPr>
              <w:keepLines w:val="0"/>
              <w:autoSpaceDE w:val="0"/>
              <w:autoSpaceDN w:val="0"/>
              <w:adjustRightInd w:val="0"/>
              <w:rPr>
                <w:rFonts w:eastAsiaTheme="minorEastAsia" w:cs="Calibri"/>
                <w:b/>
                <w:bCs/>
                <w:color w:val="000000"/>
                <w:szCs w:val="18"/>
                <w:lang w:eastAsia="en-AU"/>
              </w:rPr>
            </w:pPr>
            <w:r w:rsidRPr="0042263B">
              <w:rPr>
                <w:rFonts w:eastAsiaTheme="minorEastAsia" w:cs="Calibri"/>
                <w:b/>
                <w:bCs/>
                <w:color w:val="000000"/>
                <w:szCs w:val="18"/>
                <w:lang w:eastAsia="en-AU"/>
              </w:rPr>
              <w:t>Revenue</w:t>
            </w:r>
          </w:p>
        </w:tc>
        <w:tc>
          <w:tcPr>
            <w:tcW w:w="850" w:type="dxa"/>
            <w:tcBorders>
              <w:top w:val="nil"/>
              <w:left w:val="nil"/>
              <w:bottom w:val="nil"/>
              <w:right w:val="nil"/>
            </w:tcBorders>
          </w:tcPr>
          <w:p w:rsidR="00A46DCA" w:rsidRPr="0042263B"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42263B">
              <w:rPr>
                <w:rFonts w:eastAsiaTheme="minorEastAsia" w:cs="Calibri"/>
                <w:b/>
                <w:bCs/>
                <w:color w:val="000000"/>
                <w:lang w:eastAsia="en-AU"/>
              </w:rPr>
              <w:t xml:space="preserve"> </w:t>
            </w:r>
          </w:p>
        </w:tc>
        <w:tc>
          <w:tcPr>
            <w:tcW w:w="850" w:type="dxa"/>
            <w:tcBorders>
              <w:top w:val="nil"/>
              <w:left w:val="nil"/>
              <w:bottom w:val="nil"/>
              <w:right w:val="nil"/>
            </w:tcBorders>
          </w:tcPr>
          <w:p w:rsidR="00A46DCA" w:rsidRPr="0042263B"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42263B">
              <w:rPr>
                <w:rFonts w:eastAsiaTheme="minorEastAsia" w:cs="Calibri"/>
                <w:b/>
                <w:bCs/>
                <w:color w:val="000000"/>
                <w:lang w:eastAsia="en-AU"/>
              </w:rPr>
              <w:t xml:space="preserve"> </w:t>
            </w:r>
          </w:p>
        </w:tc>
        <w:tc>
          <w:tcPr>
            <w:tcW w:w="850" w:type="dxa"/>
            <w:tcBorders>
              <w:top w:val="nil"/>
              <w:left w:val="nil"/>
              <w:bottom w:val="nil"/>
              <w:right w:val="nil"/>
            </w:tcBorders>
          </w:tcPr>
          <w:p w:rsidR="00A46DCA" w:rsidRPr="0042263B"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42263B">
              <w:rPr>
                <w:rFonts w:eastAsiaTheme="minorEastAsia" w:cs="Calibri"/>
                <w:b/>
                <w:bCs/>
                <w:color w:val="000000"/>
                <w:lang w:eastAsia="en-AU"/>
              </w:rPr>
              <w:t xml:space="preserve"> </w:t>
            </w:r>
          </w:p>
        </w:tc>
        <w:tc>
          <w:tcPr>
            <w:tcW w:w="850" w:type="dxa"/>
            <w:tcBorders>
              <w:top w:val="nil"/>
              <w:left w:val="nil"/>
              <w:bottom w:val="nil"/>
              <w:right w:val="nil"/>
            </w:tcBorders>
          </w:tcPr>
          <w:p w:rsidR="00A46DCA" w:rsidRPr="0042263B"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42263B">
              <w:rPr>
                <w:rFonts w:eastAsiaTheme="minorEastAsia" w:cs="Calibri"/>
                <w:b/>
                <w:bCs/>
                <w:color w:val="000000"/>
                <w:lang w:eastAsia="en-AU"/>
              </w:rPr>
              <w:t xml:space="preserve"> </w:t>
            </w:r>
          </w:p>
        </w:tc>
      </w:tr>
      <w:tr w:rsidR="00A46DCA" w:rsidRPr="0042263B" w:rsidTr="00A26D04">
        <w:tc>
          <w:tcPr>
            <w:cnfStyle w:val="001000000000" w:firstRow="0" w:lastRow="0" w:firstColumn="1" w:lastColumn="0" w:oddVBand="0" w:evenVBand="0" w:oddHBand="0" w:evenHBand="0" w:firstRowFirstColumn="0" w:firstRowLastColumn="0" w:lastRowFirstColumn="0" w:lastRowLastColumn="0"/>
            <w:tcW w:w="4365" w:type="dxa"/>
            <w:tcBorders>
              <w:top w:val="nil"/>
              <w:left w:val="nil"/>
              <w:bottom w:val="nil"/>
              <w:right w:val="nil"/>
            </w:tcBorders>
          </w:tcPr>
          <w:p w:rsidR="00A46DCA" w:rsidRPr="0042263B" w:rsidRDefault="00A46DCA" w:rsidP="00A26D04">
            <w:pPr>
              <w:keepLines w:val="0"/>
              <w:autoSpaceDE w:val="0"/>
              <w:autoSpaceDN w:val="0"/>
              <w:adjustRightInd w:val="0"/>
              <w:rPr>
                <w:rFonts w:eastAsiaTheme="minorEastAsia" w:cs="Calibri"/>
                <w:color w:val="000000"/>
                <w:szCs w:val="18"/>
                <w:lang w:eastAsia="en-AU"/>
              </w:rPr>
            </w:pPr>
            <w:r w:rsidRPr="0042263B">
              <w:rPr>
                <w:rFonts w:eastAsiaTheme="minorEastAsia" w:cs="Calibri"/>
                <w:color w:val="000000"/>
                <w:szCs w:val="18"/>
                <w:lang w:eastAsia="en-AU"/>
              </w:rPr>
              <w:t>Taxation</w:t>
            </w:r>
          </w:p>
        </w:tc>
        <w:tc>
          <w:tcPr>
            <w:tcW w:w="850" w:type="dxa"/>
            <w:tcBorders>
              <w:top w:val="nil"/>
              <w:left w:val="nil"/>
              <w:bottom w:val="nil"/>
              <w:right w:val="nil"/>
            </w:tcBorders>
          </w:tcPr>
          <w:p w:rsidR="00A46DCA" w:rsidRPr="006C0262" w:rsidRDefault="00A46DCA">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17"/>
              </w:rPr>
            </w:pPr>
            <w:r w:rsidRPr="006C0262">
              <w:rPr>
                <w:rFonts w:ascii="Calibri" w:hAnsi="Calibri"/>
                <w:color w:val="000000"/>
                <w:szCs w:val="17"/>
              </w:rPr>
              <w:t>22 175</w:t>
            </w:r>
          </w:p>
        </w:tc>
        <w:tc>
          <w:tcPr>
            <w:tcW w:w="850" w:type="dxa"/>
            <w:tcBorders>
              <w:top w:val="nil"/>
              <w:left w:val="nil"/>
              <w:bottom w:val="nil"/>
              <w:right w:val="nil"/>
            </w:tcBorders>
          </w:tcPr>
          <w:p w:rsidR="00A46DCA" w:rsidRPr="006C0262" w:rsidRDefault="00A46DCA">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17"/>
              </w:rPr>
            </w:pPr>
            <w:r w:rsidRPr="006C0262">
              <w:rPr>
                <w:rFonts w:ascii="Calibri" w:hAnsi="Calibri"/>
                <w:color w:val="000000"/>
                <w:szCs w:val="17"/>
              </w:rPr>
              <w:t>23 804</w:t>
            </w:r>
          </w:p>
        </w:tc>
        <w:tc>
          <w:tcPr>
            <w:tcW w:w="850" w:type="dxa"/>
            <w:tcBorders>
              <w:top w:val="nil"/>
              <w:left w:val="nil"/>
              <w:bottom w:val="nil"/>
              <w:right w:val="nil"/>
            </w:tcBorders>
          </w:tcPr>
          <w:p w:rsidR="00A46DCA" w:rsidRPr="006C0262" w:rsidRDefault="00A46DCA">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17"/>
              </w:rPr>
            </w:pPr>
            <w:r w:rsidRPr="006C0262">
              <w:rPr>
                <w:rFonts w:ascii="Calibri" w:hAnsi="Calibri"/>
                <w:color w:val="000000"/>
                <w:szCs w:val="17"/>
              </w:rPr>
              <w:t>24 935</w:t>
            </w:r>
          </w:p>
        </w:tc>
        <w:tc>
          <w:tcPr>
            <w:tcW w:w="850" w:type="dxa"/>
            <w:tcBorders>
              <w:top w:val="nil"/>
              <w:left w:val="nil"/>
              <w:bottom w:val="nil"/>
              <w:right w:val="nil"/>
            </w:tcBorders>
          </w:tcPr>
          <w:p w:rsidR="00A46DCA" w:rsidRPr="006C0262" w:rsidRDefault="00A46DCA">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17"/>
              </w:rPr>
            </w:pPr>
            <w:r w:rsidRPr="006C0262">
              <w:rPr>
                <w:rFonts w:ascii="Calibri" w:hAnsi="Calibri"/>
                <w:color w:val="000000"/>
                <w:szCs w:val="17"/>
              </w:rPr>
              <w:t>25 787</w:t>
            </w:r>
          </w:p>
        </w:tc>
      </w:tr>
      <w:tr w:rsidR="00A46DCA" w:rsidRPr="0042263B" w:rsidTr="00A26D04">
        <w:tc>
          <w:tcPr>
            <w:cnfStyle w:val="001000000000" w:firstRow="0" w:lastRow="0" w:firstColumn="1" w:lastColumn="0" w:oddVBand="0" w:evenVBand="0" w:oddHBand="0" w:evenHBand="0" w:firstRowFirstColumn="0" w:firstRowLastColumn="0" w:lastRowFirstColumn="0" w:lastRowLastColumn="0"/>
            <w:tcW w:w="4365" w:type="dxa"/>
            <w:tcBorders>
              <w:top w:val="nil"/>
              <w:left w:val="nil"/>
              <w:bottom w:val="nil"/>
              <w:right w:val="nil"/>
            </w:tcBorders>
          </w:tcPr>
          <w:p w:rsidR="00A46DCA" w:rsidRPr="0042263B" w:rsidRDefault="00A46DCA" w:rsidP="00A26D04">
            <w:pPr>
              <w:keepLines w:val="0"/>
              <w:autoSpaceDE w:val="0"/>
              <w:autoSpaceDN w:val="0"/>
              <w:adjustRightInd w:val="0"/>
              <w:rPr>
                <w:rFonts w:eastAsiaTheme="minorEastAsia" w:cs="Calibri"/>
                <w:color w:val="000000"/>
                <w:szCs w:val="18"/>
                <w:vertAlign w:val="superscript"/>
                <w:lang w:eastAsia="en-AU"/>
              </w:rPr>
            </w:pPr>
            <w:r w:rsidRPr="0042263B">
              <w:rPr>
                <w:rFonts w:eastAsiaTheme="minorEastAsia" w:cs="Calibri"/>
                <w:color w:val="000000"/>
                <w:szCs w:val="18"/>
                <w:lang w:eastAsia="en-AU"/>
              </w:rPr>
              <w:t xml:space="preserve">Dividends, tax equivalent revenue and interest </w:t>
            </w:r>
            <w:r w:rsidRPr="0042263B">
              <w:rPr>
                <w:rFonts w:eastAsiaTheme="minorEastAsia" w:cs="Calibri"/>
                <w:color w:val="000000"/>
                <w:szCs w:val="18"/>
                <w:vertAlign w:val="superscript"/>
                <w:lang w:eastAsia="en-AU"/>
              </w:rPr>
              <w:t>(b)</w:t>
            </w:r>
          </w:p>
        </w:tc>
        <w:tc>
          <w:tcPr>
            <w:tcW w:w="850" w:type="dxa"/>
            <w:tcBorders>
              <w:top w:val="nil"/>
              <w:left w:val="nil"/>
              <w:bottom w:val="nil"/>
              <w:right w:val="nil"/>
            </w:tcBorders>
          </w:tcPr>
          <w:p w:rsidR="00A46DCA" w:rsidRPr="006C0262" w:rsidRDefault="00A46DCA">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17"/>
              </w:rPr>
            </w:pPr>
            <w:r w:rsidRPr="006C0262">
              <w:rPr>
                <w:rFonts w:ascii="Calibri" w:hAnsi="Calibri"/>
                <w:color w:val="000000"/>
                <w:szCs w:val="17"/>
              </w:rPr>
              <w:t>2 175</w:t>
            </w:r>
          </w:p>
        </w:tc>
        <w:tc>
          <w:tcPr>
            <w:tcW w:w="850" w:type="dxa"/>
            <w:tcBorders>
              <w:top w:val="nil"/>
              <w:left w:val="nil"/>
              <w:bottom w:val="nil"/>
              <w:right w:val="nil"/>
            </w:tcBorders>
          </w:tcPr>
          <w:p w:rsidR="00A46DCA" w:rsidRPr="006C0262" w:rsidRDefault="00A46DCA">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17"/>
              </w:rPr>
            </w:pPr>
            <w:r w:rsidRPr="006C0262">
              <w:rPr>
                <w:rFonts w:ascii="Calibri" w:hAnsi="Calibri"/>
                <w:color w:val="000000"/>
                <w:szCs w:val="17"/>
              </w:rPr>
              <w:t>1 468</w:t>
            </w:r>
          </w:p>
        </w:tc>
        <w:tc>
          <w:tcPr>
            <w:tcW w:w="850" w:type="dxa"/>
            <w:tcBorders>
              <w:top w:val="nil"/>
              <w:left w:val="nil"/>
              <w:bottom w:val="nil"/>
              <w:right w:val="nil"/>
            </w:tcBorders>
          </w:tcPr>
          <w:p w:rsidR="00A46DCA" w:rsidRPr="006C0262" w:rsidRDefault="00A46DCA">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17"/>
              </w:rPr>
            </w:pPr>
            <w:r w:rsidRPr="006C0262">
              <w:rPr>
                <w:rFonts w:ascii="Calibri" w:hAnsi="Calibri"/>
                <w:color w:val="000000"/>
                <w:szCs w:val="17"/>
              </w:rPr>
              <w:t>1 334</w:t>
            </w:r>
          </w:p>
        </w:tc>
        <w:tc>
          <w:tcPr>
            <w:tcW w:w="850" w:type="dxa"/>
            <w:tcBorders>
              <w:top w:val="nil"/>
              <w:left w:val="nil"/>
              <w:bottom w:val="nil"/>
              <w:right w:val="nil"/>
            </w:tcBorders>
          </w:tcPr>
          <w:p w:rsidR="00A46DCA" w:rsidRPr="006C0262" w:rsidRDefault="00A46DCA">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17"/>
              </w:rPr>
            </w:pPr>
            <w:r w:rsidRPr="006C0262">
              <w:rPr>
                <w:rFonts w:ascii="Calibri" w:hAnsi="Calibri"/>
                <w:color w:val="000000"/>
                <w:szCs w:val="17"/>
              </w:rPr>
              <w:t>1 462</w:t>
            </w:r>
          </w:p>
        </w:tc>
      </w:tr>
      <w:tr w:rsidR="00A46DCA" w:rsidRPr="0042263B" w:rsidTr="00A26D04">
        <w:tc>
          <w:tcPr>
            <w:cnfStyle w:val="001000000000" w:firstRow="0" w:lastRow="0" w:firstColumn="1" w:lastColumn="0" w:oddVBand="0" w:evenVBand="0" w:oddHBand="0" w:evenHBand="0" w:firstRowFirstColumn="0" w:firstRowLastColumn="0" w:lastRowFirstColumn="0" w:lastRowLastColumn="0"/>
            <w:tcW w:w="4365" w:type="dxa"/>
            <w:tcBorders>
              <w:top w:val="nil"/>
              <w:left w:val="nil"/>
              <w:bottom w:val="nil"/>
              <w:right w:val="nil"/>
            </w:tcBorders>
          </w:tcPr>
          <w:p w:rsidR="00A46DCA" w:rsidRPr="0042263B" w:rsidRDefault="00A46DCA" w:rsidP="00A26D04">
            <w:pPr>
              <w:keepLines w:val="0"/>
              <w:autoSpaceDE w:val="0"/>
              <w:autoSpaceDN w:val="0"/>
              <w:adjustRightInd w:val="0"/>
              <w:rPr>
                <w:rFonts w:eastAsiaTheme="minorEastAsia" w:cs="Calibri"/>
                <w:color w:val="000000"/>
                <w:szCs w:val="18"/>
                <w:lang w:eastAsia="en-AU"/>
              </w:rPr>
            </w:pPr>
            <w:r w:rsidRPr="0042263B">
              <w:rPr>
                <w:rFonts w:eastAsiaTheme="minorEastAsia" w:cs="Calibri"/>
                <w:color w:val="000000"/>
                <w:szCs w:val="18"/>
                <w:lang w:eastAsia="en-AU"/>
              </w:rPr>
              <w:t>Sales of goods and services</w:t>
            </w:r>
          </w:p>
        </w:tc>
        <w:tc>
          <w:tcPr>
            <w:tcW w:w="850" w:type="dxa"/>
            <w:tcBorders>
              <w:top w:val="nil"/>
              <w:left w:val="nil"/>
              <w:bottom w:val="nil"/>
              <w:right w:val="nil"/>
            </w:tcBorders>
          </w:tcPr>
          <w:p w:rsidR="00A46DCA" w:rsidRPr="006C0262" w:rsidRDefault="00A46DCA">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17"/>
              </w:rPr>
            </w:pPr>
            <w:r w:rsidRPr="006C0262">
              <w:rPr>
                <w:rFonts w:ascii="Calibri" w:hAnsi="Calibri"/>
                <w:color w:val="000000"/>
                <w:szCs w:val="17"/>
              </w:rPr>
              <w:t>7 261</w:t>
            </w:r>
          </w:p>
        </w:tc>
        <w:tc>
          <w:tcPr>
            <w:tcW w:w="850" w:type="dxa"/>
            <w:tcBorders>
              <w:top w:val="nil"/>
              <w:left w:val="nil"/>
              <w:bottom w:val="nil"/>
              <w:right w:val="nil"/>
            </w:tcBorders>
          </w:tcPr>
          <w:p w:rsidR="00A46DCA" w:rsidRPr="006C0262" w:rsidRDefault="00A46DCA">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17"/>
              </w:rPr>
            </w:pPr>
            <w:r w:rsidRPr="006C0262">
              <w:rPr>
                <w:rFonts w:ascii="Calibri" w:hAnsi="Calibri"/>
                <w:color w:val="000000"/>
                <w:szCs w:val="17"/>
              </w:rPr>
              <w:t>7 630</w:t>
            </w:r>
          </w:p>
        </w:tc>
        <w:tc>
          <w:tcPr>
            <w:tcW w:w="850" w:type="dxa"/>
            <w:tcBorders>
              <w:top w:val="nil"/>
              <w:left w:val="nil"/>
              <w:bottom w:val="nil"/>
              <w:right w:val="nil"/>
            </w:tcBorders>
          </w:tcPr>
          <w:p w:rsidR="00A46DCA" w:rsidRPr="006C0262" w:rsidRDefault="00A46DCA">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17"/>
              </w:rPr>
            </w:pPr>
            <w:r w:rsidRPr="006C0262">
              <w:rPr>
                <w:rFonts w:ascii="Calibri" w:hAnsi="Calibri"/>
                <w:color w:val="000000"/>
                <w:szCs w:val="17"/>
              </w:rPr>
              <w:t>8 046</w:t>
            </w:r>
          </w:p>
        </w:tc>
        <w:tc>
          <w:tcPr>
            <w:tcW w:w="850" w:type="dxa"/>
            <w:tcBorders>
              <w:top w:val="nil"/>
              <w:left w:val="nil"/>
              <w:bottom w:val="nil"/>
              <w:right w:val="nil"/>
            </w:tcBorders>
          </w:tcPr>
          <w:p w:rsidR="00A46DCA" w:rsidRPr="006C0262" w:rsidRDefault="00A46DCA">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17"/>
              </w:rPr>
            </w:pPr>
            <w:r w:rsidRPr="006C0262">
              <w:rPr>
                <w:rFonts w:ascii="Calibri" w:hAnsi="Calibri"/>
                <w:color w:val="000000"/>
                <w:szCs w:val="17"/>
              </w:rPr>
              <w:t>8 312</w:t>
            </w:r>
          </w:p>
        </w:tc>
      </w:tr>
      <w:tr w:rsidR="00A46DCA" w:rsidRPr="0042263B" w:rsidTr="00A26D04">
        <w:tc>
          <w:tcPr>
            <w:cnfStyle w:val="001000000000" w:firstRow="0" w:lastRow="0" w:firstColumn="1" w:lastColumn="0" w:oddVBand="0" w:evenVBand="0" w:oddHBand="0" w:evenHBand="0" w:firstRowFirstColumn="0" w:firstRowLastColumn="0" w:lastRowFirstColumn="0" w:lastRowLastColumn="0"/>
            <w:tcW w:w="4365" w:type="dxa"/>
            <w:tcBorders>
              <w:top w:val="nil"/>
              <w:left w:val="nil"/>
              <w:bottom w:val="nil"/>
              <w:right w:val="nil"/>
            </w:tcBorders>
          </w:tcPr>
          <w:p w:rsidR="00A46DCA" w:rsidRPr="0042263B" w:rsidRDefault="00A46DCA" w:rsidP="00A26D04">
            <w:pPr>
              <w:keepLines w:val="0"/>
              <w:autoSpaceDE w:val="0"/>
              <w:autoSpaceDN w:val="0"/>
              <w:adjustRightInd w:val="0"/>
              <w:rPr>
                <w:rFonts w:eastAsiaTheme="minorEastAsia" w:cs="Calibri"/>
                <w:color w:val="000000"/>
                <w:szCs w:val="18"/>
                <w:lang w:eastAsia="en-AU"/>
              </w:rPr>
            </w:pPr>
            <w:r w:rsidRPr="0042263B">
              <w:rPr>
                <w:rFonts w:eastAsiaTheme="minorEastAsia" w:cs="Calibri"/>
                <w:color w:val="000000"/>
                <w:szCs w:val="18"/>
                <w:lang w:eastAsia="en-AU"/>
              </w:rPr>
              <w:t>Grant revenue</w:t>
            </w:r>
          </w:p>
        </w:tc>
        <w:tc>
          <w:tcPr>
            <w:tcW w:w="850" w:type="dxa"/>
            <w:tcBorders>
              <w:top w:val="nil"/>
              <w:left w:val="nil"/>
              <w:bottom w:val="nil"/>
              <w:right w:val="nil"/>
            </w:tcBorders>
          </w:tcPr>
          <w:p w:rsidR="00A46DCA" w:rsidRPr="006C0262" w:rsidRDefault="00A46DCA">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17"/>
              </w:rPr>
            </w:pPr>
            <w:r>
              <w:rPr>
                <w:rFonts w:ascii="Calibri" w:hAnsi="Calibri"/>
                <w:color w:val="000000"/>
                <w:szCs w:val="17"/>
              </w:rPr>
              <w:t>30 221</w:t>
            </w:r>
          </w:p>
        </w:tc>
        <w:tc>
          <w:tcPr>
            <w:tcW w:w="850" w:type="dxa"/>
            <w:tcBorders>
              <w:top w:val="nil"/>
              <w:left w:val="nil"/>
              <w:bottom w:val="nil"/>
              <w:right w:val="nil"/>
            </w:tcBorders>
          </w:tcPr>
          <w:p w:rsidR="00A46DCA" w:rsidRPr="006C0262" w:rsidRDefault="00A46DCA">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17"/>
              </w:rPr>
            </w:pPr>
            <w:r>
              <w:rPr>
                <w:rFonts w:ascii="Calibri" w:hAnsi="Calibri"/>
                <w:color w:val="000000"/>
                <w:szCs w:val="17"/>
              </w:rPr>
              <w:t>32 216</w:t>
            </w:r>
          </w:p>
        </w:tc>
        <w:tc>
          <w:tcPr>
            <w:tcW w:w="850" w:type="dxa"/>
            <w:tcBorders>
              <w:top w:val="nil"/>
              <w:left w:val="nil"/>
              <w:bottom w:val="nil"/>
              <w:right w:val="nil"/>
            </w:tcBorders>
          </w:tcPr>
          <w:p w:rsidR="00A46DCA" w:rsidRPr="006C0262" w:rsidRDefault="00A46DCA">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17"/>
              </w:rPr>
            </w:pPr>
            <w:r>
              <w:rPr>
                <w:rFonts w:ascii="Calibri" w:hAnsi="Calibri"/>
                <w:color w:val="000000"/>
                <w:szCs w:val="17"/>
              </w:rPr>
              <w:t>32 190</w:t>
            </w:r>
          </w:p>
        </w:tc>
        <w:tc>
          <w:tcPr>
            <w:tcW w:w="850" w:type="dxa"/>
            <w:tcBorders>
              <w:top w:val="nil"/>
              <w:left w:val="nil"/>
              <w:bottom w:val="nil"/>
              <w:right w:val="nil"/>
            </w:tcBorders>
          </w:tcPr>
          <w:p w:rsidR="00A46DCA" w:rsidRPr="006C0262" w:rsidRDefault="00A46DCA">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17"/>
              </w:rPr>
            </w:pPr>
            <w:r>
              <w:rPr>
                <w:rFonts w:ascii="Calibri" w:hAnsi="Calibri"/>
                <w:color w:val="000000"/>
                <w:szCs w:val="17"/>
              </w:rPr>
              <w:t>33 413</w:t>
            </w:r>
          </w:p>
        </w:tc>
      </w:tr>
      <w:tr w:rsidR="00A46DCA" w:rsidRPr="0042263B" w:rsidTr="00A26D04">
        <w:tc>
          <w:tcPr>
            <w:cnfStyle w:val="001000000000" w:firstRow="0" w:lastRow="0" w:firstColumn="1" w:lastColumn="0" w:oddVBand="0" w:evenVBand="0" w:oddHBand="0" w:evenHBand="0" w:firstRowFirstColumn="0" w:firstRowLastColumn="0" w:lastRowFirstColumn="0" w:lastRowLastColumn="0"/>
            <w:tcW w:w="4365" w:type="dxa"/>
            <w:tcBorders>
              <w:top w:val="nil"/>
              <w:left w:val="nil"/>
              <w:bottom w:val="single" w:sz="6" w:space="0" w:color="000000"/>
              <w:right w:val="nil"/>
            </w:tcBorders>
          </w:tcPr>
          <w:p w:rsidR="00A46DCA" w:rsidRPr="0042263B" w:rsidRDefault="00A46DCA" w:rsidP="00A26D04">
            <w:pPr>
              <w:keepLines w:val="0"/>
              <w:autoSpaceDE w:val="0"/>
              <w:autoSpaceDN w:val="0"/>
              <w:adjustRightInd w:val="0"/>
              <w:rPr>
                <w:rFonts w:eastAsiaTheme="minorEastAsia" w:cs="Calibri"/>
                <w:color w:val="000000"/>
                <w:szCs w:val="18"/>
                <w:lang w:eastAsia="en-AU"/>
              </w:rPr>
            </w:pPr>
            <w:r w:rsidRPr="0042263B">
              <w:rPr>
                <w:rFonts w:eastAsiaTheme="minorEastAsia" w:cs="Calibri"/>
                <w:color w:val="000000"/>
                <w:szCs w:val="18"/>
                <w:lang w:eastAsia="en-AU"/>
              </w:rPr>
              <w:t>Other current revenue</w:t>
            </w:r>
          </w:p>
        </w:tc>
        <w:tc>
          <w:tcPr>
            <w:tcW w:w="850" w:type="dxa"/>
            <w:tcBorders>
              <w:top w:val="nil"/>
              <w:left w:val="nil"/>
              <w:bottom w:val="single" w:sz="6" w:space="0" w:color="000000"/>
              <w:right w:val="nil"/>
            </w:tcBorders>
          </w:tcPr>
          <w:p w:rsidR="00A46DCA" w:rsidRPr="006C0262" w:rsidRDefault="00A46DCA">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17"/>
              </w:rPr>
            </w:pPr>
            <w:r w:rsidRPr="006C0262">
              <w:rPr>
                <w:rFonts w:ascii="Calibri" w:hAnsi="Calibri"/>
                <w:color w:val="000000"/>
                <w:szCs w:val="17"/>
              </w:rPr>
              <w:t>2 554</w:t>
            </w:r>
          </w:p>
        </w:tc>
        <w:tc>
          <w:tcPr>
            <w:tcW w:w="850" w:type="dxa"/>
            <w:tcBorders>
              <w:top w:val="nil"/>
              <w:left w:val="nil"/>
              <w:bottom w:val="single" w:sz="6" w:space="0" w:color="000000"/>
              <w:right w:val="nil"/>
            </w:tcBorders>
          </w:tcPr>
          <w:p w:rsidR="00A46DCA" w:rsidRPr="006C0262" w:rsidRDefault="00A46DCA">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17"/>
              </w:rPr>
            </w:pPr>
            <w:r w:rsidRPr="006C0262">
              <w:rPr>
                <w:rFonts w:ascii="Calibri" w:hAnsi="Calibri"/>
                <w:color w:val="000000"/>
                <w:szCs w:val="17"/>
              </w:rPr>
              <w:t>2 687</w:t>
            </w:r>
          </w:p>
        </w:tc>
        <w:tc>
          <w:tcPr>
            <w:tcW w:w="850" w:type="dxa"/>
            <w:tcBorders>
              <w:top w:val="nil"/>
              <w:left w:val="nil"/>
              <w:bottom w:val="single" w:sz="6" w:space="0" w:color="000000"/>
              <w:right w:val="nil"/>
            </w:tcBorders>
          </w:tcPr>
          <w:p w:rsidR="00A46DCA" w:rsidRPr="006C0262" w:rsidRDefault="00A46DCA">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17"/>
              </w:rPr>
            </w:pPr>
            <w:r w:rsidRPr="006C0262">
              <w:rPr>
                <w:rFonts w:ascii="Calibri" w:hAnsi="Calibri"/>
                <w:color w:val="000000"/>
                <w:szCs w:val="17"/>
              </w:rPr>
              <w:t>2 629</w:t>
            </w:r>
          </w:p>
        </w:tc>
        <w:tc>
          <w:tcPr>
            <w:tcW w:w="850" w:type="dxa"/>
            <w:tcBorders>
              <w:top w:val="nil"/>
              <w:left w:val="nil"/>
              <w:bottom w:val="single" w:sz="6" w:space="0" w:color="000000"/>
              <w:right w:val="nil"/>
            </w:tcBorders>
          </w:tcPr>
          <w:p w:rsidR="00A46DCA" w:rsidRPr="006C0262" w:rsidRDefault="00A46DCA">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17"/>
              </w:rPr>
            </w:pPr>
            <w:r w:rsidRPr="006C0262">
              <w:rPr>
                <w:rFonts w:ascii="Calibri" w:hAnsi="Calibri"/>
                <w:color w:val="000000"/>
                <w:szCs w:val="17"/>
              </w:rPr>
              <w:t>2 688</w:t>
            </w:r>
          </w:p>
        </w:tc>
      </w:tr>
      <w:tr w:rsidR="00A46DCA" w:rsidRPr="0042263B" w:rsidTr="00A26D04">
        <w:tc>
          <w:tcPr>
            <w:cnfStyle w:val="001000000000" w:firstRow="0" w:lastRow="0" w:firstColumn="1" w:lastColumn="0" w:oddVBand="0" w:evenVBand="0" w:oddHBand="0" w:evenHBand="0" w:firstRowFirstColumn="0" w:firstRowLastColumn="0" w:lastRowFirstColumn="0" w:lastRowLastColumn="0"/>
            <w:tcW w:w="4365" w:type="dxa"/>
            <w:tcBorders>
              <w:top w:val="nil"/>
              <w:left w:val="nil"/>
              <w:bottom w:val="nil"/>
              <w:right w:val="nil"/>
            </w:tcBorders>
          </w:tcPr>
          <w:p w:rsidR="00A46DCA" w:rsidRPr="0042263B" w:rsidRDefault="00A46DCA" w:rsidP="00A26D04">
            <w:pPr>
              <w:keepLines w:val="0"/>
              <w:autoSpaceDE w:val="0"/>
              <w:autoSpaceDN w:val="0"/>
              <w:adjustRightInd w:val="0"/>
              <w:rPr>
                <w:rFonts w:eastAsiaTheme="minorEastAsia" w:cs="Calibri"/>
                <w:b/>
                <w:bCs/>
                <w:color w:val="000000"/>
                <w:szCs w:val="18"/>
                <w:lang w:eastAsia="en-AU"/>
              </w:rPr>
            </w:pPr>
            <w:r w:rsidRPr="0042263B">
              <w:rPr>
                <w:rFonts w:eastAsiaTheme="minorEastAsia" w:cs="Calibri"/>
                <w:b/>
                <w:bCs/>
                <w:color w:val="000000"/>
                <w:szCs w:val="18"/>
                <w:lang w:eastAsia="en-AU"/>
              </w:rPr>
              <w:t>Total revenue</w:t>
            </w:r>
          </w:p>
        </w:tc>
        <w:tc>
          <w:tcPr>
            <w:tcW w:w="850" w:type="dxa"/>
            <w:tcBorders>
              <w:top w:val="nil"/>
              <w:left w:val="nil"/>
              <w:bottom w:val="nil"/>
              <w:right w:val="nil"/>
            </w:tcBorders>
          </w:tcPr>
          <w:p w:rsidR="00A46DCA" w:rsidRPr="006C0262"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64 386</w:t>
            </w:r>
          </w:p>
        </w:tc>
        <w:tc>
          <w:tcPr>
            <w:tcW w:w="850" w:type="dxa"/>
            <w:tcBorders>
              <w:top w:val="nil"/>
              <w:left w:val="nil"/>
              <w:bottom w:val="nil"/>
              <w:right w:val="nil"/>
            </w:tcBorders>
          </w:tcPr>
          <w:p w:rsidR="00A46DCA" w:rsidRPr="006C0262"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67 804</w:t>
            </w:r>
          </w:p>
        </w:tc>
        <w:tc>
          <w:tcPr>
            <w:tcW w:w="850" w:type="dxa"/>
            <w:tcBorders>
              <w:top w:val="nil"/>
              <w:left w:val="nil"/>
              <w:bottom w:val="nil"/>
              <w:right w:val="nil"/>
            </w:tcBorders>
          </w:tcPr>
          <w:p w:rsidR="00A46DCA" w:rsidRPr="006C0262"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69 134</w:t>
            </w:r>
          </w:p>
        </w:tc>
        <w:tc>
          <w:tcPr>
            <w:tcW w:w="850" w:type="dxa"/>
            <w:tcBorders>
              <w:top w:val="nil"/>
              <w:left w:val="nil"/>
              <w:bottom w:val="nil"/>
              <w:right w:val="nil"/>
            </w:tcBorders>
          </w:tcPr>
          <w:p w:rsidR="00A46DCA" w:rsidRPr="006C0262"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71 662</w:t>
            </w:r>
          </w:p>
        </w:tc>
      </w:tr>
      <w:tr w:rsidR="00A46DCA" w:rsidRPr="0042263B" w:rsidTr="00A26D04">
        <w:tc>
          <w:tcPr>
            <w:cnfStyle w:val="001000000000" w:firstRow="0" w:lastRow="0" w:firstColumn="1" w:lastColumn="0" w:oddVBand="0" w:evenVBand="0" w:oddHBand="0" w:evenHBand="0" w:firstRowFirstColumn="0" w:firstRowLastColumn="0" w:lastRowFirstColumn="0" w:lastRowLastColumn="0"/>
            <w:tcW w:w="4365" w:type="dxa"/>
            <w:tcBorders>
              <w:top w:val="nil"/>
              <w:left w:val="nil"/>
              <w:bottom w:val="nil"/>
              <w:right w:val="nil"/>
            </w:tcBorders>
          </w:tcPr>
          <w:p w:rsidR="00A46DCA" w:rsidRPr="0042263B" w:rsidRDefault="00A46DCA" w:rsidP="00A26D04">
            <w:pPr>
              <w:keepLines w:val="0"/>
              <w:autoSpaceDE w:val="0"/>
              <w:autoSpaceDN w:val="0"/>
              <w:adjustRightInd w:val="0"/>
              <w:rPr>
                <w:rFonts w:eastAsiaTheme="minorEastAsia" w:cs="Calibri"/>
                <w:i/>
                <w:iCs/>
                <w:color w:val="000000"/>
                <w:szCs w:val="18"/>
                <w:vertAlign w:val="superscript"/>
                <w:lang w:eastAsia="en-AU"/>
              </w:rPr>
            </w:pPr>
            <w:r w:rsidRPr="0042263B">
              <w:rPr>
                <w:rFonts w:eastAsiaTheme="minorEastAsia" w:cs="Calibri"/>
                <w:i/>
                <w:iCs/>
                <w:color w:val="000000"/>
                <w:szCs w:val="18"/>
                <w:lang w:eastAsia="en-AU"/>
              </w:rPr>
              <w:t xml:space="preserve">% change </w:t>
            </w:r>
            <w:r>
              <w:rPr>
                <w:rFonts w:eastAsiaTheme="minorEastAsia" w:cs="Calibri"/>
                <w:color w:val="000000"/>
                <w:szCs w:val="18"/>
                <w:vertAlign w:val="superscript"/>
                <w:lang w:eastAsia="en-AU"/>
              </w:rPr>
              <w:t>(c</w:t>
            </w:r>
            <w:r w:rsidRPr="0042263B">
              <w:rPr>
                <w:rFonts w:eastAsiaTheme="minorEastAsia" w:cs="Calibri"/>
                <w:color w:val="000000"/>
                <w:szCs w:val="18"/>
                <w:vertAlign w:val="superscript"/>
                <w:lang w:eastAsia="en-AU"/>
              </w:rPr>
              <w:t>)</w:t>
            </w:r>
          </w:p>
        </w:tc>
        <w:tc>
          <w:tcPr>
            <w:tcW w:w="850" w:type="dxa"/>
            <w:tcBorders>
              <w:top w:val="nil"/>
              <w:left w:val="nil"/>
              <w:bottom w:val="nil"/>
              <w:right w:val="nil"/>
            </w:tcBorders>
          </w:tcPr>
          <w:p w:rsidR="00A46DCA" w:rsidRPr="006C0262" w:rsidRDefault="00A46DCA">
            <w:pPr>
              <w:cnfStyle w:val="000000000000" w:firstRow="0" w:lastRow="0" w:firstColumn="0" w:lastColumn="0" w:oddVBand="0" w:evenVBand="0" w:oddHBand="0" w:evenHBand="0" w:firstRowFirstColumn="0" w:firstRowLastColumn="0" w:lastRowFirstColumn="0" w:lastRowLastColumn="0"/>
              <w:rPr>
                <w:rFonts w:ascii="Calibri" w:hAnsi="Calibri"/>
                <w:i/>
                <w:iCs/>
                <w:color w:val="000000"/>
                <w:szCs w:val="17"/>
              </w:rPr>
            </w:pPr>
            <w:r>
              <w:rPr>
                <w:rFonts w:ascii="Calibri" w:hAnsi="Calibri"/>
                <w:i/>
                <w:iCs/>
                <w:color w:val="000000"/>
                <w:szCs w:val="17"/>
              </w:rPr>
              <w:t>7.1</w:t>
            </w:r>
            <w:r w:rsidRPr="006C0262">
              <w:rPr>
                <w:rFonts w:ascii="Calibri" w:hAnsi="Calibri"/>
                <w:i/>
                <w:iCs/>
                <w:color w:val="000000"/>
                <w:szCs w:val="17"/>
              </w:rPr>
              <w:t xml:space="preserve"> </w:t>
            </w:r>
          </w:p>
        </w:tc>
        <w:tc>
          <w:tcPr>
            <w:tcW w:w="850" w:type="dxa"/>
            <w:tcBorders>
              <w:top w:val="nil"/>
              <w:left w:val="nil"/>
              <w:bottom w:val="nil"/>
              <w:right w:val="nil"/>
            </w:tcBorders>
          </w:tcPr>
          <w:p w:rsidR="00A46DCA" w:rsidRPr="006C0262" w:rsidRDefault="00A46DCA">
            <w:pPr>
              <w:cnfStyle w:val="000000000000" w:firstRow="0" w:lastRow="0" w:firstColumn="0" w:lastColumn="0" w:oddVBand="0" w:evenVBand="0" w:oddHBand="0" w:evenHBand="0" w:firstRowFirstColumn="0" w:firstRowLastColumn="0" w:lastRowFirstColumn="0" w:lastRowLastColumn="0"/>
              <w:rPr>
                <w:rFonts w:ascii="Calibri" w:hAnsi="Calibri"/>
                <w:i/>
                <w:iCs/>
                <w:color w:val="000000"/>
                <w:szCs w:val="17"/>
              </w:rPr>
            </w:pPr>
            <w:r w:rsidRPr="006C0262">
              <w:rPr>
                <w:rFonts w:ascii="Calibri" w:hAnsi="Calibri"/>
                <w:i/>
                <w:iCs/>
                <w:color w:val="000000"/>
                <w:szCs w:val="17"/>
              </w:rPr>
              <w:t xml:space="preserve">5.3 </w:t>
            </w:r>
          </w:p>
        </w:tc>
        <w:tc>
          <w:tcPr>
            <w:tcW w:w="850" w:type="dxa"/>
            <w:tcBorders>
              <w:top w:val="nil"/>
              <w:left w:val="nil"/>
              <w:bottom w:val="nil"/>
              <w:right w:val="nil"/>
            </w:tcBorders>
          </w:tcPr>
          <w:p w:rsidR="00A46DCA" w:rsidRPr="006C0262" w:rsidRDefault="00A46DCA">
            <w:pPr>
              <w:cnfStyle w:val="000000000000" w:firstRow="0" w:lastRow="0" w:firstColumn="0" w:lastColumn="0" w:oddVBand="0" w:evenVBand="0" w:oddHBand="0" w:evenHBand="0" w:firstRowFirstColumn="0" w:firstRowLastColumn="0" w:lastRowFirstColumn="0" w:lastRowLastColumn="0"/>
              <w:rPr>
                <w:rFonts w:ascii="Calibri" w:hAnsi="Calibri"/>
                <w:i/>
                <w:iCs/>
                <w:color w:val="000000"/>
                <w:szCs w:val="17"/>
              </w:rPr>
            </w:pPr>
            <w:r w:rsidRPr="006C0262">
              <w:rPr>
                <w:rFonts w:ascii="Calibri" w:hAnsi="Calibri"/>
                <w:i/>
                <w:iCs/>
                <w:color w:val="000000"/>
                <w:szCs w:val="17"/>
              </w:rPr>
              <w:t xml:space="preserve">2.0 </w:t>
            </w:r>
          </w:p>
        </w:tc>
        <w:tc>
          <w:tcPr>
            <w:tcW w:w="850" w:type="dxa"/>
            <w:tcBorders>
              <w:top w:val="nil"/>
              <w:left w:val="nil"/>
              <w:bottom w:val="nil"/>
              <w:right w:val="nil"/>
            </w:tcBorders>
          </w:tcPr>
          <w:p w:rsidR="00A46DCA" w:rsidRPr="006C0262" w:rsidRDefault="00A46DCA">
            <w:pPr>
              <w:cnfStyle w:val="000000000000" w:firstRow="0" w:lastRow="0" w:firstColumn="0" w:lastColumn="0" w:oddVBand="0" w:evenVBand="0" w:oddHBand="0" w:evenHBand="0" w:firstRowFirstColumn="0" w:firstRowLastColumn="0" w:lastRowFirstColumn="0" w:lastRowLastColumn="0"/>
              <w:rPr>
                <w:rFonts w:ascii="Calibri" w:hAnsi="Calibri"/>
                <w:i/>
                <w:iCs/>
                <w:color w:val="000000"/>
                <w:szCs w:val="17"/>
              </w:rPr>
            </w:pPr>
            <w:r>
              <w:rPr>
                <w:rFonts w:ascii="Calibri" w:hAnsi="Calibri"/>
                <w:i/>
                <w:iCs/>
                <w:color w:val="000000"/>
                <w:szCs w:val="17"/>
              </w:rPr>
              <w:t>3.7</w:t>
            </w:r>
            <w:r w:rsidRPr="006C0262">
              <w:rPr>
                <w:rFonts w:ascii="Calibri" w:hAnsi="Calibri"/>
                <w:i/>
                <w:iCs/>
                <w:color w:val="000000"/>
                <w:szCs w:val="17"/>
              </w:rPr>
              <w:t xml:space="preserve"> </w:t>
            </w:r>
          </w:p>
        </w:tc>
      </w:tr>
      <w:tr w:rsidR="00A46DCA" w:rsidRPr="0042263B" w:rsidTr="00A26D04">
        <w:tc>
          <w:tcPr>
            <w:cnfStyle w:val="001000000000" w:firstRow="0" w:lastRow="0" w:firstColumn="1" w:lastColumn="0" w:oddVBand="0" w:evenVBand="0" w:oddHBand="0" w:evenHBand="0" w:firstRowFirstColumn="0" w:firstRowLastColumn="0" w:lastRowFirstColumn="0" w:lastRowLastColumn="0"/>
            <w:tcW w:w="4365" w:type="dxa"/>
            <w:tcBorders>
              <w:top w:val="nil"/>
              <w:left w:val="nil"/>
              <w:bottom w:val="nil"/>
              <w:right w:val="nil"/>
            </w:tcBorders>
          </w:tcPr>
          <w:p w:rsidR="00A46DCA" w:rsidRPr="0042263B" w:rsidRDefault="00A46DCA" w:rsidP="00A26D04">
            <w:pPr>
              <w:keepLines w:val="0"/>
              <w:autoSpaceDE w:val="0"/>
              <w:autoSpaceDN w:val="0"/>
              <w:adjustRightInd w:val="0"/>
              <w:rPr>
                <w:rFonts w:eastAsiaTheme="minorEastAsia" w:cs="Calibri"/>
                <w:b/>
                <w:bCs/>
                <w:color w:val="000000"/>
                <w:szCs w:val="18"/>
                <w:lang w:eastAsia="en-AU"/>
              </w:rPr>
            </w:pPr>
            <w:r w:rsidRPr="0042263B">
              <w:rPr>
                <w:rFonts w:eastAsiaTheme="minorEastAsia" w:cs="Calibri"/>
                <w:b/>
                <w:bCs/>
                <w:color w:val="000000"/>
                <w:szCs w:val="18"/>
                <w:lang w:eastAsia="en-AU"/>
              </w:rPr>
              <w:t>Expenses</w:t>
            </w:r>
          </w:p>
        </w:tc>
        <w:tc>
          <w:tcPr>
            <w:tcW w:w="850" w:type="dxa"/>
            <w:tcBorders>
              <w:top w:val="nil"/>
              <w:left w:val="nil"/>
              <w:bottom w:val="nil"/>
              <w:right w:val="nil"/>
            </w:tcBorders>
          </w:tcPr>
          <w:p w:rsidR="00A46DCA" w:rsidRPr="0042263B"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42263B">
              <w:rPr>
                <w:rFonts w:eastAsiaTheme="minorEastAsia" w:cs="Calibri"/>
                <w:b/>
                <w:bCs/>
                <w:color w:val="000000"/>
                <w:lang w:eastAsia="en-AU"/>
              </w:rPr>
              <w:t xml:space="preserve"> </w:t>
            </w:r>
          </w:p>
        </w:tc>
        <w:tc>
          <w:tcPr>
            <w:tcW w:w="850" w:type="dxa"/>
            <w:tcBorders>
              <w:top w:val="nil"/>
              <w:left w:val="nil"/>
              <w:bottom w:val="nil"/>
              <w:right w:val="nil"/>
            </w:tcBorders>
          </w:tcPr>
          <w:p w:rsidR="00A46DCA" w:rsidRPr="0042263B"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42263B">
              <w:rPr>
                <w:rFonts w:eastAsiaTheme="minorEastAsia" w:cs="Calibri"/>
                <w:b/>
                <w:bCs/>
                <w:color w:val="000000"/>
                <w:lang w:eastAsia="en-AU"/>
              </w:rPr>
              <w:t xml:space="preserve"> </w:t>
            </w:r>
          </w:p>
        </w:tc>
        <w:tc>
          <w:tcPr>
            <w:tcW w:w="850" w:type="dxa"/>
            <w:tcBorders>
              <w:top w:val="nil"/>
              <w:left w:val="nil"/>
              <w:bottom w:val="nil"/>
              <w:right w:val="nil"/>
            </w:tcBorders>
          </w:tcPr>
          <w:p w:rsidR="00A46DCA" w:rsidRPr="0042263B"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42263B">
              <w:rPr>
                <w:rFonts w:eastAsiaTheme="minorEastAsia" w:cs="Calibri"/>
                <w:b/>
                <w:bCs/>
                <w:color w:val="000000"/>
                <w:lang w:eastAsia="en-AU"/>
              </w:rPr>
              <w:t xml:space="preserve"> </w:t>
            </w:r>
          </w:p>
        </w:tc>
        <w:tc>
          <w:tcPr>
            <w:tcW w:w="850" w:type="dxa"/>
            <w:tcBorders>
              <w:top w:val="nil"/>
              <w:left w:val="nil"/>
              <w:bottom w:val="nil"/>
              <w:right w:val="nil"/>
            </w:tcBorders>
          </w:tcPr>
          <w:p w:rsidR="00A46DCA" w:rsidRPr="0042263B"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42263B">
              <w:rPr>
                <w:rFonts w:eastAsiaTheme="minorEastAsia" w:cs="Calibri"/>
                <w:b/>
                <w:bCs/>
                <w:color w:val="000000"/>
                <w:lang w:eastAsia="en-AU"/>
              </w:rPr>
              <w:t xml:space="preserve"> </w:t>
            </w:r>
          </w:p>
        </w:tc>
      </w:tr>
      <w:tr w:rsidR="00A46DCA" w:rsidRPr="0042263B" w:rsidTr="00A26D04">
        <w:tc>
          <w:tcPr>
            <w:cnfStyle w:val="001000000000" w:firstRow="0" w:lastRow="0" w:firstColumn="1" w:lastColumn="0" w:oddVBand="0" w:evenVBand="0" w:oddHBand="0" w:evenHBand="0" w:firstRowFirstColumn="0" w:firstRowLastColumn="0" w:lastRowFirstColumn="0" w:lastRowLastColumn="0"/>
            <w:tcW w:w="4365" w:type="dxa"/>
            <w:tcBorders>
              <w:top w:val="nil"/>
              <w:left w:val="nil"/>
              <w:bottom w:val="nil"/>
              <w:right w:val="nil"/>
            </w:tcBorders>
          </w:tcPr>
          <w:p w:rsidR="00A46DCA" w:rsidRPr="0042263B" w:rsidRDefault="00A46DCA" w:rsidP="00A26D04">
            <w:pPr>
              <w:keepLines w:val="0"/>
              <w:autoSpaceDE w:val="0"/>
              <w:autoSpaceDN w:val="0"/>
              <w:adjustRightInd w:val="0"/>
              <w:rPr>
                <w:rFonts w:eastAsiaTheme="minorEastAsia" w:cs="Calibri"/>
                <w:color w:val="000000"/>
                <w:szCs w:val="18"/>
                <w:lang w:eastAsia="en-AU"/>
              </w:rPr>
            </w:pPr>
            <w:r w:rsidRPr="0042263B">
              <w:rPr>
                <w:rFonts w:eastAsiaTheme="minorEastAsia" w:cs="Calibri"/>
                <w:color w:val="000000"/>
                <w:szCs w:val="18"/>
                <w:lang w:eastAsia="en-AU"/>
              </w:rPr>
              <w:t>Employee expenses</w:t>
            </w:r>
          </w:p>
        </w:tc>
        <w:tc>
          <w:tcPr>
            <w:tcW w:w="850" w:type="dxa"/>
            <w:tcBorders>
              <w:top w:val="nil"/>
              <w:left w:val="nil"/>
              <w:bottom w:val="nil"/>
              <w:right w:val="nil"/>
            </w:tcBorders>
          </w:tcPr>
          <w:p w:rsidR="00A46DCA" w:rsidRPr="006C0262" w:rsidRDefault="00A46DCA">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17"/>
              </w:rPr>
            </w:pPr>
            <w:r>
              <w:rPr>
                <w:rFonts w:ascii="Calibri" w:hAnsi="Calibri"/>
                <w:color w:val="000000"/>
                <w:szCs w:val="17"/>
              </w:rPr>
              <w:t>23 094</w:t>
            </w:r>
          </w:p>
        </w:tc>
        <w:tc>
          <w:tcPr>
            <w:tcW w:w="850" w:type="dxa"/>
            <w:tcBorders>
              <w:top w:val="nil"/>
              <w:left w:val="nil"/>
              <w:bottom w:val="nil"/>
              <w:right w:val="nil"/>
            </w:tcBorders>
          </w:tcPr>
          <w:p w:rsidR="00A46DCA" w:rsidRPr="006C0262" w:rsidRDefault="00A46DCA">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17"/>
              </w:rPr>
            </w:pPr>
            <w:r>
              <w:rPr>
                <w:rFonts w:ascii="Calibri" w:hAnsi="Calibri"/>
                <w:color w:val="000000"/>
                <w:szCs w:val="17"/>
              </w:rPr>
              <w:t>24 593</w:t>
            </w:r>
          </w:p>
        </w:tc>
        <w:tc>
          <w:tcPr>
            <w:tcW w:w="850" w:type="dxa"/>
            <w:tcBorders>
              <w:top w:val="nil"/>
              <w:left w:val="nil"/>
              <w:bottom w:val="nil"/>
              <w:right w:val="nil"/>
            </w:tcBorders>
          </w:tcPr>
          <w:p w:rsidR="00A46DCA" w:rsidRPr="006C0262" w:rsidRDefault="00A46DCA">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17"/>
              </w:rPr>
            </w:pPr>
            <w:r>
              <w:rPr>
                <w:rFonts w:ascii="Calibri" w:hAnsi="Calibri"/>
                <w:color w:val="000000"/>
                <w:szCs w:val="17"/>
              </w:rPr>
              <w:t>25 116</w:t>
            </w:r>
          </w:p>
        </w:tc>
        <w:tc>
          <w:tcPr>
            <w:tcW w:w="850" w:type="dxa"/>
            <w:tcBorders>
              <w:top w:val="nil"/>
              <w:left w:val="nil"/>
              <w:bottom w:val="nil"/>
              <w:right w:val="nil"/>
            </w:tcBorders>
          </w:tcPr>
          <w:p w:rsidR="00A46DCA" w:rsidRPr="006C0262" w:rsidRDefault="00A46DCA">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17"/>
              </w:rPr>
            </w:pPr>
            <w:r>
              <w:rPr>
                <w:rFonts w:ascii="Calibri" w:hAnsi="Calibri"/>
                <w:color w:val="000000"/>
                <w:szCs w:val="17"/>
              </w:rPr>
              <w:t>25 907</w:t>
            </w:r>
          </w:p>
        </w:tc>
      </w:tr>
      <w:tr w:rsidR="00A46DCA" w:rsidRPr="0042263B" w:rsidTr="00A26D04">
        <w:tc>
          <w:tcPr>
            <w:cnfStyle w:val="001000000000" w:firstRow="0" w:lastRow="0" w:firstColumn="1" w:lastColumn="0" w:oddVBand="0" w:evenVBand="0" w:oddHBand="0" w:evenHBand="0" w:firstRowFirstColumn="0" w:firstRowLastColumn="0" w:lastRowFirstColumn="0" w:lastRowLastColumn="0"/>
            <w:tcW w:w="4365" w:type="dxa"/>
            <w:tcBorders>
              <w:top w:val="nil"/>
              <w:left w:val="nil"/>
              <w:bottom w:val="nil"/>
              <w:right w:val="nil"/>
            </w:tcBorders>
          </w:tcPr>
          <w:p w:rsidR="00A46DCA" w:rsidRPr="0042263B" w:rsidRDefault="00A46DCA" w:rsidP="00A26D04">
            <w:pPr>
              <w:keepLines w:val="0"/>
              <w:autoSpaceDE w:val="0"/>
              <w:autoSpaceDN w:val="0"/>
              <w:adjustRightInd w:val="0"/>
              <w:rPr>
                <w:rFonts w:eastAsiaTheme="minorEastAsia" w:cs="Calibri"/>
                <w:color w:val="000000"/>
                <w:szCs w:val="18"/>
                <w:vertAlign w:val="superscript"/>
                <w:lang w:eastAsia="en-AU"/>
              </w:rPr>
            </w:pPr>
            <w:r w:rsidRPr="0042263B">
              <w:rPr>
                <w:rFonts w:eastAsiaTheme="minorEastAsia" w:cs="Calibri"/>
                <w:color w:val="000000"/>
                <w:szCs w:val="18"/>
                <w:lang w:eastAsia="en-AU"/>
              </w:rPr>
              <w:t xml:space="preserve">Superannuation </w:t>
            </w:r>
            <w:r>
              <w:rPr>
                <w:rFonts w:eastAsiaTheme="minorEastAsia" w:cs="Calibri"/>
                <w:color w:val="000000"/>
                <w:szCs w:val="18"/>
                <w:vertAlign w:val="superscript"/>
                <w:lang w:eastAsia="en-AU"/>
              </w:rPr>
              <w:t>(d</w:t>
            </w:r>
            <w:r w:rsidRPr="0042263B">
              <w:rPr>
                <w:rFonts w:eastAsiaTheme="minorEastAsia" w:cs="Calibri"/>
                <w:color w:val="000000"/>
                <w:szCs w:val="18"/>
                <w:vertAlign w:val="superscript"/>
                <w:lang w:eastAsia="en-AU"/>
              </w:rPr>
              <w:t>)</w:t>
            </w:r>
          </w:p>
        </w:tc>
        <w:tc>
          <w:tcPr>
            <w:tcW w:w="850" w:type="dxa"/>
            <w:tcBorders>
              <w:top w:val="nil"/>
              <w:left w:val="nil"/>
              <w:bottom w:val="nil"/>
              <w:right w:val="nil"/>
            </w:tcBorders>
          </w:tcPr>
          <w:p w:rsidR="00A46DCA" w:rsidRPr="006C0262" w:rsidRDefault="00A46DCA">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17"/>
              </w:rPr>
            </w:pPr>
            <w:r w:rsidRPr="006C0262">
              <w:rPr>
                <w:rFonts w:ascii="Calibri" w:hAnsi="Calibri"/>
                <w:color w:val="000000"/>
                <w:szCs w:val="17"/>
              </w:rPr>
              <w:t>3 210</w:t>
            </w:r>
          </w:p>
        </w:tc>
        <w:tc>
          <w:tcPr>
            <w:tcW w:w="850" w:type="dxa"/>
            <w:tcBorders>
              <w:top w:val="nil"/>
              <w:left w:val="nil"/>
              <w:bottom w:val="nil"/>
              <w:right w:val="nil"/>
            </w:tcBorders>
          </w:tcPr>
          <w:p w:rsidR="00A46DCA" w:rsidRPr="006C0262" w:rsidRDefault="00A46DCA">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17"/>
              </w:rPr>
            </w:pPr>
            <w:r w:rsidRPr="006C0262">
              <w:rPr>
                <w:rFonts w:ascii="Calibri" w:hAnsi="Calibri"/>
                <w:color w:val="000000"/>
                <w:szCs w:val="17"/>
              </w:rPr>
              <w:t>3 202</w:t>
            </w:r>
          </w:p>
        </w:tc>
        <w:tc>
          <w:tcPr>
            <w:tcW w:w="850" w:type="dxa"/>
            <w:tcBorders>
              <w:top w:val="nil"/>
              <w:left w:val="nil"/>
              <w:bottom w:val="nil"/>
              <w:right w:val="nil"/>
            </w:tcBorders>
          </w:tcPr>
          <w:p w:rsidR="00A46DCA" w:rsidRPr="006C0262" w:rsidRDefault="00A46DCA">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17"/>
              </w:rPr>
            </w:pPr>
            <w:r w:rsidRPr="006C0262">
              <w:rPr>
                <w:rFonts w:ascii="Calibri" w:hAnsi="Calibri"/>
                <w:color w:val="000000"/>
                <w:szCs w:val="17"/>
              </w:rPr>
              <w:t>3 236</w:t>
            </w:r>
          </w:p>
        </w:tc>
        <w:tc>
          <w:tcPr>
            <w:tcW w:w="850" w:type="dxa"/>
            <w:tcBorders>
              <w:top w:val="nil"/>
              <w:left w:val="nil"/>
              <w:bottom w:val="nil"/>
              <w:right w:val="nil"/>
            </w:tcBorders>
          </w:tcPr>
          <w:p w:rsidR="00A46DCA" w:rsidRPr="006C0262" w:rsidRDefault="00A46DCA">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17"/>
              </w:rPr>
            </w:pPr>
            <w:r w:rsidRPr="006C0262">
              <w:rPr>
                <w:rFonts w:ascii="Calibri" w:hAnsi="Calibri"/>
                <w:color w:val="000000"/>
                <w:szCs w:val="17"/>
              </w:rPr>
              <w:t>3 250</w:t>
            </w:r>
          </w:p>
        </w:tc>
      </w:tr>
      <w:tr w:rsidR="00A46DCA" w:rsidRPr="0042263B" w:rsidTr="00A26D04">
        <w:tc>
          <w:tcPr>
            <w:cnfStyle w:val="001000000000" w:firstRow="0" w:lastRow="0" w:firstColumn="1" w:lastColumn="0" w:oddVBand="0" w:evenVBand="0" w:oddHBand="0" w:evenHBand="0" w:firstRowFirstColumn="0" w:firstRowLastColumn="0" w:lastRowFirstColumn="0" w:lastRowLastColumn="0"/>
            <w:tcW w:w="4365" w:type="dxa"/>
            <w:tcBorders>
              <w:top w:val="nil"/>
              <w:left w:val="nil"/>
              <w:bottom w:val="nil"/>
              <w:right w:val="nil"/>
            </w:tcBorders>
          </w:tcPr>
          <w:p w:rsidR="00A46DCA" w:rsidRPr="0042263B" w:rsidRDefault="00A46DCA" w:rsidP="00A26D04">
            <w:pPr>
              <w:keepLines w:val="0"/>
              <w:autoSpaceDE w:val="0"/>
              <w:autoSpaceDN w:val="0"/>
              <w:adjustRightInd w:val="0"/>
              <w:rPr>
                <w:rFonts w:eastAsiaTheme="minorEastAsia" w:cs="Calibri"/>
                <w:color w:val="000000"/>
                <w:szCs w:val="18"/>
                <w:lang w:eastAsia="en-AU"/>
              </w:rPr>
            </w:pPr>
            <w:r w:rsidRPr="0042263B">
              <w:rPr>
                <w:rFonts w:eastAsiaTheme="minorEastAsia" w:cs="Calibri"/>
                <w:color w:val="000000"/>
                <w:szCs w:val="18"/>
                <w:lang w:eastAsia="en-AU"/>
              </w:rPr>
              <w:t>Depreciation</w:t>
            </w:r>
          </w:p>
        </w:tc>
        <w:tc>
          <w:tcPr>
            <w:tcW w:w="850" w:type="dxa"/>
            <w:tcBorders>
              <w:top w:val="nil"/>
              <w:left w:val="nil"/>
              <w:bottom w:val="nil"/>
              <w:right w:val="nil"/>
            </w:tcBorders>
          </w:tcPr>
          <w:p w:rsidR="00A46DCA" w:rsidRPr="006C0262" w:rsidRDefault="00A46DCA">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17"/>
              </w:rPr>
            </w:pPr>
            <w:r w:rsidRPr="006C0262">
              <w:rPr>
                <w:rFonts w:ascii="Calibri" w:hAnsi="Calibri"/>
                <w:color w:val="000000"/>
                <w:szCs w:val="17"/>
              </w:rPr>
              <w:t>2 734</w:t>
            </w:r>
          </w:p>
        </w:tc>
        <w:tc>
          <w:tcPr>
            <w:tcW w:w="850" w:type="dxa"/>
            <w:tcBorders>
              <w:top w:val="nil"/>
              <w:left w:val="nil"/>
              <w:bottom w:val="nil"/>
              <w:right w:val="nil"/>
            </w:tcBorders>
          </w:tcPr>
          <w:p w:rsidR="00A46DCA" w:rsidRPr="006C0262" w:rsidRDefault="00A46DCA">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17"/>
              </w:rPr>
            </w:pPr>
            <w:r w:rsidRPr="006C0262">
              <w:rPr>
                <w:rFonts w:ascii="Calibri" w:hAnsi="Calibri"/>
                <w:color w:val="000000"/>
                <w:szCs w:val="17"/>
              </w:rPr>
              <w:t>2 960</w:t>
            </w:r>
          </w:p>
        </w:tc>
        <w:tc>
          <w:tcPr>
            <w:tcW w:w="850" w:type="dxa"/>
            <w:tcBorders>
              <w:top w:val="nil"/>
              <w:left w:val="nil"/>
              <w:bottom w:val="nil"/>
              <w:right w:val="nil"/>
            </w:tcBorders>
          </w:tcPr>
          <w:p w:rsidR="00A46DCA" w:rsidRPr="006C0262" w:rsidRDefault="00A46DCA">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17"/>
              </w:rPr>
            </w:pPr>
            <w:r w:rsidRPr="006C0262">
              <w:rPr>
                <w:rFonts w:ascii="Calibri" w:hAnsi="Calibri"/>
                <w:color w:val="000000"/>
                <w:szCs w:val="17"/>
              </w:rPr>
              <w:t>3 222</w:t>
            </w:r>
          </w:p>
        </w:tc>
        <w:tc>
          <w:tcPr>
            <w:tcW w:w="850" w:type="dxa"/>
            <w:tcBorders>
              <w:top w:val="nil"/>
              <w:left w:val="nil"/>
              <w:bottom w:val="nil"/>
              <w:right w:val="nil"/>
            </w:tcBorders>
          </w:tcPr>
          <w:p w:rsidR="00A46DCA" w:rsidRPr="006C0262" w:rsidRDefault="00A46DCA">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17"/>
              </w:rPr>
            </w:pPr>
            <w:r w:rsidRPr="006C0262">
              <w:rPr>
                <w:rFonts w:ascii="Calibri" w:hAnsi="Calibri"/>
                <w:color w:val="000000"/>
                <w:szCs w:val="17"/>
              </w:rPr>
              <w:t>3 542</w:t>
            </w:r>
          </w:p>
        </w:tc>
      </w:tr>
      <w:tr w:rsidR="00A46DCA" w:rsidRPr="0042263B" w:rsidTr="00A26D04">
        <w:tc>
          <w:tcPr>
            <w:cnfStyle w:val="001000000000" w:firstRow="0" w:lastRow="0" w:firstColumn="1" w:lastColumn="0" w:oddVBand="0" w:evenVBand="0" w:oddHBand="0" w:evenHBand="0" w:firstRowFirstColumn="0" w:firstRowLastColumn="0" w:lastRowFirstColumn="0" w:lastRowLastColumn="0"/>
            <w:tcW w:w="4365" w:type="dxa"/>
            <w:tcBorders>
              <w:top w:val="nil"/>
              <w:left w:val="nil"/>
              <w:bottom w:val="nil"/>
              <w:right w:val="nil"/>
            </w:tcBorders>
          </w:tcPr>
          <w:p w:rsidR="00A46DCA" w:rsidRPr="0042263B" w:rsidRDefault="00A46DCA" w:rsidP="00A26D04">
            <w:pPr>
              <w:keepLines w:val="0"/>
              <w:autoSpaceDE w:val="0"/>
              <w:autoSpaceDN w:val="0"/>
              <w:adjustRightInd w:val="0"/>
              <w:rPr>
                <w:rFonts w:eastAsiaTheme="minorEastAsia" w:cs="Calibri"/>
                <w:color w:val="000000"/>
                <w:szCs w:val="18"/>
                <w:lang w:eastAsia="en-AU"/>
              </w:rPr>
            </w:pPr>
            <w:r w:rsidRPr="0042263B">
              <w:rPr>
                <w:rFonts w:eastAsiaTheme="minorEastAsia" w:cs="Calibri"/>
                <w:color w:val="000000"/>
                <w:szCs w:val="18"/>
                <w:lang w:eastAsia="en-AU"/>
              </w:rPr>
              <w:t>Interest expense</w:t>
            </w:r>
          </w:p>
        </w:tc>
        <w:tc>
          <w:tcPr>
            <w:tcW w:w="850" w:type="dxa"/>
            <w:tcBorders>
              <w:top w:val="nil"/>
              <w:left w:val="nil"/>
              <w:bottom w:val="nil"/>
              <w:right w:val="nil"/>
            </w:tcBorders>
          </w:tcPr>
          <w:p w:rsidR="00A46DCA" w:rsidRPr="006C0262" w:rsidRDefault="00A46DCA">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17"/>
              </w:rPr>
            </w:pPr>
            <w:r>
              <w:rPr>
                <w:rFonts w:ascii="Calibri" w:hAnsi="Calibri"/>
                <w:color w:val="000000"/>
                <w:szCs w:val="17"/>
              </w:rPr>
              <w:t>2 286</w:t>
            </w:r>
          </w:p>
        </w:tc>
        <w:tc>
          <w:tcPr>
            <w:tcW w:w="850" w:type="dxa"/>
            <w:tcBorders>
              <w:top w:val="nil"/>
              <w:left w:val="nil"/>
              <w:bottom w:val="nil"/>
              <w:right w:val="nil"/>
            </w:tcBorders>
          </w:tcPr>
          <w:p w:rsidR="00A46DCA" w:rsidRPr="006C0262" w:rsidRDefault="00A46DCA">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17"/>
              </w:rPr>
            </w:pPr>
            <w:r w:rsidRPr="006C0262">
              <w:rPr>
                <w:rFonts w:ascii="Calibri" w:hAnsi="Calibri"/>
                <w:color w:val="000000"/>
                <w:szCs w:val="17"/>
              </w:rPr>
              <w:t>2 282</w:t>
            </w:r>
          </w:p>
        </w:tc>
        <w:tc>
          <w:tcPr>
            <w:tcW w:w="850" w:type="dxa"/>
            <w:tcBorders>
              <w:top w:val="nil"/>
              <w:left w:val="nil"/>
              <w:bottom w:val="nil"/>
              <w:right w:val="nil"/>
            </w:tcBorders>
          </w:tcPr>
          <w:p w:rsidR="00A46DCA" w:rsidRPr="006C0262" w:rsidRDefault="00A46DCA">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17"/>
              </w:rPr>
            </w:pPr>
            <w:r>
              <w:rPr>
                <w:rFonts w:ascii="Calibri" w:hAnsi="Calibri"/>
                <w:color w:val="000000"/>
                <w:szCs w:val="17"/>
              </w:rPr>
              <w:t>2 304</w:t>
            </w:r>
          </w:p>
        </w:tc>
        <w:tc>
          <w:tcPr>
            <w:tcW w:w="850" w:type="dxa"/>
            <w:tcBorders>
              <w:top w:val="nil"/>
              <w:left w:val="nil"/>
              <w:bottom w:val="nil"/>
              <w:right w:val="nil"/>
            </w:tcBorders>
          </w:tcPr>
          <w:p w:rsidR="00A46DCA" w:rsidRPr="006C0262" w:rsidRDefault="00A46DCA">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17"/>
              </w:rPr>
            </w:pPr>
            <w:r>
              <w:rPr>
                <w:rFonts w:ascii="Calibri" w:hAnsi="Calibri"/>
                <w:color w:val="000000"/>
                <w:szCs w:val="17"/>
              </w:rPr>
              <w:t>2 373</w:t>
            </w:r>
          </w:p>
        </w:tc>
      </w:tr>
      <w:tr w:rsidR="00A46DCA" w:rsidRPr="0042263B" w:rsidTr="00A26D04">
        <w:tc>
          <w:tcPr>
            <w:cnfStyle w:val="001000000000" w:firstRow="0" w:lastRow="0" w:firstColumn="1" w:lastColumn="0" w:oddVBand="0" w:evenVBand="0" w:oddHBand="0" w:evenHBand="0" w:firstRowFirstColumn="0" w:firstRowLastColumn="0" w:lastRowFirstColumn="0" w:lastRowLastColumn="0"/>
            <w:tcW w:w="4365" w:type="dxa"/>
            <w:tcBorders>
              <w:top w:val="nil"/>
              <w:left w:val="nil"/>
              <w:bottom w:val="nil"/>
              <w:right w:val="nil"/>
            </w:tcBorders>
          </w:tcPr>
          <w:p w:rsidR="00A46DCA" w:rsidRPr="0042263B" w:rsidRDefault="00A46DCA" w:rsidP="00A26D04">
            <w:pPr>
              <w:keepLines w:val="0"/>
              <w:autoSpaceDE w:val="0"/>
              <w:autoSpaceDN w:val="0"/>
              <w:adjustRightInd w:val="0"/>
              <w:rPr>
                <w:rFonts w:eastAsiaTheme="minorEastAsia" w:cs="Calibri"/>
                <w:color w:val="000000"/>
                <w:szCs w:val="18"/>
                <w:lang w:eastAsia="en-AU"/>
              </w:rPr>
            </w:pPr>
            <w:r w:rsidRPr="0042263B">
              <w:rPr>
                <w:rFonts w:eastAsiaTheme="minorEastAsia" w:cs="Calibri"/>
                <w:color w:val="000000"/>
                <w:szCs w:val="18"/>
                <w:lang w:eastAsia="en-AU"/>
              </w:rPr>
              <w:t>Other operating expenses</w:t>
            </w:r>
          </w:p>
        </w:tc>
        <w:tc>
          <w:tcPr>
            <w:tcW w:w="850" w:type="dxa"/>
            <w:tcBorders>
              <w:top w:val="nil"/>
              <w:left w:val="nil"/>
              <w:bottom w:val="nil"/>
              <w:right w:val="nil"/>
            </w:tcBorders>
          </w:tcPr>
          <w:p w:rsidR="00A46DCA" w:rsidRPr="006C0262" w:rsidRDefault="00A46DCA">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17"/>
              </w:rPr>
            </w:pPr>
            <w:r>
              <w:rPr>
                <w:rFonts w:ascii="Calibri" w:hAnsi="Calibri"/>
                <w:color w:val="000000"/>
                <w:szCs w:val="17"/>
              </w:rPr>
              <w:t>20 558</w:t>
            </w:r>
          </w:p>
        </w:tc>
        <w:tc>
          <w:tcPr>
            <w:tcW w:w="850" w:type="dxa"/>
            <w:tcBorders>
              <w:top w:val="nil"/>
              <w:left w:val="nil"/>
              <w:bottom w:val="nil"/>
              <w:right w:val="nil"/>
            </w:tcBorders>
          </w:tcPr>
          <w:p w:rsidR="00A46DCA" w:rsidRPr="006C0262" w:rsidRDefault="00A46DCA">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17"/>
              </w:rPr>
            </w:pPr>
            <w:r>
              <w:rPr>
                <w:rFonts w:ascii="Calibri" w:hAnsi="Calibri"/>
                <w:color w:val="000000"/>
                <w:szCs w:val="17"/>
              </w:rPr>
              <w:t>20 333</w:t>
            </w:r>
          </w:p>
        </w:tc>
        <w:tc>
          <w:tcPr>
            <w:tcW w:w="850" w:type="dxa"/>
            <w:tcBorders>
              <w:top w:val="nil"/>
              <w:left w:val="nil"/>
              <w:bottom w:val="nil"/>
              <w:right w:val="nil"/>
            </w:tcBorders>
          </w:tcPr>
          <w:p w:rsidR="00A46DCA" w:rsidRPr="006C0262" w:rsidRDefault="00A46DCA">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17"/>
              </w:rPr>
            </w:pPr>
            <w:r>
              <w:rPr>
                <w:rFonts w:ascii="Calibri" w:hAnsi="Calibri"/>
                <w:color w:val="000000"/>
                <w:szCs w:val="17"/>
              </w:rPr>
              <w:t>19 711</w:t>
            </w:r>
          </w:p>
        </w:tc>
        <w:tc>
          <w:tcPr>
            <w:tcW w:w="850" w:type="dxa"/>
            <w:tcBorders>
              <w:top w:val="nil"/>
              <w:left w:val="nil"/>
              <w:bottom w:val="nil"/>
              <w:right w:val="nil"/>
            </w:tcBorders>
          </w:tcPr>
          <w:p w:rsidR="00A46DCA" w:rsidRPr="006C0262" w:rsidRDefault="00A46DCA">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17"/>
              </w:rPr>
            </w:pPr>
            <w:r w:rsidRPr="006C0262">
              <w:rPr>
                <w:rFonts w:ascii="Calibri" w:hAnsi="Calibri"/>
                <w:color w:val="000000"/>
                <w:szCs w:val="17"/>
              </w:rPr>
              <w:t>20 442</w:t>
            </w:r>
          </w:p>
        </w:tc>
      </w:tr>
      <w:tr w:rsidR="00A46DCA" w:rsidRPr="0042263B" w:rsidTr="00A26D04">
        <w:tc>
          <w:tcPr>
            <w:cnfStyle w:val="001000000000" w:firstRow="0" w:lastRow="0" w:firstColumn="1" w:lastColumn="0" w:oddVBand="0" w:evenVBand="0" w:oddHBand="0" w:evenHBand="0" w:firstRowFirstColumn="0" w:firstRowLastColumn="0" w:lastRowFirstColumn="0" w:lastRowLastColumn="0"/>
            <w:tcW w:w="4365" w:type="dxa"/>
            <w:tcBorders>
              <w:top w:val="nil"/>
              <w:left w:val="nil"/>
              <w:bottom w:val="single" w:sz="6" w:space="0" w:color="000000"/>
              <w:right w:val="nil"/>
            </w:tcBorders>
          </w:tcPr>
          <w:p w:rsidR="00A46DCA" w:rsidRPr="0042263B" w:rsidRDefault="00A46DCA" w:rsidP="00A26D04">
            <w:pPr>
              <w:keepLines w:val="0"/>
              <w:autoSpaceDE w:val="0"/>
              <w:autoSpaceDN w:val="0"/>
              <w:adjustRightInd w:val="0"/>
              <w:rPr>
                <w:rFonts w:eastAsiaTheme="minorEastAsia" w:cs="Calibri"/>
                <w:color w:val="000000"/>
                <w:szCs w:val="18"/>
                <w:lang w:eastAsia="en-AU"/>
              </w:rPr>
            </w:pPr>
            <w:r w:rsidRPr="0042263B">
              <w:rPr>
                <w:rFonts w:eastAsiaTheme="minorEastAsia" w:cs="Calibri"/>
                <w:color w:val="000000"/>
                <w:szCs w:val="18"/>
                <w:lang w:eastAsia="en-AU"/>
              </w:rPr>
              <w:t xml:space="preserve">Grants </w:t>
            </w:r>
            <w:r>
              <w:rPr>
                <w:rFonts w:eastAsiaTheme="minorEastAsia" w:cs="Calibri"/>
                <w:color w:val="000000"/>
                <w:szCs w:val="18"/>
                <w:lang w:eastAsia="en-AU"/>
              </w:rPr>
              <w:t>expenses</w:t>
            </w:r>
          </w:p>
        </w:tc>
        <w:tc>
          <w:tcPr>
            <w:tcW w:w="850" w:type="dxa"/>
            <w:tcBorders>
              <w:top w:val="nil"/>
              <w:left w:val="nil"/>
              <w:bottom w:val="single" w:sz="6" w:space="0" w:color="000000"/>
              <w:right w:val="nil"/>
            </w:tcBorders>
          </w:tcPr>
          <w:p w:rsidR="00A46DCA" w:rsidRPr="006C0262" w:rsidRDefault="00A46DCA">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17"/>
              </w:rPr>
            </w:pPr>
            <w:r>
              <w:rPr>
                <w:rFonts w:ascii="Calibri" w:hAnsi="Calibri"/>
                <w:color w:val="000000"/>
                <w:szCs w:val="17"/>
              </w:rPr>
              <w:t>10 792</w:t>
            </w:r>
          </w:p>
        </w:tc>
        <w:tc>
          <w:tcPr>
            <w:tcW w:w="850" w:type="dxa"/>
            <w:tcBorders>
              <w:top w:val="nil"/>
              <w:left w:val="nil"/>
              <w:bottom w:val="single" w:sz="6" w:space="0" w:color="000000"/>
              <w:right w:val="nil"/>
            </w:tcBorders>
          </w:tcPr>
          <w:p w:rsidR="00A46DCA" w:rsidRPr="006C0262" w:rsidRDefault="00A46DCA">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17"/>
              </w:rPr>
            </w:pPr>
            <w:r>
              <w:rPr>
                <w:rFonts w:ascii="Calibri" w:hAnsi="Calibri"/>
                <w:color w:val="000000"/>
                <w:szCs w:val="17"/>
              </w:rPr>
              <w:t>12 317</w:t>
            </w:r>
          </w:p>
        </w:tc>
        <w:tc>
          <w:tcPr>
            <w:tcW w:w="850" w:type="dxa"/>
            <w:tcBorders>
              <w:top w:val="nil"/>
              <w:left w:val="nil"/>
              <w:bottom w:val="single" w:sz="6" w:space="0" w:color="000000"/>
              <w:right w:val="nil"/>
            </w:tcBorders>
          </w:tcPr>
          <w:p w:rsidR="00A46DCA" w:rsidRPr="006C0262" w:rsidRDefault="00A46DCA">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17"/>
              </w:rPr>
            </w:pPr>
            <w:r>
              <w:rPr>
                <w:rFonts w:ascii="Calibri" w:hAnsi="Calibri"/>
                <w:color w:val="000000"/>
                <w:szCs w:val="17"/>
              </w:rPr>
              <w:t>13 558</w:t>
            </w:r>
          </w:p>
        </w:tc>
        <w:tc>
          <w:tcPr>
            <w:tcW w:w="850" w:type="dxa"/>
            <w:tcBorders>
              <w:top w:val="nil"/>
              <w:left w:val="nil"/>
              <w:bottom w:val="single" w:sz="6" w:space="0" w:color="000000"/>
              <w:right w:val="nil"/>
            </w:tcBorders>
          </w:tcPr>
          <w:p w:rsidR="00A46DCA" w:rsidRPr="006C0262" w:rsidRDefault="00A46DCA">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17"/>
              </w:rPr>
            </w:pPr>
            <w:r>
              <w:rPr>
                <w:rFonts w:ascii="Calibri" w:hAnsi="Calibri"/>
                <w:color w:val="000000"/>
                <w:szCs w:val="17"/>
              </w:rPr>
              <w:t>13 507</w:t>
            </w:r>
          </w:p>
        </w:tc>
      </w:tr>
      <w:tr w:rsidR="00A46DCA" w:rsidRPr="006C0262" w:rsidTr="00A26D04">
        <w:tc>
          <w:tcPr>
            <w:cnfStyle w:val="001000000000" w:firstRow="0" w:lastRow="0" w:firstColumn="1" w:lastColumn="0" w:oddVBand="0" w:evenVBand="0" w:oddHBand="0" w:evenHBand="0" w:firstRowFirstColumn="0" w:firstRowLastColumn="0" w:lastRowFirstColumn="0" w:lastRowLastColumn="0"/>
            <w:tcW w:w="4365" w:type="dxa"/>
            <w:tcBorders>
              <w:top w:val="nil"/>
              <w:left w:val="nil"/>
              <w:bottom w:val="nil"/>
              <w:right w:val="nil"/>
            </w:tcBorders>
          </w:tcPr>
          <w:p w:rsidR="00A46DCA" w:rsidRPr="0042263B" w:rsidRDefault="00A46DCA" w:rsidP="00A26D04">
            <w:pPr>
              <w:keepLines w:val="0"/>
              <w:autoSpaceDE w:val="0"/>
              <w:autoSpaceDN w:val="0"/>
              <w:adjustRightInd w:val="0"/>
              <w:rPr>
                <w:rFonts w:eastAsiaTheme="minorEastAsia" w:cs="Calibri"/>
                <w:b/>
                <w:bCs/>
                <w:color w:val="000000"/>
                <w:szCs w:val="18"/>
                <w:lang w:eastAsia="en-AU"/>
              </w:rPr>
            </w:pPr>
            <w:r w:rsidRPr="0042263B">
              <w:rPr>
                <w:rFonts w:eastAsiaTheme="minorEastAsia" w:cs="Calibri"/>
                <w:b/>
                <w:bCs/>
                <w:color w:val="000000"/>
                <w:szCs w:val="18"/>
                <w:lang w:eastAsia="en-AU"/>
              </w:rPr>
              <w:t>Total expenses</w:t>
            </w:r>
          </w:p>
        </w:tc>
        <w:tc>
          <w:tcPr>
            <w:tcW w:w="850" w:type="dxa"/>
            <w:tcBorders>
              <w:top w:val="nil"/>
              <w:left w:val="nil"/>
              <w:bottom w:val="nil"/>
              <w:right w:val="nil"/>
            </w:tcBorders>
          </w:tcPr>
          <w:p w:rsidR="00A46DCA" w:rsidRPr="006C0262"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62 673</w:t>
            </w:r>
          </w:p>
        </w:tc>
        <w:tc>
          <w:tcPr>
            <w:tcW w:w="850" w:type="dxa"/>
            <w:tcBorders>
              <w:top w:val="nil"/>
              <w:left w:val="nil"/>
              <w:bottom w:val="nil"/>
              <w:right w:val="nil"/>
            </w:tcBorders>
          </w:tcPr>
          <w:p w:rsidR="00A46DCA" w:rsidRPr="006C0262"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65 688</w:t>
            </w:r>
          </w:p>
        </w:tc>
        <w:tc>
          <w:tcPr>
            <w:tcW w:w="850" w:type="dxa"/>
            <w:tcBorders>
              <w:top w:val="nil"/>
              <w:left w:val="nil"/>
              <w:bottom w:val="nil"/>
              <w:right w:val="nil"/>
            </w:tcBorders>
          </w:tcPr>
          <w:p w:rsidR="00A46DCA" w:rsidRPr="006C0262"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6C0262">
              <w:rPr>
                <w:rFonts w:eastAsiaTheme="minorEastAsia" w:cs="Calibri"/>
                <w:b/>
                <w:bCs/>
                <w:color w:val="000000"/>
                <w:szCs w:val="18"/>
                <w:lang w:eastAsia="en-AU"/>
              </w:rPr>
              <w:t xml:space="preserve">67 </w:t>
            </w:r>
            <w:r>
              <w:rPr>
                <w:rFonts w:eastAsiaTheme="minorEastAsia" w:cs="Calibri"/>
                <w:b/>
                <w:bCs/>
                <w:color w:val="000000"/>
                <w:szCs w:val="18"/>
                <w:lang w:eastAsia="en-AU"/>
              </w:rPr>
              <w:t>147</w:t>
            </w:r>
          </w:p>
        </w:tc>
        <w:tc>
          <w:tcPr>
            <w:tcW w:w="850" w:type="dxa"/>
            <w:tcBorders>
              <w:top w:val="nil"/>
              <w:left w:val="nil"/>
              <w:bottom w:val="nil"/>
              <w:right w:val="nil"/>
            </w:tcBorders>
          </w:tcPr>
          <w:p w:rsidR="00A46DCA" w:rsidRPr="006C0262"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69 021</w:t>
            </w:r>
          </w:p>
        </w:tc>
      </w:tr>
      <w:tr w:rsidR="00A46DCA" w:rsidRPr="0042263B" w:rsidTr="00A26D04">
        <w:tc>
          <w:tcPr>
            <w:cnfStyle w:val="001000000000" w:firstRow="0" w:lastRow="0" w:firstColumn="1" w:lastColumn="0" w:oddVBand="0" w:evenVBand="0" w:oddHBand="0" w:evenHBand="0" w:firstRowFirstColumn="0" w:firstRowLastColumn="0" w:lastRowFirstColumn="0" w:lastRowLastColumn="0"/>
            <w:tcW w:w="4365" w:type="dxa"/>
            <w:tcBorders>
              <w:top w:val="nil"/>
              <w:left w:val="nil"/>
              <w:bottom w:val="nil"/>
              <w:right w:val="nil"/>
            </w:tcBorders>
          </w:tcPr>
          <w:p w:rsidR="00A46DCA" w:rsidRPr="0042263B" w:rsidRDefault="00A46DCA" w:rsidP="00A26D04">
            <w:pPr>
              <w:keepLines w:val="0"/>
              <w:autoSpaceDE w:val="0"/>
              <w:autoSpaceDN w:val="0"/>
              <w:adjustRightInd w:val="0"/>
              <w:rPr>
                <w:rFonts w:eastAsiaTheme="minorEastAsia" w:cs="Calibri"/>
                <w:i/>
                <w:iCs/>
                <w:color w:val="000000"/>
                <w:szCs w:val="18"/>
                <w:vertAlign w:val="superscript"/>
                <w:lang w:eastAsia="en-AU"/>
              </w:rPr>
            </w:pPr>
            <w:r>
              <w:rPr>
                <w:rFonts w:eastAsiaTheme="minorEastAsia" w:cs="Calibri"/>
                <w:i/>
                <w:iCs/>
                <w:color w:val="000000"/>
                <w:szCs w:val="18"/>
                <w:lang w:eastAsia="en-AU"/>
              </w:rPr>
              <w:t>% change</w:t>
            </w:r>
          </w:p>
        </w:tc>
        <w:tc>
          <w:tcPr>
            <w:tcW w:w="850" w:type="dxa"/>
            <w:tcBorders>
              <w:top w:val="nil"/>
              <w:left w:val="nil"/>
              <w:bottom w:val="nil"/>
              <w:right w:val="nil"/>
            </w:tcBorders>
          </w:tcPr>
          <w:p w:rsidR="00A46DCA" w:rsidRPr="0042263B"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i/>
                <w:iCs/>
                <w:color w:val="000000"/>
                <w:lang w:eastAsia="en-AU"/>
              </w:rPr>
            </w:pPr>
            <w:r>
              <w:rPr>
                <w:rFonts w:eastAsiaTheme="minorEastAsia" w:cs="Calibri"/>
                <w:i/>
                <w:iCs/>
                <w:color w:val="000000"/>
                <w:lang w:eastAsia="en-AU"/>
              </w:rPr>
              <w:t>7.7</w:t>
            </w:r>
          </w:p>
        </w:tc>
        <w:tc>
          <w:tcPr>
            <w:tcW w:w="850" w:type="dxa"/>
            <w:tcBorders>
              <w:top w:val="nil"/>
              <w:left w:val="nil"/>
              <w:bottom w:val="nil"/>
              <w:right w:val="nil"/>
            </w:tcBorders>
          </w:tcPr>
          <w:p w:rsidR="00A46DCA" w:rsidRPr="0042263B"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i/>
                <w:iCs/>
                <w:color w:val="000000"/>
                <w:lang w:eastAsia="en-AU"/>
              </w:rPr>
            </w:pPr>
            <w:r>
              <w:rPr>
                <w:rFonts w:eastAsiaTheme="minorEastAsia" w:cs="Calibri"/>
                <w:i/>
                <w:iCs/>
                <w:color w:val="000000"/>
                <w:lang w:eastAsia="en-AU"/>
              </w:rPr>
              <w:t>4.8</w:t>
            </w:r>
          </w:p>
        </w:tc>
        <w:tc>
          <w:tcPr>
            <w:tcW w:w="850" w:type="dxa"/>
            <w:tcBorders>
              <w:top w:val="nil"/>
              <w:left w:val="nil"/>
              <w:bottom w:val="nil"/>
              <w:right w:val="nil"/>
            </w:tcBorders>
          </w:tcPr>
          <w:p w:rsidR="00A46DCA" w:rsidRPr="0042263B"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i/>
                <w:iCs/>
                <w:color w:val="000000"/>
                <w:lang w:eastAsia="en-AU"/>
              </w:rPr>
            </w:pPr>
            <w:r>
              <w:rPr>
                <w:rFonts w:eastAsiaTheme="minorEastAsia" w:cs="Calibri"/>
                <w:i/>
                <w:iCs/>
                <w:color w:val="000000"/>
                <w:lang w:eastAsia="en-AU"/>
              </w:rPr>
              <w:t>2.2</w:t>
            </w:r>
          </w:p>
        </w:tc>
        <w:tc>
          <w:tcPr>
            <w:tcW w:w="850" w:type="dxa"/>
            <w:tcBorders>
              <w:top w:val="nil"/>
              <w:left w:val="nil"/>
              <w:bottom w:val="nil"/>
              <w:right w:val="nil"/>
            </w:tcBorders>
          </w:tcPr>
          <w:p w:rsidR="00A46DCA" w:rsidRPr="0042263B"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i/>
                <w:iCs/>
                <w:color w:val="000000"/>
                <w:lang w:eastAsia="en-AU"/>
              </w:rPr>
            </w:pPr>
            <w:r>
              <w:rPr>
                <w:rFonts w:eastAsiaTheme="minorEastAsia" w:cs="Calibri"/>
                <w:i/>
                <w:iCs/>
                <w:color w:val="000000"/>
                <w:lang w:eastAsia="en-AU"/>
              </w:rPr>
              <w:t>2.8</w:t>
            </w:r>
          </w:p>
        </w:tc>
      </w:tr>
      <w:tr w:rsidR="00A46DCA" w:rsidRPr="0042263B" w:rsidTr="00A26D04">
        <w:tc>
          <w:tcPr>
            <w:cnfStyle w:val="001000000000" w:firstRow="0" w:lastRow="0" w:firstColumn="1" w:lastColumn="0" w:oddVBand="0" w:evenVBand="0" w:oddHBand="0" w:evenHBand="0" w:firstRowFirstColumn="0" w:firstRowLastColumn="0" w:lastRowFirstColumn="0" w:lastRowLastColumn="0"/>
            <w:tcW w:w="4365" w:type="dxa"/>
            <w:tcBorders>
              <w:top w:val="single" w:sz="6" w:space="0" w:color="000000"/>
              <w:left w:val="nil"/>
              <w:bottom w:val="nil"/>
              <w:right w:val="nil"/>
            </w:tcBorders>
          </w:tcPr>
          <w:p w:rsidR="00A46DCA" w:rsidRPr="0042263B" w:rsidRDefault="00A46DCA" w:rsidP="00A26D04">
            <w:pPr>
              <w:keepLines w:val="0"/>
              <w:autoSpaceDE w:val="0"/>
              <w:autoSpaceDN w:val="0"/>
              <w:adjustRightInd w:val="0"/>
              <w:rPr>
                <w:rFonts w:eastAsiaTheme="minorEastAsia" w:cs="Calibri"/>
                <w:b/>
                <w:bCs/>
                <w:color w:val="000000"/>
                <w:szCs w:val="18"/>
                <w:lang w:eastAsia="en-AU"/>
              </w:rPr>
            </w:pPr>
            <w:r w:rsidRPr="0042263B">
              <w:rPr>
                <w:rFonts w:eastAsiaTheme="minorEastAsia" w:cs="Calibri"/>
                <w:b/>
                <w:bCs/>
                <w:color w:val="000000"/>
                <w:szCs w:val="18"/>
                <w:lang w:eastAsia="en-AU"/>
              </w:rPr>
              <w:t>Net result from transactions</w:t>
            </w:r>
          </w:p>
        </w:tc>
        <w:tc>
          <w:tcPr>
            <w:tcW w:w="850" w:type="dxa"/>
            <w:tcBorders>
              <w:top w:val="single" w:sz="6" w:space="0" w:color="000000"/>
              <w:left w:val="nil"/>
              <w:bottom w:val="nil"/>
              <w:right w:val="nil"/>
            </w:tcBorders>
          </w:tcPr>
          <w:p w:rsidR="00A46DCA" w:rsidRPr="0042263B"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1 713</w:t>
            </w:r>
          </w:p>
        </w:tc>
        <w:tc>
          <w:tcPr>
            <w:tcW w:w="850" w:type="dxa"/>
            <w:tcBorders>
              <w:top w:val="single" w:sz="6" w:space="0" w:color="000000"/>
              <w:left w:val="nil"/>
              <w:bottom w:val="nil"/>
              <w:right w:val="nil"/>
            </w:tcBorders>
          </w:tcPr>
          <w:p w:rsidR="00A46DCA" w:rsidRPr="0042263B"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2 117</w:t>
            </w:r>
          </w:p>
        </w:tc>
        <w:tc>
          <w:tcPr>
            <w:tcW w:w="850" w:type="dxa"/>
            <w:tcBorders>
              <w:top w:val="single" w:sz="6" w:space="0" w:color="000000"/>
              <w:left w:val="nil"/>
              <w:bottom w:val="nil"/>
              <w:right w:val="nil"/>
            </w:tcBorders>
          </w:tcPr>
          <w:p w:rsidR="00A46DCA" w:rsidRPr="0042263B"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1 987</w:t>
            </w:r>
          </w:p>
        </w:tc>
        <w:tc>
          <w:tcPr>
            <w:tcW w:w="850" w:type="dxa"/>
            <w:tcBorders>
              <w:top w:val="single" w:sz="6" w:space="0" w:color="000000"/>
              <w:left w:val="nil"/>
              <w:bottom w:val="nil"/>
              <w:right w:val="nil"/>
            </w:tcBorders>
          </w:tcPr>
          <w:p w:rsidR="00A46DCA" w:rsidRPr="0042263B"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2 641</w:t>
            </w:r>
          </w:p>
        </w:tc>
      </w:tr>
      <w:tr w:rsidR="00A46DCA" w:rsidRPr="0042263B" w:rsidTr="00A26D04">
        <w:tc>
          <w:tcPr>
            <w:cnfStyle w:val="001000000000" w:firstRow="0" w:lastRow="0" w:firstColumn="1" w:lastColumn="0" w:oddVBand="0" w:evenVBand="0" w:oddHBand="0" w:evenHBand="0" w:firstRowFirstColumn="0" w:firstRowLastColumn="0" w:lastRowFirstColumn="0" w:lastRowLastColumn="0"/>
            <w:tcW w:w="4365" w:type="dxa"/>
            <w:tcBorders>
              <w:top w:val="single" w:sz="6" w:space="0" w:color="000000"/>
              <w:left w:val="nil"/>
              <w:bottom w:val="nil"/>
              <w:right w:val="nil"/>
            </w:tcBorders>
          </w:tcPr>
          <w:p w:rsidR="00A46DCA" w:rsidRPr="0042263B" w:rsidRDefault="00A46DCA" w:rsidP="00A26D04">
            <w:pPr>
              <w:keepLines w:val="0"/>
              <w:autoSpaceDE w:val="0"/>
              <w:autoSpaceDN w:val="0"/>
              <w:adjustRightInd w:val="0"/>
              <w:rPr>
                <w:rFonts w:eastAsiaTheme="minorEastAsia" w:cs="Calibri"/>
                <w:b/>
                <w:bCs/>
                <w:color w:val="000000"/>
                <w:szCs w:val="18"/>
                <w:vertAlign w:val="superscript"/>
                <w:lang w:eastAsia="en-AU"/>
              </w:rPr>
            </w:pPr>
            <w:r w:rsidRPr="0042263B">
              <w:rPr>
                <w:rFonts w:eastAsiaTheme="minorEastAsia" w:cs="Calibri"/>
                <w:b/>
                <w:bCs/>
                <w:color w:val="000000"/>
                <w:szCs w:val="18"/>
                <w:lang w:eastAsia="en-AU"/>
              </w:rPr>
              <w:t xml:space="preserve">Total other economic flows included in net result </w:t>
            </w:r>
            <w:r>
              <w:rPr>
                <w:rFonts w:eastAsiaTheme="minorEastAsia" w:cs="Calibri"/>
                <w:b/>
                <w:bCs/>
                <w:color w:val="000000"/>
                <w:szCs w:val="18"/>
                <w:vertAlign w:val="superscript"/>
                <w:lang w:eastAsia="en-AU"/>
              </w:rPr>
              <w:t>(e</w:t>
            </w:r>
            <w:r w:rsidRPr="0042263B">
              <w:rPr>
                <w:rFonts w:eastAsiaTheme="minorEastAsia" w:cs="Calibri"/>
                <w:b/>
                <w:bCs/>
                <w:color w:val="000000"/>
                <w:szCs w:val="18"/>
                <w:vertAlign w:val="superscript"/>
                <w:lang w:eastAsia="en-AU"/>
              </w:rPr>
              <w:t>)</w:t>
            </w:r>
          </w:p>
        </w:tc>
        <w:tc>
          <w:tcPr>
            <w:tcW w:w="850" w:type="dxa"/>
            <w:tcBorders>
              <w:top w:val="single" w:sz="6" w:space="0" w:color="000000"/>
              <w:left w:val="nil"/>
              <w:bottom w:val="nil"/>
              <w:right w:val="nil"/>
            </w:tcBorders>
          </w:tcPr>
          <w:p w:rsidR="00A46DCA" w:rsidRPr="0042263B"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(253)</w:t>
            </w:r>
          </w:p>
        </w:tc>
        <w:tc>
          <w:tcPr>
            <w:tcW w:w="850" w:type="dxa"/>
            <w:tcBorders>
              <w:top w:val="single" w:sz="6" w:space="0" w:color="000000"/>
              <w:left w:val="nil"/>
              <w:bottom w:val="nil"/>
              <w:right w:val="nil"/>
            </w:tcBorders>
          </w:tcPr>
          <w:p w:rsidR="00A46DCA" w:rsidRPr="0042263B"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(140)</w:t>
            </w:r>
          </w:p>
        </w:tc>
        <w:tc>
          <w:tcPr>
            <w:tcW w:w="850" w:type="dxa"/>
            <w:tcBorders>
              <w:top w:val="single" w:sz="6" w:space="0" w:color="000000"/>
              <w:left w:val="nil"/>
              <w:bottom w:val="nil"/>
              <w:right w:val="nil"/>
            </w:tcBorders>
          </w:tcPr>
          <w:p w:rsidR="00A46DCA" w:rsidRPr="0042263B"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(265)</w:t>
            </w:r>
          </w:p>
        </w:tc>
        <w:tc>
          <w:tcPr>
            <w:tcW w:w="850" w:type="dxa"/>
            <w:tcBorders>
              <w:top w:val="single" w:sz="6" w:space="0" w:color="000000"/>
              <w:left w:val="nil"/>
              <w:bottom w:val="nil"/>
              <w:right w:val="nil"/>
            </w:tcBorders>
          </w:tcPr>
          <w:p w:rsidR="00A46DCA" w:rsidRPr="0042263B"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(267)</w:t>
            </w:r>
          </w:p>
        </w:tc>
      </w:tr>
      <w:tr w:rsidR="00A46DCA" w:rsidRPr="0042263B" w:rsidTr="00A26D04">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5" w:type="dxa"/>
            <w:tcBorders>
              <w:top w:val="single" w:sz="6" w:space="0" w:color="000000"/>
              <w:bottom w:val="single" w:sz="12" w:space="0" w:color="000000"/>
            </w:tcBorders>
          </w:tcPr>
          <w:p w:rsidR="00A46DCA" w:rsidRPr="0042263B" w:rsidRDefault="00A46DCA" w:rsidP="00A26D04">
            <w:pPr>
              <w:keepLines w:val="0"/>
              <w:autoSpaceDE w:val="0"/>
              <w:autoSpaceDN w:val="0"/>
              <w:adjustRightInd w:val="0"/>
              <w:rPr>
                <w:rFonts w:eastAsiaTheme="minorEastAsia" w:cs="Calibri"/>
                <w:bCs/>
                <w:color w:val="000000"/>
                <w:szCs w:val="18"/>
                <w:lang w:eastAsia="en-AU"/>
              </w:rPr>
            </w:pPr>
            <w:r w:rsidRPr="0042263B">
              <w:rPr>
                <w:rFonts w:eastAsiaTheme="minorEastAsia" w:cs="Calibri"/>
                <w:bCs/>
                <w:color w:val="000000"/>
                <w:szCs w:val="18"/>
                <w:lang w:eastAsia="en-AU"/>
              </w:rPr>
              <w:t>Net result</w:t>
            </w:r>
          </w:p>
        </w:tc>
        <w:tc>
          <w:tcPr>
            <w:tcW w:w="850" w:type="dxa"/>
            <w:tcBorders>
              <w:top w:val="single" w:sz="6" w:space="0" w:color="000000"/>
              <w:bottom w:val="single" w:sz="12" w:space="0" w:color="000000"/>
            </w:tcBorders>
          </w:tcPr>
          <w:p w:rsidR="00A46DCA" w:rsidRPr="0042263B" w:rsidRDefault="00A46DCA" w:rsidP="00A26D0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Pr>
                <w:rFonts w:eastAsiaTheme="minorEastAsia" w:cs="Calibri"/>
                <w:bCs/>
                <w:color w:val="000000"/>
                <w:szCs w:val="18"/>
                <w:lang w:eastAsia="en-AU"/>
              </w:rPr>
              <w:t>1 460</w:t>
            </w:r>
          </w:p>
        </w:tc>
        <w:tc>
          <w:tcPr>
            <w:tcW w:w="850" w:type="dxa"/>
            <w:tcBorders>
              <w:top w:val="single" w:sz="6" w:space="0" w:color="000000"/>
              <w:bottom w:val="single" w:sz="12" w:space="0" w:color="000000"/>
            </w:tcBorders>
          </w:tcPr>
          <w:p w:rsidR="00A46DCA" w:rsidRPr="0042263B" w:rsidRDefault="00A46DCA" w:rsidP="00A26D0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Pr>
                <w:rFonts w:eastAsiaTheme="minorEastAsia" w:cs="Calibri"/>
                <w:bCs/>
                <w:color w:val="000000"/>
                <w:szCs w:val="18"/>
                <w:lang w:eastAsia="en-AU"/>
              </w:rPr>
              <w:t>1 977</w:t>
            </w:r>
          </w:p>
        </w:tc>
        <w:tc>
          <w:tcPr>
            <w:tcW w:w="850" w:type="dxa"/>
            <w:tcBorders>
              <w:top w:val="single" w:sz="6" w:space="0" w:color="000000"/>
              <w:bottom w:val="single" w:sz="12" w:space="0" w:color="000000"/>
            </w:tcBorders>
          </w:tcPr>
          <w:p w:rsidR="00A46DCA" w:rsidRPr="0042263B" w:rsidRDefault="00A46DCA" w:rsidP="00A26D0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Pr>
                <w:rFonts w:eastAsiaTheme="minorEastAsia" w:cs="Calibri"/>
                <w:bCs/>
                <w:color w:val="000000"/>
                <w:szCs w:val="18"/>
                <w:lang w:eastAsia="en-AU"/>
              </w:rPr>
              <w:t>1 722</w:t>
            </w:r>
          </w:p>
        </w:tc>
        <w:tc>
          <w:tcPr>
            <w:tcW w:w="850" w:type="dxa"/>
            <w:tcBorders>
              <w:top w:val="single" w:sz="6" w:space="0" w:color="000000"/>
              <w:bottom w:val="single" w:sz="12" w:space="0" w:color="000000"/>
            </w:tcBorders>
          </w:tcPr>
          <w:p w:rsidR="00A46DCA" w:rsidRPr="0042263B" w:rsidRDefault="00A46DCA" w:rsidP="00A26D0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Pr>
                <w:rFonts w:eastAsiaTheme="minorEastAsia" w:cs="Calibri"/>
                <w:bCs/>
                <w:color w:val="000000"/>
                <w:szCs w:val="18"/>
                <w:lang w:eastAsia="en-AU"/>
              </w:rPr>
              <w:t>2 374</w:t>
            </w:r>
          </w:p>
        </w:tc>
      </w:tr>
    </w:tbl>
    <w:p w:rsidR="00A46DCA" w:rsidRDefault="00A46DCA" w:rsidP="00A26D04">
      <w:pPr>
        <w:pStyle w:val="Source"/>
      </w:pPr>
      <w:r w:rsidRPr="002E2383">
        <w:t>Source: Dep</w:t>
      </w:r>
      <w:r>
        <w:t>artment of Treasury and Finance</w:t>
      </w:r>
    </w:p>
    <w:p w:rsidR="00A46DCA" w:rsidRPr="002E2383" w:rsidRDefault="00A46DCA" w:rsidP="00A26D04">
      <w:pPr>
        <w:pStyle w:val="Note"/>
      </w:pPr>
      <w:r w:rsidRPr="001B3FC5">
        <w:t>Notes</w:t>
      </w:r>
      <w:r w:rsidRPr="002E2383">
        <w:t>:</w:t>
      </w:r>
    </w:p>
    <w:p w:rsidR="00A46DCA" w:rsidRPr="002E2383" w:rsidRDefault="00A46DCA" w:rsidP="00A26D04">
      <w:pPr>
        <w:pStyle w:val="Note"/>
      </w:pPr>
      <w:r>
        <w:t>(a)</w:t>
      </w:r>
      <w:r w:rsidRPr="002E2383">
        <w:tab/>
      </w:r>
      <w:r>
        <w:t>Figures in this table are subject to rounding to the nearest million and may not add up to totals.</w:t>
      </w:r>
    </w:p>
    <w:p w:rsidR="00A46DCA" w:rsidRDefault="00A46DCA" w:rsidP="00A26D04">
      <w:pPr>
        <w:pStyle w:val="Note"/>
      </w:pPr>
      <w:r>
        <w:t>(b)</w:t>
      </w:r>
      <w:r w:rsidRPr="002E2383">
        <w:tab/>
      </w:r>
      <w:r w:rsidRPr="001B3FC5">
        <w:t>Comprises</w:t>
      </w:r>
      <w:r w:rsidRPr="002E2383">
        <w:t xml:space="preserve"> dividends, income tax and rate equivalent revenue and interest revenue.</w:t>
      </w:r>
    </w:p>
    <w:p w:rsidR="00A46DCA" w:rsidRPr="006E61F2" w:rsidRDefault="00A46DCA" w:rsidP="00A26D04">
      <w:pPr>
        <w:pStyle w:val="Note"/>
      </w:pPr>
      <w:r>
        <w:t>(c)</w:t>
      </w:r>
      <w:r>
        <w:tab/>
      </w:r>
      <w:r w:rsidRPr="00EC1614">
        <w:t>The 2017</w:t>
      </w:r>
      <w:r w:rsidRPr="00EC1614">
        <w:noBreakHyphen/>
        <w:t>18 revised per cent change refers to 2016</w:t>
      </w:r>
      <w:r w:rsidRPr="00EC1614">
        <w:noBreakHyphen/>
        <w:t>17 actual figures, adjusted to remove the one-off receipt of revenue associated with the upfront payment of the Port Licence Fee.</w:t>
      </w:r>
    </w:p>
    <w:p w:rsidR="00A46DCA" w:rsidRDefault="00A46DCA" w:rsidP="00A26D04">
      <w:pPr>
        <w:pStyle w:val="Note"/>
      </w:pPr>
      <w:r>
        <w:t>(d)</w:t>
      </w:r>
      <w:r>
        <w:tab/>
      </w:r>
      <w:r w:rsidRPr="007E4E2E">
        <w:t>Comprises superannuation interest expense and o</w:t>
      </w:r>
      <w:r>
        <w:t>ther superannuation expenses.</w:t>
      </w:r>
    </w:p>
    <w:p w:rsidR="00A46DCA" w:rsidRDefault="00A46DCA" w:rsidP="00A26D04">
      <w:pPr>
        <w:pStyle w:val="Note"/>
      </w:pPr>
      <w:r w:rsidRPr="004513AF">
        <w:t>(</w:t>
      </w:r>
      <w:r>
        <w:t>e)</w:t>
      </w:r>
      <w:r w:rsidRPr="004513AF">
        <w:tab/>
        <w:t>This typically includes gains and</w:t>
      </w:r>
      <w:r>
        <w:t xml:space="preserve"> losses from the disposal of non</w:t>
      </w:r>
      <w:r>
        <w:noBreakHyphen/>
      </w:r>
      <w:r w:rsidRPr="004513AF">
        <w:t>financial assets, adjustments for bad and doubtful debts and revaluations of financial assets and liabilities.</w:t>
      </w:r>
    </w:p>
    <w:p w:rsidR="00A46DCA" w:rsidRDefault="00A46DCA" w:rsidP="00A26D04">
      <w:pPr>
        <w:rPr>
          <w:rFonts w:asciiTheme="majorHAnsi" w:hAnsiTheme="majorHAnsi"/>
          <w:i/>
          <w:sz w:val="15"/>
        </w:rPr>
      </w:pPr>
      <w:r>
        <w:br w:type="page"/>
      </w:r>
    </w:p>
    <w:p w:rsidR="00A46DCA" w:rsidRDefault="00A46DCA" w:rsidP="00A26D04">
      <w:pPr>
        <w:pStyle w:val="Heading20"/>
      </w:pPr>
      <w:r>
        <w:lastRenderedPageBreak/>
        <w:t>Revenue outlook</w:t>
      </w:r>
    </w:p>
    <w:p w:rsidR="00A46DCA" w:rsidRDefault="00A46DCA" w:rsidP="00A26D04">
      <w:pPr>
        <w:rPr>
          <w:b/>
          <w:bCs/>
        </w:rPr>
      </w:pPr>
      <w:r>
        <w:t>Total revenue in 2017-18 is expected to be $64.4</w:t>
      </w:r>
      <w:r w:rsidRPr="006D6A8C">
        <w:t xml:space="preserve"> billion, with revenue growth averaging </w:t>
      </w:r>
      <w:r w:rsidRPr="00EC1614">
        <w:t>4.</w:t>
      </w:r>
      <w:r>
        <w:t>5</w:t>
      </w:r>
      <w:r w:rsidRPr="00EC1614">
        <w:t> </w:t>
      </w:r>
      <w:r w:rsidRPr="00642D7B">
        <w:t>per cent</w:t>
      </w:r>
      <w:r w:rsidRPr="006D6A8C">
        <w:t xml:space="preserve"> over the budget and forward estimates. Population growth </w:t>
      </w:r>
      <w:r>
        <w:t xml:space="preserve">in Victoria </w:t>
      </w:r>
      <w:r w:rsidRPr="006D6A8C">
        <w:t>is above the national average and has underpinned re</w:t>
      </w:r>
      <w:r>
        <w:t xml:space="preserve">silience in the property market, </w:t>
      </w:r>
      <w:r w:rsidRPr="006D6A8C">
        <w:t>boosted Victoria</w:t>
      </w:r>
      <w:r>
        <w:t>’</w:t>
      </w:r>
      <w:r w:rsidRPr="006D6A8C">
        <w:t>s share of GST revenue</w:t>
      </w:r>
      <w:r>
        <w:t xml:space="preserve"> and driven our strong economic growth.</w:t>
      </w:r>
    </w:p>
    <w:p w:rsidR="00A46DCA" w:rsidRPr="009427E0" w:rsidRDefault="00A46DCA" w:rsidP="00A26D04">
      <w:pPr>
        <w:pStyle w:val="Heading30"/>
      </w:pPr>
      <w:r w:rsidRPr="009427E0">
        <w:t>Taxation</w:t>
      </w:r>
    </w:p>
    <w:p w:rsidR="00A46DCA" w:rsidRPr="006D6A8C" w:rsidRDefault="00A46DCA" w:rsidP="00A26D04">
      <w:r w:rsidRPr="006D6A8C">
        <w:t xml:space="preserve">State taxation revenue is expected </w:t>
      </w:r>
      <w:r>
        <w:t>to be $22.2 billion in 2017-18, with growth averaging 4.7 per cent a year over the budget and forward estimates</w:t>
      </w:r>
      <w:r w:rsidRPr="006D6A8C">
        <w:t xml:space="preserve">. </w:t>
      </w:r>
      <w:r>
        <w:t xml:space="preserve">This is largely underpinned by above forecast property taxes, partly offset by lower than expected gambling and insurance revenue. </w:t>
      </w:r>
      <w:r w:rsidRPr="006D6A8C">
        <w:t>Specifically:</w:t>
      </w:r>
    </w:p>
    <w:p w:rsidR="00A46DCA" w:rsidRPr="00714096" w:rsidRDefault="00A46DCA" w:rsidP="00A26D04">
      <w:pPr>
        <w:pStyle w:val="ListBullet"/>
      </w:pPr>
      <w:r>
        <w:t>property m</w:t>
      </w:r>
      <w:r w:rsidRPr="00E02462">
        <w:t>arket conditions have been more robust than anticipated</w:t>
      </w:r>
      <w:r>
        <w:t>,</w:t>
      </w:r>
      <w:r w:rsidRPr="00E02462">
        <w:t xml:space="preserve"> driving strong growth in</w:t>
      </w:r>
      <w:r>
        <w:t xml:space="preserve"> land transfer duty collections. </w:t>
      </w:r>
      <w:r w:rsidRPr="00E02462">
        <w:t xml:space="preserve">In 2018-19, revenue growth is forecast to </w:t>
      </w:r>
      <w:r>
        <w:t>moderate,</w:t>
      </w:r>
      <w:r w:rsidRPr="00E02462">
        <w:t xml:space="preserve"> </w:t>
      </w:r>
      <w:r>
        <w:t>reflecting expectations of softening conditions in the property market after a long period of robust growth;</w:t>
      </w:r>
    </w:p>
    <w:p w:rsidR="00A46DCA" w:rsidRDefault="00A46DCA" w:rsidP="00A26D04">
      <w:pPr>
        <w:pStyle w:val="ListBullet"/>
      </w:pPr>
      <w:r>
        <w:t>l</w:t>
      </w:r>
      <w:r w:rsidRPr="006D6A8C">
        <w:t xml:space="preserve">and tax revenue is expected to be higher </w:t>
      </w:r>
      <w:r>
        <w:t xml:space="preserve">than forecast in the </w:t>
      </w:r>
      <w:r w:rsidRPr="00374EC0">
        <w:rPr>
          <w:i/>
        </w:rPr>
        <w:t>2017-18 Budget</w:t>
      </w:r>
      <w:r>
        <w:t xml:space="preserve"> </w:t>
      </w:r>
      <w:r w:rsidRPr="006D6A8C">
        <w:t>over the next four years</w:t>
      </w:r>
      <w:r>
        <w:t xml:space="preserve"> due to ongoing strength in land values and continued compliance activity</w:t>
      </w:r>
      <w:r w:rsidRPr="006D6A8C">
        <w:t>. Victoria</w:t>
      </w:r>
      <w:r>
        <w:t>’</w:t>
      </w:r>
      <w:r w:rsidRPr="006D6A8C">
        <w:t>s</w:t>
      </w:r>
      <w:r>
        <w:t xml:space="preserve"> planned</w:t>
      </w:r>
      <w:r w:rsidRPr="006D6A8C">
        <w:t xml:space="preserve"> </w:t>
      </w:r>
      <w:r>
        <w:t xml:space="preserve">introduction of </w:t>
      </w:r>
      <w:r w:rsidRPr="006D6A8C">
        <w:t xml:space="preserve">centralised annual </w:t>
      </w:r>
      <w:r>
        <w:t xml:space="preserve">land </w:t>
      </w:r>
      <w:r w:rsidRPr="006D6A8C">
        <w:t>valuation</w:t>
      </w:r>
      <w:r>
        <w:t>s</w:t>
      </w:r>
      <w:r w:rsidRPr="006D6A8C">
        <w:t xml:space="preserve"> in 2019 is expected to result in more gra</w:t>
      </w:r>
      <w:r>
        <w:t>dual changes in annual land tax revenue growth;</w:t>
      </w:r>
    </w:p>
    <w:p w:rsidR="00A46DCA" w:rsidRPr="006D6A8C" w:rsidRDefault="00A46DCA" w:rsidP="00A26D04">
      <w:pPr>
        <w:pStyle w:val="ListBullet"/>
      </w:pPr>
      <w:r>
        <w:t>p</w:t>
      </w:r>
      <w:r w:rsidRPr="006D6A8C">
        <w:t>ayroll tax re</w:t>
      </w:r>
      <w:r>
        <w:t>venue is forecast to grow by</w:t>
      </w:r>
      <w:r w:rsidRPr="006D6A8C">
        <w:t xml:space="preserve"> 4.9 per </w:t>
      </w:r>
      <w:r>
        <w:t>cent in 2017</w:t>
      </w:r>
      <w:r>
        <w:noBreakHyphen/>
        <w:t xml:space="preserve">18 to $6.0 billion. This is higher than forecast in the </w:t>
      </w:r>
      <w:r w:rsidRPr="00374EC0">
        <w:rPr>
          <w:i/>
        </w:rPr>
        <w:t>2017-18 Budget</w:t>
      </w:r>
      <w:r>
        <w:rPr>
          <w:i/>
        </w:rPr>
        <w:t>.</w:t>
      </w:r>
      <w:r>
        <w:t xml:space="preserve"> Over the budget and forward estimates, payroll tax revenue is expected to be </w:t>
      </w:r>
      <w:r w:rsidRPr="006D6A8C">
        <w:t xml:space="preserve">driven by strong growth in employment and total hours worked. </w:t>
      </w:r>
      <w:r>
        <w:t>However, this is partially offset by</w:t>
      </w:r>
      <w:r w:rsidRPr="006D6A8C">
        <w:t xml:space="preserve"> a slower than anticipated recovery in wages growth relative to the </w:t>
      </w:r>
      <w:r w:rsidRPr="006D6A8C">
        <w:rPr>
          <w:i/>
        </w:rPr>
        <w:t>2017-18 Budget</w:t>
      </w:r>
      <w:r>
        <w:t>;</w:t>
      </w:r>
    </w:p>
    <w:p w:rsidR="00A46DCA" w:rsidRPr="006D6A8C" w:rsidRDefault="00A46DCA" w:rsidP="00A26D04">
      <w:pPr>
        <w:pStyle w:val="ListBullet"/>
      </w:pPr>
      <w:r>
        <w:t>g</w:t>
      </w:r>
      <w:r w:rsidRPr="006D6A8C">
        <w:t>ambling</w:t>
      </w:r>
      <w:r>
        <w:t xml:space="preserve"> taxes are expected to grow by 1.6</w:t>
      </w:r>
      <w:r w:rsidRPr="006D6A8C">
        <w:t> per cent in 201</w:t>
      </w:r>
      <w:r>
        <w:t>7</w:t>
      </w:r>
      <w:r>
        <w:noBreakHyphen/>
        <w:t xml:space="preserve">18 to </w:t>
      </w:r>
      <w:r w:rsidRPr="004577E8">
        <w:t>$1.8 billion</w:t>
      </w:r>
      <w:r w:rsidRPr="006D6A8C">
        <w:t>. Growth is weaker than anticipa</w:t>
      </w:r>
      <w:r>
        <w:t xml:space="preserve">ted in the </w:t>
      </w:r>
      <w:r w:rsidRPr="00BB6D0E">
        <w:rPr>
          <w:i/>
        </w:rPr>
        <w:t>2017-18 Budget</w:t>
      </w:r>
      <w:r>
        <w:t xml:space="preserve">, reflecting </w:t>
      </w:r>
      <w:r w:rsidRPr="006D6A8C">
        <w:t xml:space="preserve">lower spending growth on </w:t>
      </w:r>
      <w:r>
        <w:t>gambling products;</w:t>
      </w:r>
    </w:p>
    <w:p w:rsidR="00A46DCA" w:rsidRPr="006D6A8C" w:rsidRDefault="00A46DCA" w:rsidP="00A26D04">
      <w:pPr>
        <w:pStyle w:val="ListBullet"/>
      </w:pPr>
      <w:r>
        <w:t>t</w:t>
      </w:r>
      <w:r w:rsidRPr="006D6A8C">
        <w:t>axes on insurance are expected to be ar</w:t>
      </w:r>
      <w:r>
        <w:t xml:space="preserve">ound $1.3 billion in 2017-18 in </w:t>
      </w:r>
      <w:r w:rsidRPr="006D6A8C">
        <w:t xml:space="preserve">line with the </w:t>
      </w:r>
      <w:r>
        <w:rPr>
          <w:i/>
        </w:rPr>
        <w:t>2017</w:t>
      </w:r>
      <w:r>
        <w:rPr>
          <w:i/>
        </w:rPr>
        <w:noBreakHyphen/>
      </w:r>
      <w:r w:rsidRPr="006D6A8C">
        <w:rPr>
          <w:i/>
        </w:rPr>
        <w:t>18</w:t>
      </w:r>
      <w:r>
        <w:rPr>
          <w:i/>
        </w:rPr>
        <w:t> </w:t>
      </w:r>
      <w:r w:rsidRPr="006D6A8C">
        <w:rPr>
          <w:i/>
        </w:rPr>
        <w:t>Budget</w:t>
      </w:r>
      <w:r>
        <w:rPr>
          <w:i/>
        </w:rPr>
        <w:t xml:space="preserve">, </w:t>
      </w:r>
      <w:r>
        <w:t>with growth easing slightly over the next three years; and</w:t>
      </w:r>
    </w:p>
    <w:p w:rsidR="00A46DCA" w:rsidRDefault="00A46DCA" w:rsidP="00A26D04">
      <w:pPr>
        <w:pStyle w:val="ListBullet"/>
      </w:pPr>
      <w:r>
        <w:t>m</w:t>
      </w:r>
      <w:r w:rsidRPr="006D6A8C">
        <w:t>otor vehicle t</w:t>
      </w:r>
      <w:r>
        <w:t>axes are expected to decline by 0.5</w:t>
      </w:r>
      <w:r w:rsidRPr="006D6A8C">
        <w:t> per cent in 2017</w:t>
      </w:r>
      <w:r w:rsidRPr="006D6A8C">
        <w:noBreakHyphen/>
        <w:t xml:space="preserve">18 </w:t>
      </w:r>
      <w:r>
        <w:t xml:space="preserve">to $2.4 billion </w:t>
      </w:r>
      <w:r w:rsidRPr="006D6A8C">
        <w:t xml:space="preserve">reflecting the introduction of new quarterly </w:t>
      </w:r>
      <w:r>
        <w:t xml:space="preserve">and six monthly </w:t>
      </w:r>
      <w:r w:rsidRPr="006D6A8C">
        <w:t>payment option</w:t>
      </w:r>
      <w:r>
        <w:t>s</w:t>
      </w:r>
      <w:r w:rsidRPr="006D6A8C">
        <w:t xml:space="preserve"> when registering light motor vehicles</w:t>
      </w:r>
      <w:r w:rsidRPr="001A2EBF">
        <w:t>.</w:t>
      </w:r>
      <w:r>
        <w:t xml:space="preserve"> Over the forward estimates, growth is expected to return to trend.</w:t>
      </w:r>
    </w:p>
    <w:p w:rsidR="00A46DCA" w:rsidRDefault="00A46DCA" w:rsidP="00A26D04">
      <w:pPr>
        <w:pStyle w:val="ListBullet"/>
        <w:numPr>
          <w:ilvl w:val="0"/>
          <w:numId w:val="0"/>
        </w:numPr>
        <w:ind w:left="284" w:hanging="284"/>
      </w:pPr>
    </w:p>
    <w:p w:rsidR="00A46DCA" w:rsidRDefault="00A46DCA">
      <w:pPr>
        <w:keepLines w:val="0"/>
        <w:rPr>
          <w:rFonts w:asciiTheme="majorHAnsi" w:eastAsiaTheme="majorEastAsia" w:hAnsiTheme="majorHAnsi" w:cstheme="majorBidi"/>
          <w:b/>
          <w:bCs/>
          <w:spacing w:val="-2"/>
          <w:szCs w:val="26"/>
        </w:rPr>
      </w:pPr>
      <w:r>
        <w:br w:type="page"/>
      </w:r>
    </w:p>
    <w:p w:rsidR="00A46DCA" w:rsidRDefault="00A46DCA" w:rsidP="00A26D04">
      <w:pPr>
        <w:pStyle w:val="Heading30"/>
      </w:pPr>
      <w:r>
        <w:lastRenderedPageBreak/>
        <w:t>Dividends, income tax equivalent and interest</w:t>
      </w:r>
    </w:p>
    <w:p w:rsidR="00A46DCA" w:rsidRPr="00FC689A" w:rsidRDefault="00A46DCA" w:rsidP="00A26D04">
      <w:r w:rsidRPr="00D845CE">
        <w:t>Dividend and income tax equivalent (ITE) revenue is projected to increas</w:t>
      </w:r>
      <w:r>
        <w:t>e to $1.3 </w:t>
      </w:r>
      <w:r w:rsidRPr="00D845CE">
        <w:t>billion in 2017-18. This growth is mainly due to</w:t>
      </w:r>
      <w:r>
        <w:t xml:space="preserve"> </w:t>
      </w:r>
      <w:r w:rsidRPr="00D845CE">
        <w:t>incr</w:t>
      </w:r>
      <w:r>
        <w:t>eased dividends and ITE</w:t>
      </w:r>
      <w:r w:rsidRPr="00D845CE">
        <w:t>s from the metropolitan water entities and increase</w:t>
      </w:r>
      <w:r>
        <w:t>d</w:t>
      </w:r>
      <w:r w:rsidRPr="00D845CE">
        <w:t xml:space="preserve"> dividends from </w:t>
      </w:r>
      <w:r>
        <w:t xml:space="preserve">the </w:t>
      </w:r>
      <w:r w:rsidRPr="00D845CE">
        <w:t xml:space="preserve">Treasury Corporation of Victoria. </w:t>
      </w:r>
      <w:r>
        <w:t xml:space="preserve">Over the forward estimates, </w:t>
      </w:r>
      <w:r w:rsidRPr="00D845CE">
        <w:t xml:space="preserve">dividends and ITE </w:t>
      </w:r>
      <w:r>
        <w:t>revenue</w:t>
      </w:r>
      <w:r w:rsidRPr="00D845CE">
        <w:t xml:space="preserve"> is expected </w:t>
      </w:r>
      <w:r>
        <w:t>to ease, averaging $557 million per year</w:t>
      </w:r>
      <w:r w:rsidRPr="00D845CE">
        <w:t>.</w:t>
      </w:r>
    </w:p>
    <w:p w:rsidR="00A46DCA" w:rsidRPr="00AD3172" w:rsidRDefault="00A46DCA" w:rsidP="00A26D04">
      <w:r w:rsidRPr="00FC689A">
        <w:t>Interest income is earned on holdings of cash and deposits across a number of general government sector agencies</w:t>
      </w:r>
      <w:r>
        <w:t>,</w:t>
      </w:r>
      <w:r w:rsidRPr="00FC689A">
        <w:t xml:space="preserve"> including departments, hospitals and schools. Total interest in</w:t>
      </w:r>
      <w:r>
        <w:t>come is expected to be $906 </w:t>
      </w:r>
      <w:r w:rsidRPr="00FC689A">
        <w:t>m</w:t>
      </w:r>
      <w:r>
        <w:t>illion</w:t>
      </w:r>
      <w:r w:rsidRPr="00FC689A">
        <w:t xml:space="preserve"> in 2017</w:t>
      </w:r>
      <w:r>
        <w:noBreakHyphen/>
      </w:r>
      <w:r w:rsidRPr="00FC689A">
        <w:t xml:space="preserve">18, </w:t>
      </w:r>
      <w:r>
        <w:t xml:space="preserve">and decrease by an average of 2.4 per </w:t>
      </w:r>
      <w:r w:rsidRPr="00FC689A">
        <w:t>cent a year</w:t>
      </w:r>
      <w:r>
        <w:t xml:space="preserve"> over the following three years as money is drawn down to fund infrastructure from the Victorian Transport Fund.</w:t>
      </w:r>
    </w:p>
    <w:p w:rsidR="00A46DCA" w:rsidRPr="002D3FE4" w:rsidRDefault="00A46DCA" w:rsidP="00A26D04">
      <w:pPr>
        <w:pStyle w:val="Heading30"/>
      </w:pPr>
      <w:r w:rsidRPr="002D3FE4">
        <w:t>Sales of goods and services</w:t>
      </w:r>
    </w:p>
    <w:p w:rsidR="00A46DCA" w:rsidRDefault="00A46DCA" w:rsidP="00A26D04">
      <w:r w:rsidRPr="00E84509">
        <w:t>Revenue from the sales of goods and services is expected to grow by</w:t>
      </w:r>
      <w:r>
        <w:t xml:space="preserve"> 4.6 per cent in 2017</w:t>
      </w:r>
      <w:r>
        <w:noBreakHyphen/>
        <w:t>18 to $7.3</w:t>
      </w:r>
      <w:r w:rsidRPr="00E84509">
        <w:t> billion. This growth larg</w:t>
      </w:r>
      <w:r>
        <w:t xml:space="preserve">ely reflects an increase in </w:t>
      </w:r>
      <w:r w:rsidRPr="00E84509">
        <w:t xml:space="preserve">capital asset charge revenue from </w:t>
      </w:r>
      <w:proofErr w:type="spellStart"/>
      <w:r w:rsidRPr="00E84509">
        <w:t>VicTrack</w:t>
      </w:r>
      <w:proofErr w:type="spellEnd"/>
      <w:r w:rsidRPr="00E84509">
        <w:t xml:space="preserve"> associated with an increase in its asset base. Over the forward estimates,</w:t>
      </w:r>
      <w:r>
        <w:t xml:space="preserve"> growth is expected to average 4.6 per cent a year. In the </w:t>
      </w:r>
      <w:r w:rsidRPr="004475F2">
        <w:rPr>
          <w:i/>
        </w:rPr>
        <w:t>2017-18 Budget</w:t>
      </w:r>
      <w:r>
        <w:t>, growth was expected to be lower, averaging 4.1 per cent a year over the budget and forward estimates.</w:t>
      </w:r>
    </w:p>
    <w:p w:rsidR="00A46DCA" w:rsidRPr="002D3FE4" w:rsidRDefault="00A46DCA" w:rsidP="00A26D04">
      <w:pPr>
        <w:pStyle w:val="Heading30"/>
      </w:pPr>
      <w:r w:rsidRPr="002D3FE4">
        <w:t>Grants</w:t>
      </w:r>
    </w:p>
    <w:p w:rsidR="00A46DCA" w:rsidRPr="00821899" w:rsidRDefault="00A46DCA" w:rsidP="00A26D04">
      <w:pPr>
        <w:ind w:right="-227"/>
      </w:pPr>
      <w:r w:rsidRPr="00C01256">
        <w:t xml:space="preserve">Total grants revenue is expected to grow by </w:t>
      </w:r>
      <w:r>
        <w:t>9.7 per cent to $30.2</w:t>
      </w:r>
      <w:r w:rsidRPr="00C01256">
        <w:t> bill</w:t>
      </w:r>
      <w:r>
        <w:t>ion in 2017</w:t>
      </w:r>
      <w:r>
        <w:noBreakHyphen/>
        <w:t>18 and increase by 3.4</w:t>
      </w:r>
      <w:r w:rsidRPr="00C01256">
        <w:t xml:space="preserve"> per cent a year on average over the following three years.</w:t>
      </w:r>
      <w:r w:rsidRPr="00F81EF6">
        <w:t xml:space="preserve"> </w:t>
      </w:r>
      <w:r>
        <w:t xml:space="preserve">In the </w:t>
      </w:r>
      <w:r w:rsidRPr="004475F2">
        <w:rPr>
          <w:i/>
        </w:rPr>
        <w:t>2017-18 Budget</w:t>
      </w:r>
      <w:r>
        <w:t>, growth was expected to be lower, averaging 4.1 per cent a year over the budget and forward estimates.</w:t>
      </w:r>
    </w:p>
    <w:p w:rsidR="00A46DCA" w:rsidRDefault="00A46DCA" w:rsidP="00A26D04">
      <w:r w:rsidRPr="004B77F2">
        <w:t xml:space="preserve">GST </w:t>
      </w:r>
      <w:r>
        <w:t xml:space="preserve">grants </w:t>
      </w:r>
      <w:r w:rsidRPr="004B77F2">
        <w:t>reven</w:t>
      </w:r>
      <w:r>
        <w:t>ue is anticipated to grow by 12.9</w:t>
      </w:r>
      <w:r w:rsidRPr="004B77F2">
        <w:t> per cent to $15.4 billion in 2017</w:t>
      </w:r>
      <w:r w:rsidRPr="004B77F2">
        <w:noBreakHyphen/>
        <w:t xml:space="preserve">18. This increase </w:t>
      </w:r>
      <w:r>
        <w:t xml:space="preserve">is attributed to the </w:t>
      </w:r>
      <w:r w:rsidRPr="004B77F2">
        <w:t>substantial revision to Victoria</w:t>
      </w:r>
      <w:r>
        <w:t>’</w:t>
      </w:r>
      <w:r w:rsidRPr="004B77F2">
        <w:t>s population growth rate, including an addi</w:t>
      </w:r>
      <w:r>
        <w:t xml:space="preserve">tional forecast payment of $327 </w:t>
      </w:r>
      <w:r w:rsidRPr="004B77F2">
        <w:t xml:space="preserve">million due to population revisions associated with the 2016 Census. Over the forward estimates, </w:t>
      </w:r>
      <w:r>
        <w:t xml:space="preserve">Victorian </w:t>
      </w:r>
      <w:r w:rsidRPr="004B77F2">
        <w:t>GST revenue is estimated to increase on average by 5.4 per cent a year</w:t>
      </w:r>
      <w:r>
        <w:t>,</w:t>
      </w:r>
      <w:r w:rsidRPr="004B77F2">
        <w:t xml:space="preserve"> supported by continued strength in population growth. However, this is partially offset by a lower relativity forecast due to Victor</w:t>
      </w:r>
      <w:r>
        <w:t>ia’s stronger financial position</w:t>
      </w:r>
      <w:r w:rsidRPr="004B77F2">
        <w:t xml:space="preserve"> </w:t>
      </w:r>
      <w:r>
        <w:t xml:space="preserve">relative to other states, particularly Western Australia. </w:t>
      </w:r>
    </w:p>
    <w:p w:rsidR="00A46DCA" w:rsidRDefault="00A46DCA" w:rsidP="00A26D04">
      <w:r w:rsidRPr="00821899">
        <w:t xml:space="preserve">Commonwealth grants for specific purposes are projected to be </w:t>
      </w:r>
      <w:r>
        <w:t>$14.6 billion per</w:t>
      </w:r>
      <w:r w:rsidRPr="00821899">
        <w:t xml:space="preserve"> year on average across the </w:t>
      </w:r>
      <w:r>
        <w:t>budget and forward estimates</w:t>
      </w:r>
      <w:r w:rsidRPr="00821899">
        <w:t>. The Commonwealth provides these grants as contributions towards health</w:t>
      </w:r>
      <w:r>
        <w:t xml:space="preserve"> care, education, </w:t>
      </w:r>
      <w:r w:rsidRPr="00821899">
        <w:t xml:space="preserve">disability </w:t>
      </w:r>
      <w:r>
        <w:t>services</w:t>
      </w:r>
      <w:r w:rsidRPr="00821899">
        <w:t xml:space="preserve"> and major infrastructure investment. </w:t>
      </w:r>
    </w:p>
    <w:p w:rsidR="00A46DCA" w:rsidRPr="00E22AC7" w:rsidRDefault="00A46DCA" w:rsidP="00A26D04">
      <w:r w:rsidRPr="00E22AC7">
        <w:t xml:space="preserve">Commonwealth grant revenue reduces in 2019-20 largely due to </w:t>
      </w:r>
      <w:r>
        <w:t xml:space="preserve">the transfer of responsibility for disability services to the National Disability Insurance Agency as </w:t>
      </w:r>
      <w:r w:rsidR="00FB563F">
        <w:br/>
      </w:r>
      <w:r>
        <w:t xml:space="preserve">part of the full roll out of the </w:t>
      </w:r>
      <w:r w:rsidRPr="00E22AC7">
        <w:t>National Disability Ins</w:t>
      </w:r>
      <w:r>
        <w:t>urance Scheme (NDIS)</w:t>
      </w:r>
      <w:r w:rsidRPr="00E22AC7">
        <w:t xml:space="preserve">. </w:t>
      </w:r>
    </w:p>
    <w:p w:rsidR="00A46DCA" w:rsidRPr="002D3FE4" w:rsidRDefault="00A46DCA" w:rsidP="00A26D04">
      <w:pPr>
        <w:pStyle w:val="Heading30"/>
      </w:pPr>
      <w:r w:rsidRPr="002D3FE4">
        <w:lastRenderedPageBreak/>
        <w:t>Other current revenue</w:t>
      </w:r>
    </w:p>
    <w:p w:rsidR="00A46DCA" w:rsidRPr="00AD3172" w:rsidRDefault="00A46DCA" w:rsidP="00A26D04">
      <w:r w:rsidRPr="007E4E2E">
        <w:t>Other current revenue includes fines, royalties, donations and gifts</w:t>
      </w:r>
      <w:r>
        <w:t>,</w:t>
      </w:r>
      <w:r w:rsidRPr="007E4E2E">
        <w:t xml:space="preserve"> assets received free of charge and other miscellaneous revenues. </w:t>
      </w:r>
      <w:r w:rsidRPr="000C60B9">
        <w:t xml:space="preserve">Other current revenue is projected to decrease </w:t>
      </w:r>
      <w:r>
        <w:t>by 3.4 per cent to $2.6</w:t>
      </w:r>
      <w:r w:rsidRPr="00E84509">
        <w:t> billion in 2017</w:t>
      </w:r>
      <w:r w:rsidRPr="00E84509">
        <w:noBreakHyphen/>
        <w:t>18, driven by a large one</w:t>
      </w:r>
      <w:r w:rsidRPr="00E84509">
        <w:noBreakHyphen/>
        <w:t>off increase in revenue in 2016</w:t>
      </w:r>
      <w:r w:rsidRPr="00E84509">
        <w:noBreakHyphen/>
        <w:t xml:space="preserve">17 </w:t>
      </w:r>
      <w:r w:rsidRPr="00821899">
        <w:t xml:space="preserve">from </w:t>
      </w:r>
      <w:r>
        <w:t xml:space="preserve">the </w:t>
      </w:r>
      <w:r w:rsidRPr="00821899">
        <w:t xml:space="preserve">assets received free of charge associated with </w:t>
      </w:r>
      <w:r>
        <w:t xml:space="preserve">the transfer of assets </w:t>
      </w:r>
      <w:r w:rsidRPr="00821899">
        <w:t xml:space="preserve">from the </w:t>
      </w:r>
      <w:r>
        <w:t xml:space="preserve">Greater Geelong City </w:t>
      </w:r>
      <w:r w:rsidRPr="00821899">
        <w:t>Council</w:t>
      </w:r>
      <w:r>
        <w:t xml:space="preserve"> to the Kardinia Park Stadium Trust</w:t>
      </w:r>
      <w:r w:rsidRPr="00E84509">
        <w:t xml:space="preserve">. Other current revenue is projected </w:t>
      </w:r>
      <w:r>
        <w:t>to increase by an average of 1.7</w:t>
      </w:r>
      <w:r w:rsidRPr="00E84509">
        <w:t> per cent a year across</w:t>
      </w:r>
      <w:r>
        <w:t xml:space="preserve"> the forward estimates</w:t>
      </w:r>
      <w:r w:rsidRPr="00E84509">
        <w:t>.</w:t>
      </w:r>
    </w:p>
    <w:p w:rsidR="00A46DCA" w:rsidRPr="00761392" w:rsidRDefault="00A46DCA" w:rsidP="00A26D04">
      <w:pPr>
        <w:pStyle w:val="Heading20"/>
      </w:pPr>
      <w:r w:rsidRPr="00761392">
        <w:t>Expenses outlook</w:t>
      </w:r>
    </w:p>
    <w:p w:rsidR="00A46DCA" w:rsidRPr="006830CB" w:rsidRDefault="00A46DCA" w:rsidP="00A26D04">
      <w:pPr>
        <w:rPr>
          <w:rFonts w:eastAsia="Times New Roman" w:cs="Times New Roman"/>
          <w:lang w:eastAsia="en-AU"/>
        </w:rPr>
      </w:pPr>
      <w:r w:rsidRPr="007E4E2E">
        <w:t xml:space="preserve">The Government </w:t>
      </w:r>
      <w:r>
        <w:t>is expected to</w:t>
      </w:r>
      <w:r w:rsidRPr="007E4E2E">
        <w:t xml:space="preserve"> </w:t>
      </w:r>
      <w:r>
        <w:t>spend $62.7</w:t>
      </w:r>
      <w:r w:rsidRPr="00E84509">
        <w:t> billion in 2017</w:t>
      </w:r>
      <w:r w:rsidRPr="00E84509">
        <w:noBreakHyphen/>
        <w:t>18. Total ex</w:t>
      </w:r>
      <w:r>
        <w:t xml:space="preserve">penses are expected to grow by </w:t>
      </w:r>
      <w:r w:rsidRPr="00EC1614">
        <w:t>4.4</w:t>
      </w:r>
      <w:r w:rsidRPr="00BB0794">
        <w:t> per cent</w:t>
      </w:r>
      <w:r w:rsidRPr="00E84509">
        <w:t xml:space="preserve"> a year on ave</w:t>
      </w:r>
      <w:r>
        <w:t xml:space="preserve">rage over the </w:t>
      </w:r>
      <w:r>
        <w:rPr>
          <w:rFonts w:eastAsia="Times New Roman" w:cs="Times New Roman"/>
          <w:lang w:eastAsia="en-AU"/>
        </w:rPr>
        <w:t>four years to $69.0</w:t>
      </w:r>
      <w:r w:rsidRPr="006830CB">
        <w:rPr>
          <w:rFonts w:eastAsia="Times New Roman" w:cs="Times New Roman"/>
          <w:lang w:eastAsia="en-AU"/>
        </w:rPr>
        <w:t> billion in</w:t>
      </w:r>
      <w:r w:rsidR="00FB563F">
        <w:rPr>
          <w:rFonts w:eastAsia="Times New Roman" w:cs="Times New Roman"/>
          <w:lang w:eastAsia="en-AU"/>
        </w:rPr>
        <w:t> </w:t>
      </w:r>
      <w:r w:rsidRPr="006830CB">
        <w:rPr>
          <w:rFonts w:eastAsia="Times New Roman" w:cs="Times New Roman"/>
          <w:lang w:eastAsia="en-AU"/>
        </w:rPr>
        <w:t>2020</w:t>
      </w:r>
      <w:r w:rsidRPr="006830CB">
        <w:rPr>
          <w:rFonts w:eastAsia="Times New Roman" w:cs="Times New Roman"/>
          <w:lang w:eastAsia="en-AU"/>
        </w:rPr>
        <w:noBreakHyphen/>
        <w:t>21.</w:t>
      </w:r>
    </w:p>
    <w:p w:rsidR="00A46DCA" w:rsidRPr="001A2EBF" w:rsidRDefault="00A46DCA" w:rsidP="00A26D04">
      <w:r w:rsidRPr="00E84509">
        <w:t>Specific</w:t>
      </w:r>
      <w:r>
        <w:t>ally</w:t>
      </w:r>
      <w:r w:rsidRPr="001A2EBF">
        <w:t>:</w:t>
      </w:r>
    </w:p>
    <w:p w:rsidR="00A46DCA" w:rsidRPr="00E84509" w:rsidRDefault="00A46DCA" w:rsidP="00A26D04">
      <w:pPr>
        <w:pStyle w:val="ListBullet"/>
      </w:pPr>
      <w:r w:rsidRPr="00E84509">
        <w:t>gran</w:t>
      </w:r>
      <w:r>
        <w:t xml:space="preserve">t expenses </w:t>
      </w:r>
      <w:r w:rsidRPr="00E84509">
        <w:t>are forecast to</w:t>
      </w:r>
      <w:r>
        <w:t xml:space="preserve"> increase by 3.1 per cent to $10.8 billion in 2017</w:t>
      </w:r>
      <w:r>
        <w:noBreakHyphen/>
      </w:r>
      <w:r w:rsidRPr="00E84509">
        <w:t xml:space="preserve">18. </w:t>
      </w:r>
      <w:r>
        <w:t>G</w:t>
      </w:r>
      <w:r w:rsidRPr="00E84509">
        <w:t>ro</w:t>
      </w:r>
      <w:r>
        <w:t>wth is expected to increase to an average of 7.8</w:t>
      </w:r>
      <w:r w:rsidRPr="00E84509">
        <w:t> per cent a year over the forward estimates</w:t>
      </w:r>
      <w:r>
        <w:t>, largely driven by payments made to the National Disability Insurance Agency for the delivery of disability services as part of the full roll out of the NDIS;</w:t>
      </w:r>
    </w:p>
    <w:p w:rsidR="00A46DCA" w:rsidRPr="00E84509" w:rsidRDefault="00A46DCA" w:rsidP="00A26D04">
      <w:pPr>
        <w:pStyle w:val="ListBullet"/>
      </w:pPr>
      <w:r w:rsidRPr="00E84509">
        <w:t>depreciation expense is forecast to grow b</w:t>
      </w:r>
      <w:r>
        <w:t>y 4.5 per cent to $2.7</w:t>
      </w:r>
      <w:r w:rsidRPr="00E84509">
        <w:t> billio</w:t>
      </w:r>
      <w:r>
        <w:t>n in 2017</w:t>
      </w:r>
      <w:r>
        <w:noBreakHyphen/>
        <w:t>18 and increase by 9.0</w:t>
      </w:r>
      <w:r w:rsidRPr="00E84509">
        <w:t xml:space="preserve"> per cent a year on average over </w:t>
      </w:r>
      <w:r>
        <w:t>the forward estimates to $3.5</w:t>
      </w:r>
      <w:r w:rsidRPr="00E84509">
        <w:t> billio</w:t>
      </w:r>
      <w:r>
        <w:t>n in 2020</w:t>
      </w:r>
      <w:r>
        <w:noBreakHyphen/>
        <w:t xml:space="preserve">21. This reflects </w:t>
      </w:r>
      <w:r w:rsidRPr="00E84509">
        <w:t>the Government</w:t>
      </w:r>
      <w:r>
        <w:t>’</w:t>
      </w:r>
      <w:r w:rsidRPr="00E84509">
        <w:t>s increased investment in infrastructure</w:t>
      </w:r>
      <w:r>
        <w:t xml:space="preserve"> and the impacts of asset revaluations</w:t>
      </w:r>
      <w:r w:rsidRPr="00E84509">
        <w:t>;</w:t>
      </w:r>
    </w:p>
    <w:p w:rsidR="00A46DCA" w:rsidRDefault="00A46DCA" w:rsidP="00A26D04">
      <w:pPr>
        <w:pStyle w:val="ListBullet"/>
      </w:pPr>
      <w:r>
        <w:t xml:space="preserve">employee expenses (including superannuation) </w:t>
      </w:r>
      <w:r w:rsidRPr="006E7AC0">
        <w:t xml:space="preserve">are </w:t>
      </w:r>
      <w:r w:rsidRPr="00E84509">
        <w:t xml:space="preserve">forecast </w:t>
      </w:r>
      <w:r w:rsidRPr="006E7AC0">
        <w:t xml:space="preserve">to </w:t>
      </w:r>
      <w:r>
        <w:t>grow by 7.3 per cent</w:t>
      </w:r>
      <w:r w:rsidRPr="006E7AC0">
        <w:t xml:space="preserve"> </w:t>
      </w:r>
      <w:r>
        <w:t>in 2017</w:t>
      </w:r>
      <w:r>
        <w:noBreakHyphen/>
        <w:t xml:space="preserve">18, </w:t>
      </w:r>
      <w:r w:rsidRPr="006E7AC0">
        <w:t>mode</w:t>
      </w:r>
      <w:r>
        <w:t>rating to an average annual increase of 3.5 per cent</w:t>
      </w:r>
      <w:r w:rsidRPr="006E7AC0">
        <w:t xml:space="preserve"> over the </w:t>
      </w:r>
      <w:r>
        <w:t>forward estimates. The increase</w:t>
      </w:r>
      <w:r w:rsidRPr="006613B3">
        <w:t xml:space="preserve"> in 2017-18 largely reflects </w:t>
      </w:r>
      <w:r>
        <w:t>growth</w:t>
      </w:r>
      <w:r w:rsidRPr="006613B3">
        <w:t xml:space="preserve"> in staffing levels associated with delivering additional services, including initiatives to end family violence, the recruitment of additional police officers and increased investment in hospitals to respond to growing patient demand.</w:t>
      </w:r>
      <w:r>
        <w:t xml:space="preserve"> </w:t>
      </w:r>
      <w:r w:rsidRPr="006613B3">
        <w:t>The increases in employee expenses also reflect the increases in average remuneration levels consistent with enterprise bargaining agreements, including teachers, police and health sector agr</w:t>
      </w:r>
      <w:r>
        <w:t>eements;</w:t>
      </w:r>
    </w:p>
    <w:p w:rsidR="00A46DCA" w:rsidRPr="00E84509" w:rsidRDefault="00A46DCA" w:rsidP="00A26D04">
      <w:pPr>
        <w:pStyle w:val="ListBullet"/>
      </w:pPr>
      <w:r w:rsidRPr="00E84509">
        <w:t>other operating expense</w:t>
      </w:r>
      <w:r>
        <w:t xml:space="preserve">s are </w:t>
      </w:r>
      <w:r w:rsidRPr="00E84509">
        <w:t xml:space="preserve">forecast </w:t>
      </w:r>
      <w:r>
        <w:t>to increase by 10.7</w:t>
      </w:r>
      <w:r w:rsidRPr="00E84509">
        <w:t> per cent in 2017</w:t>
      </w:r>
      <w:r w:rsidRPr="00E84509">
        <w:noBreakHyphen/>
        <w:t xml:space="preserve">18 and </w:t>
      </w:r>
      <w:r>
        <w:t>decrease by an average of 0.2</w:t>
      </w:r>
      <w:r w:rsidRPr="00E84509">
        <w:t> per cent over t</w:t>
      </w:r>
      <w:r>
        <w:t>he forward estimates to $20.4</w:t>
      </w:r>
      <w:r w:rsidRPr="00E84509">
        <w:t> billion in 2020</w:t>
      </w:r>
      <w:r w:rsidRPr="00E84509">
        <w:noBreakHyphen/>
        <w:t>21</w:t>
      </w:r>
      <w:r>
        <w:t>. The growth in 2017-18 reflects the increased operating expenses for supplies and services largely associated with the</w:t>
      </w:r>
      <w:r w:rsidRPr="00474102">
        <w:t xml:space="preserve"> </w:t>
      </w:r>
      <w:r>
        <w:t>new franchise agreements for metropolitan trains and trams; and</w:t>
      </w:r>
    </w:p>
    <w:p w:rsidR="00A46DCA" w:rsidRPr="001A2EBF" w:rsidRDefault="00A46DCA" w:rsidP="00A26D04">
      <w:pPr>
        <w:pStyle w:val="ListBullet"/>
      </w:pPr>
      <w:r w:rsidRPr="00E84509">
        <w:t>interest</w:t>
      </w:r>
      <w:r>
        <w:t xml:space="preserve"> expense is </w:t>
      </w:r>
      <w:r w:rsidRPr="00E84509">
        <w:t xml:space="preserve">forecast </w:t>
      </w:r>
      <w:r>
        <w:t>to be $2.3</w:t>
      </w:r>
      <w:r w:rsidRPr="00E84509">
        <w:t> billion in 2017</w:t>
      </w:r>
      <w:r w:rsidRPr="00E84509">
        <w:noBreakHyphen/>
        <w:t>18. Interest expense over the forward estimates is pr</w:t>
      </w:r>
      <w:r>
        <w:t>ojected to be relatively stable</w:t>
      </w:r>
      <w:r w:rsidRPr="001A2EBF">
        <w:t>.</w:t>
      </w:r>
    </w:p>
    <w:p w:rsidR="00A46DCA" w:rsidRDefault="00A46DCA">
      <w:pPr>
        <w:keepLines w:val="0"/>
        <w:rPr>
          <w:rFonts w:asciiTheme="majorHAnsi" w:eastAsiaTheme="majorEastAsia" w:hAnsiTheme="majorHAnsi" w:cstheme="majorBidi"/>
          <w:b/>
          <w:spacing w:val="-2"/>
          <w:sz w:val="26"/>
          <w:szCs w:val="26"/>
        </w:rPr>
      </w:pPr>
      <w:r>
        <w:br w:type="page"/>
      </w:r>
    </w:p>
    <w:p w:rsidR="00A46DCA" w:rsidRDefault="00A46DCA" w:rsidP="00A26D04">
      <w:pPr>
        <w:pStyle w:val="Heading20"/>
        <w:rPr>
          <w:i/>
        </w:rPr>
      </w:pPr>
      <w:r>
        <w:lastRenderedPageBreak/>
        <w:t xml:space="preserve">Reconciliation of estimates to the </w:t>
      </w:r>
      <w:r>
        <w:rPr>
          <w:i/>
        </w:rPr>
        <w:t>2017</w:t>
      </w:r>
      <w:r>
        <w:rPr>
          <w:i/>
        </w:rPr>
        <w:noBreakHyphen/>
        <w:t>18 Budget</w:t>
      </w:r>
    </w:p>
    <w:p w:rsidR="00A46DCA" w:rsidRDefault="00A46DCA" w:rsidP="00A26D04">
      <w:r w:rsidRPr="00E84509">
        <w:t xml:space="preserve">Relative to the </w:t>
      </w:r>
      <w:r w:rsidRPr="00E84509">
        <w:rPr>
          <w:i/>
        </w:rPr>
        <w:t>2017</w:t>
      </w:r>
      <w:r w:rsidRPr="00E84509">
        <w:rPr>
          <w:i/>
        </w:rPr>
        <w:noBreakHyphen/>
        <w:t>18 Budget</w:t>
      </w:r>
      <w:r w:rsidRPr="00E84509">
        <w:t>, the net result from transacti</w:t>
      </w:r>
      <w:r>
        <w:t>ons has been revised up by $560 million in 2017</w:t>
      </w:r>
      <w:r>
        <w:noBreakHyphen/>
        <w:t>18, up by $142</w:t>
      </w:r>
      <w:r w:rsidRPr="00E84509">
        <w:t> mil</w:t>
      </w:r>
      <w:r>
        <w:t>lion in 2018</w:t>
      </w:r>
      <w:r>
        <w:noBreakHyphen/>
        <w:t>19, down by $419</w:t>
      </w:r>
      <w:r w:rsidRPr="00E84509">
        <w:t> mi</w:t>
      </w:r>
      <w:r>
        <w:t>llion in 2019</w:t>
      </w:r>
      <w:r>
        <w:noBreakHyphen/>
        <w:t>20 and down by $87</w:t>
      </w:r>
      <w:r w:rsidRPr="00E84509">
        <w:t> million</w:t>
      </w:r>
      <w:r>
        <w:t xml:space="preserve"> in 2020</w:t>
      </w:r>
      <w:r>
        <w:noBreakHyphen/>
        <w:t>21.</w:t>
      </w:r>
    </w:p>
    <w:p w:rsidR="00A46DCA" w:rsidRPr="006A7803" w:rsidRDefault="00A46DCA" w:rsidP="00A26D04">
      <w:pPr>
        <w:pStyle w:val="TableHeading"/>
        <w:rPr>
          <w:bCs/>
          <w:lang w:val="en-US"/>
        </w:rPr>
      </w:pPr>
      <w:r w:rsidRPr="002E2383">
        <w:t xml:space="preserve">Table </w:t>
      </w:r>
      <w:r>
        <w:t>3.</w:t>
      </w:r>
      <w:r w:rsidRPr="002E2383">
        <w:t>3:</w:t>
      </w:r>
      <w:r w:rsidRPr="002E2383">
        <w:tab/>
      </w:r>
      <w:r w:rsidRPr="001B3FC5">
        <w:t>Reconciliation</w:t>
      </w:r>
      <w:r w:rsidRPr="002E2383">
        <w:t xml:space="preserve"> of estimates to the </w:t>
      </w:r>
      <w:r>
        <w:rPr>
          <w:i/>
        </w:rPr>
        <w:t xml:space="preserve">2017-18 Budget </w:t>
      </w:r>
      <w:r w:rsidRPr="006A7803">
        <w:rPr>
          <w:vertAlign w:val="superscript"/>
        </w:rPr>
        <w:t>(a)</w:t>
      </w:r>
      <w:r>
        <w:rPr>
          <w:vertAlign w:val="superscript"/>
        </w:rPr>
        <w:tab/>
      </w:r>
      <w:r>
        <w:t>($ million)</w:t>
      </w:r>
    </w:p>
    <w:tbl>
      <w:tblPr>
        <w:tblStyle w:val="DTFTable"/>
        <w:tblW w:w="7767" w:type="dxa"/>
        <w:tblInd w:w="45" w:type="dxa"/>
        <w:tblLayout w:type="fixed"/>
        <w:tblCellMar>
          <w:left w:w="45" w:type="dxa"/>
          <w:right w:w="45" w:type="dxa"/>
        </w:tblCellMar>
        <w:tblLook w:val="06E0" w:firstRow="1" w:lastRow="1" w:firstColumn="1" w:lastColumn="0" w:noHBand="1" w:noVBand="1"/>
      </w:tblPr>
      <w:tblGrid>
        <w:gridCol w:w="4367"/>
        <w:gridCol w:w="850"/>
        <w:gridCol w:w="850"/>
        <w:gridCol w:w="850"/>
        <w:gridCol w:w="850"/>
      </w:tblGrid>
      <w:tr w:rsidR="00A26D04" w:rsidRPr="002D3FE4" w:rsidTr="007A7C8C">
        <w:trPr>
          <w:cnfStyle w:val="100000000000" w:firstRow="1" w:lastRow="0" w:firstColumn="0" w:lastColumn="0" w:oddVBand="0" w:evenVBand="0" w:oddHBand="0" w:evenHBand="0" w:firstRowFirstColumn="0" w:firstRowLastColumn="0" w:lastRowFirstColumn="0" w:lastRowLastColumn="0"/>
          <w:trHeight w:val="172"/>
          <w:tblHeader/>
        </w:trPr>
        <w:tc>
          <w:tcPr>
            <w:cnfStyle w:val="001000000000" w:firstRow="0" w:lastRow="0" w:firstColumn="1" w:lastColumn="0" w:oddVBand="0" w:evenVBand="0" w:oddHBand="0" w:evenHBand="0" w:firstRowFirstColumn="0" w:firstRowLastColumn="0" w:lastRowFirstColumn="0" w:lastRowLastColumn="0"/>
            <w:tcW w:w="4367" w:type="dxa"/>
            <w:tcBorders>
              <w:top w:val="nil"/>
              <w:left w:val="nil"/>
              <w:bottom w:val="nil"/>
              <w:right w:val="nil"/>
            </w:tcBorders>
            <w:shd w:val="solid" w:color="000000" w:fill="auto"/>
          </w:tcPr>
          <w:p w:rsidR="00A26D04" w:rsidRPr="002D3FE4" w:rsidRDefault="00A26D04" w:rsidP="00A26D04">
            <w:pPr>
              <w:autoSpaceDE w:val="0"/>
              <w:autoSpaceDN w:val="0"/>
              <w:adjustRightInd w:val="0"/>
              <w:rPr>
                <w:rFonts w:eastAsiaTheme="minorEastAsia" w:cs="Calibri"/>
                <w:color w:val="000000"/>
                <w:szCs w:val="20"/>
                <w:lang w:eastAsia="en-AU"/>
              </w:rPr>
            </w:pPr>
            <w:r w:rsidRPr="002D3FE4">
              <w:rPr>
                <w:rFonts w:eastAsiaTheme="minorEastAsia" w:cs="Calibri"/>
                <w:color w:val="000000"/>
                <w:szCs w:val="20"/>
                <w:lang w:eastAsia="en-AU"/>
              </w:rPr>
              <w:t xml:space="preserve">  </w:t>
            </w:r>
          </w:p>
        </w:tc>
        <w:tc>
          <w:tcPr>
            <w:tcW w:w="850" w:type="dxa"/>
            <w:tcBorders>
              <w:top w:val="nil"/>
              <w:left w:val="nil"/>
              <w:bottom w:val="nil"/>
              <w:right w:val="nil"/>
            </w:tcBorders>
            <w:shd w:val="solid" w:color="000000" w:fill="auto"/>
          </w:tcPr>
          <w:p w:rsidR="00A26D04" w:rsidRPr="002D3FE4" w:rsidRDefault="00A26D04" w:rsidP="00A26D0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20"/>
                <w:lang w:eastAsia="en-AU"/>
              </w:rPr>
            </w:pPr>
            <w:r w:rsidRPr="002D3FE4">
              <w:rPr>
                <w:rFonts w:eastAsiaTheme="minorEastAsia" w:cs="Calibri"/>
                <w:iCs/>
                <w:color w:val="FFFFFF"/>
                <w:szCs w:val="20"/>
                <w:lang w:eastAsia="en-AU"/>
              </w:rPr>
              <w:t>2017-18</w:t>
            </w:r>
            <w:r>
              <w:rPr>
                <w:rFonts w:eastAsiaTheme="minorEastAsia" w:cs="Calibri"/>
                <w:iCs/>
                <w:color w:val="FFFFFF"/>
                <w:szCs w:val="20"/>
                <w:lang w:eastAsia="en-AU"/>
              </w:rPr>
              <w:br/>
            </w:r>
            <w:r w:rsidRPr="002D3FE4">
              <w:rPr>
                <w:rFonts w:eastAsiaTheme="minorEastAsia" w:cs="Calibri"/>
                <w:iCs/>
                <w:color w:val="FFFFFF"/>
                <w:szCs w:val="20"/>
                <w:lang w:eastAsia="en-AU"/>
              </w:rPr>
              <w:t>revised</w:t>
            </w:r>
          </w:p>
        </w:tc>
        <w:tc>
          <w:tcPr>
            <w:tcW w:w="850" w:type="dxa"/>
            <w:tcBorders>
              <w:top w:val="nil"/>
              <w:left w:val="nil"/>
              <w:bottom w:val="nil"/>
              <w:right w:val="nil"/>
            </w:tcBorders>
            <w:shd w:val="solid" w:color="000000" w:fill="auto"/>
          </w:tcPr>
          <w:p w:rsidR="00A26D04" w:rsidRPr="002D3FE4" w:rsidRDefault="00A26D04" w:rsidP="00A26D0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20"/>
                <w:lang w:eastAsia="en-AU"/>
              </w:rPr>
            </w:pPr>
            <w:r w:rsidRPr="002D3FE4">
              <w:rPr>
                <w:rFonts w:eastAsiaTheme="minorEastAsia" w:cs="Calibri"/>
                <w:iCs/>
                <w:color w:val="FFFFFF"/>
                <w:szCs w:val="20"/>
                <w:lang w:eastAsia="en-AU"/>
              </w:rPr>
              <w:t>2018-19</w:t>
            </w:r>
            <w:r>
              <w:rPr>
                <w:rFonts w:eastAsiaTheme="minorEastAsia" w:cs="Calibri"/>
                <w:iCs/>
                <w:color w:val="FFFFFF"/>
                <w:szCs w:val="20"/>
                <w:lang w:eastAsia="en-AU"/>
              </w:rPr>
              <w:br/>
            </w:r>
            <w:r w:rsidRPr="002D3FE4">
              <w:rPr>
                <w:rFonts w:eastAsiaTheme="minorEastAsia" w:cs="Calibri"/>
                <w:iCs/>
                <w:color w:val="FFFFFF"/>
                <w:szCs w:val="20"/>
                <w:lang w:eastAsia="en-AU"/>
              </w:rPr>
              <w:t>estimate</w:t>
            </w:r>
          </w:p>
        </w:tc>
        <w:tc>
          <w:tcPr>
            <w:tcW w:w="850" w:type="dxa"/>
            <w:tcBorders>
              <w:top w:val="nil"/>
              <w:left w:val="nil"/>
              <w:bottom w:val="nil"/>
              <w:right w:val="nil"/>
            </w:tcBorders>
            <w:shd w:val="solid" w:color="000000" w:fill="auto"/>
          </w:tcPr>
          <w:p w:rsidR="00A26D04" w:rsidRPr="002D3FE4" w:rsidRDefault="00A26D04" w:rsidP="00A26D0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20"/>
                <w:lang w:eastAsia="en-AU"/>
              </w:rPr>
            </w:pPr>
            <w:r w:rsidRPr="002D3FE4">
              <w:rPr>
                <w:rFonts w:eastAsiaTheme="minorEastAsia" w:cs="Calibri"/>
                <w:iCs/>
                <w:color w:val="FFFFFF"/>
                <w:szCs w:val="20"/>
                <w:lang w:eastAsia="en-AU"/>
              </w:rPr>
              <w:t>2019-20</w:t>
            </w:r>
            <w:r>
              <w:rPr>
                <w:rFonts w:eastAsiaTheme="minorEastAsia" w:cs="Calibri"/>
                <w:iCs/>
                <w:color w:val="FFFFFF"/>
                <w:szCs w:val="20"/>
                <w:lang w:eastAsia="en-AU"/>
              </w:rPr>
              <w:br/>
            </w:r>
            <w:r w:rsidRPr="002D3FE4">
              <w:rPr>
                <w:rFonts w:eastAsiaTheme="minorEastAsia" w:cs="Calibri"/>
                <w:iCs/>
                <w:color w:val="FFFFFF"/>
                <w:szCs w:val="20"/>
                <w:lang w:eastAsia="en-AU"/>
              </w:rPr>
              <w:t>estimate</w:t>
            </w:r>
          </w:p>
        </w:tc>
        <w:tc>
          <w:tcPr>
            <w:tcW w:w="850" w:type="dxa"/>
            <w:tcBorders>
              <w:top w:val="nil"/>
              <w:left w:val="nil"/>
              <w:bottom w:val="nil"/>
              <w:right w:val="nil"/>
            </w:tcBorders>
            <w:shd w:val="solid" w:color="000000" w:fill="auto"/>
          </w:tcPr>
          <w:p w:rsidR="00A26D04" w:rsidRPr="002D3FE4" w:rsidRDefault="00A26D04" w:rsidP="00A26D0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20"/>
                <w:lang w:eastAsia="en-AU"/>
              </w:rPr>
            </w:pPr>
            <w:r w:rsidRPr="002D3FE4">
              <w:rPr>
                <w:rFonts w:eastAsiaTheme="minorEastAsia" w:cs="Calibri"/>
                <w:iCs/>
                <w:color w:val="FFFFFF"/>
                <w:szCs w:val="20"/>
                <w:lang w:eastAsia="en-AU"/>
              </w:rPr>
              <w:t>2020-21</w:t>
            </w:r>
            <w:r>
              <w:rPr>
                <w:rFonts w:eastAsiaTheme="minorEastAsia" w:cs="Calibri"/>
                <w:iCs/>
                <w:color w:val="FFFFFF"/>
                <w:szCs w:val="20"/>
                <w:lang w:eastAsia="en-AU"/>
              </w:rPr>
              <w:br/>
            </w:r>
            <w:r w:rsidRPr="002D3FE4">
              <w:rPr>
                <w:rFonts w:eastAsiaTheme="minorEastAsia" w:cs="Calibri"/>
                <w:iCs/>
                <w:color w:val="FFFFFF"/>
                <w:szCs w:val="20"/>
                <w:lang w:eastAsia="en-AU"/>
              </w:rPr>
              <w:t>estimate</w:t>
            </w:r>
          </w:p>
        </w:tc>
      </w:tr>
      <w:tr w:rsidR="00A46DCA" w:rsidRPr="002D3FE4" w:rsidTr="007A7C8C">
        <w:tc>
          <w:tcPr>
            <w:cnfStyle w:val="001000000000" w:firstRow="0" w:lastRow="0" w:firstColumn="1" w:lastColumn="0" w:oddVBand="0" w:evenVBand="0" w:oddHBand="0" w:evenHBand="0" w:firstRowFirstColumn="0" w:firstRowLastColumn="0" w:lastRowFirstColumn="0" w:lastRowLastColumn="0"/>
            <w:tcW w:w="4367" w:type="dxa"/>
            <w:tcBorders>
              <w:top w:val="nil"/>
              <w:left w:val="nil"/>
              <w:bottom w:val="nil"/>
              <w:right w:val="nil"/>
            </w:tcBorders>
          </w:tcPr>
          <w:p w:rsidR="00A46DCA" w:rsidRPr="002D3FE4" w:rsidRDefault="00A46DCA" w:rsidP="00A26D04">
            <w:pPr>
              <w:keepLines w:val="0"/>
              <w:autoSpaceDE w:val="0"/>
              <w:autoSpaceDN w:val="0"/>
              <w:adjustRightInd w:val="0"/>
              <w:rPr>
                <w:rFonts w:eastAsiaTheme="minorEastAsia" w:cs="Calibri"/>
                <w:b/>
                <w:bCs/>
                <w:i/>
                <w:iCs/>
                <w:color w:val="000000"/>
                <w:szCs w:val="20"/>
                <w:lang w:eastAsia="en-AU"/>
              </w:rPr>
            </w:pPr>
            <w:r w:rsidRPr="002D3FE4">
              <w:rPr>
                <w:rFonts w:eastAsiaTheme="minorEastAsia" w:cs="Calibri"/>
                <w:b/>
                <w:bCs/>
                <w:color w:val="000000"/>
                <w:szCs w:val="20"/>
                <w:lang w:eastAsia="en-AU"/>
              </w:rPr>
              <w:t xml:space="preserve">Net result from transactions: </w:t>
            </w:r>
            <w:r w:rsidRPr="002D3FE4">
              <w:rPr>
                <w:rFonts w:eastAsiaTheme="minorEastAsia" w:cs="Calibri"/>
                <w:b/>
                <w:bCs/>
                <w:i/>
                <w:iCs/>
                <w:color w:val="000000"/>
                <w:szCs w:val="20"/>
                <w:lang w:eastAsia="en-AU"/>
              </w:rPr>
              <w:t>2017-18 Budget</w:t>
            </w:r>
          </w:p>
        </w:tc>
        <w:tc>
          <w:tcPr>
            <w:tcW w:w="850" w:type="dxa"/>
            <w:tcBorders>
              <w:top w:val="nil"/>
              <w:left w:val="nil"/>
              <w:bottom w:val="nil"/>
              <w:right w:val="nil"/>
            </w:tcBorders>
            <w:shd w:val="solid" w:color="FFFFFF" w:fill="auto"/>
          </w:tcPr>
          <w:p w:rsidR="00A46DCA" w:rsidRPr="002D3FE4"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0"/>
                <w:lang w:eastAsia="en-AU"/>
              </w:rPr>
            </w:pPr>
            <w:r w:rsidRPr="002D3FE4">
              <w:rPr>
                <w:rFonts w:eastAsiaTheme="minorEastAsia" w:cs="Calibri"/>
                <w:b/>
                <w:bCs/>
                <w:color w:val="000000"/>
                <w:szCs w:val="20"/>
                <w:lang w:eastAsia="en-AU"/>
              </w:rPr>
              <w:t>1 153</w:t>
            </w:r>
          </w:p>
        </w:tc>
        <w:tc>
          <w:tcPr>
            <w:tcW w:w="850" w:type="dxa"/>
            <w:tcBorders>
              <w:top w:val="nil"/>
              <w:left w:val="nil"/>
              <w:bottom w:val="nil"/>
              <w:right w:val="nil"/>
            </w:tcBorders>
            <w:shd w:val="solid" w:color="FFFFFF" w:fill="auto"/>
          </w:tcPr>
          <w:p w:rsidR="00A46DCA" w:rsidRPr="002D3FE4"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0"/>
                <w:lang w:eastAsia="en-AU"/>
              </w:rPr>
            </w:pPr>
            <w:r w:rsidRPr="002D3FE4">
              <w:rPr>
                <w:rFonts w:eastAsiaTheme="minorEastAsia" w:cs="Calibri"/>
                <w:b/>
                <w:bCs/>
                <w:color w:val="000000"/>
                <w:szCs w:val="20"/>
                <w:lang w:eastAsia="en-AU"/>
              </w:rPr>
              <w:t>1 975</w:t>
            </w:r>
          </w:p>
        </w:tc>
        <w:tc>
          <w:tcPr>
            <w:tcW w:w="850" w:type="dxa"/>
            <w:tcBorders>
              <w:top w:val="nil"/>
              <w:left w:val="nil"/>
              <w:bottom w:val="nil"/>
              <w:right w:val="nil"/>
            </w:tcBorders>
            <w:shd w:val="solid" w:color="FFFFFF" w:fill="auto"/>
          </w:tcPr>
          <w:p w:rsidR="00A46DCA" w:rsidRPr="002D3FE4"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0"/>
                <w:lang w:eastAsia="en-AU"/>
              </w:rPr>
            </w:pPr>
            <w:r w:rsidRPr="002D3FE4">
              <w:rPr>
                <w:rFonts w:eastAsiaTheme="minorEastAsia" w:cs="Calibri"/>
                <w:b/>
                <w:bCs/>
                <w:color w:val="000000"/>
                <w:szCs w:val="20"/>
                <w:lang w:eastAsia="en-AU"/>
              </w:rPr>
              <w:t>2 405</w:t>
            </w:r>
          </w:p>
        </w:tc>
        <w:tc>
          <w:tcPr>
            <w:tcW w:w="850" w:type="dxa"/>
            <w:tcBorders>
              <w:top w:val="nil"/>
              <w:left w:val="nil"/>
              <w:bottom w:val="nil"/>
              <w:right w:val="nil"/>
            </w:tcBorders>
            <w:shd w:val="solid" w:color="FFFFFF" w:fill="auto"/>
          </w:tcPr>
          <w:p w:rsidR="00A46DCA" w:rsidRPr="002D3FE4"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0"/>
                <w:lang w:eastAsia="en-AU"/>
              </w:rPr>
            </w:pPr>
            <w:r w:rsidRPr="002D3FE4">
              <w:rPr>
                <w:rFonts w:eastAsiaTheme="minorEastAsia" w:cs="Calibri"/>
                <w:b/>
                <w:bCs/>
                <w:color w:val="000000"/>
                <w:szCs w:val="20"/>
                <w:lang w:eastAsia="en-AU"/>
              </w:rPr>
              <w:t>2 727</w:t>
            </w:r>
          </w:p>
        </w:tc>
      </w:tr>
      <w:tr w:rsidR="00A46DCA" w:rsidRPr="002D3FE4" w:rsidTr="00A26D04">
        <w:tc>
          <w:tcPr>
            <w:cnfStyle w:val="001000000000" w:firstRow="0" w:lastRow="0" w:firstColumn="1" w:lastColumn="0" w:oddVBand="0" w:evenVBand="0" w:oddHBand="0" w:evenHBand="0" w:firstRowFirstColumn="0" w:firstRowLastColumn="0" w:lastRowFirstColumn="0" w:lastRowLastColumn="0"/>
            <w:tcW w:w="4367" w:type="dxa"/>
            <w:tcBorders>
              <w:top w:val="nil"/>
              <w:left w:val="nil"/>
              <w:bottom w:val="nil"/>
              <w:right w:val="nil"/>
            </w:tcBorders>
            <w:shd w:val="solid" w:color="FFFFFF" w:fill="auto"/>
          </w:tcPr>
          <w:p w:rsidR="00A46DCA" w:rsidRPr="002D3FE4" w:rsidRDefault="00A46DCA" w:rsidP="00A26D04">
            <w:pPr>
              <w:keepLines w:val="0"/>
              <w:autoSpaceDE w:val="0"/>
              <w:autoSpaceDN w:val="0"/>
              <w:adjustRightInd w:val="0"/>
              <w:rPr>
                <w:rFonts w:eastAsiaTheme="minorEastAsia" w:cs="Calibri"/>
                <w:b/>
                <w:bCs/>
                <w:color w:val="000000"/>
                <w:szCs w:val="20"/>
                <w:lang w:eastAsia="en-AU"/>
              </w:rPr>
            </w:pPr>
            <w:r w:rsidRPr="002D3FE4">
              <w:rPr>
                <w:rFonts w:eastAsiaTheme="minorEastAsia" w:cs="Calibri"/>
                <w:b/>
                <w:bCs/>
                <w:color w:val="000000"/>
                <w:szCs w:val="20"/>
                <w:lang w:eastAsia="en-AU"/>
              </w:rPr>
              <w:t>Policy decision variations</w:t>
            </w:r>
          </w:p>
        </w:tc>
        <w:tc>
          <w:tcPr>
            <w:tcW w:w="850" w:type="dxa"/>
            <w:tcBorders>
              <w:top w:val="nil"/>
              <w:left w:val="nil"/>
              <w:bottom w:val="nil"/>
              <w:right w:val="nil"/>
            </w:tcBorders>
          </w:tcPr>
          <w:p w:rsidR="00A46DCA" w:rsidRPr="002D3FE4"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0"/>
                <w:lang w:eastAsia="en-AU"/>
              </w:rPr>
            </w:pPr>
            <w:r w:rsidRPr="002D3FE4">
              <w:rPr>
                <w:rFonts w:eastAsiaTheme="minorEastAsia" w:cs="Calibri"/>
                <w:b/>
                <w:bCs/>
                <w:color w:val="000000"/>
                <w:szCs w:val="20"/>
                <w:lang w:eastAsia="en-AU"/>
              </w:rPr>
              <w:t xml:space="preserve"> </w:t>
            </w:r>
          </w:p>
        </w:tc>
        <w:tc>
          <w:tcPr>
            <w:tcW w:w="850" w:type="dxa"/>
            <w:tcBorders>
              <w:top w:val="nil"/>
              <w:left w:val="nil"/>
              <w:bottom w:val="nil"/>
              <w:right w:val="nil"/>
            </w:tcBorders>
          </w:tcPr>
          <w:p w:rsidR="00A46DCA" w:rsidRPr="002D3FE4"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0"/>
                <w:lang w:eastAsia="en-AU"/>
              </w:rPr>
            </w:pPr>
            <w:r w:rsidRPr="002D3FE4">
              <w:rPr>
                <w:rFonts w:eastAsiaTheme="minorEastAsia" w:cs="Calibri"/>
                <w:b/>
                <w:bCs/>
                <w:color w:val="000000"/>
                <w:szCs w:val="20"/>
                <w:lang w:eastAsia="en-AU"/>
              </w:rPr>
              <w:t xml:space="preserve"> </w:t>
            </w:r>
          </w:p>
        </w:tc>
        <w:tc>
          <w:tcPr>
            <w:tcW w:w="850" w:type="dxa"/>
            <w:tcBorders>
              <w:top w:val="nil"/>
              <w:left w:val="nil"/>
              <w:bottom w:val="nil"/>
              <w:right w:val="nil"/>
            </w:tcBorders>
          </w:tcPr>
          <w:p w:rsidR="00A46DCA" w:rsidRPr="002D3FE4"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0"/>
                <w:lang w:eastAsia="en-AU"/>
              </w:rPr>
            </w:pPr>
            <w:r w:rsidRPr="002D3FE4">
              <w:rPr>
                <w:rFonts w:eastAsiaTheme="minorEastAsia" w:cs="Calibri"/>
                <w:b/>
                <w:bCs/>
                <w:color w:val="000000"/>
                <w:szCs w:val="20"/>
                <w:lang w:eastAsia="en-AU"/>
              </w:rPr>
              <w:t xml:space="preserve"> </w:t>
            </w:r>
          </w:p>
        </w:tc>
        <w:tc>
          <w:tcPr>
            <w:tcW w:w="850" w:type="dxa"/>
            <w:tcBorders>
              <w:top w:val="nil"/>
              <w:left w:val="nil"/>
              <w:bottom w:val="nil"/>
              <w:right w:val="nil"/>
            </w:tcBorders>
          </w:tcPr>
          <w:p w:rsidR="00A46DCA" w:rsidRPr="002D3FE4"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0"/>
                <w:lang w:eastAsia="en-AU"/>
              </w:rPr>
            </w:pPr>
            <w:r w:rsidRPr="002D3FE4">
              <w:rPr>
                <w:rFonts w:eastAsiaTheme="minorEastAsia" w:cs="Calibri"/>
                <w:b/>
                <w:bCs/>
                <w:color w:val="000000"/>
                <w:szCs w:val="20"/>
                <w:lang w:eastAsia="en-AU"/>
              </w:rPr>
              <w:t xml:space="preserve"> </w:t>
            </w:r>
          </w:p>
        </w:tc>
      </w:tr>
      <w:tr w:rsidR="00A46DCA" w:rsidRPr="002D3FE4" w:rsidTr="00A26D04">
        <w:tc>
          <w:tcPr>
            <w:cnfStyle w:val="001000000000" w:firstRow="0" w:lastRow="0" w:firstColumn="1" w:lastColumn="0" w:oddVBand="0" w:evenVBand="0" w:oddHBand="0" w:evenHBand="0" w:firstRowFirstColumn="0" w:firstRowLastColumn="0" w:lastRowFirstColumn="0" w:lastRowLastColumn="0"/>
            <w:tcW w:w="4367" w:type="dxa"/>
            <w:tcBorders>
              <w:top w:val="nil"/>
              <w:left w:val="nil"/>
              <w:bottom w:val="nil"/>
              <w:right w:val="nil"/>
            </w:tcBorders>
            <w:shd w:val="solid" w:color="FFFFFF" w:fill="auto"/>
          </w:tcPr>
          <w:p w:rsidR="00A46DCA" w:rsidRPr="002D3FE4" w:rsidRDefault="00A46DCA" w:rsidP="00A26D04">
            <w:pPr>
              <w:keepLines w:val="0"/>
              <w:autoSpaceDE w:val="0"/>
              <w:autoSpaceDN w:val="0"/>
              <w:adjustRightInd w:val="0"/>
              <w:rPr>
                <w:rFonts w:eastAsiaTheme="minorEastAsia" w:cs="Calibri"/>
                <w:color w:val="000000"/>
                <w:szCs w:val="20"/>
                <w:lang w:eastAsia="en-AU"/>
              </w:rPr>
            </w:pPr>
            <w:r w:rsidRPr="002D3FE4">
              <w:rPr>
                <w:rFonts w:eastAsiaTheme="minorEastAsia" w:cs="Calibri"/>
                <w:color w:val="000000"/>
                <w:szCs w:val="20"/>
                <w:lang w:eastAsia="en-AU"/>
              </w:rPr>
              <w:t xml:space="preserve">   Revenue policy decision variations</w:t>
            </w:r>
          </w:p>
        </w:tc>
        <w:tc>
          <w:tcPr>
            <w:tcW w:w="850" w:type="dxa"/>
            <w:tcBorders>
              <w:top w:val="nil"/>
              <w:left w:val="nil"/>
              <w:bottom w:val="nil"/>
              <w:right w:val="nil"/>
            </w:tcBorders>
          </w:tcPr>
          <w:p w:rsidR="00A46DCA" w:rsidRPr="002D3FE4"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Helvetica"/>
                <w:color w:val="000000"/>
                <w:szCs w:val="18"/>
                <w:lang w:eastAsia="en-AU"/>
              </w:rPr>
            </w:pPr>
            <w:r w:rsidRPr="002D3FE4">
              <w:rPr>
                <w:rFonts w:eastAsiaTheme="minorEastAsia" w:cs="Helvetica"/>
                <w:color w:val="000000"/>
                <w:szCs w:val="18"/>
                <w:lang w:eastAsia="en-AU"/>
              </w:rPr>
              <w:t>(193)</w:t>
            </w:r>
          </w:p>
        </w:tc>
        <w:tc>
          <w:tcPr>
            <w:tcW w:w="850" w:type="dxa"/>
            <w:tcBorders>
              <w:top w:val="nil"/>
              <w:left w:val="nil"/>
              <w:bottom w:val="nil"/>
              <w:right w:val="nil"/>
            </w:tcBorders>
          </w:tcPr>
          <w:p w:rsidR="00A46DCA" w:rsidRPr="002D3FE4"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Helvetica"/>
                <w:color w:val="000000"/>
                <w:szCs w:val="18"/>
                <w:lang w:eastAsia="en-AU"/>
              </w:rPr>
            </w:pPr>
            <w:r w:rsidRPr="002D3FE4">
              <w:rPr>
                <w:rFonts w:eastAsiaTheme="minorEastAsia" w:cs="Helvetica"/>
                <w:color w:val="000000"/>
                <w:szCs w:val="18"/>
                <w:lang w:eastAsia="en-AU"/>
              </w:rPr>
              <w:t>(36)</w:t>
            </w:r>
          </w:p>
        </w:tc>
        <w:tc>
          <w:tcPr>
            <w:tcW w:w="850" w:type="dxa"/>
            <w:tcBorders>
              <w:top w:val="nil"/>
              <w:left w:val="nil"/>
              <w:bottom w:val="nil"/>
              <w:right w:val="nil"/>
            </w:tcBorders>
          </w:tcPr>
          <w:p w:rsidR="00A46DCA" w:rsidRPr="002D3FE4"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Helvetica"/>
                <w:color w:val="000000"/>
                <w:szCs w:val="18"/>
                <w:lang w:eastAsia="en-AU"/>
              </w:rPr>
            </w:pPr>
            <w:r w:rsidRPr="002D3FE4">
              <w:rPr>
                <w:rFonts w:eastAsiaTheme="minorEastAsia" w:cs="Helvetica"/>
                <w:color w:val="000000"/>
                <w:szCs w:val="18"/>
                <w:lang w:eastAsia="en-AU"/>
              </w:rPr>
              <w:t>(1)</w:t>
            </w:r>
          </w:p>
        </w:tc>
        <w:tc>
          <w:tcPr>
            <w:tcW w:w="850" w:type="dxa"/>
            <w:tcBorders>
              <w:top w:val="nil"/>
              <w:left w:val="nil"/>
              <w:bottom w:val="nil"/>
              <w:right w:val="nil"/>
            </w:tcBorders>
          </w:tcPr>
          <w:p w:rsidR="00A46DCA" w:rsidRPr="002D3FE4"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Helvetica"/>
                <w:color w:val="000000"/>
                <w:szCs w:val="18"/>
                <w:lang w:eastAsia="en-AU"/>
              </w:rPr>
            </w:pPr>
            <w:r>
              <w:rPr>
                <w:rFonts w:eastAsiaTheme="minorEastAsia" w:cs="Helvetica"/>
                <w:color w:val="000000"/>
                <w:szCs w:val="18"/>
                <w:lang w:eastAsia="en-AU"/>
              </w:rPr>
              <w:t>..</w:t>
            </w:r>
          </w:p>
        </w:tc>
      </w:tr>
      <w:tr w:rsidR="00A46DCA" w:rsidRPr="002D3FE4" w:rsidTr="00A26D04">
        <w:tc>
          <w:tcPr>
            <w:cnfStyle w:val="001000000000" w:firstRow="0" w:lastRow="0" w:firstColumn="1" w:lastColumn="0" w:oddVBand="0" w:evenVBand="0" w:oddHBand="0" w:evenHBand="0" w:firstRowFirstColumn="0" w:firstRowLastColumn="0" w:lastRowFirstColumn="0" w:lastRowLastColumn="0"/>
            <w:tcW w:w="4367" w:type="dxa"/>
            <w:tcBorders>
              <w:top w:val="nil"/>
              <w:left w:val="nil"/>
              <w:bottom w:val="nil"/>
              <w:right w:val="nil"/>
            </w:tcBorders>
            <w:shd w:val="solid" w:color="FFFFFF" w:fill="auto"/>
          </w:tcPr>
          <w:p w:rsidR="00A46DCA" w:rsidRPr="002D3FE4" w:rsidRDefault="00A46DCA" w:rsidP="00A26D04">
            <w:pPr>
              <w:keepLines w:val="0"/>
              <w:autoSpaceDE w:val="0"/>
              <w:autoSpaceDN w:val="0"/>
              <w:adjustRightInd w:val="0"/>
              <w:rPr>
                <w:rFonts w:eastAsiaTheme="minorEastAsia" w:cs="Calibri"/>
                <w:color w:val="000000"/>
                <w:szCs w:val="20"/>
                <w:lang w:eastAsia="en-AU"/>
              </w:rPr>
            </w:pPr>
            <w:r w:rsidRPr="002D3FE4">
              <w:rPr>
                <w:rFonts w:eastAsiaTheme="minorEastAsia" w:cs="Calibri"/>
                <w:color w:val="000000"/>
                <w:szCs w:val="20"/>
                <w:lang w:eastAsia="en-AU"/>
              </w:rPr>
              <w:t xml:space="preserve">   Output policy decision variations </w:t>
            </w:r>
            <w:r w:rsidRPr="002D3FE4">
              <w:rPr>
                <w:rFonts w:eastAsiaTheme="minorEastAsia" w:cs="Calibri"/>
                <w:color w:val="000000"/>
                <w:szCs w:val="20"/>
                <w:vertAlign w:val="superscript"/>
                <w:lang w:eastAsia="en-AU"/>
              </w:rPr>
              <w:t>(b)</w:t>
            </w:r>
          </w:p>
        </w:tc>
        <w:tc>
          <w:tcPr>
            <w:tcW w:w="850" w:type="dxa"/>
            <w:tcBorders>
              <w:top w:val="nil"/>
              <w:left w:val="nil"/>
              <w:bottom w:val="single" w:sz="6" w:space="0" w:color="auto"/>
              <w:right w:val="nil"/>
            </w:tcBorders>
          </w:tcPr>
          <w:p w:rsidR="00A46DCA" w:rsidRPr="002D3FE4"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Helvetica"/>
                <w:color w:val="000000"/>
                <w:szCs w:val="18"/>
                <w:lang w:eastAsia="en-AU"/>
              </w:rPr>
            </w:pPr>
            <w:r w:rsidRPr="002D3FE4">
              <w:rPr>
                <w:rFonts w:eastAsiaTheme="minorEastAsia" w:cs="Helvetica"/>
                <w:color w:val="000000"/>
                <w:szCs w:val="18"/>
                <w:lang w:eastAsia="en-AU"/>
              </w:rPr>
              <w:t>(279)</w:t>
            </w:r>
          </w:p>
        </w:tc>
        <w:tc>
          <w:tcPr>
            <w:tcW w:w="850" w:type="dxa"/>
            <w:tcBorders>
              <w:top w:val="nil"/>
              <w:left w:val="nil"/>
              <w:bottom w:val="single" w:sz="6" w:space="0" w:color="auto"/>
              <w:right w:val="nil"/>
            </w:tcBorders>
          </w:tcPr>
          <w:p w:rsidR="00A46DCA" w:rsidRPr="002D3FE4"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Helvetica"/>
                <w:color w:val="000000"/>
                <w:szCs w:val="18"/>
                <w:lang w:eastAsia="en-AU"/>
              </w:rPr>
            </w:pPr>
            <w:r w:rsidRPr="002D3FE4">
              <w:rPr>
                <w:rFonts w:eastAsiaTheme="minorEastAsia" w:cs="Helvetica"/>
                <w:color w:val="000000"/>
                <w:szCs w:val="18"/>
                <w:lang w:eastAsia="en-AU"/>
              </w:rPr>
              <w:t>(249)</w:t>
            </w:r>
          </w:p>
        </w:tc>
        <w:tc>
          <w:tcPr>
            <w:tcW w:w="850" w:type="dxa"/>
            <w:tcBorders>
              <w:top w:val="nil"/>
              <w:left w:val="nil"/>
              <w:bottom w:val="single" w:sz="6" w:space="0" w:color="auto"/>
              <w:right w:val="nil"/>
            </w:tcBorders>
          </w:tcPr>
          <w:p w:rsidR="00A46DCA" w:rsidRPr="002D3FE4"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Helvetica"/>
                <w:color w:val="000000"/>
                <w:szCs w:val="18"/>
                <w:lang w:eastAsia="en-AU"/>
              </w:rPr>
            </w:pPr>
            <w:r w:rsidRPr="002D3FE4">
              <w:rPr>
                <w:rFonts w:eastAsiaTheme="minorEastAsia" w:cs="Helvetica"/>
                <w:color w:val="000000"/>
                <w:szCs w:val="18"/>
                <w:lang w:eastAsia="en-AU"/>
              </w:rPr>
              <w:t>(521)</w:t>
            </w:r>
          </w:p>
        </w:tc>
        <w:tc>
          <w:tcPr>
            <w:tcW w:w="850" w:type="dxa"/>
            <w:tcBorders>
              <w:top w:val="nil"/>
              <w:left w:val="nil"/>
              <w:bottom w:val="single" w:sz="6" w:space="0" w:color="auto"/>
              <w:right w:val="nil"/>
            </w:tcBorders>
          </w:tcPr>
          <w:p w:rsidR="00A46DCA" w:rsidRPr="002D3FE4"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Helvetica"/>
                <w:color w:val="000000"/>
                <w:szCs w:val="18"/>
                <w:lang w:eastAsia="en-AU"/>
              </w:rPr>
            </w:pPr>
            <w:r w:rsidRPr="002D3FE4">
              <w:rPr>
                <w:rFonts w:eastAsiaTheme="minorEastAsia" w:cs="Helvetica"/>
                <w:color w:val="000000"/>
                <w:szCs w:val="18"/>
                <w:lang w:eastAsia="en-AU"/>
              </w:rPr>
              <w:t>(143)</w:t>
            </w:r>
          </w:p>
        </w:tc>
      </w:tr>
      <w:tr w:rsidR="00A46DCA" w:rsidRPr="002D3FE4" w:rsidTr="00A26D04">
        <w:tc>
          <w:tcPr>
            <w:cnfStyle w:val="001000000000" w:firstRow="0" w:lastRow="0" w:firstColumn="1" w:lastColumn="0" w:oddVBand="0" w:evenVBand="0" w:oddHBand="0" w:evenHBand="0" w:firstRowFirstColumn="0" w:firstRowLastColumn="0" w:lastRowFirstColumn="0" w:lastRowLastColumn="0"/>
            <w:tcW w:w="4367" w:type="dxa"/>
            <w:tcBorders>
              <w:top w:val="nil"/>
              <w:left w:val="nil"/>
              <w:bottom w:val="nil"/>
              <w:right w:val="nil"/>
            </w:tcBorders>
            <w:shd w:val="solid" w:color="FFFFFF" w:fill="auto"/>
          </w:tcPr>
          <w:p w:rsidR="00A46DCA" w:rsidRPr="002D3FE4" w:rsidRDefault="00A46DCA" w:rsidP="00A26D04">
            <w:pPr>
              <w:keepLines w:val="0"/>
              <w:autoSpaceDE w:val="0"/>
              <w:autoSpaceDN w:val="0"/>
              <w:adjustRightInd w:val="0"/>
              <w:rPr>
                <w:rFonts w:eastAsiaTheme="minorEastAsia" w:cs="Calibri"/>
                <w:b/>
                <w:bCs/>
                <w:color w:val="000000"/>
                <w:szCs w:val="20"/>
                <w:lang w:eastAsia="en-AU"/>
              </w:rPr>
            </w:pPr>
            <w:r w:rsidRPr="002D3FE4">
              <w:rPr>
                <w:rFonts w:eastAsiaTheme="minorEastAsia" w:cs="Calibri"/>
                <w:b/>
                <w:bCs/>
                <w:color w:val="000000"/>
                <w:szCs w:val="20"/>
                <w:lang w:eastAsia="en-AU"/>
              </w:rPr>
              <w:t xml:space="preserve"> </w:t>
            </w:r>
          </w:p>
        </w:tc>
        <w:tc>
          <w:tcPr>
            <w:tcW w:w="850" w:type="dxa"/>
            <w:tcBorders>
              <w:top w:val="nil"/>
              <w:left w:val="nil"/>
              <w:bottom w:val="nil"/>
              <w:right w:val="nil"/>
            </w:tcBorders>
          </w:tcPr>
          <w:p w:rsidR="00A46DCA" w:rsidRPr="002D3FE4"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0"/>
                <w:lang w:eastAsia="en-AU"/>
              </w:rPr>
            </w:pPr>
            <w:r w:rsidRPr="002D3FE4">
              <w:rPr>
                <w:rFonts w:eastAsiaTheme="minorEastAsia" w:cs="Calibri"/>
                <w:b/>
                <w:bCs/>
                <w:color w:val="000000"/>
                <w:szCs w:val="20"/>
                <w:lang w:eastAsia="en-AU"/>
              </w:rPr>
              <w:t>(472)</w:t>
            </w:r>
          </w:p>
        </w:tc>
        <w:tc>
          <w:tcPr>
            <w:tcW w:w="850" w:type="dxa"/>
            <w:tcBorders>
              <w:top w:val="nil"/>
              <w:left w:val="nil"/>
              <w:bottom w:val="nil"/>
              <w:right w:val="nil"/>
            </w:tcBorders>
          </w:tcPr>
          <w:p w:rsidR="00A46DCA" w:rsidRPr="002D3FE4"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0"/>
                <w:lang w:eastAsia="en-AU"/>
              </w:rPr>
            </w:pPr>
            <w:r w:rsidRPr="002D3FE4">
              <w:rPr>
                <w:rFonts w:eastAsiaTheme="minorEastAsia" w:cs="Calibri"/>
                <w:b/>
                <w:bCs/>
                <w:color w:val="000000"/>
                <w:szCs w:val="20"/>
                <w:lang w:eastAsia="en-AU"/>
              </w:rPr>
              <w:t>(285)</w:t>
            </w:r>
          </w:p>
        </w:tc>
        <w:tc>
          <w:tcPr>
            <w:tcW w:w="850" w:type="dxa"/>
            <w:tcBorders>
              <w:top w:val="nil"/>
              <w:left w:val="nil"/>
              <w:bottom w:val="nil"/>
              <w:right w:val="nil"/>
            </w:tcBorders>
          </w:tcPr>
          <w:p w:rsidR="00A46DCA" w:rsidRPr="002D3FE4"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0"/>
                <w:lang w:eastAsia="en-AU"/>
              </w:rPr>
            </w:pPr>
            <w:r w:rsidRPr="002D3FE4">
              <w:rPr>
                <w:rFonts w:eastAsiaTheme="minorEastAsia" w:cs="Calibri"/>
                <w:b/>
                <w:bCs/>
                <w:color w:val="000000"/>
                <w:szCs w:val="20"/>
                <w:lang w:eastAsia="en-AU"/>
              </w:rPr>
              <w:t>(522)</w:t>
            </w:r>
          </w:p>
        </w:tc>
        <w:tc>
          <w:tcPr>
            <w:tcW w:w="850" w:type="dxa"/>
            <w:tcBorders>
              <w:top w:val="nil"/>
              <w:left w:val="nil"/>
              <w:bottom w:val="nil"/>
              <w:right w:val="nil"/>
            </w:tcBorders>
          </w:tcPr>
          <w:p w:rsidR="00A46DCA" w:rsidRPr="002D3FE4"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0"/>
                <w:lang w:eastAsia="en-AU"/>
              </w:rPr>
            </w:pPr>
            <w:r w:rsidRPr="002D3FE4">
              <w:rPr>
                <w:rFonts w:eastAsiaTheme="minorEastAsia" w:cs="Calibri"/>
                <w:b/>
                <w:bCs/>
                <w:color w:val="000000"/>
                <w:szCs w:val="20"/>
                <w:lang w:eastAsia="en-AU"/>
              </w:rPr>
              <w:t>(143)</w:t>
            </w:r>
          </w:p>
        </w:tc>
      </w:tr>
      <w:tr w:rsidR="00A46DCA" w:rsidRPr="002D3FE4" w:rsidTr="00A26D04">
        <w:tc>
          <w:tcPr>
            <w:cnfStyle w:val="001000000000" w:firstRow="0" w:lastRow="0" w:firstColumn="1" w:lastColumn="0" w:oddVBand="0" w:evenVBand="0" w:oddHBand="0" w:evenHBand="0" w:firstRowFirstColumn="0" w:firstRowLastColumn="0" w:lastRowFirstColumn="0" w:lastRowLastColumn="0"/>
            <w:tcW w:w="4367" w:type="dxa"/>
            <w:tcBorders>
              <w:top w:val="nil"/>
              <w:left w:val="nil"/>
              <w:bottom w:val="nil"/>
              <w:right w:val="nil"/>
            </w:tcBorders>
            <w:shd w:val="solid" w:color="FFFFFF" w:fill="auto"/>
          </w:tcPr>
          <w:p w:rsidR="00A46DCA" w:rsidRPr="002D3FE4" w:rsidRDefault="00A46DCA" w:rsidP="00A26D04">
            <w:pPr>
              <w:keepLines w:val="0"/>
              <w:autoSpaceDE w:val="0"/>
              <w:autoSpaceDN w:val="0"/>
              <w:adjustRightInd w:val="0"/>
              <w:rPr>
                <w:rFonts w:eastAsiaTheme="minorEastAsia" w:cs="Calibri"/>
                <w:b/>
                <w:bCs/>
                <w:color w:val="000000"/>
                <w:szCs w:val="20"/>
                <w:lang w:eastAsia="en-AU"/>
              </w:rPr>
            </w:pPr>
            <w:r w:rsidRPr="002D3FE4">
              <w:rPr>
                <w:rFonts w:eastAsiaTheme="minorEastAsia" w:cs="Calibri"/>
                <w:b/>
                <w:bCs/>
                <w:color w:val="000000"/>
                <w:szCs w:val="20"/>
                <w:lang w:eastAsia="en-AU"/>
              </w:rPr>
              <w:t>Economic/demographic variations</w:t>
            </w:r>
          </w:p>
        </w:tc>
        <w:tc>
          <w:tcPr>
            <w:tcW w:w="850" w:type="dxa"/>
            <w:tcBorders>
              <w:top w:val="nil"/>
              <w:left w:val="nil"/>
              <w:bottom w:val="nil"/>
              <w:right w:val="nil"/>
            </w:tcBorders>
          </w:tcPr>
          <w:p w:rsidR="00A46DCA" w:rsidRPr="002D3FE4"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0"/>
                <w:lang w:eastAsia="en-AU"/>
              </w:rPr>
            </w:pPr>
            <w:r w:rsidRPr="002D3FE4">
              <w:rPr>
                <w:rFonts w:eastAsiaTheme="minorEastAsia" w:cs="Calibri"/>
                <w:b/>
                <w:bCs/>
                <w:color w:val="000000"/>
                <w:szCs w:val="20"/>
                <w:lang w:eastAsia="en-AU"/>
              </w:rPr>
              <w:t xml:space="preserve"> </w:t>
            </w:r>
          </w:p>
        </w:tc>
        <w:tc>
          <w:tcPr>
            <w:tcW w:w="850" w:type="dxa"/>
            <w:tcBorders>
              <w:top w:val="nil"/>
              <w:left w:val="nil"/>
              <w:bottom w:val="nil"/>
              <w:right w:val="nil"/>
            </w:tcBorders>
          </w:tcPr>
          <w:p w:rsidR="00A46DCA" w:rsidRPr="002D3FE4"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0"/>
                <w:lang w:eastAsia="en-AU"/>
              </w:rPr>
            </w:pPr>
            <w:r w:rsidRPr="002D3FE4">
              <w:rPr>
                <w:rFonts w:eastAsiaTheme="minorEastAsia" w:cs="Calibri"/>
                <w:b/>
                <w:bCs/>
                <w:color w:val="000000"/>
                <w:szCs w:val="20"/>
                <w:lang w:eastAsia="en-AU"/>
              </w:rPr>
              <w:t xml:space="preserve"> </w:t>
            </w:r>
          </w:p>
        </w:tc>
        <w:tc>
          <w:tcPr>
            <w:tcW w:w="850" w:type="dxa"/>
            <w:tcBorders>
              <w:top w:val="nil"/>
              <w:left w:val="nil"/>
              <w:bottom w:val="nil"/>
              <w:right w:val="nil"/>
            </w:tcBorders>
          </w:tcPr>
          <w:p w:rsidR="00A46DCA" w:rsidRPr="002D3FE4"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0"/>
                <w:lang w:eastAsia="en-AU"/>
              </w:rPr>
            </w:pPr>
            <w:r w:rsidRPr="002D3FE4">
              <w:rPr>
                <w:rFonts w:eastAsiaTheme="minorEastAsia" w:cs="Calibri"/>
                <w:b/>
                <w:bCs/>
                <w:color w:val="000000"/>
                <w:szCs w:val="20"/>
                <w:lang w:eastAsia="en-AU"/>
              </w:rPr>
              <w:t xml:space="preserve"> </w:t>
            </w:r>
          </w:p>
        </w:tc>
        <w:tc>
          <w:tcPr>
            <w:tcW w:w="850" w:type="dxa"/>
            <w:tcBorders>
              <w:top w:val="nil"/>
              <w:left w:val="nil"/>
              <w:bottom w:val="nil"/>
              <w:right w:val="nil"/>
            </w:tcBorders>
          </w:tcPr>
          <w:p w:rsidR="00A46DCA" w:rsidRPr="002D3FE4"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0"/>
                <w:lang w:eastAsia="en-AU"/>
              </w:rPr>
            </w:pPr>
            <w:r w:rsidRPr="002D3FE4">
              <w:rPr>
                <w:rFonts w:eastAsiaTheme="minorEastAsia" w:cs="Calibri"/>
                <w:b/>
                <w:bCs/>
                <w:color w:val="000000"/>
                <w:szCs w:val="20"/>
                <w:lang w:eastAsia="en-AU"/>
              </w:rPr>
              <w:t xml:space="preserve"> </w:t>
            </w:r>
          </w:p>
        </w:tc>
      </w:tr>
      <w:tr w:rsidR="00A46DCA" w:rsidRPr="002D3FE4" w:rsidTr="00A26D04">
        <w:tc>
          <w:tcPr>
            <w:cnfStyle w:val="001000000000" w:firstRow="0" w:lastRow="0" w:firstColumn="1" w:lastColumn="0" w:oddVBand="0" w:evenVBand="0" w:oddHBand="0" w:evenHBand="0" w:firstRowFirstColumn="0" w:firstRowLastColumn="0" w:lastRowFirstColumn="0" w:lastRowLastColumn="0"/>
            <w:tcW w:w="4367" w:type="dxa"/>
            <w:tcBorders>
              <w:top w:val="nil"/>
              <w:left w:val="nil"/>
              <w:bottom w:val="nil"/>
              <w:right w:val="nil"/>
            </w:tcBorders>
            <w:shd w:val="solid" w:color="FFFFFF" w:fill="auto"/>
          </w:tcPr>
          <w:p w:rsidR="00A46DCA" w:rsidRPr="002D3FE4" w:rsidRDefault="00A46DCA" w:rsidP="00A26D04">
            <w:pPr>
              <w:keepLines w:val="0"/>
              <w:autoSpaceDE w:val="0"/>
              <w:autoSpaceDN w:val="0"/>
              <w:adjustRightInd w:val="0"/>
              <w:rPr>
                <w:rFonts w:eastAsiaTheme="minorEastAsia" w:cs="Calibri"/>
                <w:color w:val="000000"/>
                <w:szCs w:val="20"/>
                <w:lang w:eastAsia="en-AU"/>
              </w:rPr>
            </w:pPr>
            <w:r w:rsidRPr="002D3FE4">
              <w:rPr>
                <w:rFonts w:eastAsiaTheme="minorEastAsia" w:cs="Calibri"/>
                <w:color w:val="000000"/>
                <w:szCs w:val="20"/>
                <w:lang w:eastAsia="en-AU"/>
              </w:rPr>
              <w:t xml:space="preserve">   Taxation</w:t>
            </w:r>
          </w:p>
        </w:tc>
        <w:tc>
          <w:tcPr>
            <w:tcW w:w="850" w:type="dxa"/>
            <w:tcBorders>
              <w:top w:val="nil"/>
              <w:left w:val="nil"/>
              <w:bottom w:val="nil"/>
              <w:right w:val="nil"/>
            </w:tcBorders>
          </w:tcPr>
          <w:p w:rsidR="00A46DCA" w:rsidRPr="002D3FE4"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2D3FE4">
              <w:rPr>
                <w:rFonts w:eastAsiaTheme="minorEastAsia" w:cs="Calibri"/>
                <w:color w:val="000000"/>
                <w:szCs w:val="20"/>
                <w:lang w:eastAsia="en-AU"/>
              </w:rPr>
              <w:t>563</w:t>
            </w:r>
          </w:p>
        </w:tc>
        <w:tc>
          <w:tcPr>
            <w:tcW w:w="850" w:type="dxa"/>
            <w:tcBorders>
              <w:top w:val="nil"/>
              <w:left w:val="nil"/>
              <w:bottom w:val="nil"/>
              <w:right w:val="nil"/>
            </w:tcBorders>
          </w:tcPr>
          <w:p w:rsidR="00A46DCA" w:rsidRPr="002D3FE4"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2D3FE4">
              <w:rPr>
                <w:rFonts w:eastAsiaTheme="minorEastAsia" w:cs="Calibri"/>
                <w:color w:val="000000"/>
                <w:szCs w:val="20"/>
                <w:lang w:eastAsia="en-AU"/>
              </w:rPr>
              <w:t>712</w:t>
            </w:r>
          </w:p>
        </w:tc>
        <w:tc>
          <w:tcPr>
            <w:tcW w:w="850" w:type="dxa"/>
            <w:tcBorders>
              <w:top w:val="nil"/>
              <w:left w:val="nil"/>
              <w:bottom w:val="nil"/>
              <w:right w:val="nil"/>
            </w:tcBorders>
          </w:tcPr>
          <w:p w:rsidR="00A46DCA" w:rsidRPr="002D3FE4"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2D3FE4">
              <w:rPr>
                <w:rFonts w:eastAsiaTheme="minorEastAsia" w:cs="Calibri"/>
                <w:color w:val="000000"/>
                <w:szCs w:val="20"/>
                <w:lang w:eastAsia="en-AU"/>
              </w:rPr>
              <w:t>482</w:t>
            </w:r>
          </w:p>
        </w:tc>
        <w:tc>
          <w:tcPr>
            <w:tcW w:w="850" w:type="dxa"/>
            <w:tcBorders>
              <w:top w:val="nil"/>
              <w:left w:val="nil"/>
              <w:bottom w:val="nil"/>
              <w:right w:val="nil"/>
            </w:tcBorders>
          </w:tcPr>
          <w:p w:rsidR="00A46DCA" w:rsidRPr="002D3FE4"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2D3FE4">
              <w:rPr>
                <w:rFonts w:eastAsiaTheme="minorEastAsia" w:cs="Calibri"/>
                <w:color w:val="000000"/>
                <w:szCs w:val="20"/>
                <w:lang w:eastAsia="en-AU"/>
              </w:rPr>
              <w:t>180</w:t>
            </w:r>
          </w:p>
        </w:tc>
      </w:tr>
      <w:tr w:rsidR="00A46DCA" w:rsidRPr="002D3FE4" w:rsidTr="00A26D04">
        <w:tc>
          <w:tcPr>
            <w:cnfStyle w:val="001000000000" w:firstRow="0" w:lastRow="0" w:firstColumn="1" w:lastColumn="0" w:oddVBand="0" w:evenVBand="0" w:oddHBand="0" w:evenHBand="0" w:firstRowFirstColumn="0" w:firstRowLastColumn="0" w:lastRowFirstColumn="0" w:lastRowLastColumn="0"/>
            <w:tcW w:w="4367" w:type="dxa"/>
            <w:tcBorders>
              <w:top w:val="nil"/>
              <w:left w:val="nil"/>
              <w:bottom w:val="nil"/>
              <w:right w:val="nil"/>
            </w:tcBorders>
            <w:shd w:val="solid" w:color="FFFFFF" w:fill="auto"/>
          </w:tcPr>
          <w:p w:rsidR="00A46DCA" w:rsidRPr="002D3FE4" w:rsidRDefault="00A46DCA" w:rsidP="00A26D04">
            <w:pPr>
              <w:keepLines w:val="0"/>
              <w:autoSpaceDE w:val="0"/>
              <w:autoSpaceDN w:val="0"/>
              <w:adjustRightInd w:val="0"/>
              <w:rPr>
                <w:rFonts w:eastAsiaTheme="minorEastAsia" w:cs="Calibri"/>
                <w:color w:val="000000"/>
                <w:szCs w:val="20"/>
                <w:lang w:eastAsia="en-AU"/>
              </w:rPr>
            </w:pPr>
            <w:r w:rsidRPr="002D3FE4">
              <w:rPr>
                <w:rFonts w:eastAsiaTheme="minorEastAsia" w:cs="Calibri"/>
                <w:color w:val="000000"/>
                <w:szCs w:val="20"/>
                <w:lang w:eastAsia="en-AU"/>
              </w:rPr>
              <w:t xml:space="preserve">   Investment income </w:t>
            </w:r>
            <w:r w:rsidRPr="002D3FE4">
              <w:rPr>
                <w:rFonts w:eastAsiaTheme="minorEastAsia" w:cs="Calibri"/>
                <w:color w:val="000000"/>
                <w:szCs w:val="20"/>
                <w:vertAlign w:val="superscript"/>
                <w:lang w:eastAsia="en-AU"/>
              </w:rPr>
              <w:t>(c)</w:t>
            </w:r>
          </w:p>
        </w:tc>
        <w:tc>
          <w:tcPr>
            <w:tcW w:w="850" w:type="dxa"/>
            <w:tcBorders>
              <w:top w:val="nil"/>
              <w:left w:val="nil"/>
              <w:bottom w:val="single" w:sz="6" w:space="0" w:color="auto"/>
              <w:right w:val="nil"/>
            </w:tcBorders>
          </w:tcPr>
          <w:p w:rsidR="00A46DCA" w:rsidRPr="002D3FE4"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2D3FE4">
              <w:rPr>
                <w:rFonts w:eastAsiaTheme="minorEastAsia" w:cs="Calibri"/>
                <w:color w:val="000000"/>
                <w:szCs w:val="20"/>
                <w:lang w:eastAsia="en-AU"/>
              </w:rPr>
              <w:t>98</w:t>
            </w:r>
          </w:p>
        </w:tc>
        <w:tc>
          <w:tcPr>
            <w:tcW w:w="850" w:type="dxa"/>
            <w:tcBorders>
              <w:top w:val="nil"/>
              <w:left w:val="nil"/>
              <w:bottom w:val="single" w:sz="6" w:space="0" w:color="auto"/>
              <w:right w:val="nil"/>
            </w:tcBorders>
          </w:tcPr>
          <w:p w:rsidR="00A46DCA" w:rsidRPr="002D3FE4"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2D3FE4">
              <w:rPr>
                <w:rFonts w:eastAsiaTheme="minorEastAsia" w:cs="Calibri"/>
                <w:color w:val="000000"/>
                <w:szCs w:val="20"/>
                <w:lang w:eastAsia="en-AU"/>
              </w:rPr>
              <w:t>5</w:t>
            </w:r>
          </w:p>
        </w:tc>
        <w:tc>
          <w:tcPr>
            <w:tcW w:w="850" w:type="dxa"/>
            <w:tcBorders>
              <w:top w:val="nil"/>
              <w:left w:val="nil"/>
              <w:bottom w:val="single" w:sz="6" w:space="0" w:color="auto"/>
              <w:right w:val="nil"/>
            </w:tcBorders>
          </w:tcPr>
          <w:p w:rsidR="00A46DCA" w:rsidRPr="002D3FE4"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2D3FE4">
              <w:rPr>
                <w:rFonts w:eastAsiaTheme="minorEastAsia" w:cs="Calibri"/>
                <w:color w:val="000000"/>
                <w:szCs w:val="20"/>
                <w:lang w:eastAsia="en-AU"/>
              </w:rPr>
              <w:t>(184)</w:t>
            </w:r>
          </w:p>
        </w:tc>
        <w:tc>
          <w:tcPr>
            <w:tcW w:w="850" w:type="dxa"/>
            <w:tcBorders>
              <w:top w:val="nil"/>
              <w:left w:val="nil"/>
              <w:bottom w:val="single" w:sz="6" w:space="0" w:color="auto"/>
              <w:right w:val="nil"/>
            </w:tcBorders>
          </w:tcPr>
          <w:p w:rsidR="00A46DCA" w:rsidRPr="002D3FE4"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2D3FE4">
              <w:rPr>
                <w:rFonts w:eastAsiaTheme="minorEastAsia" w:cs="Calibri"/>
                <w:color w:val="000000"/>
                <w:szCs w:val="20"/>
                <w:lang w:eastAsia="en-AU"/>
              </w:rPr>
              <w:t>(156)</w:t>
            </w:r>
          </w:p>
        </w:tc>
      </w:tr>
      <w:tr w:rsidR="00A46DCA" w:rsidRPr="002D3FE4" w:rsidTr="00A26D04">
        <w:tc>
          <w:tcPr>
            <w:cnfStyle w:val="001000000000" w:firstRow="0" w:lastRow="0" w:firstColumn="1" w:lastColumn="0" w:oddVBand="0" w:evenVBand="0" w:oddHBand="0" w:evenHBand="0" w:firstRowFirstColumn="0" w:firstRowLastColumn="0" w:lastRowFirstColumn="0" w:lastRowLastColumn="0"/>
            <w:tcW w:w="4367" w:type="dxa"/>
            <w:tcBorders>
              <w:top w:val="nil"/>
              <w:left w:val="nil"/>
              <w:bottom w:val="nil"/>
              <w:right w:val="nil"/>
            </w:tcBorders>
            <w:shd w:val="solid" w:color="FFFFFF" w:fill="auto"/>
          </w:tcPr>
          <w:p w:rsidR="00A46DCA" w:rsidRPr="002D3FE4" w:rsidRDefault="00A46DCA" w:rsidP="00A26D04">
            <w:pPr>
              <w:keepLines w:val="0"/>
              <w:autoSpaceDE w:val="0"/>
              <w:autoSpaceDN w:val="0"/>
              <w:adjustRightInd w:val="0"/>
              <w:rPr>
                <w:rFonts w:eastAsiaTheme="minorEastAsia" w:cs="Calibri"/>
                <w:b/>
                <w:bCs/>
                <w:color w:val="000000"/>
                <w:szCs w:val="20"/>
                <w:lang w:eastAsia="en-AU"/>
              </w:rPr>
            </w:pPr>
            <w:r w:rsidRPr="002D3FE4">
              <w:rPr>
                <w:rFonts w:eastAsiaTheme="minorEastAsia" w:cs="Calibri"/>
                <w:b/>
                <w:bCs/>
                <w:color w:val="000000"/>
                <w:szCs w:val="20"/>
                <w:lang w:eastAsia="en-AU"/>
              </w:rPr>
              <w:t xml:space="preserve"> </w:t>
            </w:r>
          </w:p>
        </w:tc>
        <w:tc>
          <w:tcPr>
            <w:tcW w:w="850" w:type="dxa"/>
            <w:tcBorders>
              <w:top w:val="nil"/>
              <w:left w:val="nil"/>
              <w:bottom w:val="nil"/>
              <w:right w:val="nil"/>
            </w:tcBorders>
          </w:tcPr>
          <w:p w:rsidR="00A46DCA" w:rsidRPr="002D3FE4"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0"/>
                <w:lang w:eastAsia="en-AU"/>
              </w:rPr>
            </w:pPr>
            <w:r w:rsidRPr="002D3FE4">
              <w:rPr>
                <w:rFonts w:eastAsiaTheme="minorEastAsia" w:cs="Calibri"/>
                <w:b/>
                <w:bCs/>
                <w:color w:val="000000"/>
                <w:szCs w:val="20"/>
                <w:lang w:eastAsia="en-AU"/>
              </w:rPr>
              <w:t>661</w:t>
            </w:r>
          </w:p>
        </w:tc>
        <w:tc>
          <w:tcPr>
            <w:tcW w:w="850" w:type="dxa"/>
            <w:tcBorders>
              <w:top w:val="nil"/>
              <w:left w:val="nil"/>
              <w:bottom w:val="nil"/>
              <w:right w:val="nil"/>
            </w:tcBorders>
          </w:tcPr>
          <w:p w:rsidR="00A46DCA" w:rsidRPr="002D3FE4"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0"/>
                <w:lang w:eastAsia="en-AU"/>
              </w:rPr>
            </w:pPr>
            <w:r w:rsidRPr="002D3FE4">
              <w:rPr>
                <w:rFonts w:eastAsiaTheme="minorEastAsia" w:cs="Calibri"/>
                <w:b/>
                <w:bCs/>
                <w:color w:val="000000"/>
                <w:szCs w:val="20"/>
                <w:lang w:eastAsia="en-AU"/>
              </w:rPr>
              <w:t>717</w:t>
            </w:r>
          </w:p>
        </w:tc>
        <w:tc>
          <w:tcPr>
            <w:tcW w:w="850" w:type="dxa"/>
            <w:tcBorders>
              <w:top w:val="nil"/>
              <w:left w:val="nil"/>
              <w:bottom w:val="nil"/>
              <w:right w:val="nil"/>
            </w:tcBorders>
          </w:tcPr>
          <w:p w:rsidR="00A46DCA" w:rsidRPr="002D3FE4"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0"/>
                <w:lang w:eastAsia="en-AU"/>
              </w:rPr>
            </w:pPr>
            <w:r w:rsidRPr="002D3FE4">
              <w:rPr>
                <w:rFonts w:eastAsiaTheme="minorEastAsia" w:cs="Calibri"/>
                <w:b/>
                <w:bCs/>
                <w:color w:val="000000"/>
                <w:szCs w:val="20"/>
                <w:lang w:eastAsia="en-AU"/>
              </w:rPr>
              <w:t>298</w:t>
            </w:r>
          </w:p>
        </w:tc>
        <w:tc>
          <w:tcPr>
            <w:tcW w:w="850" w:type="dxa"/>
            <w:tcBorders>
              <w:top w:val="nil"/>
              <w:left w:val="nil"/>
              <w:bottom w:val="nil"/>
              <w:right w:val="nil"/>
            </w:tcBorders>
          </w:tcPr>
          <w:p w:rsidR="00A46DCA" w:rsidRPr="002D3FE4"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0"/>
                <w:lang w:eastAsia="en-AU"/>
              </w:rPr>
            </w:pPr>
            <w:r w:rsidRPr="002D3FE4">
              <w:rPr>
                <w:rFonts w:eastAsiaTheme="minorEastAsia" w:cs="Calibri"/>
                <w:b/>
                <w:bCs/>
                <w:color w:val="000000"/>
                <w:szCs w:val="20"/>
                <w:lang w:eastAsia="en-AU"/>
              </w:rPr>
              <w:t>24</w:t>
            </w:r>
          </w:p>
        </w:tc>
      </w:tr>
      <w:tr w:rsidR="00A46DCA" w:rsidRPr="002D3FE4" w:rsidTr="00A26D04">
        <w:tc>
          <w:tcPr>
            <w:cnfStyle w:val="001000000000" w:firstRow="0" w:lastRow="0" w:firstColumn="1" w:lastColumn="0" w:oddVBand="0" w:evenVBand="0" w:oddHBand="0" w:evenHBand="0" w:firstRowFirstColumn="0" w:firstRowLastColumn="0" w:lastRowFirstColumn="0" w:lastRowLastColumn="0"/>
            <w:tcW w:w="4367" w:type="dxa"/>
            <w:tcBorders>
              <w:top w:val="nil"/>
              <w:left w:val="nil"/>
              <w:bottom w:val="nil"/>
              <w:right w:val="nil"/>
            </w:tcBorders>
            <w:shd w:val="solid" w:color="FFFFFF" w:fill="auto"/>
          </w:tcPr>
          <w:p w:rsidR="00A46DCA" w:rsidRPr="002D3FE4" w:rsidRDefault="00A46DCA" w:rsidP="00A26D04">
            <w:pPr>
              <w:keepLines w:val="0"/>
              <w:autoSpaceDE w:val="0"/>
              <w:autoSpaceDN w:val="0"/>
              <w:adjustRightInd w:val="0"/>
              <w:rPr>
                <w:rFonts w:eastAsiaTheme="minorEastAsia" w:cs="Calibri"/>
                <w:b/>
                <w:bCs/>
                <w:color w:val="000000"/>
                <w:szCs w:val="20"/>
                <w:lang w:eastAsia="en-AU"/>
              </w:rPr>
            </w:pPr>
            <w:r w:rsidRPr="002D3FE4">
              <w:rPr>
                <w:rFonts w:eastAsiaTheme="minorEastAsia" w:cs="Calibri"/>
                <w:b/>
                <w:bCs/>
                <w:color w:val="000000"/>
                <w:szCs w:val="20"/>
                <w:lang w:eastAsia="en-AU"/>
              </w:rPr>
              <w:t>Commonwealth grant variations</w:t>
            </w:r>
          </w:p>
        </w:tc>
        <w:tc>
          <w:tcPr>
            <w:tcW w:w="850" w:type="dxa"/>
            <w:tcBorders>
              <w:top w:val="nil"/>
              <w:left w:val="nil"/>
              <w:bottom w:val="nil"/>
              <w:right w:val="nil"/>
            </w:tcBorders>
          </w:tcPr>
          <w:p w:rsidR="00A46DCA" w:rsidRPr="002D3FE4"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0"/>
                <w:lang w:eastAsia="en-AU"/>
              </w:rPr>
            </w:pPr>
            <w:r w:rsidRPr="002D3FE4">
              <w:rPr>
                <w:rFonts w:eastAsiaTheme="minorEastAsia" w:cs="Calibri"/>
                <w:b/>
                <w:bCs/>
                <w:color w:val="000000"/>
                <w:szCs w:val="20"/>
                <w:lang w:eastAsia="en-AU"/>
              </w:rPr>
              <w:t xml:space="preserve"> </w:t>
            </w:r>
          </w:p>
        </w:tc>
        <w:tc>
          <w:tcPr>
            <w:tcW w:w="850" w:type="dxa"/>
            <w:tcBorders>
              <w:top w:val="nil"/>
              <w:left w:val="nil"/>
              <w:bottom w:val="nil"/>
              <w:right w:val="nil"/>
            </w:tcBorders>
          </w:tcPr>
          <w:p w:rsidR="00A46DCA" w:rsidRPr="002D3FE4"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0"/>
                <w:lang w:eastAsia="en-AU"/>
              </w:rPr>
            </w:pPr>
            <w:r w:rsidRPr="002D3FE4">
              <w:rPr>
                <w:rFonts w:eastAsiaTheme="minorEastAsia" w:cs="Calibri"/>
                <w:b/>
                <w:bCs/>
                <w:color w:val="000000"/>
                <w:szCs w:val="20"/>
                <w:lang w:eastAsia="en-AU"/>
              </w:rPr>
              <w:t xml:space="preserve"> </w:t>
            </w:r>
          </w:p>
        </w:tc>
        <w:tc>
          <w:tcPr>
            <w:tcW w:w="850" w:type="dxa"/>
            <w:tcBorders>
              <w:top w:val="nil"/>
              <w:left w:val="nil"/>
              <w:bottom w:val="nil"/>
              <w:right w:val="nil"/>
            </w:tcBorders>
          </w:tcPr>
          <w:p w:rsidR="00A46DCA" w:rsidRPr="002D3FE4"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0"/>
                <w:lang w:eastAsia="en-AU"/>
              </w:rPr>
            </w:pPr>
            <w:r w:rsidRPr="002D3FE4">
              <w:rPr>
                <w:rFonts w:eastAsiaTheme="minorEastAsia" w:cs="Calibri"/>
                <w:b/>
                <w:bCs/>
                <w:color w:val="000000"/>
                <w:szCs w:val="20"/>
                <w:lang w:eastAsia="en-AU"/>
              </w:rPr>
              <w:t xml:space="preserve"> </w:t>
            </w:r>
          </w:p>
        </w:tc>
        <w:tc>
          <w:tcPr>
            <w:tcW w:w="850" w:type="dxa"/>
            <w:tcBorders>
              <w:top w:val="nil"/>
              <w:left w:val="nil"/>
              <w:bottom w:val="nil"/>
              <w:right w:val="nil"/>
            </w:tcBorders>
          </w:tcPr>
          <w:p w:rsidR="00A46DCA" w:rsidRPr="002D3FE4"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0"/>
                <w:lang w:eastAsia="en-AU"/>
              </w:rPr>
            </w:pPr>
            <w:r w:rsidRPr="002D3FE4">
              <w:rPr>
                <w:rFonts w:eastAsiaTheme="minorEastAsia" w:cs="Calibri"/>
                <w:b/>
                <w:bCs/>
                <w:color w:val="000000"/>
                <w:szCs w:val="20"/>
                <w:lang w:eastAsia="en-AU"/>
              </w:rPr>
              <w:t xml:space="preserve"> </w:t>
            </w:r>
          </w:p>
        </w:tc>
      </w:tr>
      <w:tr w:rsidR="00A46DCA" w:rsidRPr="002D3FE4" w:rsidTr="00A26D04">
        <w:tc>
          <w:tcPr>
            <w:cnfStyle w:val="001000000000" w:firstRow="0" w:lastRow="0" w:firstColumn="1" w:lastColumn="0" w:oddVBand="0" w:evenVBand="0" w:oddHBand="0" w:evenHBand="0" w:firstRowFirstColumn="0" w:firstRowLastColumn="0" w:lastRowFirstColumn="0" w:lastRowLastColumn="0"/>
            <w:tcW w:w="4367" w:type="dxa"/>
            <w:tcBorders>
              <w:top w:val="nil"/>
              <w:left w:val="nil"/>
              <w:bottom w:val="nil"/>
              <w:right w:val="nil"/>
            </w:tcBorders>
            <w:shd w:val="solid" w:color="FFFFFF" w:fill="auto"/>
          </w:tcPr>
          <w:p w:rsidR="00A46DCA" w:rsidRPr="002D3FE4" w:rsidRDefault="00A46DCA" w:rsidP="00A26D04">
            <w:pPr>
              <w:keepLines w:val="0"/>
              <w:autoSpaceDE w:val="0"/>
              <w:autoSpaceDN w:val="0"/>
              <w:adjustRightInd w:val="0"/>
              <w:rPr>
                <w:rFonts w:eastAsiaTheme="minorEastAsia" w:cs="Calibri"/>
                <w:color w:val="000000"/>
                <w:szCs w:val="20"/>
                <w:lang w:eastAsia="en-AU"/>
              </w:rPr>
            </w:pPr>
            <w:r w:rsidRPr="002D3FE4">
              <w:rPr>
                <w:rFonts w:eastAsiaTheme="minorEastAsia" w:cs="Calibri"/>
                <w:color w:val="000000"/>
                <w:szCs w:val="20"/>
                <w:lang w:eastAsia="en-AU"/>
              </w:rPr>
              <w:t xml:space="preserve">   General purpose grants</w:t>
            </w:r>
          </w:p>
        </w:tc>
        <w:tc>
          <w:tcPr>
            <w:tcW w:w="850" w:type="dxa"/>
            <w:tcBorders>
              <w:top w:val="nil"/>
              <w:left w:val="nil"/>
              <w:bottom w:val="nil"/>
              <w:right w:val="nil"/>
            </w:tcBorders>
          </w:tcPr>
          <w:p w:rsidR="00A46DCA" w:rsidRPr="002D3FE4"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2D3FE4">
              <w:rPr>
                <w:rFonts w:eastAsiaTheme="minorEastAsia" w:cs="Calibri"/>
                <w:color w:val="000000"/>
                <w:szCs w:val="20"/>
                <w:lang w:eastAsia="en-AU"/>
              </w:rPr>
              <w:t>638</w:t>
            </w:r>
          </w:p>
        </w:tc>
        <w:tc>
          <w:tcPr>
            <w:tcW w:w="850" w:type="dxa"/>
            <w:tcBorders>
              <w:top w:val="nil"/>
              <w:left w:val="nil"/>
              <w:bottom w:val="nil"/>
              <w:right w:val="nil"/>
            </w:tcBorders>
          </w:tcPr>
          <w:p w:rsidR="00A46DCA" w:rsidRPr="002D3FE4"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2D3FE4">
              <w:rPr>
                <w:rFonts w:eastAsiaTheme="minorEastAsia" w:cs="Calibri"/>
                <w:color w:val="000000"/>
                <w:szCs w:val="20"/>
                <w:lang w:eastAsia="en-AU"/>
              </w:rPr>
              <w:t>25</w:t>
            </w:r>
          </w:p>
        </w:tc>
        <w:tc>
          <w:tcPr>
            <w:tcW w:w="850" w:type="dxa"/>
            <w:tcBorders>
              <w:top w:val="nil"/>
              <w:left w:val="nil"/>
              <w:bottom w:val="nil"/>
              <w:right w:val="nil"/>
            </w:tcBorders>
          </w:tcPr>
          <w:p w:rsidR="00A46DCA" w:rsidRPr="002D3FE4"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2D3FE4">
              <w:rPr>
                <w:rFonts w:eastAsiaTheme="minorEastAsia" w:cs="Calibri"/>
                <w:color w:val="000000"/>
                <w:szCs w:val="20"/>
                <w:lang w:eastAsia="en-AU"/>
              </w:rPr>
              <w:t>(72)</w:t>
            </w:r>
          </w:p>
        </w:tc>
        <w:tc>
          <w:tcPr>
            <w:tcW w:w="850" w:type="dxa"/>
            <w:tcBorders>
              <w:top w:val="nil"/>
              <w:left w:val="nil"/>
              <w:bottom w:val="nil"/>
              <w:right w:val="nil"/>
            </w:tcBorders>
          </w:tcPr>
          <w:p w:rsidR="00A46DCA" w:rsidRPr="002D3FE4"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2D3FE4">
              <w:rPr>
                <w:rFonts w:eastAsiaTheme="minorEastAsia" w:cs="Calibri"/>
                <w:color w:val="000000"/>
                <w:szCs w:val="20"/>
                <w:lang w:eastAsia="en-AU"/>
              </w:rPr>
              <w:t>15</w:t>
            </w:r>
          </w:p>
        </w:tc>
      </w:tr>
      <w:tr w:rsidR="00A46DCA" w:rsidRPr="002D3FE4" w:rsidTr="00A26D04">
        <w:tc>
          <w:tcPr>
            <w:cnfStyle w:val="001000000000" w:firstRow="0" w:lastRow="0" w:firstColumn="1" w:lastColumn="0" w:oddVBand="0" w:evenVBand="0" w:oddHBand="0" w:evenHBand="0" w:firstRowFirstColumn="0" w:firstRowLastColumn="0" w:lastRowFirstColumn="0" w:lastRowLastColumn="0"/>
            <w:tcW w:w="4367" w:type="dxa"/>
            <w:tcBorders>
              <w:top w:val="nil"/>
              <w:left w:val="nil"/>
              <w:bottom w:val="nil"/>
              <w:right w:val="nil"/>
            </w:tcBorders>
            <w:shd w:val="solid" w:color="FFFFFF" w:fill="auto"/>
          </w:tcPr>
          <w:p w:rsidR="00A46DCA" w:rsidRPr="002D3FE4" w:rsidRDefault="00A46DCA" w:rsidP="00A26D04">
            <w:pPr>
              <w:keepLines w:val="0"/>
              <w:autoSpaceDE w:val="0"/>
              <w:autoSpaceDN w:val="0"/>
              <w:adjustRightInd w:val="0"/>
              <w:rPr>
                <w:rFonts w:eastAsiaTheme="minorEastAsia" w:cs="Calibri"/>
                <w:color w:val="000000"/>
                <w:szCs w:val="20"/>
                <w:lang w:eastAsia="en-AU"/>
              </w:rPr>
            </w:pPr>
            <w:r w:rsidRPr="002D3FE4">
              <w:rPr>
                <w:rFonts w:eastAsiaTheme="minorEastAsia" w:cs="Calibri"/>
                <w:color w:val="000000"/>
                <w:szCs w:val="20"/>
                <w:lang w:eastAsia="en-AU"/>
              </w:rPr>
              <w:t xml:space="preserve">   Specific purpose grants </w:t>
            </w:r>
            <w:r w:rsidRPr="002D3FE4">
              <w:rPr>
                <w:rFonts w:eastAsiaTheme="minorEastAsia" w:cs="Calibri"/>
                <w:color w:val="000000"/>
                <w:szCs w:val="20"/>
                <w:vertAlign w:val="superscript"/>
                <w:lang w:eastAsia="en-AU"/>
              </w:rPr>
              <w:t>(d)</w:t>
            </w:r>
          </w:p>
        </w:tc>
        <w:tc>
          <w:tcPr>
            <w:tcW w:w="850" w:type="dxa"/>
            <w:tcBorders>
              <w:top w:val="nil"/>
              <w:left w:val="nil"/>
              <w:bottom w:val="single" w:sz="6" w:space="0" w:color="auto"/>
              <w:right w:val="nil"/>
            </w:tcBorders>
          </w:tcPr>
          <w:p w:rsidR="00A46DCA" w:rsidRPr="002D3FE4"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2D3FE4">
              <w:rPr>
                <w:rFonts w:eastAsiaTheme="minorEastAsia" w:cs="Calibri"/>
                <w:color w:val="000000"/>
                <w:szCs w:val="20"/>
                <w:lang w:eastAsia="en-AU"/>
              </w:rPr>
              <w:t>(311)</w:t>
            </w:r>
          </w:p>
        </w:tc>
        <w:tc>
          <w:tcPr>
            <w:tcW w:w="850" w:type="dxa"/>
            <w:tcBorders>
              <w:top w:val="nil"/>
              <w:left w:val="nil"/>
              <w:bottom w:val="single" w:sz="6" w:space="0" w:color="auto"/>
              <w:right w:val="nil"/>
            </w:tcBorders>
          </w:tcPr>
          <w:p w:rsidR="00A46DCA" w:rsidRPr="002D3FE4"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2D3FE4">
              <w:rPr>
                <w:rFonts w:eastAsiaTheme="minorEastAsia" w:cs="Calibri"/>
                <w:color w:val="000000"/>
                <w:szCs w:val="20"/>
                <w:lang w:eastAsia="en-AU"/>
              </w:rPr>
              <w:t>(42)</w:t>
            </w:r>
          </w:p>
        </w:tc>
        <w:tc>
          <w:tcPr>
            <w:tcW w:w="850" w:type="dxa"/>
            <w:tcBorders>
              <w:top w:val="nil"/>
              <w:left w:val="nil"/>
              <w:bottom w:val="single" w:sz="6" w:space="0" w:color="auto"/>
              <w:right w:val="nil"/>
            </w:tcBorders>
          </w:tcPr>
          <w:p w:rsidR="00A46DCA" w:rsidRPr="002D3FE4"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2D3FE4">
              <w:rPr>
                <w:rFonts w:eastAsiaTheme="minorEastAsia" w:cs="Calibri"/>
                <w:color w:val="000000"/>
                <w:szCs w:val="20"/>
                <w:lang w:eastAsia="en-AU"/>
              </w:rPr>
              <w:t>418</w:t>
            </w:r>
          </w:p>
        </w:tc>
        <w:tc>
          <w:tcPr>
            <w:tcW w:w="850" w:type="dxa"/>
            <w:tcBorders>
              <w:top w:val="nil"/>
              <w:left w:val="nil"/>
              <w:bottom w:val="single" w:sz="6" w:space="0" w:color="auto"/>
              <w:right w:val="nil"/>
            </w:tcBorders>
          </w:tcPr>
          <w:p w:rsidR="00A46DCA" w:rsidRPr="002D3FE4"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2D3FE4">
              <w:rPr>
                <w:rFonts w:eastAsiaTheme="minorEastAsia" w:cs="Calibri"/>
                <w:color w:val="000000"/>
                <w:szCs w:val="20"/>
                <w:lang w:eastAsia="en-AU"/>
              </w:rPr>
              <w:t>210</w:t>
            </w:r>
          </w:p>
        </w:tc>
      </w:tr>
      <w:tr w:rsidR="00A46DCA" w:rsidRPr="002D3FE4" w:rsidTr="00A26D04">
        <w:tc>
          <w:tcPr>
            <w:cnfStyle w:val="001000000000" w:firstRow="0" w:lastRow="0" w:firstColumn="1" w:lastColumn="0" w:oddVBand="0" w:evenVBand="0" w:oddHBand="0" w:evenHBand="0" w:firstRowFirstColumn="0" w:firstRowLastColumn="0" w:lastRowFirstColumn="0" w:lastRowLastColumn="0"/>
            <w:tcW w:w="4367" w:type="dxa"/>
            <w:tcBorders>
              <w:top w:val="nil"/>
              <w:left w:val="nil"/>
              <w:bottom w:val="nil"/>
              <w:right w:val="nil"/>
            </w:tcBorders>
            <w:shd w:val="solid" w:color="FFFFFF" w:fill="auto"/>
          </w:tcPr>
          <w:p w:rsidR="00A46DCA" w:rsidRPr="002D3FE4" w:rsidRDefault="00A46DCA" w:rsidP="00A26D04">
            <w:pPr>
              <w:keepLines w:val="0"/>
              <w:autoSpaceDE w:val="0"/>
              <w:autoSpaceDN w:val="0"/>
              <w:adjustRightInd w:val="0"/>
              <w:rPr>
                <w:rFonts w:eastAsiaTheme="minorEastAsia" w:cs="Calibri"/>
                <w:b/>
                <w:bCs/>
                <w:color w:val="000000"/>
                <w:szCs w:val="20"/>
                <w:lang w:eastAsia="en-AU"/>
              </w:rPr>
            </w:pPr>
            <w:r w:rsidRPr="002D3FE4">
              <w:rPr>
                <w:rFonts w:eastAsiaTheme="minorEastAsia" w:cs="Calibri"/>
                <w:b/>
                <w:bCs/>
                <w:color w:val="000000"/>
                <w:szCs w:val="20"/>
                <w:lang w:eastAsia="en-AU"/>
              </w:rPr>
              <w:t xml:space="preserve"> </w:t>
            </w:r>
          </w:p>
        </w:tc>
        <w:tc>
          <w:tcPr>
            <w:tcW w:w="850" w:type="dxa"/>
            <w:tcBorders>
              <w:top w:val="nil"/>
              <w:left w:val="nil"/>
              <w:bottom w:val="nil"/>
              <w:right w:val="nil"/>
            </w:tcBorders>
          </w:tcPr>
          <w:p w:rsidR="00A46DCA" w:rsidRPr="002D3FE4"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0"/>
                <w:lang w:eastAsia="en-AU"/>
              </w:rPr>
            </w:pPr>
            <w:r w:rsidRPr="002D3FE4">
              <w:rPr>
                <w:rFonts w:eastAsiaTheme="minorEastAsia" w:cs="Calibri"/>
                <w:b/>
                <w:bCs/>
                <w:color w:val="000000"/>
                <w:szCs w:val="20"/>
                <w:lang w:eastAsia="en-AU"/>
              </w:rPr>
              <w:t>326</w:t>
            </w:r>
          </w:p>
        </w:tc>
        <w:tc>
          <w:tcPr>
            <w:tcW w:w="850" w:type="dxa"/>
            <w:tcBorders>
              <w:top w:val="nil"/>
              <w:left w:val="nil"/>
              <w:bottom w:val="nil"/>
              <w:right w:val="nil"/>
            </w:tcBorders>
          </w:tcPr>
          <w:p w:rsidR="00A46DCA" w:rsidRPr="002D3FE4"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0"/>
                <w:lang w:eastAsia="en-AU"/>
              </w:rPr>
            </w:pPr>
            <w:r w:rsidRPr="002D3FE4">
              <w:rPr>
                <w:rFonts w:eastAsiaTheme="minorEastAsia" w:cs="Calibri"/>
                <w:b/>
                <w:bCs/>
                <w:color w:val="000000"/>
                <w:szCs w:val="20"/>
                <w:lang w:eastAsia="en-AU"/>
              </w:rPr>
              <w:t>(16)</w:t>
            </w:r>
          </w:p>
        </w:tc>
        <w:tc>
          <w:tcPr>
            <w:tcW w:w="850" w:type="dxa"/>
            <w:tcBorders>
              <w:top w:val="nil"/>
              <w:left w:val="nil"/>
              <w:bottom w:val="nil"/>
              <w:right w:val="nil"/>
            </w:tcBorders>
          </w:tcPr>
          <w:p w:rsidR="00A46DCA" w:rsidRPr="002D3FE4"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0"/>
                <w:lang w:eastAsia="en-AU"/>
              </w:rPr>
            </w:pPr>
            <w:r w:rsidRPr="002D3FE4">
              <w:rPr>
                <w:rFonts w:eastAsiaTheme="minorEastAsia" w:cs="Calibri"/>
                <w:b/>
                <w:bCs/>
                <w:color w:val="000000"/>
                <w:szCs w:val="20"/>
                <w:lang w:eastAsia="en-AU"/>
              </w:rPr>
              <w:t>346</w:t>
            </w:r>
          </w:p>
        </w:tc>
        <w:tc>
          <w:tcPr>
            <w:tcW w:w="850" w:type="dxa"/>
            <w:tcBorders>
              <w:top w:val="nil"/>
              <w:left w:val="nil"/>
              <w:bottom w:val="nil"/>
              <w:right w:val="nil"/>
            </w:tcBorders>
          </w:tcPr>
          <w:p w:rsidR="00A46DCA" w:rsidRPr="002D3FE4"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0"/>
                <w:lang w:eastAsia="en-AU"/>
              </w:rPr>
            </w:pPr>
            <w:r w:rsidRPr="002D3FE4">
              <w:rPr>
                <w:rFonts w:eastAsiaTheme="minorEastAsia" w:cs="Calibri"/>
                <w:b/>
                <w:bCs/>
                <w:color w:val="000000"/>
                <w:szCs w:val="20"/>
                <w:lang w:eastAsia="en-AU"/>
              </w:rPr>
              <w:t>225</w:t>
            </w:r>
          </w:p>
        </w:tc>
      </w:tr>
      <w:tr w:rsidR="00A46DCA" w:rsidRPr="002D3FE4" w:rsidTr="00A26D04">
        <w:tc>
          <w:tcPr>
            <w:cnfStyle w:val="001000000000" w:firstRow="0" w:lastRow="0" w:firstColumn="1" w:lastColumn="0" w:oddVBand="0" w:evenVBand="0" w:oddHBand="0" w:evenHBand="0" w:firstRowFirstColumn="0" w:firstRowLastColumn="0" w:lastRowFirstColumn="0" w:lastRowLastColumn="0"/>
            <w:tcW w:w="4367" w:type="dxa"/>
            <w:tcBorders>
              <w:top w:val="nil"/>
              <w:left w:val="nil"/>
              <w:bottom w:val="nil"/>
              <w:right w:val="nil"/>
            </w:tcBorders>
            <w:shd w:val="solid" w:color="FFFFFF" w:fill="auto"/>
          </w:tcPr>
          <w:p w:rsidR="00A46DCA" w:rsidRPr="002D3FE4" w:rsidRDefault="00A46DCA" w:rsidP="00A26D04">
            <w:pPr>
              <w:keepLines w:val="0"/>
              <w:autoSpaceDE w:val="0"/>
              <w:autoSpaceDN w:val="0"/>
              <w:adjustRightInd w:val="0"/>
              <w:rPr>
                <w:rFonts w:eastAsiaTheme="minorEastAsia" w:cs="Calibri"/>
                <w:b/>
                <w:bCs/>
                <w:color w:val="000000"/>
                <w:szCs w:val="20"/>
                <w:lang w:eastAsia="en-AU"/>
              </w:rPr>
            </w:pPr>
            <w:r w:rsidRPr="002D3FE4">
              <w:rPr>
                <w:rFonts w:eastAsiaTheme="minorEastAsia" w:cs="Calibri"/>
                <w:b/>
                <w:bCs/>
                <w:color w:val="000000"/>
                <w:szCs w:val="20"/>
                <w:lang w:eastAsia="en-AU"/>
              </w:rPr>
              <w:t>Administrative variations</w:t>
            </w:r>
          </w:p>
        </w:tc>
        <w:tc>
          <w:tcPr>
            <w:tcW w:w="850" w:type="dxa"/>
            <w:tcBorders>
              <w:top w:val="nil"/>
              <w:left w:val="nil"/>
              <w:bottom w:val="nil"/>
              <w:right w:val="nil"/>
            </w:tcBorders>
          </w:tcPr>
          <w:p w:rsidR="00A46DCA" w:rsidRPr="002D3FE4"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0"/>
                <w:lang w:eastAsia="en-AU"/>
              </w:rPr>
            </w:pPr>
            <w:r w:rsidRPr="002D3FE4">
              <w:rPr>
                <w:rFonts w:eastAsiaTheme="minorEastAsia" w:cs="Calibri"/>
                <w:b/>
                <w:bCs/>
                <w:color w:val="000000"/>
                <w:szCs w:val="20"/>
                <w:lang w:eastAsia="en-AU"/>
              </w:rPr>
              <w:t xml:space="preserve"> </w:t>
            </w:r>
          </w:p>
        </w:tc>
        <w:tc>
          <w:tcPr>
            <w:tcW w:w="850" w:type="dxa"/>
            <w:tcBorders>
              <w:top w:val="nil"/>
              <w:left w:val="nil"/>
              <w:bottom w:val="nil"/>
              <w:right w:val="nil"/>
            </w:tcBorders>
          </w:tcPr>
          <w:p w:rsidR="00A46DCA" w:rsidRPr="002D3FE4"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0"/>
                <w:lang w:eastAsia="en-AU"/>
              </w:rPr>
            </w:pPr>
            <w:r w:rsidRPr="002D3FE4">
              <w:rPr>
                <w:rFonts w:eastAsiaTheme="minorEastAsia" w:cs="Calibri"/>
                <w:b/>
                <w:bCs/>
                <w:color w:val="000000"/>
                <w:szCs w:val="20"/>
                <w:lang w:eastAsia="en-AU"/>
              </w:rPr>
              <w:t xml:space="preserve"> </w:t>
            </w:r>
          </w:p>
        </w:tc>
        <w:tc>
          <w:tcPr>
            <w:tcW w:w="850" w:type="dxa"/>
            <w:tcBorders>
              <w:top w:val="nil"/>
              <w:left w:val="nil"/>
              <w:bottom w:val="nil"/>
              <w:right w:val="nil"/>
            </w:tcBorders>
          </w:tcPr>
          <w:p w:rsidR="00A46DCA" w:rsidRPr="002D3FE4"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0"/>
                <w:lang w:eastAsia="en-AU"/>
              </w:rPr>
            </w:pPr>
            <w:r w:rsidRPr="002D3FE4">
              <w:rPr>
                <w:rFonts w:eastAsiaTheme="minorEastAsia" w:cs="Calibri"/>
                <w:b/>
                <w:bCs/>
                <w:color w:val="000000"/>
                <w:szCs w:val="20"/>
                <w:lang w:eastAsia="en-AU"/>
              </w:rPr>
              <w:t xml:space="preserve"> </w:t>
            </w:r>
          </w:p>
        </w:tc>
        <w:tc>
          <w:tcPr>
            <w:tcW w:w="850" w:type="dxa"/>
            <w:tcBorders>
              <w:top w:val="nil"/>
              <w:left w:val="nil"/>
              <w:bottom w:val="nil"/>
              <w:right w:val="nil"/>
            </w:tcBorders>
          </w:tcPr>
          <w:p w:rsidR="00A46DCA" w:rsidRPr="002D3FE4"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0"/>
                <w:lang w:eastAsia="en-AU"/>
              </w:rPr>
            </w:pPr>
            <w:r w:rsidRPr="002D3FE4">
              <w:rPr>
                <w:rFonts w:eastAsiaTheme="minorEastAsia" w:cs="Calibri"/>
                <w:b/>
                <w:bCs/>
                <w:color w:val="000000"/>
                <w:szCs w:val="20"/>
                <w:lang w:eastAsia="en-AU"/>
              </w:rPr>
              <w:t xml:space="preserve"> </w:t>
            </w:r>
          </w:p>
        </w:tc>
      </w:tr>
      <w:tr w:rsidR="00A46DCA" w:rsidRPr="002D3FE4" w:rsidTr="00A26D04">
        <w:tc>
          <w:tcPr>
            <w:cnfStyle w:val="001000000000" w:firstRow="0" w:lastRow="0" w:firstColumn="1" w:lastColumn="0" w:oddVBand="0" w:evenVBand="0" w:oddHBand="0" w:evenHBand="0" w:firstRowFirstColumn="0" w:firstRowLastColumn="0" w:lastRowFirstColumn="0" w:lastRowLastColumn="0"/>
            <w:tcW w:w="4367" w:type="dxa"/>
            <w:tcBorders>
              <w:top w:val="nil"/>
              <w:left w:val="nil"/>
              <w:bottom w:val="nil"/>
              <w:right w:val="nil"/>
            </w:tcBorders>
            <w:shd w:val="solid" w:color="FFFFFF" w:fill="auto"/>
          </w:tcPr>
          <w:p w:rsidR="00A46DCA" w:rsidRPr="002D3FE4" w:rsidRDefault="00A46DCA" w:rsidP="00A26D04">
            <w:pPr>
              <w:keepLines w:val="0"/>
              <w:autoSpaceDE w:val="0"/>
              <w:autoSpaceDN w:val="0"/>
              <w:adjustRightInd w:val="0"/>
              <w:rPr>
                <w:rFonts w:eastAsiaTheme="minorEastAsia" w:cs="Calibri"/>
                <w:color w:val="000000"/>
                <w:szCs w:val="20"/>
                <w:lang w:eastAsia="en-AU"/>
              </w:rPr>
            </w:pPr>
            <w:r w:rsidRPr="002D3FE4">
              <w:rPr>
                <w:rFonts w:eastAsiaTheme="minorEastAsia" w:cs="Calibri"/>
                <w:color w:val="000000"/>
                <w:szCs w:val="20"/>
                <w:lang w:eastAsia="en-AU"/>
              </w:rPr>
              <w:t xml:space="preserve">   Contingency offset for new policy </w:t>
            </w:r>
            <w:r w:rsidRPr="002D3FE4">
              <w:rPr>
                <w:rFonts w:eastAsiaTheme="minorEastAsia" w:cs="Calibri"/>
                <w:color w:val="000000"/>
                <w:szCs w:val="20"/>
                <w:vertAlign w:val="superscript"/>
                <w:lang w:eastAsia="en-AU"/>
              </w:rPr>
              <w:t>(e)</w:t>
            </w:r>
          </w:p>
        </w:tc>
        <w:tc>
          <w:tcPr>
            <w:tcW w:w="850" w:type="dxa"/>
            <w:tcBorders>
              <w:top w:val="nil"/>
              <w:left w:val="nil"/>
              <w:bottom w:val="nil"/>
              <w:right w:val="nil"/>
            </w:tcBorders>
          </w:tcPr>
          <w:p w:rsidR="00A46DCA" w:rsidRPr="002D3FE4"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Helvetica"/>
                <w:color w:val="000000"/>
                <w:szCs w:val="18"/>
                <w:lang w:eastAsia="en-AU"/>
              </w:rPr>
            </w:pPr>
            <w:r w:rsidRPr="002D3FE4">
              <w:rPr>
                <w:rFonts w:eastAsiaTheme="minorEastAsia" w:cs="Helvetica"/>
                <w:color w:val="000000"/>
                <w:szCs w:val="18"/>
                <w:lang w:eastAsia="en-AU"/>
              </w:rPr>
              <w:t>20</w:t>
            </w:r>
          </w:p>
        </w:tc>
        <w:tc>
          <w:tcPr>
            <w:tcW w:w="850" w:type="dxa"/>
            <w:tcBorders>
              <w:top w:val="nil"/>
              <w:left w:val="nil"/>
              <w:bottom w:val="nil"/>
              <w:right w:val="nil"/>
            </w:tcBorders>
          </w:tcPr>
          <w:p w:rsidR="00A46DCA" w:rsidRPr="002D3FE4"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Helvetica"/>
                <w:color w:val="000000"/>
                <w:szCs w:val="18"/>
                <w:lang w:eastAsia="en-AU"/>
              </w:rPr>
            </w:pPr>
            <w:r>
              <w:rPr>
                <w:rFonts w:eastAsiaTheme="minorEastAsia" w:cs="Helvetica"/>
                <w:color w:val="000000"/>
                <w:szCs w:val="18"/>
                <w:lang w:eastAsia="en-AU"/>
              </w:rPr>
              <w:t>..</w:t>
            </w:r>
          </w:p>
        </w:tc>
        <w:tc>
          <w:tcPr>
            <w:tcW w:w="850" w:type="dxa"/>
            <w:tcBorders>
              <w:top w:val="nil"/>
              <w:left w:val="nil"/>
              <w:bottom w:val="nil"/>
              <w:right w:val="nil"/>
            </w:tcBorders>
          </w:tcPr>
          <w:p w:rsidR="00A46DCA" w:rsidRPr="002D3FE4"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Helvetica"/>
                <w:color w:val="000000"/>
                <w:szCs w:val="18"/>
                <w:lang w:eastAsia="en-AU"/>
              </w:rPr>
            </w:pPr>
            <w:r>
              <w:rPr>
                <w:rFonts w:eastAsiaTheme="minorEastAsia" w:cs="Helvetica"/>
                <w:color w:val="000000"/>
                <w:szCs w:val="18"/>
                <w:lang w:eastAsia="en-AU"/>
              </w:rPr>
              <w:t>..</w:t>
            </w:r>
          </w:p>
        </w:tc>
        <w:tc>
          <w:tcPr>
            <w:tcW w:w="850" w:type="dxa"/>
            <w:tcBorders>
              <w:top w:val="nil"/>
              <w:left w:val="nil"/>
              <w:bottom w:val="nil"/>
              <w:right w:val="nil"/>
            </w:tcBorders>
          </w:tcPr>
          <w:p w:rsidR="00A46DCA" w:rsidRPr="002D3FE4"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Helvetica"/>
                <w:color w:val="000000"/>
                <w:szCs w:val="18"/>
                <w:lang w:eastAsia="en-AU"/>
              </w:rPr>
            </w:pPr>
            <w:r>
              <w:rPr>
                <w:rFonts w:eastAsiaTheme="minorEastAsia" w:cs="Helvetica"/>
                <w:color w:val="000000"/>
                <w:szCs w:val="18"/>
                <w:lang w:eastAsia="en-AU"/>
              </w:rPr>
              <w:t>..</w:t>
            </w:r>
          </w:p>
        </w:tc>
      </w:tr>
      <w:tr w:rsidR="00A46DCA" w:rsidRPr="002D3FE4" w:rsidTr="00A26D04">
        <w:tc>
          <w:tcPr>
            <w:cnfStyle w:val="001000000000" w:firstRow="0" w:lastRow="0" w:firstColumn="1" w:lastColumn="0" w:oddVBand="0" w:evenVBand="0" w:oddHBand="0" w:evenHBand="0" w:firstRowFirstColumn="0" w:firstRowLastColumn="0" w:lastRowFirstColumn="0" w:lastRowLastColumn="0"/>
            <w:tcW w:w="4367" w:type="dxa"/>
            <w:tcBorders>
              <w:top w:val="nil"/>
              <w:left w:val="nil"/>
              <w:bottom w:val="nil"/>
              <w:right w:val="nil"/>
            </w:tcBorders>
            <w:shd w:val="solid" w:color="FFFFFF" w:fill="auto"/>
          </w:tcPr>
          <w:p w:rsidR="00A46DCA" w:rsidRPr="002D3FE4" w:rsidRDefault="00A46DCA" w:rsidP="00A26D04">
            <w:pPr>
              <w:keepLines w:val="0"/>
              <w:autoSpaceDE w:val="0"/>
              <w:autoSpaceDN w:val="0"/>
              <w:adjustRightInd w:val="0"/>
              <w:rPr>
                <w:rFonts w:eastAsiaTheme="minorEastAsia" w:cs="Calibri"/>
                <w:color w:val="000000"/>
                <w:szCs w:val="20"/>
                <w:lang w:eastAsia="en-AU"/>
              </w:rPr>
            </w:pPr>
            <w:r w:rsidRPr="002D3FE4">
              <w:rPr>
                <w:rFonts w:eastAsiaTheme="minorEastAsia" w:cs="Calibri"/>
                <w:color w:val="000000"/>
                <w:szCs w:val="20"/>
                <w:lang w:eastAsia="en-AU"/>
              </w:rPr>
              <w:t xml:space="preserve">   Other administrative variations</w:t>
            </w:r>
          </w:p>
        </w:tc>
        <w:tc>
          <w:tcPr>
            <w:tcW w:w="850" w:type="dxa"/>
            <w:tcBorders>
              <w:top w:val="nil"/>
              <w:left w:val="nil"/>
              <w:bottom w:val="single" w:sz="6" w:space="0" w:color="auto"/>
              <w:right w:val="nil"/>
            </w:tcBorders>
          </w:tcPr>
          <w:p w:rsidR="00A46DCA" w:rsidRPr="002D3FE4"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Helvetica"/>
                <w:color w:val="000000"/>
                <w:szCs w:val="18"/>
                <w:lang w:eastAsia="en-AU"/>
              </w:rPr>
            </w:pPr>
            <w:r w:rsidRPr="002D3FE4">
              <w:rPr>
                <w:rFonts w:eastAsiaTheme="minorEastAsia" w:cs="Helvetica"/>
                <w:color w:val="000000"/>
                <w:szCs w:val="18"/>
                <w:lang w:eastAsia="en-AU"/>
              </w:rPr>
              <w:t>25</w:t>
            </w:r>
          </w:p>
        </w:tc>
        <w:tc>
          <w:tcPr>
            <w:tcW w:w="850" w:type="dxa"/>
            <w:tcBorders>
              <w:top w:val="nil"/>
              <w:left w:val="nil"/>
              <w:bottom w:val="single" w:sz="6" w:space="0" w:color="auto"/>
              <w:right w:val="nil"/>
            </w:tcBorders>
          </w:tcPr>
          <w:p w:rsidR="00A46DCA" w:rsidRPr="002D3FE4"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Helvetica"/>
                <w:color w:val="000000"/>
                <w:szCs w:val="18"/>
                <w:lang w:eastAsia="en-AU"/>
              </w:rPr>
            </w:pPr>
            <w:r w:rsidRPr="002D3FE4">
              <w:rPr>
                <w:rFonts w:eastAsiaTheme="minorEastAsia" w:cs="Helvetica"/>
                <w:color w:val="000000"/>
                <w:szCs w:val="18"/>
                <w:lang w:eastAsia="en-AU"/>
              </w:rPr>
              <w:t>(273)</w:t>
            </w:r>
          </w:p>
        </w:tc>
        <w:tc>
          <w:tcPr>
            <w:tcW w:w="850" w:type="dxa"/>
            <w:tcBorders>
              <w:top w:val="nil"/>
              <w:left w:val="nil"/>
              <w:bottom w:val="single" w:sz="6" w:space="0" w:color="auto"/>
              <w:right w:val="nil"/>
            </w:tcBorders>
          </w:tcPr>
          <w:p w:rsidR="00A46DCA" w:rsidRPr="002D3FE4"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Helvetica"/>
                <w:color w:val="000000"/>
                <w:szCs w:val="18"/>
                <w:lang w:eastAsia="en-AU"/>
              </w:rPr>
            </w:pPr>
            <w:r w:rsidRPr="002D3FE4">
              <w:rPr>
                <w:rFonts w:eastAsiaTheme="minorEastAsia" w:cs="Helvetica"/>
                <w:color w:val="000000"/>
                <w:szCs w:val="18"/>
                <w:lang w:eastAsia="en-AU"/>
              </w:rPr>
              <w:t>(541)</w:t>
            </w:r>
          </w:p>
        </w:tc>
        <w:tc>
          <w:tcPr>
            <w:tcW w:w="850" w:type="dxa"/>
            <w:tcBorders>
              <w:top w:val="nil"/>
              <w:left w:val="nil"/>
              <w:bottom w:val="single" w:sz="6" w:space="0" w:color="auto"/>
              <w:right w:val="nil"/>
            </w:tcBorders>
          </w:tcPr>
          <w:p w:rsidR="00A46DCA" w:rsidRPr="002D3FE4"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Helvetica"/>
                <w:color w:val="000000"/>
                <w:szCs w:val="18"/>
                <w:lang w:eastAsia="en-AU"/>
              </w:rPr>
            </w:pPr>
            <w:r w:rsidRPr="002D3FE4">
              <w:rPr>
                <w:rFonts w:eastAsiaTheme="minorEastAsia" w:cs="Helvetica"/>
                <w:color w:val="000000"/>
                <w:szCs w:val="18"/>
                <w:lang w:eastAsia="en-AU"/>
              </w:rPr>
              <w:t>(192)</w:t>
            </w:r>
          </w:p>
        </w:tc>
      </w:tr>
      <w:tr w:rsidR="00A46DCA" w:rsidRPr="002D3FE4" w:rsidTr="00A26D04">
        <w:tc>
          <w:tcPr>
            <w:cnfStyle w:val="001000000000" w:firstRow="0" w:lastRow="0" w:firstColumn="1" w:lastColumn="0" w:oddVBand="0" w:evenVBand="0" w:oddHBand="0" w:evenHBand="0" w:firstRowFirstColumn="0" w:firstRowLastColumn="0" w:lastRowFirstColumn="0" w:lastRowLastColumn="0"/>
            <w:tcW w:w="4367" w:type="dxa"/>
            <w:tcBorders>
              <w:top w:val="nil"/>
              <w:left w:val="nil"/>
              <w:bottom w:val="nil"/>
              <w:right w:val="nil"/>
            </w:tcBorders>
            <w:shd w:val="solid" w:color="FFFFFF" w:fill="auto"/>
          </w:tcPr>
          <w:p w:rsidR="00A46DCA" w:rsidRPr="002D3FE4" w:rsidRDefault="00A46DCA" w:rsidP="00A26D04">
            <w:pPr>
              <w:keepLines w:val="0"/>
              <w:autoSpaceDE w:val="0"/>
              <w:autoSpaceDN w:val="0"/>
              <w:adjustRightInd w:val="0"/>
              <w:rPr>
                <w:rFonts w:eastAsiaTheme="minorEastAsia" w:cs="Calibri"/>
                <w:b/>
                <w:bCs/>
                <w:color w:val="000000"/>
                <w:szCs w:val="20"/>
                <w:lang w:eastAsia="en-AU"/>
              </w:rPr>
            </w:pPr>
            <w:r w:rsidRPr="002D3FE4">
              <w:rPr>
                <w:rFonts w:eastAsiaTheme="minorEastAsia" w:cs="Calibri"/>
                <w:b/>
                <w:bCs/>
                <w:color w:val="000000"/>
                <w:szCs w:val="20"/>
                <w:lang w:eastAsia="en-AU"/>
              </w:rPr>
              <w:t xml:space="preserve"> </w:t>
            </w:r>
          </w:p>
        </w:tc>
        <w:tc>
          <w:tcPr>
            <w:tcW w:w="850" w:type="dxa"/>
            <w:tcBorders>
              <w:top w:val="nil"/>
              <w:left w:val="nil"/>
              <w:bottom w:val="nil"/>
              <w:right w:val="nil"/>
            </w:tcBorders>
          </w:tcPr>
          <w:p w:rsidR="00A46DCA" w:rsidRPr="002D3FE4"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0"/>
                <w:lang w:eastAsia="en-AU"/>
              </w:rPr>
            </w:pPr>
            <w:r w:rsidRPr="002D3FE4">
              <w:rPr>
                <w:rFonts w:eastAsiaTheme="minorEastAsia" w:cs="Calibri"/>
                <w:b/>
                <w:bCs/>
                <w:color w:val="000000"/>
                <w:szCs w:val="20"/>
                <w:lang w:eastAsia="en-AU"/>
              </w:rPr>
              <w:t>44</w:t>
            </w:r>
          </w:p>
        </w:tc>
        <w:tc>
          <w:tcPr>
            <w:tcW w:w="850" w:type="dxa"/>
            <w:tcBorders>
              <w:top w:val="nil"/>
              <w:left w:val="nil"/>
              <w:bottom w:val="nil"/>
              <w:right w:val="nil"/>
            </w:tcBorders>
          </w:tcPr>
          <w:p w:rsidR="00A46DCA" w:rsidRPr="002D3FE4"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0"/>
                <w:lang w:eastAsia="en-AU"/>
              </w:rPr>
            </w:pPr>
            <w:r w:rsidRPr="002D3FE4">
              <w:rPr>
                <w:rFonts w:eastAsiaTheme="minorEastAsia" w:cs="Calibri"/>
                <w:b/>
                <w:bCs/>
                <w:color w:val="000000"/>
                <w:szCs w:val="20"/>
                <w:lang w:eastAsia="en-AU"/>
              </w:rPr>
              <w:t>(273)</w:t>
            </w:r>
          </w:p>
        </w:tc>
        <w:tc>
          <w:tcPr>
            <w:tcW w:w="850" w:type="dxa"/>
            <w:tcBorders>
              <w:top w:val="nil"/>
              <w:left w:val="nil"/>
              <w:bottom w:val="nil"/>
              <w:right w:val="nil"/>
            </w:tcBorders>
          </w:tcPr>
          <w:p w:rsidR="00A46DCA" w:rsidRPr="002D3FE4"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0"/>
                <w:lang w:eastAsia="en-AU"/>
              </w:rPr>
            </w:pPr>
            <w:r w:rsidRPr="002D3FE4">
              <w:rPr>
                <w:rFonts w:eastAsiaTheme="minorEastAsia" w:cs="Calibri"/>
                <w:b/>
                <w:bCs/>
                <w:color w:val="000000"/>
                <w:szCs w:val="20"/>
                <w:lang w:eastAsia="en-AU"/>
              </w:rPr>
              <w:t>(541)</w:t>
            </w:r>
          </w:p>
        </w:tc>
        <w:tc>
          <w:tcPr>
            <w:tcW w:w="850" w:type="dxa"/>
            <w:tcBorders>
              <w:top w:val="nil"/>
              <w:left w:val="nil"/>
              <w:bottom w:val="nil"/>
              <w:right w:val="nil"/>
            </w:tcBorders>
          </w:tcPr>
          <w:p w:rsidR="00A46DCA" w:rsidRPr="002D3FE4"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0"/>
                <w:lang w:eastAsia="en-AU"/>
              </w:rPr>
            </w:pPr>
            <w:r w:rsidRPr="002D3FE4">
              <w:rPr>
                <w:rFonts w:eastAsiaTheme="minorEastAsia" w:cs="Calibri"/>
                <w:b/>
                <w:bCs/>
                <w:color w:val="000000"/>
                <w:szCs w:val="20"/>
                <w:lang w:eastAsia="en-AU"/>
              </w:rPr>
              <w:t>(192)</w:t>
            </w:r>
          </w:p>
        </w:tc>
      </w:tr>
      <w:tr w:rsidR="00A46DCA" w:rsidRPr="002D3FE4" w:rsidTr="00A26D04">
        <w:trPr>
          <w:trHeight w:hRule="exact" w:val="120"/>
        </w:trPr>
        <w:tc>
          <w:tcPr>
            <w:cnfStyle w:val="001000000000" w:firstRow="0" w:lastRow="0" w:firstColumn="1" w:lastColumn="0" w:oddVBand="0" w:evenVBand="0" w:oddHBand="0" w:evenHBand="0" w:firstRowFirstColumn="0" w:firstRowLastColumn="0" w:lastRowFirstColumn="0" w:lastRowLastColumn="0"/>
            <w:tcW w:w="4367" w:type="dxa"/>
            <w:tcBorders>
              <w:top w:val="nil"/>
              <w:left w:val="nil"/>
              <w:bottom w:val="nil"/>
              <w:right w:val="nil"/>
            </w:tcBorders>
          </w:tcPr>
          <w:p w:rsidR="00A46DCA" w:rsidRPr="002D3FE4" w:rsidRDefault="00A46DCA" w:rsidP="00A26D04">
            <w:pPr>
              <w:keepLines w:val="0"/>
              <w:autoSpaceDE w:val="0"/>
              <w:autoSpaceDN w:val="0"/>
              <w:adjustRightInd w:val="0"/>
              <w:rPr>
                <w:rFonts w:eastAsiaTheme="minorEastAsia" w:cs="Calibri"/>
                <w:color w:val="000000"/>
                <w:lang w:eastAsia="en-AU"/>
              </w:rPr>
            </w:pPr>
            <w:r w:rsidRPr="002D3FE4">
              <w:rPr>
                <w:rFonts w:eastAsiaTheme="minorEastAsia" w:cs="Calibri"/>
                <w:color w:val="000000"/>
                <w:lang w:eastAsia="en-AU"/>
              </w:rPr>
              <w:t xml:space="preserve"> </w:t>
            </w:r>
          </w:p>
        </w:tc>
        <w:tc>
          <w:tcPr>
            <w:tcW w:w="850" w:type="dxa"/>
            <w:tcBorders>
              <w:top w:val="nil"/>
              <w:left w:val="nil"/>
              <w:bottom w:val="nil"/>
              <w:right w:val="nil"/>
            </w:tcBorders>
          </w:tcPr>
          <w:p w:rsidR="00A46DCA" w:rsidRPr="002D3FE4"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0"/>
                <w:lang w:eastAsia="en-AU"/>
              </w:rPr>
            </w:pPr>
            <w:r w:rsidRPr="002D3FE4">
              <w:rPr>
                <w:rFonts w:eastAsiaTheme="minorEastAsia" w:cs="Calibri"/>
                <w:b/>
                <w:bCs/>
                <w:color w:val="000000"/>
                <w:szCs w:val="20"/>
                <w:lang w:eastAsia="en-AU"/>
              </w:rPr>
              <w:t xml:space="preserve"> </w:t>
            </w:r>
          </w:p>
        </w:tc>
        <w:tc>
          <w:tcPr>
            <w:tcW w:w="850" w:type="dxa"/>
            <w:tcBorders>
              <w:top w:val="nil"/>
              <w:left w:val="nil"/>
              <w:bottom w:val="nil"/>
              <w:right w:val="nil"/>
            </w:tcBorders>
          </w:tcPr>
          <w:p w:rsidR="00A46DCA" w:rsidRPr="002D3FE4"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0"/>
                <w:lang w:eastAsia="en-AU"/>
              </w:rPr>
            </w:pPr>
            <w:r w:rsidRPr="002D3FE4">
              <w:rPr>
                <w:rFonts w:eastAsiaTheme="minorEastAsia" w:cs="Calibri"/>
                <w:b/>
                <w:bCs/>
                <w:color w:val="000000"/>
                <w:szCs w:val="20"/>
                <w:lang w:eastAsia="en-AU"/>
              </w:rPr>
              <w:t xml:space="preserve"> </w:t>
            </w:r>
          </w:p>
        </w:tc>
        <w:tc>
          <w:tcPr>
            <w:tcW w:w="850" w:type="dxa"/>
            <w:tcBorders>
              <w:top w:val="nil"/>
              <w:left w:val="nil"/>
              <w:bottom w:val="nil"/>
              <w:right w:val="nil"/>
            </w:tcBorders>
          </w:tcPr>
          <w:p w:rsidR="00A46DCA" w:rsidRPr="002D3FE4"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0"/>
                <w:lang w:eastAsia="en-AU"/>
              </w:rPr>
            </w:pPr>
            <w:r w:rsidRPr="002D3FE4">
              <w:rPr>
                <w:rFonts w:eastAsiaTheme="minorEastAsia" w:cs="Calibri"/>
                <w:b/>
                <w:bCs/>
                <w:color w:val="000000"/>
                <w:szCs w:val="20"/>
                <w:lang w:eastAsia="en-AU"/>
              </w:rPr>
              <w:t xml:space="preserve"> </w:t>
            </w:r>
          </w:p>
        </w:tc>
        <w:tc>
          <w:tcPr>
            <w:tcW w:w="850" w:type="dxa"/>
            <w:tcBorders>
              <w:top w:val="nil"/>
              <w:left w:val="nil"/>
              <w:bottom w:val="nil"/>
              <w:right w:val="nil"/>
            </w:tcBorders>
          </w:tcPr>
          <w:p w:rsidR="00A46DCA" w:rsidRPr="002D3FE4"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0"/>
                <w:lang w:eastAsia="en-AU"/>
              </w:rPr>
            </w:pPr>
            <w:r w:rsidRPr="002D3FE4">
              <w:rPr>
                <w:rFonts w:eastAsiaTheme="minorEastAsia" w:cs="Calibri"/>
                <w:b/>
                <w:bCs/>
                <w:color w:val="000000"/>
                <w:szCs w:val="20"/>
                <w:lang w:eastAsia="en-AU"/>
              </w:rPr>
              <w:t xml:space="preserve"> </w:t>
            </w:r>
          </w:p>
        </w:tc>
      </w:tr>
      <w:tr w:rsidR="00A46DCA" w:rsidRPr="002D3FE4" w:rsidTr="00A26D04">
        <w:tc>
          <w:tcPr>
            <w:cnfStyle w:val="001000000000" w:firstRow="0" w:lastRow="0" w:firstColumn="1" w:lastColumn="0" w:oddVBand="0" w:evenVBand="0" w:oddHBand="0" w:evenHBand="0" w:firstRowFirstColumn="0" w:firstRowLastColumn="0" w:lastRowFirstColumn="0" w:lastRowLastColumn="0"/>
            <w:tcW w:w="4367" w:type="dxa"/>
            <w:tcBorders>
              <w:top w:val="nil"/>
              <w:left w:val="nil"/>
              <w:bottom w:val="single" w:sz="6" w:space="0" w:color="auto"/>
              <w:right w:val="nil"/>
            </w:tcBorders>
            <w:shd w:val="solid" w:color="FFFFFF" w:fill="auto"/>
          </w:tcPr>
          <w:p w:rsidR="00A46DCA" w:rsidRPr="002D3FE4" w:rsidRDefault="00A46DCA" w:rsidP="00A26D04">
            <w:pPr>
              <w:keepLines w:val="0"/>
              <w:autoSpaceDE w:val="0"/>
              <w:autoSpaceDN w:val="0"/>
              <w:adjustRightInd w:val="0"/>
              <w:rPr>
                <w:rFonts w:eastAsiaTheme="minorEastAsia" w:cs="Calibri"/>
                <w:b/>
                <w:bCs/>
                <w:i/>
                <w:iCs/>
                <w:color w:val="000000"/>
                <w:szCs w:val="20"/>
                <w:lang w:eastAsia="en-AU"/>
              </w:rPr>
            </w:pPr>
            <w:r w:rsidRPr="002D3FE4">
              <w:rPr>
                <w:rFonts w:eastAsiaTheme="minorEastAsia" w:cs="Calibri"/>
                <w:b/>
                <w:bCs/>
                <w:color w:val="000000"/>
                <w:szCs w:val="20"/>
                <w:lang w:eastAsia="en-AU"/>
              </w:rPr>
              <w:t xml:space="preserve">Total variation since </w:t>
            </w:r>
            <w:r w:rsidRPr="002D3FE4">
              <w:rPr>
                <w:rFonts w:eastAsiaTheme="minorEastAsia" w:cs="Calibri"/>
                <w:b/>
                <w:bCs/>
                <w:i/>
                <w:iCs/>
                <w:color w:val="000000"/>
                <w:szCs w:val="20"/>
                <w:lang w:eastAsia="en-AU"/>
              </w:rPr>
              <w:t>2017-18 Budget</w:t>
            </w:r>
          </w:p>
        </w:tc>
        <w:tc>
          <w:tcPr>
            <w:tcW w:w="850" w:type="dxa"/>
            <w:tcBorders>
              <w:top w:val="nil"/>
              <w:left w:val="nil"/>
              <w:bottom w:val="single" w:sz="6" w:space="0" w:color="auto"/>
              <w:right w:val="nil"/>
            </w:tcBorders>
          </w:tcPr>
          <w:p w:rsidR="00A46DCA" w:rsidRPr="002D3FE4"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Helvetica"/>
                <w:b/>
                <w:bCs/>
                <w:color w:val="000000"/>
                <w:szCs w:val="18"/>
                <w:lang w:eastAsia="en-AU"/>
              </w:rPr>
            </w:pPr>
            <w:r w:rsidRPr="002D3FE4">
              <w:rPr>
                <w:rFonts w:eastAsiaTheme="minorEastAsia" w:cs="Helvetica"/>
                <w:b/>
                <w:bCs/>
                <w:color w:val="000000"/>
                <w:szCs w:val="18"/>
                <w:lang w:eastAsia="en-AU"/>
              </w:rPr>
              <w:t>560</w:t>
            </w:r>
          </w:p>
        </w:tc>
        <w:tc>
          <w:tcPr>
            <w:tcW w:w="850" w:type="dxa"/>
            <w:tcBorders>
              <w:top w:val="nil"/>
              <w:left w:val="nil"/>
              <w:bottom w:val="single" w:sz="6" w:space="0" w:color="auto"/>
              <w:right w:val="nil"/>
            </w:tcBorders>
          </w:tcPr>
          <w:p w:rsidR="00A46DCA" w:rsidRPr="002D3FE4"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Helvetica"/>
                <w:b/>
                <w:bCs/>
                <w:color w:val="000000"/>
                <w:szCs w:val="18"/>
                <w:lang w:eastAsia="en-AU"/>
              </w:rPr>
            </w:pPr>
            <w:r w:rsidRPr="002D3FE4">
              <w:rPr>
                <w:rFonts w:eastAsiaTheme="minorEastAsia" w:cs="Helvetica"/>
                <w:b/>
                <w:bCs/>
                <w:color w:val="000000"/>
                <w:szCs w:val="18"/>
                <w:lang w:eastAsia="en-AU"/>
              </w:rPr>
              <w:t>142</w:t>
            </w:r>
          </w:p>
        </w:tc>
        <w:tc>
          <w:tcPr>
            <w:tcW w:w="850" w:type="dxa"/>
            <w:tcBorders>
              <w:top w:val="nil"/>
              <w:left w:val="nil"/>
              <w:bottom w:val="single" w:sz="6" w:space="0" w:color="auto"/>
              <w:right w:val="nil"/>
            </w:tcBorders>
          </w:tcPr>
          <w:p w:rsidR="00A46DCA" w:rsidRPr="002D3FE4"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Helvetica"/>
                <w:b/>
                <w:bCs/>
                <w:color w:val="000000"/>
                <w:szCs w:val="18"/>
                <w:lang w:eastAsia="en-AU"/>
              </w:rPr>
            </w:pPr>
            <w:r w:rsidRPr="002D3FE4">
              <w:rPr>
                <w:rFonts w:eastAsiaTheme="minorEastAsia" w:cs="Helvetica"/>
                <w:b/>
                <w:bCs/>
                <w:color w:val="000000"/>
                <w:szCs w:val="18"/>
                <w:lang w:eastAsia="en-AU"/>
              </w:rPr>
              <w:t>(419)</w:t>
            </w:r>
          </w:p>
        </w:tc>
        <w:tc>
          <w:tcPr>
            <w:tcW w:w="850" w:type="dxa"/>
            <w:tcBorders>
              <w:top w:val="nil"/>
              <w:left w:val="nil"/>
              <w:bottom w:val="single" w:sz="6" w:space="0" w:color="auto"/>
              <w:right w:val="nil"/>
            </w:tcBorders>
          </w:tcPr>
          <w:p w:rsidR="00A46DCA" w:rsidRPr="002D3FE4"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Helvetica"/>
                <w:b/>
                <w:bCs/>
                <w:color w:val="000000"/>
                <w:szCs w:val="18"/>
                <w:lang w:eastAsia="en-AU"/>
              </w:rPr>
            </w:pPr>
            <w:r w:rsidRPr="002D3FE4">
              <w:rPr>
                <w:rFonts w:eastAsiaTheme="minorEastAsia" w:cs="Helvetica"/>
                <w:b/>
                <w:bCs/>
                <w:color w:val="000000"/>
                <w:szCs w:val="18"/>
                <w:lang w:eastAsia="en-AU"/>
              </w:rPr>
              <w:t>(87)</w:t>
            </w:r>
          </w:p>
        </w:tc>
      </w:tr>
      <w:tr w:rsidR="00A46DCA" w:rsidRPr="002D3FE4" w:rsidTr="00A26D04">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7" w:type="dxa"/>
            <w:tcBorders>
              <w:top w:val="nil"/>
              <w:bottom w:val="single" w:sz="12" w:space="0" w:color="auto"/>
            </w:tcBorders>
            <w:shd w:val="solid" w:color="FFFFFF" w:fill="auto"/>
          </w:tcPr>
          <w:p w:rsidR="00A46DCA" w:rsidRPr="002D3FE4" w:rsidRDefault="00A46DCA" w:rsidP="00A26D04">
            <w:pPr>
              <w:keepLines w:val="0"/>
              <w:autoSpaceDE w:val="0"/>
              <w:autoSpaceDN w:val="0"/>
              <w:adjustRightInd w:val="0"/>
              <w:rPr>
                <w:rFonts w:eastAsiaTheme="minorEastAsia" w:cs="Calibri"/>
                <w:b w:val="0"/>
                <w:bCs/>
                <w:i/>
                <w:iCs/>
                <w:color w:val="000000"/>
                <w:szCs w:val="20"/>
                <w:lang w:eastAsia="en-AU"/>
              </w:rPr>
            </w:pPr>
            <w:r w:rsidRPr="002D3FE4">
              <w:rPr>
                <w:rFonts w:eastAsiaTheme="minorEastAsia" w:cs="Calibri"/>
                <w:bCs/>
                <w:color w:val="000000"/>
                <w:szCs w:val="20"/>
                <w:lang w:eastAsia="en-AU"/>
              </w:rPr>
              <w:t xml:space="preserve">Net result from transactions: </w:t>
            </w:r>
            <w:r w:rsidRPr="002D3FE4">
              <w:rPr>
                <w:rFonts w:eastAsiaTheme="minorEastAsia" w:cs="Calibri"/>
                <w:bCs/>
                <w:i/>
                <w:iCs/>
                <w:color w:val="000000"/>
                <w:szCs w:val="20"/>
                <w:lang w:eastAsia="en-AU"/>
              </w:rPr>
              <w:t>2017-18 Budget Update</w:t>
            </w:r>
          </w:p>
        </w:tc>
        <w:tc>
          <w:tcPr>
            <w:tcW w:w="850" w:type="dxa"/>
            <w:tcBorders>
              <w:top w:val="nil"/>
              <w:bottom w:val="single" w:sz="12" w:space="0" w:color="auto"/>
            </w:tcBorders>
          </w:tcPr>
          <w:p w:rsidR="00A46DCA" w:rsidRPr="002D3FE4" w:rsidRDefault="00A46DCA" w:rsidP="00A26D0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Helvetica"/>
                <w:b w:val="0"/>
                <w:bCs/>
                <w:color w:val="000000"/>
                <w:szCs w:val="18"/>
                <w:lang w:eastAsia="en-AU"/>
              </w:rPr>
            </w:pPr>
            <w:r w:rsidRPr="002D3FE4">
              <w:rPr>
                <w:rFonts w:eastAsiaTheme="minorEastAsia" w:cs="Helvetica"/>
                <w:bCs/>
                <w:color w:val="000000"/>
                <w:szCs w:val="18"/>
                <w:lang w:eastAsia="en-AU"/>
              </w:rPr>
              <w:t>1 713</w:t>
            </w:r>
          </w:p>
        </w:tc>
        <w:tc>
          <w:tcPr>
            <w:tcW w:w="850" w:type="dxa"/>
            <w:tcBorders>
              <w:top w:val="nil"/>
              <w:bottom w:val="single" w:sz="12" w:space="0" w:color="auto"/>
            </w:tcBorders>
          </w:tcPr>
          <w:p w:rsidR="00A46DCA" w:rsidRPr="002D3FE4" w:rsidRDefault="00A46DCA" w:rsidP="00A26D0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Helvetica"/>
                <w:b w:val="0"/>
                <w:bCs/>
                <w:color w:val="000000"/>
                <w:szCs w:val="18"/>
                <w:lang w:eastAsia="en-AU"/>
              </w:rPr>
            </w:pPr>
            <w:r w:rsidRPr="002D3FE4">
              <w:rPr>
                <w:rFonts w:eastAsiaTheme="minorEastAsia" w:cs="Helvetica"/>
                <w:bCs/>
                <w:color w:val="000000"/>
                <w:szCs w:val="18"/>
                <w:lang w:eastAsia="en-AU"/>
              </w:rPr>
              <w:t>2 117</w:t>
            </w:r>
          </w:p>
        </w:tc>
        <w:tc>
          <w:tcPr>
            <w:tcW w:w="850" w:type="dxa"/>
            <w:tcBorders>
              <w:top w:val="nil"/>
              <w:bottom w:val="single" w:sz="12" w:space="0" w:color="auto"/>
            </w:tcBorders>
          </w:tcPr>
          <w:p w:rsidR="00A46DCA" w:rsidRPr="0008665D" w:rsidRDefault="00A46DCA" w:rsidP="00A26D0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Helvetica"/>
                <w:bCs/>
                <w:color w:val="000000"/>
                <w:szCs w:val="18"/>
                <w:lang w:eastAsia="en-AU"/>
              </w:rPr>
            </w:pPr>
            <w:r w:rsidRPr="0008665D">
              <w:rPr>
                <w:rFonts w:eastAsiaTheme="minorEastAsia" w:cs="Helvetica"/>
                <w:bCs/>
                <w:color w:val="000000"/>
                <w:szCs w:val="18"/>
                <w:lang w:eastAsia="en-AU"/>
              </w:rPr>
              <w:t>1 987</w:t>
            </w:r>
          </w:p>
        </w:tc>
        <w:tc>
          <w:tcPr>
            <w:tcW w:w="850" w:type="dxa"/>
            <w:tcBorders>
              <w:top w:val="nil"/>
              <w:bottom w:val="single" w:sz="12" w:space="0" w:color="auto"/>
            </w:tcBorders>
          </w:tcPr>
          <w:p w:rsidR="00A46DCA" w:rsidRPr="002D3FE4" w:rsidRDefault="00A46DCA" w:rsidP="00A26D0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Helvetica"/>
                <w:b w:val="0"/>
                <w:bCs/>
                <w:color w:val="000000"/>
                <w:szCs w:val="18"/>
                <w:lang w:eastAsia="en-AU"/>
              </w:rPr>
            </w:pPr>
            <w:r w:rsidRPr="002D3FE4">
              <w:rPr>
                <w:rFonts w:eastAsiaTheme="minorEastAsia" w:cs="Helvetica"/>
                <w:bCs/>
                <w:color w:val="000000"/>
                <w:szCs w:val="18"/>
                <w:lang w:eastAsia="en-AU"/>
              </w:rPr>
              <w:t>2 641</w:t>
            </w:r>
          </w:p>
        </w:tc>
      </w:tr>
    </w:tbl>
    <w:p w:rsidR="00A46DCA" w:rsidRPr="007E4E2E" w:rsidRDefault="00A46DCA" w:rsidP="00A26D04">
      <w:pPr>
        <w:pStyle w:val="Source"/>
      </w:pPr>
      <w:r w:rsidRPr="007E4E2E">
        <w:t>Source: Department of Treasury and Finance</w:t>
      </w:r>
    </w:p>
    <w:p w:rsidR="00A46DCA" w:rsidRPr="007E4E2E" w:rsidRDefault="00A46DCA" w:rsidP="00A26D04">
      <w:pPr>
        <w:pStyle w:val="Note"/>
      </w:pPr>
      <w:r>
        <w:t>Notes:</w:t>
      </w:r>
    </w:p>
    <w:p w:rsidR="00A46DCA" w:rsidRDefault="00A46DCA" w:rsidP="00A26D04">
      <w:pPr>
        <w:pStyle w:val="Note"/>
      </w:pPr>
      <w:r>
        <w:t>(a)</w:t>
      </w:r>
      <w:r>
        <w:tab/>
        <w:t>Figures in this table are subject to rounding to the nearest million and may not add up to totals.</w:t>
      </w:r>
    </w:p>
    <w:p w:rsidR="00A46DCA" w:rsidRPr="00B802EC" w:rsidRDefault="00A46DCA" w:rsidP="00A26D04">
      <w:pPr>
        <w:pStyle w:val="Note"/>
      </w:pPr>
      <w:r w:rsidRPr="007E4E2E">
        <w:t>(</w:t>
      </w:r>
      <w:r w:rsidRPr="004625F4">
        <w:t xml:space="preserve">b) </w:t>
      </w:r>
      <w:r w:rsidRPr="004625F4">
        <w:tab/>
        <w:t xml:space="preserve">This is represented in </w:t>
      </w:r>
      <w:r>
        <w:t xml:space="preserve">Table 3.4 as the </w:t>
      </w:r>
      <w:r w:rsidRPr="00F63AB0">
        <w:rPr>
          <w:i w:val="0"/>
        </w:rPr>
        <w:t>2017-18 Budget Update</w:t>
      </w:r>
      <w:r>
        <w:t xml:space="preserve"> output policy decisions</w:t>
      </w:r>
      <w:r w:rsidRPr="004625F4">
        <w:t>.</w:t>
      </w:r>
    </w:p>
    <w:p w:rsidR="00A46DCA" w:rsidRDefault="00A46DCA" w:rsidP="00A26D04">
      <w:pPr>
        <w:pStyle w:val="Note"/>
      </w:pPr>
      <w:r w:rsidRPr="007E4E2E">
        <w:t xml:space="preserve">(c) </w:t>
      </w:r>
      <w:r w:rsidRPr="007E4E2E">
        <w:tab/>
        <w:t>Inve</w:t>
      </w:r>
      <w:r>
        <w:t>stment income includes dividends and</w:t>
      </w:r>
      <w:r w:rsidRPr="007E4E2E">
        <w:t xml:space="preserve"> income tax and rate equivalent revenue.</w:t>
      </w:r>
    </w:p>
    <w:p w:rsidR="00A46DCA" w:rsidRDefault="00A46DCA" w:rsidP="00A26D04">
      <w:pPr>
        <w:pStyle w:val="Note"/>
      </w:pPr>
      <w:r>
        <w:t>(d)</w:t>
      </w:r>
      <w:r>
        <w:tab/>
        <w:t xml:space="preserve">Reflects the change in grant revenue as per Chapter 4 Note 4.2.4 </w:t>
      </w:r>
      <w:r w:rsidRPr="008E4B08">
        <w:rPr>
          <w:i w:val="0"/>
        </w:rPr>
        <w:t>Grant Revenue</w:t>
      </w:r>
      <w:r>
        <w:rPr>
          <w:i w:val="0"/>
        </w:rPr>
        <w:t xml:space="preserve"> less associated expense movements</w:t>
      </w:r>
      <w:r>
        <w:t>.</w:t>
      </w:r>
    </w:p>
    <w:p w:rsidR="00A46DCA" w:rsidRPr="00AD3172" w:rsidRDefault="00A46DCA" w:rsidP="00A26D04">
      <w:pPr>
        <w:pStyle w:val="Note"/>
      </w:pPr>
      <w:r>
        <w:t>(e)</w:t>
      </w:r>
      <w:r>
        <w:tab/>
      </w:r>
      <w:r w:rsidRPr="007E4E2E">
        <w:t>Represents release</w:t>
      </w:r>
      <w:r>
        <w:t>s from the</w:t>
      </w:r>
      <w:r w:rsidRPr="007E4E2E">
        <w:t xml:space="preserve"> </w:t>
      </w:r>
      <w:r w:rsidRPr="00E60C3E">
        <w:t>funding not allocated to specific purposes</w:t>
      </w:r>
      <w:r>
        <w:t xml:space="preserve"> c</w:t>
      </w:r>
      <w:r w:rsidRPr="007E4E2E">
        <w:t>ontingencies associated with d</w:t>
      </w:r>
      <w:r>
        <w:t>emand for Government services.</w:t>
      </w:r>
      <w:r w:rsidRPr="00435173">
        <w:t xml:space="preserve"> Further information on this conti</w:t>
      </w:r>
      <w:r>
        <w:t>ngency can be found at Note 4.3.5</w:t>
      </w:r>
      <w:r w:rsidRPr="00435173">
        <w:t xml:space="preserve"> of </w:t>
      </w:r>
      <w:r>
        <w:t>Chapter 4</w:t>
      </w:r>
      <w:r w:rsidRPr="00916A19">
        <w:t xml:space="preserve"> </w:t>
      </w:r>
      <w:r w:rsidRPr="008E4B08">
        <w:rPr>
          <w:i w:val="0"/>
        </w:rPr>
        <w:t xml:space="preserve">Estimated Financial Statements </w:t>
      </w:r>
      <w:r>
        <w:rPr>
          <w:i w:val="0"/>
        </w:rPr>
        <w:t>and notes</w:t>
      </w:r>
      <w:r w:rsidRPr="00435173">
        <w:t>.</w:t>
      </w:r>
    </w:p>
    <w:p w:rsidR="00A46DCA" w:rsidRDefault="00A46DCA">
      <w:pPr>
        <w:keepLines w:val="0"/>
        <w:rPr>
          <w:rFonts w:asciiTheme="majorHAnsi" w:eastAsiaTheme="majorEastAsia" w:hAnsiTheme="majorHAnsi" w:cstheme="majorBidi"/>
          <w:b/>
          <w:spacing w:val="-2"/>
          <w:sz w:val="26"/>
          <w:szCs w:val="26"/>
        </w:rPr>
      </w:pPr>
      <w:r>
        <w:br w:type="page"/>
      </w:r>
    </w:p>
    <w:p w:rsidR="00A46DCA" w:rsidRDefault="00A46DCA" w:rsidP="00A26D04">
      <w:pPr>
        <w:pStyle w:val="Heading30"/>
      </w:pPr>
      <w:r>
        <w:lastRenderedPageBreak/>
        <w:t>Policy decision variations</w:t>
      </w:r>
    </w:p>
    <w:p w:rsidR="00A46DCA" w:rsidRPr="00551215" w:rsidRDefault="00A46DCA" w:rsidP="00A26D04">
      <w:r>
        <w:t>P</w:t>
      </w:r>
      <w:r w:rsidRPr="00551215">
        <w:t>olicy variation</w:t>
      </w:r>
      <w:r>
        <w:t>s</w:t>
      </w:r>
      <w:r w:rsidRPr="00551215">
        <w:t xml:space="preserve"> reflect specific decision</w:t>
      </w:r>
      <w:r>
        <w:t>s</w:t>
      </w:r>
      <w:r w:rsidRPr="00551215">
        <w:t xml:space="preserve"> by the Government that impact on the budget and forward estimates and </w:t>
      </w:r>
      <w:r>
        <w:t>are</w:t>
      </w:r>
      <w:r w:rsidRPr="00551215">
        <w:t xml:space="preserve"> related to a new policy or represent a change in the </w:t>
      </w:r>
      <w:r>
        <w:t>G</w:t>
      </w:r>
      <w:r w:rsidRPr="00551215">
        <w:t>overnment</w:t>
      </w:r>
      <w:r>
        <w:t>’</w:t>
      </w:r>
      <w:r w:rsidRPr="00551215">
        <w:t>s existing policy position since the previous publication.</w:t>
      </w:r>
    </w:p>
    <w:p w:rsidR="00A46DCA" w:rsidRDefault="00A46DCA" w:rsidP="00A26D04">
      <w:pPr>
        <w:pStyle w:val="Heading4"/>
        <w:rPr>
          <w:rFonts w:eastAsiaTheme="minorHAnsi"/>
        </w:rPr>
      </w:pPr>
      <w:r w:rsidRPr="00DC76C0">
        <w:rPr>
          <w:rFonts w:eastAsiaTheme="minorHAnsi"/>
        </w:rPr>
        <w:t>Revenue policy decision variations</w:t>
      </w:r>
    </w:p>
    <w:p w:rsidR="00A46DCA" w:rsidRDefault="00A46DCA" w:rsidP="00A26D04">
      <w:r w:rsidRPr="00004022">
        <w:t xml:space="preserve">Details of the specific policy initiatives since the </w:t>
      </w:r>
      <w:r>
        <w:rPr>
          <w:i/>
        </w:rPr>
        <w:t>2017</w:t>
      </w:r>
      <w:r>
        <w:rPr>
          <w:i/>
        </w:rPr>
        <w:noBreakHyphen/>
        <w:t>18 Budget</w:t>
      </w:r>
      <w:r w:rsidRPr="00004022">
        <w:t xml:space="preserve"> are contained in </w:t>
      </w:r>
      <w:r w:rsidRPr="002E2383">
        <w:t>Appendix</w:t>
      </w:r>
      <w:r>
        <w:t> A </w:t>
      </w:r>
      <w:r w:rsidRPr="002E2383">
        <w:rPr>
          <w:i/>
        </w:rPr>
        <w:t xml:space="preserve">Specific policy initiatives affecting </w:t>
      </w:r>
      <w:r>
        <w:rPr>
          <w:i/>
        </w:rPr>
        <w:t xml:space="preserve">the </w:t>
      </w:r>
      <w:r w:rsidRPr="002E2383">
        <w:rPr>
          <w:i/>
        </w:rPr>
        <w:t>budget position</w:t>
      </w:r>
      <w:r w:rsidRPr="002E2383">
        <w:t>.</w:t>
      </w:r>
    </w:p>
    <w:p w:rsidR="00A46DCA" w:rsidRPr="00551215" w:rsidRDefault="00A46DCA" w:rsidP="00A26D04">
      <w:pPr>
        <w:pStyle w:val="Heading4"/>
        <w:rPr>
          <w:rFonts w:eastAsiaTheme="minorHAnsi"/>
        </w:rPr>
      </w:pPr>
      <w:r w:rsidRPr="00DC76C0">
        <w:rPr>
          <w:rFonts w:eastAsiaTheme="minorHAnsi"/>
        </w:rPr>
        <w:t>Output policy decision variations</w:t>
      </w:r>
    </w:p>
    <w:p w:rsidR="00A46DCA" w:rsidRDefault="00A46DCA" w:rsidP="00A26D04">
      <w:r w:rsidRPr="00551215">
        <w:t xml:space="preserve">Table </w:t>
      </w:r>
      <w:r>
        <w:t>3</w:t>
      </w:r>
      <w:r w:rsidRPr="00551215">
        <w:t>.</w:t>
      </w:r>
      <w:r>
        <w:t>4</w:t>
      </w:r>
      <w:r w:rsidRPr="00551215">
        <w:t xml:space="preserve"> shows the impact of new output </w:t>
      </w:r>
      <w:r w:rsidRPr="002E2383">
        <w:t xml:space="preserve">initiatives since the </w:t>
      </w:r>
      <w:r>
        <w:rPr>
          <w:i/>
        </w:rPr>
        <w:t>2017</w:t>
      </w:r>
      <w:r>
        <w:rPr>
          <w:i/>
        </w:rPr>
        <w:noBreakHyphen/>
        <w:t>18 Budget</w:t>
      </w:r>
      <w:r w:rsidRPr="00551215">
        <w:t xml:space="preserve">, with further detail </w:t>
      </w:r>
      <w:r w:rsidRPr="002E2383">
        <w:t>contained in Appendix</w:t>
      </w:r>
      <w:r>
        <w:t> A </w:t>
      </w:r>
      <w:r w:rsidRPr="002E2383">
        <w:rPr>
          <w:i/>
        </w:rPr>
        <w:t xml:space="preserve">Specific policy initiatives affecting </w:t>
      </w:r>
      <w:r>
        <w:rPr>
          <w:i/>
        </w:rPr>
        <w:t xml:space="preserve">the </w:t>
      </w:r>
      <w:r w:rsidRPr="002E2383">
        <w:rPr>
          <w:i/>
        </w:rPr>
        <w:t>budget position</w:t>
      </w:r>
      <w:r w:rsidRPr="002E2383">
        <w:t>.</w:t>
      </w:r>
    </w:p>
    <w:p w:rsidR="00A46DCA" w:rsidRPr="005038EC" w:rsidRDefault="00A46DCA" w:rsidP="00A26D04">
      <w:pPr>
        <w:pStyle w:val="TableHeading"/>
        <w:rPr>
          <w:bCs/>
          <w:lang w:val="en-US"/>
        </w:rPr>
      </w:pPr>
      <w:r w:rsidRPr="00551215">
        <w:t>Table</w:t>
      </w:r>
      <w:r>
        <w:t xml:space="preserve"> 3</w:t>
      </w:r>
      <w:r w:rsidRPr="00551215">
        <w:t>.</w:t>
      </w:r>
      <w:r>
        <w:t>4</w:t>
      </w:r>
      <w:r w:rsidRPr="00551215">
        <w:t>:</w:t>
      </w:r>
      <w:r w:rsidRPr="00551215">
        <w:tab/>
        <w:t xml:space="preserve">Net impact of the </w:t>
      </w:r>
      <w:r>
        <w:rPr>
          <w:i/>
        </w:rPr>
        <w:t>2017</w:t>
      </w:r>
      <w:r>
        <w:rPr>
          <w:i/>
        </w:rPr>
        <w:noBreakHyphen/>
        <w:t>18</w:t>
      </w:r>
      <w:r w:rsidRPr="00805BAF">
        <w:rPr>
          <w:i/>
        </w:rPr>
        <w:t xml:space="preserve"> Budget</w:t>
      </w:r>
      <w:r w:rsidRPr="00551215">
        <w:t xml:space="preserve"> </w:t>
      </w:r>
      <w:r w:rsidRPr="00456265">
        <w:rPr>
          <w:i/>
        </w:rPr>
        <w:t>Update</w:t>
      </w:r>
      <w:r>
        <w:t xml:space="preserve"> </w:t>
      </w:r>
      <w:r w:rsidRPr="00551215">
        <w:t>new output initiatives</w:t>
      </w:r>
      <w:r>
        <w:t xml:space="preserve"> </w:t>
      </w:r>
      <w:r w:rsidRPr="00D11F27">
        <w:rPr>
          <w:vertAlign w:val="superscript"/>
        </w:rPr>
        <w:t>(a)</w:t>
      </w:r>
      <w:r>
        <w:rPr>
          <w:vertAlign w:val="superscript"/>
        </w:rPr>
        <w:tab/>
      </w:r>
      <w:r w:rsidRPr="00551215">
        <w:t>($</w:t>
      </w:r>
      <w:r>
        <w:t> million</w:t>
      </w:r>
      <w:r w:rsidRPr="00551215">
        <w:t>)</w:t>
      </w:r>
    </w:p>
    <w:tbl>
      <w:tblPr>
        <w:tblStyle w:val="DTFTable"/>
        <w:tblW w:w="7765" w:type="dxa"/>
        <w:tblInd w:w="45" w:type="dxa"/>
        <w:tblLayout w:type="fixed"/>
        <w:tblCellMar>
          <w:left w:w="45" w:type="dxa"/>
          <w:right w:w="45" w:type="dxa"/>
        </w:tblCellMar>
        <w:tblLook w:val="06E0" w:firstRow="1" w:lastRow="1" w:firstColumn="1" w:lastColumn="0" w:noHBand="1" w:noVBand="1"/>
      </w:tblPr>
      <w:tblGrid>
        <w:gridCol w:w="4365"/>
        <w:gridCol w:w="850"/>
        <w:gridCol w:w="850"/>
        <w:gridCol w:w="850"/>
        <w:gridCol w:w="850"/>
      </w:tblGrid>
      <w:tr w:rsidR="00A26D04" w:rsidRPr="005038EC" w:rsidTr="00A26D04">
        <w:trPr>
          <w:cnfStyle w:val="100000000000" w:firstRow="1" w:lastRow="0" w:firstColumn="0" w:lastColumn="0" w:oddVBand="0" w:evenVBand="0" w:oddHBand="0" w:evenHBand="0" w:firstRowFirstColumn="0" w:firstRowLastColumn="0" w:lastRowFirstColumn="0" w:lastRowLastColumn="0"/>
          <w:trHeight w:val="465"/>
          <w:tblHeader/>
        </w:trPr>
        <w:tc>
          <w:tcPr>
            <w:cnfStyle w:val="001000000000" w:firstRow="0" w:lastRow="0" w:firstColumn="1" w:lastColumn="0" w:oddVBand="0" w:evenVBand="0" w:oddHBand="0" w:evenHBand="0" w:firstRowFirstColumn="0" w:firstRowLastColumn="0" w:lastRowFirstColumn="0" w:lastRowLastColumn="0"/>
            <w:tcW w:w="4365" w:type="dxa"/>
            <w:tcBorders>
              <w:top w:val="nil"/>
              <w:left w:val="nil"/>
              <w:right w:val="nil"/>
            </w:tcBorders>
            <w:shd w:val="solid" w:color="000000" w:fill="auto"/>
          </w:tcPr>
          <w:p w:rsidR="00A26D04" w:rsidRPr="005038EC" w:rsidRDefault="00A26D04" w:rsidP="00A26D04">
            <w:pPr>
              <w:autoSpaceDE w:val="0"/>
              <w:autoSpaceDN w:val="0"/>
              <w:adjustRightInd w:val="0"/>
              <w:rPr>
                <w:rFonts w:eastAsiaTheme="minorEastAsia" w:cs="Calibri"/>
                <w:iCs/>
                <w:color w:val="FFFFFF"/>
                <w:szCs w:val="17"/>
                <w:lang w:eastAsia="en-AU"/>
              </w:rPr>
            </w:pPr>
            <w:r w:rsidRPr="005038EC">
              <w:rPr>
                <w:rFonts w:eastAsiaTheme="minorEastAsia" w:cs="Calibri"/>
                <w:iCs/>
                <w:color w:val="FFFFFF"/>
                <w:szCs w:val="17"/>
                <w:lang w:eastAsia="en-AU"/>
              </w:rPr>
              <w:t xml:space="preserve">  </w:t>
            </w:r>
          </w:p>
        </w:tc>
        <w:tc>
          <w:tcPr>
            <w:tcW w:w="850" w:type="dxa"/>
            <w:tcBorders>
              <w:top w:val="nil"/>
              <w:left w:val="nil"/>
              <w:right w:val="nil"/>
            </w:tcBorders>
            <w:shd w:val="solid" w:color="000000" w:fill="auto"/>
          </w:tcPr>
          <w:p w:rsidR="00A26D04" w:rsidRPr="005038EC" w:rsidRDefault="00A26D04" w:rsidP="00A26D0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7"/>
                <w:lang w:eastAsia="en-AU"/>
              </w:rPr>
            </w:pPr>
            <w:r w:rsidRPr="005038EC">
              <w:rPr>
                <w:rFonts w:eastAsiaTheme="minorEastAsia" w:cs="Calibri"/>
                <w:iCs/>
                <w:color w:val="FFFFFF"/>
                <w:szCs w:val="17"/>
                <w:lang w:eastAsia="en-AU"/>
              </w:rPr>
              <w:t>2017</w:t>
            </w:r>
            <w:r>
              <w:rPr>
                <w:rFonts w:eastAsiaTheme="minorEastAsia" w:cs="Calibri"/>
                <w:iCs/>
                <w:color w:val="FFFFFF"/>
                <w:szCs w:val="17"/>
                <w:lang w:eastAsia="en-AU"/>
              </w:rPr>
              <w:t>-</w:t>
            </w:r>
            <w:r w:rsidRPr="005038EC">
              <w:rPr>
                <w:rFonts w:eastAsiaTheme="minorEastAsia" w:cs="Calibri"/>
                <w:iCs/>
                <w:color w:val="FFFFFF"/>
                <w:szCs w:val="17"/>
                <w:lang w:eastAsia="en-AU"/>
              </w:rPr>
              <w:t>18</w:t>
            </w:r>
            <w:r>
              <w:rPr>
                <w:rFonts w:eastAsiaTheme="minorEastAsia" w:cs="Calibri"/>
                <w:iCs/>
                <w:color w:val="FFFFFF"/>
                <w:szCs w:val="17"/>
                <w:lang w:eastAsia="en-AU"/>
              </w:rPr>
              <w:br/>
            </w:r>
            <w:r w:rsidRPr="005038EC">
              <w:rPr>
                <w:rFonts w:eastAsiaTheme="minorEastAsia" w:cs="Calibri"/>
                <w:iCs/>
                <w:color w:val="FFFFFF"/>
                <w:szCs w:val="17"/>
                <w:lang w:eastAsia="en-AU"/>
              </w:rPr>
              <w:t>revised</w:t>
            </w:r>
          </w:p>
        </w:tc>
        <w:tc>
          <w:tcPr>
            <w:tcW w:w="850" w:type="dxa"/>
            <w:tcBorders>
              <w:top w:val="nil"/>
              <w:left w:val="nil"/>
              <w:right w:val="nil"/>
            </w:tcBorders>
            <w:shd w:val="solid" w:color="000000" w:fill="auto"/>
          </w:tcPr>
          <w:p w:rsidR="00A26D04" w:rsidRPr="005038EC" w:rsidRDefault="00A26D04" w:rsidP="00A26D0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7"/>
                <w:lang w:eastAsia="en-AU"/>
              </w:rPr>
            </w:pPr>
            <w:r w:rsidRPr="005038EC">
              <w:rPr>
                <w:rFonts w:eastAsiaTheme="minorEastAsia" w:cs="Calibri"/>
                <w:iCs/>
                <w:color w:val="FFFFFF"/>
                <w:szCs w:val="17"/>
                <w:lang w:eastAsia="en-AU"/>
              </w:rPr>
              <w:t>2018</w:t>
            </w:r>
            <w:r>
              <w:rPr>
                <w:rFonts w:eastAsiaTheme="minorEastAsia" w:cs="Calibri"/>
                <w:iCs/>
                <w:color w:val="FFFFFF"/>
                <w:szCs w:val="17"/>
                <w:lang w:eastAsia="en-AU"/>
              </w:rPr>
              <w:t>-</w:t>
            </w:r>
            <w:r w:rsidRPr="005038EC">
              <w:rPr>
                <w:rFonts w:eastAsiaTheme="minorEastAsia" w:cs="Calibri"/>
                <w:iCs/>
                <w:color w:val="FFFFFF"/>
                <w:szCs w:val="17"/>
                <w:lang w:eastAsia="en-AU"/>
              </w:rPr>
              <w:t>19</w:t>
            </w:r>
            <w:r>
              <w:rPr>
                <w:rFonts w:eastAsiaTheme="minorEastAsia" w:cs="Calibri"/>
                <w:iCs/>
                <w:color w:val="FFFFFF"/>
                <w:szCs w:val="17"/>
                <w:lang w:eastAsia="en-AU"/>
              </w:rPr>
              <w:br/>
            </w:r>
            <w:r w:rsidRPr="005038EC">
              <w:rPr>
                <w:rFonts w:eastAsiaTheme="minorEastAsia" w:cs="Calibri"/>
                <w:iCs/>
                <w:color w:val="FFFFFF"/>
                <w:szCs w:val="17"/>
                <w:lang w:eastAsia="en-AU"/>
              </w:rPr>
              <w:t>estimate</w:t>
            </w:r>
          </w:p>
        </w:tc>
        <w:tc>
          <w:tcPr>
            <w:tcW w:w="850" w:type="dxa"/>
            <w:tcBorders>
              <w:top w:val="nil"/>
              <w:left w:val="nil"/>
              <w:right w:val="nil"/>
            </w:tcBorders>
            <w:shd w:val="solid" w:color="000000" w:fill="auto"/>
          </w:tcPr>
          <w:p w:rsidR="00A26D04" w:rsidRPr="005038EC" w:rsidRDefault="00A26D04" w:rsidP="00A26D0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7"/>
                <w:lang w:eastAsia="en-AU"/>
              </w:rPr>
            </w:pPr>
            <w:r w:rsidRPr="005038EC">
              <w:rPr>
                <w:rFonts w:eastAsiaTheme="minorEastAsia" w:cs="Calibri"/>
                <w:iCs/>
                <w:color w:val="FFFFFF"/>
                <w:szCs w:val="17"/>
                <w:lang w:eastAsia="en-AU"/>
              </w:rPr>
              <w:t>2019</w:t>
            </w:r>
            <w:r>
              <w:rPr>
                <w:rFonts w:eastAsiaTheme="minorEastAsia" w:cs="Calibri"/>
                <w:iCs/>
                <w:color w:val="FFFFFF"/>
                <w:szCs w:val="17"/>
                <w:lang w:eastAsia="en-AU"/>
              </w:rPr>
              <w:t>-</w:t>
            </w:r>
            <w:r w:rsidRPr="005038EC">
              <w:rPr>
                <w:rFonts w:eastAsiaTheme="minorEastAsia" w:cs="Calibri"/>
                <w:iCs/>
                <w:color w:val="FFFFFF"/>
                <w:szCs w:val="17"/>
                <w:lang w:eastAsia="en-AU"/>
              </w:rPr>
              <w:t>20</w:t>
            </w:r>
            <w:r>
              <w:rPr>
                <w:rFonts w:eastAsiaTheme="minorEastAsia" w:cs="Calibri"/>
                <w:iCs/>
                <w:color w:val="FFFFFF"/>
                <w:szCs w:val="17"/>
                <w:lang w:eastAsia="en-AU"/>
              </w:rPr>
              <w:br/>
            </w:r>
            <w:r w:rsidRPr="005038EC">
              <w:rPr>
                <w:rFonts w:eastAsiaTheme="minorEastAsia" w:cs="Calibri"/>
                <w:iCs/>
                <w:color w:val="FFFFFF"/>
                <w:szCs w:val="17"/>
                <w:lang w:eastAsia="en-AU"/>
              </w:rPr>
              <w:t>estimate</w:t>
            </w:r>
          </w:p>
        </w:tc>
        <w:tc>
          <w:tcPr>
            <w:tcW w:w="850" w:type="dxa"/>
            <w:tcBorders>
              <w:top w:val="nil"/>
              <w:left w:val="nil"/>
              <w:right w:val="nil"/>
            </w:tcBorders>
            <w:shd w:val="solid" w:color="000000" w:fill="auto"/>
          </w:tcPr>
          <w:p w:rsidR="00A26D04" w:rsidRPr="005038EC" w:rsidRDefault="00A26D04" w:rsidP="00A26D0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7"/>
                <w:lang w:eastAsia="en-AU"/>
              </w:rPr>
            </w:pPr>
            <w:r w:rsidRPr="005038EC">
              <w:rPr>
                <w:rFonts w:eastAsiaTheme="minorEastAsia" w:cs="Calibri"/>
                <w:iCs/>
                <w:color w:val="FFFFFF"/>
                <w:szCs w:val="17"/>
                <w:lang w:eastAsia="en-AU"/>
              </w:rPr>
              <w:t>2020</w:t>
            </w:r>
            <w:r>
              <w:rPr>
                <w:rFonts w:eastAsiaTheme="minorEastAsia" w:cs="Calibri"/>
                <w:iCs/>
                <w:color w:val="FFFFFF"/>
                <w:szCs w:val="17"/>
                <w:lang w:eastAsia="en-AU"/>
              </w:rPr>
              <w:t>-</w:t>
            </w:r>
            <w:r w:rsidRPr="005038EC">
              <w:rPr>
                <w:rFonts w:eastAsiaTheme="minorEastAsia" w:cs="Calibri"/>
                <w:iCs/>
                <w:color w:val="FFFFFF"/>
                <w:szCs w:val="17"/>
                <w:lang w:eastAsia="en-AU"/>
              </w:rPr>
              <w:t>21</w:t>
            </w:r>
            <w:r>
              <w:rPr>
                <w:rFonts w:eastAsiaTheme="minorEastAsia" w:cs="Calibri"/>
                <w:iCs/>
                <w:color w:val="FFFFFF"/>
                <w:szCs w:val="17"/>
                <w:lang w:eastAsia="en-AU"/>
              </w:rPr>
              <w:br/>
            </w:r>
            <w:r w:rsidRPr="005038EC">
              <w:rPr>
                <w:rFonts w:eastAsiaTheme="minorEastAsia" w:cs="Calibri"/>
                <w:iCs/>
                <w:color w:val="FFFFFF"/>
                <w:szCs w:val="17"/>
                <w:lang w:eastAsia="en-AU"/>
              </w:rPr>
              <w:t>estimate</w:t>
            </w:r>
          </w:p>
        </w:tc>
      </w:tr>
      <w:tr w:rsidR="00A46DCA" w:rsidRPr="005038EC" w:rsidTr="00A26D04">
        <w:tc>
          <w:tcPr>
            <w:cnfStyle w:val="001000000000" w:firstRow="0" w:lastRow="0" w:firstColumn="1" w:lastColumn="0" w:oddVBand="0" w:evenVBand="0" w:oddHBand="0" w:evenHBand="0" w:firstRowFirstColumn="0" w:firstRowLastColumn="0" w:lastRowFirstColumn="0" w:lastRowLastColumn="0"/>
            <w:tcW w:w="4365" w:type="dxa"/>
            <w:tcBorders>
              <w:top w:val="nil"/>
              <w:left w:val="nil"/>
              <w:bottom w:val="nil"/>
              <w:right w:val="nil"/>
            </w:tcBorders>
          </w:tcPr>
          <w:p w:rsidR="00A46DCA" w:rsidRPr="005038EC" w:rsidRDefault="00A46DCA" w:rsidP="00A26D04">
            <w:pPr>
              <w:keepLines w:val="0"/>
              <w:autoSpaceDE w:val="0"/>
              <w:autoSpaceDN w:val="0"/>
              <w:adjustRightInd w:val="0"/>
              <w:rPr>
                <w:rFonts w:eastAsiaTheme="minorEastAsia" w:cs="Calibri"/>
                <w:b/>
                <w:bCs/>
                <w:color w:val="000000"/>
                <w:szCs w:val="17"/>
                <w:lang w:eastAsia="en-AU"/>
              </w:rPr>
            </w:pPr>
            <w:r w:rsidRPr="005038EC">
              <w:rPr>
                <w:rFonts w:eastAsiaTheme="minorEastAsia" w:cs="Calibri"/>
                <w:b/>
                <w:bCs/>
                <w:color w:val="000000"/>
                <w:szCs w:val="17"/>
                <w:lang w:eastAsia="en-AU"/>
              </w:rPr>
              <w:t>New output initiatives</w:t>
            </w:r>
          </w:p>
        </w:tc>
        <w:tc>
          <w:tcPr>
            <w:tcW w:w="850" w:type="dxa"/>
            <w:tcBorders>
              <w:top w:val="nil"/>
              <w:left w:val="nil"/>
              <w:bottom w:val="nil"/>
              <w:right w:val="nil"/>
            </w:tcBorders>
          </w:tcPr>
          <w:p w:rsidR="00A46DCA" w:rsidRPr="005038EC"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7"/>
                <w:lang w:eastAsia="en-AU"/>
              </w:rPr>
            </w:pPr>
            <w:r>
              <w:rPr>
                <w:rFonts w:eastAsiaTheme="minorEastAsia" w:cs="Calibri"/>
                <w:b/>
                <w:bCs/>
                <w:color w:val="000000"/>
                <w:szCs w:val="17"/>
                <w:lang w:eastAsia="en-AU"/>
              </w:rPr>
              <w:t>478</w:t>
            </w:r>
          </w:p>
        </w:tc>
        <w:tc>
          <w:tcPr>
            <w:tcW w:w="850" w:type="dxa"/>
            <w:tcBorders>
              <w:top w:val="nil"/>
              <w:left w:val="nil"/>
              <w:bottom w:val="nil"/>
              <w:right w:val="nil"/>
            </w:tcBorders>
          </w:tcPr>
          <w:p w:rsidR="00A46DCA" w:rsidRPr="005038EC"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7"/>
                <w:lang w:eastAsia="en-AU"/>
              </w:rPr>
            </w:pPr>
            <w:r>
              <w:rPr>
                <w:rFonts w:eastAsiaTheme="minorEastAsia" w:cs="Calibri"/>
                <w:b/>
                <w:bCs/>
                <w:color w:val="000000"/>
                <w:szCs w:val="17"/>
                <w:lang w:eastAsia="en-AU"/>
              </w:rPr>
              <w:t>561</w:t>
            </w:r>
          </w:p>
        </w:tc>
        <w:tc>
          <w:tcPr>
            <w:tcW w:w="850" w:type="dxa"/>
            <w:tcBorders>
              <w:top w:val="nil"/>
              <w:left w:val="nil"/>
              <w:bottom w:val="nil"/>
              <w:right w:val="nil"/>
            </w:tcBorders>
          </w:tcPr>
          <w:p w:rsidR="00A46DCA" w:rsidRPr="005038EC"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7"/>
                <w:lang w:eastAsia="en-AU"/>
              </w:rPr>
            </w:pPr>
            <w:r>
              <w:rPr>
                <w:rFonts w:eastAsiaTheme="minorEastAsia" w:cs="Calibri"/>
                <w:b/>
                <w:bCs/>
                <w:color w:val="000000"/>
                <w:szCs w:val="17"/>
                <w:lang w:eastAsia="en-AU"/>
              </w:rPr>
              <w:t>449</w:t>
            </w:r>
          </w:p>
        </w:tc>
        <w:tc>
          <w:tcPr>
            <w:tcW w:w="850" w:type="dxa"/>
            <w:tcBorders>
              <w:top w:val="nil"/>
              <w:left w:val="nil"/>
              <w:bottom w:val="nil"/>
              <w:right w:val="nil"/>
            </w:tcBorders>
          </w:tcPr>
          <w:p w:rsidR="00A46DCA" w:rsidRPr="005038EC"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7"/>
                <w:lang w:eastAsia="en-AU"/>
              </w:rPr>
            </w:pPr>
            <w:r>
              <w:rPr>
                <w:rFonts w:eastAsiaTheme="minorEastAsia" w:cs="Calibri"/>
                <w:b/>
                <w:bCs/>
                <w:color w:val="000000"/>
                <w:szCs w:val="17"/>
                <w:lang w:eastAsia="en-AU"/>
              </w:rPr>
              <w:t>333</w:t>
            </w:r>
          </w:p>
        </w:tc>
      </w:tr>
      <w:tr w:rsidR="00A46DCA" w:rsidRPr="005038EC" w:rsidTr="00A26D04">
        <w:tc>
          <w:tcPr>
            <w:cnfStyle w:val="001000000000" w:firstRow="0" w:lastRow="0" w:firstColumn="1" w:lastColumn="0" w:oddVBand="0" w:evenVBand="0" w:oddHBand="0" w:evenHBand="0" w:firstRowFirstColumn="0" w:firstRowLastColumn="0" w:lastRowFirstColumn="0" w:lastRowLastColumn="0"/>
            <w:tcW w:w="4365" w:type="dxa"/>
            <w:tcBorders>
              <w:top w:val="nil"/>
              <w:left w:val="nil"/>
              <w:bottom w:val="nil"/>
              <w:right w:val="nil"/>
            </w:tcBorders>
          </w:tcPr>
          <w:p w:rsidR="00A46DCA" w:rsidRPr="005038EC" w:rsidRDefault="00A46DCA" w:rsidP="00A26D04">
            <w:pPr>
              <w:keepLines w:val="0"/>
              <w:autoSpaceDE w:val="0"/>
              <w:autoSpaceDN w:val="0"/>
              <w:adjustRightInd w:val="0"/>
              <w:rPr>
                <w:rFonts w:eastAsiaTheme="minorEastAsia" w:cs="Calibri"/>
                <w:color w:val="000000"/>
                <w:szCs w:val="17"/>
                <w:lang w:eastAsia="en-AU"/>
              </w:rPr>
            </w:pPr>
            <w:r w:rsidRPr="005038EC">
              <w:rPr>
                <w:rFonts w:eastAsiaTheme="minorEastAsia" w:cs="Calibri"/>
                <w:color w:val="000000"/>
                <w:szCs w:val="17"/>
                <w:lang w:eastAsia="en-AU"/>
              </w:rPr>
              <w:t>Less:</w:t>
            </w:r>
          </w:p>
        </w:tc>
        <w:tc>
          <w:tcPr>
            <w:tcW w:w="850" w:type="dxa"/>
            <w:tcBorders>
              <w:top w:val="nil"/>
              <w:left w:val="nil"/>
              <w:bottom w:val="nil"/>
              <w:right w:val="nil"/>
            </w:tcBorders>
          </w:tcPr>
          <w:p w:rsidR="00A46DCA" w:rsidRPr="005038EC"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7"/>
                <w:lang w:eastAsia="en-AU"/>
              </w:rPr>
            </w:pPr>
            <w:r w:rsidRPr="005038EC">
              <w:rPr>
                <w:rFonts w:eastAsiaTheme="minorEastAsia" w:cs="Calibri"/>
                <w:color w:val="000000"/>
                <w:szCs w:val="17"/>
                <w:lang w:eastAsia="en-AU"/>
              </w:rPr>
              <w:t xml:space="preserve"> </w:t>
            </w:r>
          </w:p>
        </w:tc>
        <w:tc>
          <w:tcPr>
            <w:tcW w:w="850" w:type="dxa"/>
            <w:tcBorders>
              <w:top w:val="nil"/>
              <w:left w:val="nil"/>
              <w:bottom w:val="nil"/>
              <w:right w:val="nil"/>
            </w:tcBorders>
          </w:tcPr>
          <w:p w:rsidR="00A46DCA" w:rsidRPr="005038EC"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7"/>
                <w:lang w:eastAsia="en-AU"/>
              </w:rPr>
            </w:pPr>
            <w:r w:rsidRPr="005038EC">
              <w:rPr>
                <w:rFonts w:eastAsiaTheme="minorEastAsia" w:cs="Calibri"/>
                <w:color w:val="000000"/>
                <w:szCs w:val="17"/>
                <w:lang w:eastAsia="en-AU"/>
              </w:rPr>
              <w:t xml:space="preserve"> </w:t>
            </w:r>
          </w:p>
        </w:tc>
        <w:tc>
          <w:tcPr>
            <w:tcW w:w="850" w:type="dxa"/>
            <w:tcBorders>
              <w:top w:val="nil"/>
              <w:left w:val="nil"/>
              <w:bottom w:val="nil"/>
              <w:right w:val="nil"/>
            </w:tcBorders>
          </w:tcPr>
          <w:p w:rsidR="00A46DCA" w:rsidRPr="005038EC"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7"/>
                <w:lang w:eastAsia="en-AU"/>
              </w:rPr>
            </w:pPr>
            <w:r w:rsidRPr="005038EC">
              <w:rPr>
                <w:rFonts w:eastAsiaTheme="minorEastAsia" w:cs="Calibri"/>
                <w:color w:val="000000"/>
                <w:szCs w:val="17"/>
                <w:lang w:eastAsia="en-AU"/>
              </w:rPr>
              <w:t xml:space="preserve"> </w:t>
            </w:r>
          </w:p>
        </w:tc>
        <w:tc>
          <w:tcPr>
            <w:tcW w:w="850" w:type="dxa"/>
            <w:tcBorders>
              <w:top w:val="nil"/>
              <w:left w:val="nil"/>
              <w:bottom w:val="nil"/>
              <w:right w:val="nil"/>
            </w:tcBorders>
          </w:tcPr>
          <w:p w:rsidR="00A46DCA" w:rsidRPr="005038EC"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7"/>
                <w:lang w:eastAsia="en-AU"/>
              </w:rPr>
            </w:pPr>
            <w:r w:rsidRPr="005038EC">
              <w:rPr>
                <w:rFonts w:eastAsiaTheme="minorEastAsia" w:cs="Calibri"/>
                <w:color w:val="000000"/>
                <w:szCs w:val="17"/>
                <w:lang w:eastAsia="en-AU"/>
              </w:rPr>
              <w:t xml:space="preserve"> </w:t>
            </w:r>
          </w:p>
        </w:tc>
      </w:tr>
      <w:tr w:rsidR="00A46DCA" w:rsidRPr="005038EC" w:rsidTr="00A26D04">
        <w:tc>
          <w:tcPr>
            <w:cnfStyle w:val="001000000000" w:firstRow="0" w:lastRow="0" w:firstColumn="1" w:lastColumn="0" w:oddVBand="0" w:evenVBand="0" w:oddHBand="0" w:evenHBand="0" w:firstRowFirstColumn="0" w:firstRowLastColumn="0" w:lastRowFirstColumn="0" w:lastRowLastColumn="0"/>
            <w:tcW w:w="4365" w:type="dxa"/>
            <w:tcBorders>
              <w:top w:val="nil"/>
              <w:left w:val="nil"/>
              <w:bottom w:val="nil"/>
              <w:right w:val="nil"/>
            </w:tcBorders>
          </w:tcPr>
          <w:p w:rsidR="00A46DCA" w:rsidRPr="005038EC" w:rsidRDefault="00A46DCA" w:rsidP="00A26D04">
            <w:pPr>
              <w:keepLines w:val="0"/>
              <w:autoSpaceDE w:val="0"/>
              <w:autoSpaceDN w:val="0"/>
              <w:adjustRightInd w:val="0"/>
              <w:rPr>
                <w:rFonts w:eastAsiaTheme="minorEastAsia" w:cs="Calibri"/>
                <w:color w:val="000000"/>
                <w:szCs w:val="17"/>
                <w:lang w:eastAsia="en-AU"/>
              </w:rPr>
            </w:pPr>
            <w:r w:rsidRPr="005038EC">
              <w:rPr>
                <w:rFonts w:eastAsiaTheme="minorEastAsia" w:cs="Calibri"/>
                <w:color w:val="000000"/>
                <w:szCs w:val="17"/>
                <w:lang w:eastAsia="en-AU"/>
              </w:rPr>
              <w:t xml:space="preserve">   Funding from reprioritisation of existing resources </w:t>
            </w:r>
            <w:r w:rsidRPr="005038EC">
              <w:rPr>
                <w:rFonts w:eastAsiaTheme="minorEastAsia" w:cs="Calibri"/>
                <w:color w:val="000000"/>
                <w:szCs w:val="17"/>
                <w:vertAlign w:val="superscript"/>
                <w:lang w:eastAsia="en-AU"/>
              </w:rPr>
              <w:t>(b)</w:t>
            </w:r>
          </w:p>
        </w:tc>
        <w:tc>
          <w:tcPr>
            <w:tcW w:w="850" w:type="dxa"/>
            <w:tcBorders>
              <w:top w:val="nil"/>
              <w:left w:val="nil"/>
              <w:bottom w:val="nil"/>
              <w:right w:val="nil"/>
            </w:tcBorders>
          </w:tcPr>
          <w:p w:rsidR="00A46DCA" w:rsidRPr="005038EC"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7"/>
                <w:lang w:eastAsia="en-AU"/>
              </w:rPr>
            </w:pPr>
            <w:r>
              <w:rPr>
                <w:rFonts w:eastAsiaTheme="minorEastAsia" w:cs="Calibri"/>
                <w:color w:val="000000"/>
                <w:szCs w:val="17"/>
                <w:lang w:eastAsia="en-AU"/>
              </w:rPr>
              <w:t>40</w:t>
            </w:r>
            <w:r w:rsidRPr="005038EC">
              <w:rPr>
                <w:rFonts w:eastAsiaTheme="minorEastAsia" w:cs="Calibri"/>
                <w:color w:val="000000"/>
                <w:szCs w:val="17"/>
                <w:lang w:eastAsia="en-AU"/>
              </w:rPr>
              <w:t xml:space="preserve"> </w:t>
            </w:r>
          </w:p>
        </w:tc>
        <w:tc>
          <w:tcPr>
            <w:tcW w:w="850" w:type="dxa"/>
            <w:tcBorders>
              <w:top w:val="nil"/>
              <w:left w:val="nil"/>
              <w:bottom w:val="nil"/>
              <w:right w:val="nil"/>
            </w:tcBorders>
          </w:tcPr>
          <w:p w:rsidR="00A46DCA" w:rsidRPr="005038EC"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7"/>
                <w:lang w:eastAsia="en-AU"/>
              </w:rPr>
            </w:pPr>
            <w:r>
              <w:rPr>
                <w:rFonts w:eastAsiaTheme="minorEastAsia" w:cs="Calibri"/>
                <w:color w:val="000000"/>
                <w:szCs w:val="17"/>
                <w:lang w:eastAsia="en-AU"/>
              </w:rPr>
              <w:t>18</w:t>
            </w:r>
            <w:r w:rsidRPr="005038EC">
              <w:rPr>
                <w:rFonts w:eastAsiaTheme="minorEastAsia" w:cs="Calibri"/>
                <w:color w:val="000000"/>
                <w:szCs w:val="17"/>
                <w:lang w:eastAsia="en-AU"/>
              </w:rPr>
              <w:t xml:space="preserve"> </w:t>
            </w:r>
          </w:p>
        </w:tc>
        <w:tc>
          <w:tcPr>
            <w:tcW w:w="850" w:type="dxa"/>
            <w:tcBorders>
              <w:top w:val="nil"/>
              <w:left w:val="nil"/>
              <w:bottom w:val="nil"/>
              <w:right w:val="nil"/>
            </w:tcBorders>
          </w:tcPr>
          <w:p w:rsidR="00A46DCA" w:rsidRPr="005038EC"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7"/>
                <w:lang w:eastAsia="en-AU"/>
              </w:rPr>
            </w:pPr>
            <w:r>
              <w:rPr>
                <w:rFonts w:eastAsiaTheme="minorEastAsia" w:cs="Calibri"/>
                <w:color w:val="000000"/>
                <w:szCs w:val="17"/>
                <w:lang w:eastAsia="en-AU"/>
              </w:rPr>
              <w:t>12</w:t>
            </w:r>
            <w:r w:rsidRPr="005038EC">
              <w:rPr>
                <w:rFonts w:eastAsiaTheme="minorEastAsia" w:cs="Calibri"/>
                <w:color w:val="000000"/>
                <w:szCs w:val="17"/>
                <w:lang w:eastAsia="en-AU"/>
              </w:rPr>
              <w:t xml:space="preserve"> </w:t>
            </w:r>
          </w:p>
        </w:tc>
        <w:tc>
          <w:tcPr>
            <w:tcW w:w="850" w:type="dxa"/>
            <w:tcBorders>
              <w:top w:val="nil"/>
              <w:left w:val="nil"/>
              <w:bottom w:val="nil"/>
              <w:right w:val="nil"/>
            </w:tcBorders>
          </w:tcPr>
          <w:p w:rsidR="00A46DCA" w:rsidRPr="005038EC"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7"/>
                <w:lang w:eastAsia="en-AU"/>
              </w:rPr>
            </w:pPr>
            <w:r>
              <w:rPr>
                <w:rFonts w:eastAsiaTheme="minorEastAsia" w:cs="Calibri"/>
                <w:color w:val="000000"/>
                <w:szCs w:val="17"/>
                <w:lang w:eastAsia="en-AU"/>
              </w:rPr>
              <w:t>12</w:t>
            </w:r>
            <w:r w:rsidRPr="005038EC">
              <w:rPr>
                <w:rFonts w:eastAsiaTheme="minorEastAsia" w:cs="Calibri"/>
                <w:color w:val="000000"/>
                <w:szCs w:val="17"/>
                <w:lang w:eastAsia="en-AU"/>
              </w:rPr>
              <w:t xml:space="preserve"> </w:t>
            </w:r>
          </w:p>
        </w:tc>
      </w:tr>
      <w:tr w:rsidR="00A46DCA" w:rsidRPr="005038EC" w:rsidTr="00A26D04">
        <w:tc>
          <w:tcPr>
            <w:cnfStyle w:val="001000000000" w:firstRow="0" w:lastRow="0" w:firstColumn="1" w:lastColumn="0" w:oddVBand="0" w:evenVBand="0" w:oddHBand="0" w:evenHBand="0" w:firstRowFirstColumn="0" w:firstRowLastColumn="0" w:lastRowFirstColumn="0" w:lastRowLastColumn="0"/>
            <w:tcW w:w="4365" w:type="dxa"/>
            <w:tcBorders>
              <w:top w:val="nil"/>
              <w:left w:val="nil"/>
              <w:bottom w:val="nil"/>
              <w:right w:val="nil"/>
            </w:tcBorders>
          </w:tcPr>
          <w:p w:rsidR="00A46DCA" w:rsidRPr="005038EC" w:rsidRDefault="00A46DCA" w:rsidP="00A26D04">
            <w:pPr>
              <w:keepLines w:val="0"/>
              <w:autoSpaceDE w:val="0"/>
              <w:autoSpaceDN w:val="0"/>
              <w:adjustRightInd w:val="0"/>
              <w:rPr>
                <w:rFonts w:eastAsiaTheme="minorEastAsia" w:cs="Calibri"/>
                <w:color w:val="000000"/>
                <w:szCs w:val="17"/>
                <w:lang w:eastAsia="en-AU"/>
              </w:rPr>
            </w:pPr>
            <w:r w:rsidRPr="005038EC">
              <w:rPr>
                <w:rFonts w:eastAsiaTheme="minorEastAsia" w:cs="Calibri"/>
                <w:color w:val="000000"/>
                <w:szCs w:val="17"/>
                <w:lang w:eastAsia="en-AU"/>
              </w:rPr>
              <w:t xml:space="preserve">   Adjustments </w:t>
            </w:r>
            <w:r w:rsidRPr="005038EC">
              <w:rPr>
                <w:rFonts w:eastAsiaTheme="minorEastAsia" w:cs="Calibri"/>
                <w:color w:val="000000"/>
                <w:szCs w:val="17"/>
                <w:vertAlign w:val="superscript"/>
                <w:lang w:eastAsia="en-AU"/>
              </w:rPr>
              <w:t>(c)</w:t>
            </w:r>
          </w:p>
        </w:tc>
        <w:tc>
          <w:tcPr>
            <w:tcW w:w="850" w:type="dxa"/>
            <w:tcBorders>
              <w:top w:val="nil"/>
              <w:left w:val="nil"/>
              <w:bottom w:val="nil"/>
              <w:right w:val="nil"/>
            </w:tcBorders>
          </w:tcPr>
          <w:p w:rsidR="00A46DCA" w:rsidRPr="005038EC"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7"/>
                <w:lang w:eastAsia="en-AU"/>
              </w:rPr>
            </w:pPr>
            <w:r>
              <w:rPr>
                <w:rFonts w:eastAsiaTheme="minorEastAsia" w:cs="Calibri"/>
                <w:color w:val="000000"/>
                <w:szCs w:val="17"/>
                <w:lang w:eastAsia="en-AU"/>
              </w:rPr>
              <w:t>159</w:t>
            </w:r>
          </w:p>
        </w:tc>
        <w:tc>
          <w:tcPr>
            <w:tcW w:w="850" w:type="dxa"/>
            <w:tcBorders>
              <w:top w:val="nil"/>
              <w:left w:val="nil"/>
              <w:bottom w:val="nil"/>
              <w:right w:val="nil"/>
            </w:tcBorders>
          </w:tcPr>
          <w:p w:rsidR="00A46DCA" w:rsidRPr="005038EC"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7"/>
                <w:lang w:eastAsia="en-AU"/>
              </w:rPr>
            </w:pPr>
            <w:r>
              <w:rPr>
                <w:rFonts w:eastAsiaTheme="minorEastAsia" w:cs="Calibri"/>
                <w:color w:val="000000"/>
                <w:szCs w:val="17"/>
                <w:lang w:eastAsia="en-AU"/>
              </w:rPr>
              <w:t>294</w:t>
            </w:r>
          </w:p>
        </w:tc>
        <w:tc>
          <w:tcPr>
            <w:tcW w:w="850" w:type="dxa"/>
            <w:tcBorders>
              <w:top w:val="nil"/>
              <w:left w:val="nil"/>
              <w:bottom w:val="nil"/>
              <w:right w:val="nil"/>
            </w:tcBorders>
          </w:tcPr>
          <w:p w:rsidR="00A46DCA" w:rsidRPr="005038EC"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7"/>
                <w:lang w:eastAsia="en-AU"/>
              </w:rPr>
            </w:pPr>
            <w:r>
              <w:rPr>
                <w:rFonts w:eastAsiaTheme="minorEastAsia" w:cs="Calibri"/>
                <w:color w:val="000000"/>
                <w:szCs w:val="17"/>
                <w:lang w:eastAsia="en-AU"/>
              </w:rPr>
              <w:t>(84)</w:t>
            </w:r>
          </w:p>
        </w:tc>
        <w:tc>
          <w:tcPr>
            <w:tcW w:w="850" w:type="dxa"/>
            <w:tcBorders>
              <w:top w:val="nil"/>
              <w:left w:val="nil"/>
              <w:bottom w:val="nil"/>
              <w:right w:val="nil"/>
            </w:tcBorders>
          </w:tcPr>
          <w:p w:rsidR="00A46DCA" w:rsidRPr="005038EC"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7"/>
                <w:lang w:eastAsia="en-AU"/>
              </w:rPr>
            </w:pPr>
            <w:r>
              <w:rPr>
                <w:rFonts w:eastAsiaTheme="minorEastAsia" w:cs="Calibri"/>
                <w:color w:val="000000"/>
                <w:szCs w:val="17"/>
                <w:lang w:eastAsia="en-AU"/>
              </w:rPr>
              <w:t>177</w:t>
            </w:r>
          </w:p>
        </w:tc>
      </w:tr>
      <w:tr w:rsidR="00A46DCA" w:rsidRPr="005038EC" w:rsidTr="00A26D04">
        <w:tc>
          <w:tcPr>
            <w:cnfStyle w:val="001000000000" w:firstRow="0" w:lastRow="0" w:firstColumn="1" w:lastColumn="0" w:oddVBand="0" w:evenVBand="0" w:oddHBand="0" w:evenHBand="0" w:firstRowFirstColumn="0" w:firstRowLastColumn="0" w:lastRowFirstColumn="0" w:lastRowLastColumn="0"/>
            <w:tcW w:w="4365" w:type="dxa"/>
            <w:tcBorders>
              <w:top w:val="nil"/>
              <w:left w:val="nil"/>
              <w:bottom w:val="nil"/>
              <w:right w:val="nil"/>
            </w:tcBorders>
          </w:tcPr>
          <w:p w:rsidR="00A46DCA" w:rsidRPr="005038EC" w:rsidRDefault="00A46DCA" w:rsidP="00A26D04">
            <w:pPr>
              <w:keepLines w:val="0"/>
              <w:autoSpaceDE w:val="0"/>
              <w:autoSpaceDN w:val="0"/>
              <w:adjustRightInd w:val="0"/>
              <w:rPr>
                <w:rFonts w:eastAsiaTheme="minorEastAsia" w:cs="Calibri"/>
                <w:color w:val="000000"/>
                <w:szCs w:val="17"/>
                <w:lang w:eastAsia="en-AU"/>
              </w:rPr>
            </w:pPr>
            <w:r w:rsidRPr="005038EC">
              <w:rPr>
                <w:rFonts w:eastAsiaTheme="minorEastAsia" w:cs="Calibri"/>
                <w:color w:val="000000"/>
                <w:szCs w:val="17"/>
                <w:lang w:eastAsia="en-AU"/>
              </w:rPr>
              <w:t xml:space="preserve">   Savings</w:t>
            </w:r>
          </w:p>
        </w:tc>
        <w:tc>
          <w:tcPr>
            <w:tcW w:w="850" w:type="dxa"/>
            <w:tcBorders>
              <w:top w:val="nil"/>
              <w:left w:val="nil"/>
              <w:bottom w:val="nil"/>
              <w:right w:val="nil"/>
            </w:tcBorders>
          </w:tcPr>
          <w:p w:rsidR="00A46DCA" w:rsidRPr="005038EC"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7"/>
                <w:lang w:eastAsia="en-AU"/>
              </w:rPr>
            </w:pPr>
            <w:r w:rsidRPr="005038EC">
              <w:rPr>
                <w:rFonts w:eastAsiaTheme="minorEastAsia" w:cs="Calibri"/>
                <w:color w:val="000000"/>
                <w:szCs w:val="17"/>
                <w:lang w:eastAsia="en-AU"/>
              </w:rPr>
              <w:t>.</w:t>
            </w:r>
            <w:r>
              <w:rPr>
                <w:rFonts w:eastAsiaTheme="minorEastAsia" w:cs="Calibri"/>
                <w:color w:val="000000"/>
                <w:szCs w:val="17"/>
                <w:lang w:eastAsia="en-AU"/>
              </w:rPr>
              <w:t>.</w:t>
            </w:r>
            <w:r w:rsidRPr="005038EC">
              <w:rPr>
                <w:rFonts w:eastAsiaTheme="minorEastAsia" w:cs="Calibri"/>
                <w:color w:val="000000"/>
                <w:szCs w:val="17"/>
                <w:lang w:eastAsia="en-AU"/>
              </w:rPr>
              <w:t xml:space="preserve"> </w:t>
            </w:r>
          </w:p>
        </w:tc>
        <w:tc>
          <w:tcPr>
            <w:tcW w:w="850" w:type="dxa"/>
            <w:tcBorders>
              <w:top w:val="nil"/>
              <w:left w:val="nil"/>
              <w:bottom w:val="nil"/>
              <w:right w:val="nil"/>
            </w:tcBorders>
          </w:tcPr>
          <w:p w:rsidR="00A46DCA" w:rsidRPr="005038EC"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7"/>
                <w:lang w:eastAsia="en-AU"/>
              </w:rPr>
            </w:pPr>
            <w:r w:rsidRPr="005038EC">
              <w:rPr>
                <w:rFonts w:eastAsiaTheme="minorEastAsia" w:cs="Calibri"/>
                <w:color w:val="000000"/>
                <w:szCs w:val="17"/>
                <w:lang w:eastAsia="en-AU"/>
              </w:rPr>
              <w:t>.</w:t>
            </w:r>
            <w:r>
              <w:rPr>
                <w:rFonts w:eastAsiaTheme="minorEastAsia" w:cs="Calibri"/>
                <w:color w:val="000000"/>
                <w:szCs w:val="17"/>
                <w:lang w:eastAsia="en-AU"/>
              </w:rPr>
              <w:t>.</w:t>
            </w:r>
            <w:r w:rsidRPr="005038EC">
              <w:rPr>
                <w:rFonts w:eastAsiaTheme="minorEastAsia" w:cs="Calibri"/>
                <w:color w:val="000000"/>
                <w:szCs w:val="17"/>
                <w:lang w:eastAsia="en-AU"/>
              </w:rPr>
              <w:t xml:space="preserve"> </w:t>
            </w:r>
          </w:p>
        </w:tc>
        <w:tc>
          <w:tcPr>
            <w:tcW w:w="850" w:type="dxa"/>
            <w:tcBorders>
              <w:top w:val="nil"/>
              <w:left w:val="nil"/>
              <w:bottom w:val="nil"/>
              <w:right w:val="nil"/>
            </w:tcBorders>
          </w:tcPr>
          <w:p w:rsidR="00A46DCA" w:rsidRPr="005038EC"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7"/>
                <w:lang w:eastAsia="en-AU"/>
              </w:rPr>
            </w:pPr>
            <w:r w:rsidRPr="005038EC">
              <w:rPr>
                <w:rFonts w:eastAsiaTheme="minorEastAsia" w:cs="Calibri"/>
                <w:color w:val="000000"/>
                <w:szCs w:val="17"/>
                <w:lang w:eastAsia="en-AU"/>
              </w:rPr>
              <w:t>.</w:t>
            </w:r>
            <w:r>
              <w:rPr>
                <w:rFonts w:eastAsiaTheme="minorEastAsia" w:cs="Calibri"/>
                <w:color w:val="000000"/>
                <w:szCs w:val="17"/>
                <w:lang w:eastAsia="en-AU"/>
              </w:rPr>
              <w:t>.</w:t>
            </w:r>
            <w:r w:rsidRPr="005038EC">
              <w:rPr>
                <w:rFonts w:eastAsiaTheme="minorEastAsia" w:cs="Calibri"/>
                <w:color w:val="000000"/>
                <w:szCs w:val="17"/>
                <w:lang w:eastAsia="en-AU"/>
              </w:rPr>
              <w:t xml:space="preserve"> </w:t>
            </w:r>
          </w:p>
        </w:tc>
        <w:tc>
          <w:tcPr>
            <w:tcW w:w="850" w:type="dxa"/>
            <w:tcBorders>
              <w:top w:val="nil"/>
              <w:left w:val="nil"/>
              <w:bottom w:val="nil"/>
              <w:right w:val="nil"/>
            </w:tcBorders>
          </w:tcPr>
          <w:p w:rsidR="00A46DCA" w:rsidRPr="005038EC"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7"/>
                <w:lang w:eastAsia="en-AU"/>
              </w:rPr>
            </w:pPr>
            <w:r w:rsidRPr="005038EC">
              <w:rPr>
                <w:rFonts w:eastAsiaTheme="minorEastAsia" w:cs="Calibri"/>
                <w:color w:val="000000"/>
                <w:szCs w:val="17"/>
                <w:lang w:eastAsia="en-AU"/>
              </w:rPr>
              <w:t>.</w:t>
            </w:r>
            <w:r>
              <w:rPr>
                <w:rFonts w:eastAsiaTheme="minorEastAsia" w:cs="Calibri"/>
                <w:color w:val="000000"/>
                <w:szCs w:val="17"/>
                <w:lang w:eastAsia="en-AU"/>
              </w:rPr>
              <w:t>.</w:t>
            </w:r>
            <w:r w:rsidRPr="005038EC">
              <w:rPr>
                <w:rFonts w:eastAsiaTheme="minorEastAsia" w:cs="Calibri"/>
                <w:color w:val="000000"/>
                <w:szCs w:val="17"/>
                <w:lang w:eastAsia="en-AU"/>
              </w:rPr>
              <w:t xml:space="preserve"> </w:t>
            </w:r>
          </w:p>
        </w:tc>
      </w:tr>
      <w:tr w:rsidR="00A46DCA" w:rsidRPr="005038EC" w:rsidTr="00A26D04">
        <w:tc>
          <w:tcPr>
            <w:cnfStyle w:val="001000000000" w:firstRow="0" w:lastRow="0" w:firstColumn="1" w:lastColumn="0" w:oddVBand="0" w:evenVBand="0" w:oddHBand="0" w:evenHBand="0" w:firstRowFirstColumn="0" w:firstRowLastColumn="0" w:lastRowFirstColumn="0" w:lastRowLastColumn="0"/>
            <w:tcW w:w="4365" w:type="dxa"/>
            <w:tcBorders>
              <w:top w:val="single" w:sz="6" w:space="0" w:color="auto"/>
              <w:left w:val="nil"/>
              <w:bottom w:val="single" w:sz="6" w:space="0" w:color="auto"/>
              <w:right w:val="nil"/>
            </w:tcBorders>
          </w:tcPr>
          <w:p w:rsidR="00A46DCA" w:rsidRPr="005038EC" w:rsidRDefault="00A46DCA" w:rsidP="00A26D04">
            <w:pPr>
              <w:keepLines w:val="0"/>
              <w:autoSpaceDE w:val="0"/>
              <w:autoSpaceDN w:val="0"/>
              <w:adjustRightInd w:val="0"/>
              <w:rPr>
                <w:rFonts w:eastAsiaTheme="minorEastAsia" w:cs="Calibri"/>
                <w:b/>
                <w:bCs/>
                <w:i/>
                <w:iCs/>
                <w:color w:val="000000"/>
                <w:szCs w:val="17"/>
                <w:lang w:eastAsia="en-AU"/>
              </w:rPr>
            </w:pPr>
            <w:r w:rsidRPr="005038EC">
              <w:rPr>
                <w:rFonts w:eastAsiaTheme="minorEastAsia" w:cs="Calibri"/>
                <w:b/>
                <w:bCs/>
                <w:color w:val="000000"/>
                <w:szCs w:val="17"/>
                <w:lang w:eastAsia="en-AU"/>
              </w:rPr>
              <w:t>2017-18 Budget Update</w:t>
            </w:r>
            <w:r w:rsidRPr="005038EC">
              <w:rPr>
                <w:rFonts w:eastAsiaTheme="minorEastAsia" w:cs="Calibri"/>
                <w:b/>
                <w:bCs/>
                <w:i/>
                <w:iCs/>
                <w:color w:val="000000"/>
                <w:szCs w:val="17"/>
                <w:lang w:eastAsia="en-AU"/>
              </w:rPr>
              <w:t xml:space="preserve"> output policy decisions</w:t>
            </w:r>
          </w:p>
        </w:tc>
        <w:tc>
          <w:tcPr>
            <w:tcW w:w="850" w:type="dxa"/>
            <w:tcBorders>
              <w:top w:val="single" w:sz="6" w:space="0" w:color="auto"/>
              <w:left w:val="nil"/>
              <w:bottom w:val="single" w:sz="6" w:space="0" w:color="auto"/>
              <w:right w:val="nil"/>
            </w:tcBorders>
          </w:tcPr>
          <w:p w:rsidR="00A46DCA" w:rsidRPr="005038EC"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7"/>
                <w:lang w:eastAsia="en-AU"/>
              </w:rPr>
            </w:pPr>
            <w:r>
              <w:rPr>
                <w:rFonts w:eastAsiaTheme="minorEastAsia" w:cs="Calibri"/>
                <w:b/>
                <w:bCs/>
                <w:color w:val="000000"/>
                <w:szCs w:val="17"/>
                <w:lang w:eastAsia="en-AU"/>
              </w:rPr>
              <w:t>279</w:t>
            </w:r>
          </w:p>
        </w:tc>
        <w:tc>
          <w:tcPr>
            <w:tcW w:w="850" w:type="dxa"/>
            <w:tcBorders>
              <w:top w:val="single" w:sz="6" w:space="0" w:color="auto"/>
              <w:left w:val="nil"/>
              <w:bottom w:val="single" w:sz="6" w:space="0" w:color="auto"/>
              <w:right w:val="nil"/>
            </w:tcBorders>
          </w:tcPr>
          <w:p w:rsidR="00A46DCA" w:rsidRPr="005038EC"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7"/>
                <w:lang w:eastAsia="en-AU"/>
              </w:rPr>
            </w:pPr>
            <w:r>
              <w:rPr>
                <w:rFonts w:eastAsiaTheme="minorEastAsia" w:cs="Calibri"/>
                <w:b/>
                <w:bCs/>
                <w:color w:val="000000"/>
                <w:szCs w:val="17"/>
                <w:lang w:eastAsia="en-AU"/>
              </w:rPr>
              <w:t>249</w:t>
            </w:r>
          </w:p>
        </w:tc>
        <w:tc>
          <w:tcPr>
            <w:tcW w:w="850" w:type="dxa"/>
            <w:tcBorders>
              <w:top w:val="single" w:sz="6" w:space="0" w:color="auto"/>
              <w:left w:val="nil"/>
              <w:bottom w:val="single" w:sz="6" w:space="0" w:color="auto"/>
              <w:right w:val="nil"/>
            </w:tcBorders>
          </w:tcPr>
          <w:p w:rsidR="00A46DCA" w:rsidRPr="005038EC"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7"/>
                <w:lang w:eastAsia="en-AU"/>
              </w:rPr>
            </w:pPr>
            <w:r>
              <w:rPr>
                <w:rFonts w:eastAsiaTheme="minorEastAsia" w:cs="Calibri"/>
                <w:b/>
                <w:bCs/>
                <w:color w:val="000000"/>
                <w:szCs w:val="17"/>
                <w:lang w:eastAsia="en-AU"/>
              </w:rPr>
              <w:t>521</w:t>
            </w:r>
          </w:p>
        </w:tc>
        <w:tc>
          <w:tcPr>
            <w:tcW w:w="850" w:type="dxa"/>
            <w:tcBorders>
              <w:top w:val="single" w:sz="6" w:space="0" w:color="auto"/>
              <w:left w:val="nil"/>
              <w:bottom w:val="single" w:sz="6" w:space="0" w:color="auto"/>
              <w:right w:val="nil"/>
            </w:tcBorders>
          </w:tcPr>
          <w:p w:rsidR="00A46DCA" w:rsidRPr="005038EC"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7"/>
                <w:lang w:eastAsia="en-AU"/>
              </w:rPr>
            </w:pPr>
            <w:r>
              <w:rPr>
                <w:rFonts w:eastAsiaTheme="minorEastAsia" w:cs="Calibri"/>
                <w:b/>
                <w:bCs/>
                <w:color w:val="000000"/>
                <w:szCs w:val="17"/>
                <w:lang w:eastAsia="en-AU"/>
              </w:rPr>
              <w:t>143</w:t>
            </w:r>
          </w:p>
        </w:tc>
      </w:tr>
      <w:tr w:rsidR="00A46DCA" w:rsidRPr="005038EC" w:rsidTr="00A26D04">
        <w:tc>
          <w:tcPr>
            <w:cnfStyle w:val="001000000000" w:firstRow="0" w:lastRow="0" w:firstColumn="1" w:lastColumn="0" w:oddVBand="0" w:evenVBand="0" w:oddHBand="0" w:evenHBand="0" w:firstRowFirstColumn="0" w:firstRowLastColumn="0" w:lastRowFirstColumn="0" w:lastRowLastColumn="0"/>
            <w:tcW w:w="4365" w:type="dxa"/>
            <w:tcBorders>
              <w:top w:val="nil"/>
              <w:left w:val="nil"/>
              <w:bottom w:val="single" w:sz="12" w:space="0" w:color="auto"/>
              <w:right w:val="nil"/>
            </w:tcBorders>
          </w:tcPr>
          <w:p w:rsidR="00A46DCA" w:rsidRPr="005038EC" w:rsidRDefault="00A46DCA" w:rsidP="00A26D04">
            <w:pPr>
              <w:keepLines w:val="0"/>
              <w:autoSpaceDE w:val="0"/>
              <w:autoSpaceDN w:val="0"/>
              <w:adjustRightInd w:val="0"/>
              <w:rPr>
                <w:rFonts w:eastAsiaTheme="minorEastAsia" w:cs="Calibri"/>
                <w:color w:val="000000"/>
                <w:szCs w:val="17"/>
                <w:lang w:eastAsia="en-AU"/>
              </w:rPr>
            </w:pPr>
            <w:r w:rsidRPr="005038EC">
              <w:rPr>
                <w:rFonts w:eastAsiaTheme="minorEastAsia" w:cs="Calibri"/>
                <w:color w:val="000000"/>
                <w:szCs w:val="17"/>
                <w:lang w:eastAsia="en-AU"/>
              </w:rPr>
              <w:t xml:space="preserve">Less: contingency offset for new policy </w:t>
            </w:r>
            <w:r w:rsidRPr="005038EC">
              <w:rPr>
                <w:rFonts w:eastAsiaTheme="minorEastAsia" w:cs="Calibri"/>
                <w:color w:val="000000"/>
                <w:szCs w:val="17"/>
                <w:vertAlign w:val="superscript"/>
                <w:lang w:eastAsia="en-AU"/>
              </w:rPr>
              <w:t>(d)</w:t>
            </w:r>
          </w:p>
        </w:tc>
        <w:tc>
          <w:tcPr>
            <w:tcW w:w="850" w:type="dxa"/>
            <w:tcBorders>
              <w:top w:val="nil"/>
              <w:left w:val="nil"/>
              <w:bottom w:val="nil"/>
              <w:right w:val="nil"/>
            </w:tcBorders>
          </w:tcPr>
          <w:p w:rsidR="00A46DCA" w:rsidRPr="005038EC"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7"/>
                <w:lang w:eastAsia="en-AU"/>
              </w:rPr>
            </w:pPr>
            <w:r>
              <w:rPr>
                <w:rFonts w:eastAsiaTheme="minorEastAsia" w:cs="Calibri"/>
                <w:color w:val="000000"/>
                <w:szCs w:val="17"/>
                <w:lang w:eastAsia="en-AU"/>
              </w:rPr>
              <w:t>20</w:t>
            </w:r>
          </w:p>
        </w:tc>
        <w:tc>
          <w:tcPr>
            <w:tcW w:w="850" w:type="dxa"/>
            <w:tcBorders>
              <w:top w:val="nil"/>
              <w:left w:val="nil"/>
              <w:bottom w:val="nil"/>
              <w:right w:val="nil"/>
            </w:tcBorders>
          </w:tcPr>
          <w:p w:rsidR="00A46DCA" w:rsidRPr="005038EC"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7"/>
                <w:lang w:eastAsia="en-AU"/>
              </w:rPr>
            </w:pPr>
            <w:r w:rsidRPr="005038EC">
              <w:rPr>
                <w:rFonts w:eastAsiaTheme="minorEastAsia" w:cs="Calibri"/>
                <w:color w:val="000000"/>
                <w:szCs w:val="17"/>
                <w:lang w:eastAsia="en-AU"/>
              </w:rPr>
              <w:t>..</w:t>
            </w:r>
          </w:p>
        </w:tc>
        <w:tc>
          <w:tcPr>
            <w:tcW w:w="850" w:type="dxa"/>
            <w:tcBorders>
              <w:top w:val="nil"/>
              <w:left w:val="nil"/>
              <w:bottom w:val="nil"/>
              <w:right w:val="nil"/>
            </w:tcBorders>
          </w:tcPr>
          <w:p w:rsidR="00A46DCA" w:rsidRPr="005038EC"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7"/>
                <w:lang w:eastAsia="en-AU"/>
              </w:rPr>
            </w:pPr>
            <w:r w:rsidRPr="005038EC">
              <w:rPr>
                <w:rFonts w:eastAsiaTheme="minorEastAsia" w:cs="Calibri"/>
                <w:color w:val="000000"/>
                <w:szCs w:val="17"/>
                <w:lang w:eastAsia="en-AU"/>
              </w:rPr>
              <w:t>..</w:t>
            </w:r>
          </w:p>
        </w:tc>
        <w:tc>
          <w:tcPr>
            <w:tcW w:w="850" w:type="dxa"/>
            <w:tcBorders>
              <w:top w:val="nil"/>
              <w:left w:val="nil"/>
              <w:bottom w:val="nil"/>
              <w:right w:val="nil"/>
            </w:tcBorders>
          </w:tcPr>
          <w:p w:rsidR="00A46DCA" w:rsidRPr="005038EC"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7"/>
                <w:lang w:eastAsia="en-AU"/>
              </w:rPr>
            </w:pPr>
            <w:r w:rsidRPr="005038EC">
              <w:rPr>
                <w:rFonts w:eastAsiaTheme="minorEastAsia" w:cs="Calibri"/>
                <w:color w:val="000000"/>
                <w:szCs w:val="17"/>
                <w:lang w:eastAsia="en-AU"/>
              </w:rPr>
              <w:t>..</w:t>
            </w:r>
          </w:p>
        </w:tc>
      </w:tr>
      <w:tr w:rsidR="00A46DCA" w:rsidRPr="005038EC" w:rsidTr="00A26D04">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5" w:type="dxa"/>
            <w:tcBorders>
              <w:top w:val="single" w:sz="12" w:space="0" w:color="auto"/>
              <w:bottom w:val="single" w:sz="12" w:space="0" w:color="auto"/>
            </w:tcBorders>
          </w:tcPr>
          <w:p w:rsidR="00A46DCA" w:rsidRPr="005038EC" w:rsidRDefault="00A46DCA" w:rsidP="00A26D04">
            <w:pPr>
              <w:keepLines w:val="0"/>
              <w:autoSpaceDE w:val="0"/>
              <w:autoSpaceDN w:val="0"/>
              <w:adjustRightInd w:val="0"/>
              <w:rPr>
                <w:rFonts w:eastAsiaTheme="minorEastAsia" w:cs="Calibri"/>
                <w:bCs/>
                <w:color w:val="000000"/>
                <w:szCs w:val="17"/>
                <w:lang w:eastAsia="en-AU"/>
              </w:rPr>
            </w:pPr>
            <w:r w:rsidRPr="005038EC">
              <w:rPr>
                <w:rFonts w:eastAsiaTheme="minorEastAsia" w:cs="Calibri"/>
                <w:bCs/>
                <w:color w:val="000000"/>
                <w:szCs w:val="17"/>
                <w:lang w:eastAsia="en-AU"/>
              </w:rPr>
              <w:t xml:space="preserve">Net impact </w:t>
            </w:r>
          </w:p>
        </w:tc>
        <w:tc>
          <w:tcPr>
            <w:tcW w:w="850" w:type="dxa"/>
            <w:tcBorders>
              <w:top w:val="single" w:sz="12" w:space="0" w:color="auto"/>
              <w:bottom w:val="single" w:sz="12" w:space="0" w:color="auto"/>
            </w:tcBorders>
          </w:tcPr>
          <w:p w:rsidR="00A46DCA" w:rsidRPr="005038EC" w:rsidRDefault="00A46DCA" w:rsidP="00A26D0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7"/>
                <w:lang w:eastAsia="en-AU"/>
              </w:rPr>
            </w:pPr>
            <w:r>
              <w:rPr>
                <w:rFonts w:eastAsiaTheme="minorEastAsia" w:cs="Calibri"/>
                <w:bCs/>
                <w:color w:val="000000"/>
                <w:szCs w:val="17"/>
                <w:lang w:eastAsia="en-AU"/>
              </w:rPr>
              <w:t>260</w:t>
            </w:r>
          </w:p>
        </w:tc>
        <w:tc>
          <w:tcPr>
            <w:tcW w:w="850" w:type="dxa"/>
            <w:tcBorders>
              <w:top w:val="single" w:sz="12" w:space="0" w:color="auto"/>
              <w:bottom w:val="single" w:sz="12" w:space="0" w:color="auto"/>
            </w:tcBorders>
          </w:tcPr>
          <w:p w:rsidR="00A46DCA" w:rsidRPr="005038EC" w:rsidRDefault="00A46DCA" w:rsidP="00A26D0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7"/>
                <w:lang w:eastAsia="en-AU"/>
              </w:rPr>
            </w:pPr>
            <w:r>
              <w:rPr>
                <w:rFonts w:eastAsiaTheme="minorEastAsia" w:cs="Calibri"/>
                <w:bCs/>
                <w:color w:val="000000"/>
                <w:szCs w:val="17"/>
                <w:lang w:eastAsia="en-AU"/>
              </w:rPr>
              <w:t>249</w:t>
            </w:r>
          </w:p>
        </w:tc>
        <w:tc>
          <w:tcPr>
            <w:tcW w:w="850" w:type="dxa"/>
            <w:tcBorders>
              <w:top w:val="single" w:sz="12" w:space="0" w:color="auto"/>
              <w:bottom w:val="single" w:sz="12" w:space="0" w:color="auto"/>
            </w:tcBorders>
          </w:tcPr>
          <w:p w:rsidR="00A46DCA" w:rsidRPr="005038EC" w:rsidRDefault="00A46DCA" w:rsidP="00A26D0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7"/>
                <w:lang w:eastAsia="en-AU"/>
              </w:rPr>
            </w:pPr>
            <w:r>
              <w:rPr>
                <w:rFonts w:eastAsiaTheme="minorEastAsia" w:cs="Calibri"/>
                <w:bCs/>
                <w:color w:val="000000"/>
                <w:szCs w:val="17"/>
                <w:lang w:eastAsia="en-AU"/>
              </w:rPr>
              <w:t>521</w:t>
            </w:r>
          </w:p>
        </w:tc>
        <w:tc>
          <w:tcPr>
            <w:tcW w:w="850" w:type="dxa"/>
            <w:tcBorders>
              <w:top w:val="single" w:sz="12" w:space="0" w:color="auto"/>
              <w:bottom w:val="single" w:sz="12" w:space="0" w:color="auto"/>
            </w:tcBorders>
          </w:tcPr>
          <w:p w:rsidR="00A46DCA" w:rsidRPr="005038EC" w:rsidRDefault="00A46DCA" w:rsidP="00A26D0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7"/>
                <w:lang w:eastAsia="en-AU"/>
              </w:rPr>
            </w:pPr>
            <w:r>
              <w:rPr>
                <w:rFonts w:eastAsiaTheme="minorEastAsia" w:cs="Calibri"/>
                <w:bCs/>
                <w:color w:val="000000"/>
                <w:szCs w:val="17"/>
                <w:lang w:eastAsia="en-AU"/>
              </w:rPr>
              <w:t>143</w:t>
            </w:r>
          </w:p>
        </w:tc>
      </w:tr>
    </w:tbl>
    <w:p w:rsidR="00A46DCA" w:rsidRPr="00551215" w:rsidRDefault="00A46DCA" w:rsidP="00A26D04">
      <w:pPr>
        <w:pStyle w:val="Source"/>
      </w:pPr>
      <w:r w:rsidRPr="00551215">
        <w:t>Source: Department of Treasury and Finance</w:t>
      </w:r>
    </w:p>
    <w:p w:rsidR="00A46DCA" w:rsidRPr="00551215" w:rsidRDefault="00A46DCA" w:rsidP="00A26D04">
      <w:pPr>
        <w:pStyle w:val="Note"/>
      </w:pPr>
      <w:r w:rsidRPr="00551215">
        <w:t>Notes:</w:t>
      </w:r>
    </w:p>
    <w:p w:rsidR="00A46DCA" w:rsidRDefault="00A46DCA" w:rsidP="00A26D04">
      <w:pPr>
        <w:pStyle w:val="Note"/>
      </w:pPr>
      <w:r w:rsidRPr="00551215">
        <w:t>(a)</w:t>
      </w:r>
      <w:r w:rsidRPr="00551215">
        <w:tab/>
        <w:t>Figures in this table are subject to rounding to the nearest</w:t>
      </w:r>
      <w:r>
        <w:t> million</w:t>
      </w:r>
      <w:r w:rsidRPr="00551215">
        <w:t xml:space="preserve"> and may not add up to totals.</w:t>
      </w:r>
    </w:p>
    <w:p w:rsidR="00A46DCA" w:rsidRPr="00551215" w:rsidRDefault="00A46DCA" w:rsidP="00A26D04">
      <w:pPr>
        <w:pStyle w:val="Note"/>
      </w:pPr>
      <w:r w:rsidRPr="00551215">
        <w:t>(</w:t>
      </w:r>
      <w:r>
        <w:t>b</w:t>
      </w:r>
      <w:r w:rsidRPr="00551215">
        <w:t>)</w:t>
      </w:r>
      <w:r w:rsidRPr="00551215">
        <w:tab/>
        <w:t xml:space="preserve">This includes the reprioritisation of resources previously allocated to departments and </w:t>
      </w:r>
      <w:r>
        <w:t>revenue offsets</w:t>
      </w:r>
      <w:r w:rsidRPr="00551215">
        <w:t>.</w:t>
      </w:r>
    </w:p>
    <w:p w:rsidR="00A46DCA" w:rsidRPr="00551215" w:rsidRDefault="00A46DCA" w:rsidP="00A26D04">
      <w:pPr>
        <w:pStyle w:val="Note"/>
      </w:pPr>
      <w:r w:rsidRPr="00551215">
        <w:t>(</w:t>
      </w:r>
      <w:r>
        <w:t>c</w:t>
      </w:r>
      <w:r w:rsidRPr="00551215">
        <w:t>)</w:t>
      </w:r>
      <w:r w:rsidRPr="00551215">
        <w:tab/>
        <w:t>Primarily incorporates the net impact of the creation and release of decisions made but not yet allocated contingencies.</w:t>
      </w:r>
    </w:p>
    <w:p w:rsidR="00A46DCA" w:rsidRDefault="00A46DCA" w:rsidP="00A26D04">
      <w:pPr>
        <w:pStyle w:val="Note"/>
      </w:pPr>
      <w:r w:rsidRPr="00551215">
        <w:t>(</w:t>
      </w:r>
      <w:r>
        <w:t>d</w:t>
      </w:r>
      <w:r w:rsidRPr="00551215">
        <w:t>)</w:t>
      </w:r>
      <w:r w:rsidRPr="00551215">
        <w:tab/>
      </w:r>
      <w:r>
        <w:t xml:space="preserve">Represents releases </w:t>
      </w:r>
      <w:r w:rsidRPr="00DD0F54">
        <w:t xml:space="preserve">from the </w:t>
      </w:r>
      <w:r>
        <w:t>f</w:t>
      </w:r>
      <w:r w:rsidRPr="00DD0F54">
        <w:t>unding not allocated to specific purposes contingency associated with demand</w:t>
      </w:r>
      <w:r>
        <w:t xml:space="preserve"> for G</w:t>
      </w:r>
      <w:r w:rsidRPr="00551215">
        <w:t>overnment services.</w:t>
      </w:r>
      <w:r>
        <w:t xml:space="preserve"> Further information on this contingency can be found at Note 4.3.5</w:t>
      </w:r>
      <w:r w:rsidRPr="00B04923">
        <w:t xml:space="preserve"> of </w:t>
      </w:r>
      <w:r>
        <w:t>Chapter 4</w:t>
      </w:r>
      <w:r w:rsidRPr="00916A19">
        <w:t xml:space="preserve"> </w:t>
      </w:r>
      <w:r w:rsidRPr="00CC7168">
        <w:rPr>
          <w:i w:val="0"/>
        </w:rPr>
        <w:t>Estimated Financial Statements</w:t>
      </w:r>
      <w:r>
        <w:rPr>
          <w:i w:val="0"/>
        </w:rPr>
        <w:t xml:space="preserve"> and notes</w:t>
      </w:r>
      <w:r>
        <w:t>.</w:t>
      </w:r>
    </w:p>
    <w:p w:rsidR="00A46DCA" w:rsidRPr="001161F8" w:rsidRDefault="00A46DCA" w:rsidP="00A26D04">
      <w:pPr>
        <w:pStyle w:val="Heading4"/>
      </w:pPr>
      <w:r w:rsidRPr="00474480">
        <w:t>Economic and demographic variations</w:t>
      </w:r>
    </w:p>
    <w:p w:rsidR="00A46DCA" w:rsidRPr="00FD2A1C" w:rsidRDefault="00A46DCA" w:rsidP="00A26D04">
      <w:r w:rsidRPr="00FD2A1C">
        <w:t>Taxation rev</w:t>
      </w:r>
      <w:r>
        <w:t>enue has been revised up by $563 million in 2017-18 and by $458</w:t>
      </w:r>
      <w:r w:rsidRPr="00FD2A1C">
        <w:t xml:space="preserve"> million a year on av</w:t>
      </w:r>
      <w:r>
        <w:t>erage over the forward estimates</w:t>
      </w:r>
      <w:r w:rsidRPr="00FD2A1C">
        <w:t xml:space="preserve">. This reflects: </w:t>
      </w:r>
    </w:p>
    <w:p w:rsidR="00A46DCA" w:rsidRPr="00FD2A1C" w:rsidRDefault="00A46DCA" w:rsidP="00A26D04">
      <w:pPr>
        <w:pStyle w:val="ListBullet"/>
      </w:pPr>
      <w:r>
        <w:t>s</w:t>
      </w:r>
      <w:r w:rsidRPr="00FD2A1C">
        <w:t>trong</w:t>
      </w:r>
      <w:r>
        <w:t>er</w:t>
      </w:r>
      <w:r w:rsidRPr="00FD2A1C">
        <w:t xml:space="preserve"> p</w:t>
      </w:r>
      <w:r>
        <w:t>opulation and employment growth with f</w:t>
      </w:r>
      <w:r w:rsidRPr="00FD2A1C">
        <w:t>orecasts for these now higher than</w:t>
      </w:r>
      <w:r>
        <w:t xml:space="preserve"> what was</w:t>
      </w:r>
      <w:r w:rsidRPr="00FD2A1C">
        <w:t xml:space="preserve"> factored into the </w:t>
      </w:r>
      <w:r w:rsidRPr="003C3D0A">
        <w:rPr>
          <w:i/>
        </w:rPr>
        <w:t>2017-18 Budget</w:t>
      </w:r>
      <w:r w:rsidRPr="00FD2A1C">
        <w:t>; and</w:t>
      </w:r>
    </w:p>
    <w:p w:rsidR="00A46DCA" w:rsidRPr="00FD2A1C" w:rsidRDefault="00A46DCA" w:rsidP="00A26D04">
      <w:pPr>
        <w:pStyle w:val="ListBullet"/>
      </w:pPr>
      <w:r>
        <w:t>c</w:t>
      </w:r>
      <w:r w:rsidRPr="00FD2A1C">
        <w:t>ontinued near-term strength in the Victorian property market with growth in prices and volumes supporting property related revenue.</w:t>
      </w:r>
    </w:p>
    <w:p w:rsidR="00A46DCA" w:rsidRPr="00FD2A1C" w:rsidRDefault="00A46DCA" w:rsidP="00A26D04">
      <w:pPr>
        <w:rPr>
          <w:i/>
          <w:iCs/>
        </w:rPr>
      </w:pPr>
      <w:r w:rsidRPr="00FD2A1C">
        <w:t xml:space="preserve">Partially offsetting this, gambling tax revenue has been revised </w:t>
      </w:r>
      <w:r>
        <w:t>down</w:t>
      </w:r>
      <w:r w:rsidRPr="00FD2A1C">
        <w:t xml:space="preserve"> consistent with low spending growth on </w:t>
      </w:r>
      <w:r>
        <w:t>gambling products by households and</w:t>
      </w:r>
      <w:r w:rsidRPr="00FD2A1C">
        <w:t xml:space="preserve"> strong competition from online gambling products (some of which a</w:t>
      </w:r>
      <w:r>
        <w:t>re untaxed)</w:t>
      </w:r>
      <w:r w:rsidRPr="00FD2A1C">
        <w:t>.</w:t>
      </w:r>
    </w:p>
    <w:p w:rsidR="00A46DCA" w:rsidRPr="00C7569D" w:rsidRDefault="00A46DCA" w:rsidP="00A26D04">
      <w:pPr>
        <w:pStyle w:val="Heading4"/>
      </w:pPr>
      <w:r w:rsidRPr="00C7569D">
        <w:lastRenderedPageBreak/>
        <w:t>Commonwealth grants variations</w:t>
      </w:r>
    </w:p>
    <w:p w:rsidR="00A46DCA" w:rsidRPr="00D45862" w:rsidRDefault="00A46DCA" w:rsidP="00A26D04">
      <w:pPr>
        <w:ind w:right="-227"/>
        <w:rPr>
          <w:b/>
          <w:bCs/>
        </w:rPr>
      </w:pPr>
      <w:r w:rsidRPr="006D6A8C">
        <w:t>Commonwealth general purpose grants (or GST grants) estimates have been revised up by $638 million in 2017</w:t>
      </w:r>
      <w:r w:rsidRPr="006D6A8C">
        <w:noBreakHyphen/>
        <w:t xml:space="preserve">18 compared with the </w:t>
      </w:r>
      <w:r w:rsidRPr="006D6A8C">
        <w:rPr>
          <w:i/>
        </w:rPr>
        <w:t>2017</w:t>
      </w:r>
      <w:r w:rsidRPr="006D6A8C">
        <w:rPr>
          <w:i/>
        </w:rPr>
        <w:noBreakHyphen/>
        <w:t>18 Budget</w:t>
      </w:r>
      <w:r w:rsidRPr="006D6A8C">
        <w:t>. This increase is driven by a stronger outlook for Victoria</w:t>
      </w:r>
      <w:r>
        <w:t>’</w:t>
      </w:r>
      <w:r w:rsidRPr="006D6A8C">
        <w:t>s share of the national population.</w:t>
      </w:r>
      <w:r>
        <w:t xml:space="preserve"> Over the forward estimates, GST is broadly unchanged. </w:t>
      </w:r>
    </w:p>
    <w:p w:rsidR="00A46DCA" w:rsidRDefault="00A46DCA" w:rsidP="00A26D04">
      <w:pPr>
        <w:ind w:right="-227"/>
      </w:pPr>
      <w:r w:rsidRPr="00C7569D">
        <w:t>Net changes to specific purpose grants have decreased</w:t>
      </w:r>
      <w:r w:rsidRPr="00206203">
        <w:t xml:space="preserve"> the operating result by $</w:t>
      </w:r>
      <w:r>
        <w:t>311</w:t>
      </w:r>
      <w:r w:rsidRPr="00206203">
        <w:t> million in 2017</w:t>
      </w:r>
      <w:r>
        <w:noBreakHyphen/>
      </w:r>
      <w:r w:rsidRPr="00206203">
        <w:t>18</w:t>
      </w:r>
      <w:r>
        <w:t>, but increased it by an average of around $195 million over the forward estimates</w:t>
      </w:r>
      <w:r w:rsidRPr="00206203">
        <w:t>. These</w:t>
      </w:r>
      <w:r>
        <w:t xml:space="preserve"> movements primarily reflect the impacts of updated payment phasings expected under the Regional Rail Revival program.</w:t>
      </w:r>
    </w:p>
    <w:p w:rsidR="00A46DCA" w:rsidRPr="001161F8" w:rsidRDefault="00A46DCA" w:rsidP="00A26D04">
      <w:pPr>
        <w:pStyle w:val="Heading4"/>
      </w:pPr>
      <w:r w:rsidRPr="001161F8">
        <w:t>Administrative variations</w:t>
      </w:r>
    </w:p>
    <w:p w:rsidR="00A46DCA" w:rsidRPr="00391747" w:rsidRDefault="00A46DCA" w:rsidP="00A26D04">
      <w:pPr>
        <w:ind w:right="-227"/>
      </w:pPr>
      <w:r w:rsidRPr="00391747">
        <w:t>Other administrative variations are expected to increase the operating r</w:t>
      </w:r>
      <w:r>
        <w:t>esult by $25 </w:t>
      </w:r>
      <w:r w:rsidRPr="00391747">
        <w:t>million in 2017</w:t>
      </w:r>
      <w:r w:rsidRPr="00391747">
        <w:noBreakHyphen/>
        <w:t>18 and d</w:t>
      </w:r>
      <w:r>
        <w:t>ecrease it by an average of $336</w:t>
      </w:r>
      <w:r w:rsidRPr="00391747">
        <w:t xml:space="preserve"> million a year over the forward estimates. These movements </w:t>
      </w:r>
      <w:r>
        <w:t>reflect</w:t>
      </w:r>
      <w:r w:rsidRPr="00391747">
        <w:t xml:space="preserve">: </w:t>
      </w:r>
    </w:p>
    <w:p w:rsidR="00A46DCA" w:rsidRDefault="00A46DCA" w:rsidP="00A26D04">
      <w:pPr>
        <w:pStyle w:val="ListBullet"/>
      </w:pPr>
      <w:r w:rsidRPr="00391747">
        <w:t xml:space="preserve">an </w:t>
      </w:r>
      <w:r>
        <w:t xml:space="preserve">expected </w:t>
      </w:r>
      <w:r w:rsidRPr="00391747">
        <w:t xml:space="preserve">increase </w:t>
      </w:r>
      <w:r>
        <w:t xml:space="preserve">in expenses related to </w:t>
      </w:r>
      <w:r w:rsidRPr="00391747">
        <w:t>schools funding</w:t>
      </w:r>
      <w:r>
        <w:t xml:space="preserve"> provided in previous years. This reflects </w:t>
      </w:r>
      <w:r w:rsidRPr="00AA0F94">
        <w:t xml:space="preserve">student enrolments exceeding </w:t>
      </w:r>
      <w:r>
        <w:t xml:space="preserve">previous </w:t>
      </w:r>
      <w:r w:rsidRPr="00AA0F94">
        <w:t xml:space="preserve">forecasts and the </w:t>
      </w:r>
      <w:r>
        <w:t xml:space="preserve">expected </w:t>
      </w:r>
      <w:r w:rsidRPr="00AA0F94">
        <w:t>accelerated spending in schools to support the achieve</w:t>
      </w:r>
      <w:r>
        <w:t>ment of Education State targets; and</w:t>
      </w:r>
    </w:p>
    <w:p w:rsidR="00A46DCA" w:rsidRPr="00391747" w:rsidRDefault="00A46DCA" w:rsidP="00A26D04">
      <w:pPr>
        <w:pStyle w:val="ListBullet"/>
      </w:pPr>
      <w:r>
        <w:t>carryover of departmental expenditure from 2016-17.</w:t>
      </w:r>
    </w:p>
    <w:p w:rsidR="00A46DCA" w:rsidRPr="00AD3172" w:rsidRDefault="00A46DCA" w:rsidP="00A26D04">
      <w:pPr>
        <w:pStyle w:val="ListBullet"/>
        <w:numPr>
          <w:ilvl w:val="0"/>
          <w:numId w:val="0"/>
        </w:numPr>
      </w:pPr>
      <w:r>
        <w:t>Superannuation expenses have also increased, primarily due to movements in the bond yields that underlie the key superannuation valuation assumptions.</w:t>
      </w:r>
    </w:p>
    <w:p w:rsidR="00A46DCA" w:rsidRDefault="00A46DCA">
      <w:pPr>
        <w:keepLines w:val="0"/>
        <w:rPr>
          <w:rFonts w:asciiTheme="majorHAnsi" w:eastAsiaTheme="majorEastAsia" w:hAnsiTheme="majorHAnsi" w:cstheme="majorBidi"/>
          <w:b/>
          <w:spacing w:val="-2"/>
          <w:sz w:val="26"/>
          <w:szCs w:val="26"/>
        </w:rPr>
      </w:pPr>
      <w:r>
        <w:br w:type="page"/>
      </w:r>
    </w:p>
    <w:p w:rsidR="00A46DCA" w:rsidRDefault="00A46DCA" w:rsidP="00A26D04">
      <w:pPr>
        <w:pStyle w:val="Heading20"/>
      </w:pPr>
      <w:r>
        <w:lastRenderedPageBreak/>
        <w:t>Capital expenditure</w:t>
      </w:r>
    </w:p>
    <w:p w:rsidR="00A46DCA" w:rsidRPr="0065419F" w:rsidRDefault="00A46DCA" w:rsidP="00A26D04">
      <w:r>
        <w:t xml:space="preserve">Government infrastructure investment (GII), which measures investment funded or facilitated by the Government, is at historically high levels. </w:t>
      </w:r>
    </w:p>
    <w:p w:rsidR="00A46DCA" w:rsidRPr="0065419F" w:rsidRDefault="00A46DCA" w:rsidP="00A26D04">
      <w:r w:rsidRPr="00821899">
        <w:t xml:space="preserve">GII </w:t>
      </w:r>
      <w:r>
        <w:t>averages $10.2 billion per annum</w:t>
      </w:r>
      <w:r w:rsidRPr="00821899">
        <w:t xml:space="preserve"> </w:t>
      </w:r>
      <w:r>
        <w:t>over the budget and forward estimates</w:t>
      </w:r>
      <w:r w:rsidRPr="00821899">
        <w:t>,</w:t>
      </w:r>
      <w:r>
        <w:t xml:space="preserve"> up from the $9.6 billion average over the same period in the </w:t>
      </w:r>
      <w:r w:rsidRPr="00AD0BE0">
        <w:rPr>
          <w:i/>
        </w:rPr>
        <w:t>2017-18 Budget</w:t>
      </w:r>
      <w:r w:rsidRPr="00821899">
        <w:t>.</w:t>
      </w:r>
      <w:r>
        <w:t xml:space="preserve"> GII is significantly higher than the average GII from 2005-06 to 2014-15 </w:t>
      </w:r>
      <w:r w:rsidRPr="00821899">
        <w:t>of $</w:t>
      </w:r>
      <w:r>
        <w:t xml:space="preserve">4.9 billion a year (Chart 3.1). </w:t>
      </w:r>
      <w:r w:rsidRPr="00821899">
        <w:t>Th</w:t>
      </w:r>
      <w:r>
        <w:t xml:space="preserve">is </w:t>
      </w:r>
      <w:r w:rsidRPr="00821899">
        <w:t xml:space="preserve">reflects </w:t>
      </w:r>
      <w:r>
        <w:t xml:space="preserve">the Government’s </w:t>
      </w:r>
      <w:r w:rsidRPr="00821899">
        <w:t xml:space="preserve">investment in </w:t>
      </w:r>
      <w:r>
        <w:t xml:space="preserve">projects such as the </w:t>
      </w:r>
      <w:r w:rsidRPr="00821899">
        <w:t>Metro Tunnel</w:t>
      </w:r>
      <w:r>
        <w:t>, the Level Crossing Removal Program, the West Gate Tunnel Projec</w:t>
      </w:r>
      <w:r w:rsidRPr="00821899">
        <w:t>t</w:t>
      </w:r>
      <w:r>
        <w:t>, the Western Roads Upgrade and more recently, the new franchise agreements for metropolitan trains and trams.</w:t>
      </w:r>
    </w:p>
    <w:p w:rsidR="00A46DCA" w:rsidRPr="008D65A2" w:rsidRDefault="00A46DCA" w:rsidP="00A26D04">
      <w:pPr>
        <w:pStyle w:val="TableHeading"/>
        <w:rPr>
          <w:vertAlign w:val="superscript"/>
        </w:rPr>
      </w:pPr>
      <w:r w:rsidRPr="00165693">
        <w:t xml:space="preserve">Chart </w:t>
      </w:r>
      <w:r>
        <w:t>3</w:t>
      </w:r>
      <w:r w:rsidRPr="00165693">
        <w:t>.1:</w:t>
      </w:r>
      <w:r w:rsidRPr="00165693">
        <w:tab/>
        <w:t>Government infrastructure investment</w:t>
      </w:r>
      <w:r>
        <w:t xml:space="preserve"> </w:t>
      </w:r>
      <w:r>
        <w:rPr>
          <w:vertAlign w:val="superscript"/>
        </w:rPr>
        <w:t>(a)(b)</w:t>
      </w:r>
    </w:p>
    <w:p w:rsidR="00A46DCA" w:rsidRDefault="00715FC3" w:rsidP="00A26D04">
      <w:r>
        <w:rPr>
          <w:noProof/>
          <w:lang w:eastAsia="en-AU"/>
        </w:rPr>
        <w:pict>
          <v:shape id="_x0000_i1026" type="#_x0000_t75" style="width:380.4pt;height:247.9pt">
            <v:imagedata r:id="rId41" o:title="" cropbottom="3321f"/>
          </v:shape>
        </w:pict>
      </w:r>
    </w:p>
    <w:p w:rsidR="00A46DCA" w:rsidRPr="005C5A24" w:rsidRDefault="00A46DCA" w:rsidP="00A26D04">
      <w:pPr>
        <w:pStyle w:val="Source"/>
      </w:pPr>
      <w:r w:rsidRPr="005C5A24">
        <w:t>Source: Department of Treasury and Finance</w:t>
      </w:r>
    </w:p>
    <w:p w:rsidR="00A46DCA" w:rsidRPr="00165693" w:rsidRDefault="00A46DCA" w:rsidP="00A26D04">
      <w:pPr>
        <w:pStyle w:val="Note"/>
      </w:pPr>
      <w:r w:rsidRPr="00165693">
        <w:t>Notes:</w:t>
      </w:r>
    </w:p>
    <w:p w:rsidR="00A46DCA" w:rsidRPr="00165693" w:rsidRDefault="00A46DCA" w:rsidP="00A26D04">
      <w:pPr>
        <w:pStyle w:val="Note"/>
      </w:pPr>
      <w:r w:rsidRPr="00165693">
        <w:t xml:space="preserve">(a) </w:t>
      </w:r>
      <w:r w:rsidRPr="00165693">
        <w:tab/>
      </w:r>
      <w:r w:rsidRPr="00304A44">
        <w:t xml:space="preserve">Includes general government net infrastructure investment and estimated </w:t>
      </w:r>
      <w:r>
        <w:t xml:space="preserve">construction </w:t>
      </w:r>
      <w:r w:rsidRPr="00304A44">
        <w:t>cash flows for Partnerships Victoria projects and the State contribution to the West Gate Tunnel Project.</w:t>
      </w:r>
    </w:p>
    <w:p w:rsidR="00A46DCA" w:rsidRPr="00435173" w:rsidRDefault="00A46DCA" w:rsidP="00A26D04">
      <w:pPr>
        <w:pStyle w:val="Note"/>
      </w:pPr>
      <w:r w:rsidRPr="00165693">
        <w:t>(</w:t>
      </w:r>
      <w:r>
        <w:t xml:space="preserve">b) </w:t>
      </w:r>
      <w:r>
        <w:tab/>
        <w:t xml:space="preserve">Excludes the impact </w:t>
      </w:r>
      <w:r w:rsidRPr="00165693">
        <w:t>of the medium</w:t>
      </w:r>
      <w:r>
        <w:noBreakHyphen/>
      </w:r>
      <w:r w:rsidRPr="00165693">
        <w:t>term lease over the operations of the Port of Melbourne.</w:t>
      </w:r>
    </w:p>
    <w:p w:rsidR="00A46DCA" w:rsidRDefault="00A46DCA">
      <w:pPr>
        <w:keepLines w:val="0"/>
        <w:rPr>
          <w:rFonts w:asciiTheme="majorHAnsi" w:eastAsiaTheme="majorEastAsia" w:hAnsiTheme="majorHAnsi" w:cstheme="majorBidi"/>
          <w:b/>
          <w:spacing w:val="-2"/>
          <w:sz w:val="26"/>
          <w:szCs w:val="26"/>
        </w:rPr>
      </w:pPr>
      <w:r>
        <w:br w:type="page"/>
      </w:r>
    </w:p>
    <w:p w:rsidR="00A46DCA" w:rsidRDefault="00A46DCA" w:rsidP="00A26D04">
      <w:pPr>
        <w:pStyle w:val="Heading20"/>
      </w:pPr>
      <w:r>
        <w:lastRenderedPageBreak/>
        <w:t>Net debt</w:t>
      </w:r>
    </w:p>
    <w:p w:rsidR="00A46DCA" w:rsidRPr="00ED6F8B" w:rsidRDefault="00A46DCA" w:rsidP="00A26D04">
      <w:r>
        <w:t>N</w:t>
      </w:r>
      <w:r w:rsidRPr="00165693">
        <w:t xml:space="preserve">et debt as a proportion of GSP is expected to be </w:t>
      </w:r>
      <w:r>
        <w:t>5.1 per cent</w:t>
      </w:r>
      <w:r w:rsidRPr="00165693">
        <w:t xml:space="preserve"> at June 201</w:t>
      </w:r>
      <w:r>
        <w:t>8</w:t>
      </w:r>
      <w:r w:rsidRPr="00165693">
        <w:t xml:space="preserve"> (Chart </w:t>
      </w:r>
      <w:r>
        <w:t>3</w:t>
      </w:r>
      <w:r w:rsidRPr="00165693">
        <w:t>.2)</w:t>
      </w:r>
      <w:r>
        <w:t xml:space="preserve">, rising to 5.7 per cent by June 2021. The decrease in net debt as a proportion of GSP from 6.0 per cent in the </w:t>
      </w:r>
      <w:r w:rsidRPr="00E84509">
        <w:rPr>
          <w:i/>
        </w:rPr>
        <w:t>2017-18 Budget</w:t>
      </w:r>
      <w:r>
        <w:t xml:space="preserve"> is largely due to improved taxation forecasts (including land transfer duty), GST revenue forecasts in line with upgraded population estimates in the 2016 Census and upward revisions to Victoria’s GSP as a result of population upgrades.</w:t>
      </w:r>
    </w:p>
    <w:p w:rsidR="00A46DCA" w:rsidRDefault="00A46DCA" w:rsidP="00A26D04">
      <w:pPr>
        <w:pStyle w:val="TableHeading"/>
      </w:pPr>
      <w:r w:rsidRPr="00165693">
        <w:t xml:space="preserve">Chart </w:t>
      </w:r>
      <w:r>
        <w:t>3</w:t>
      </w:r>
      <w:r w:rsidRPr="00165693">
        <w:t>.2:</w:t>
      </w:r>
      <w:r w:rsidRPr="00165693">
        <w:tab/>
      </w:r>
      <w:r>
        <w:t>General government sector net debt</w:t>
      </w:r>
    </w:p>
    <w:p w:rsidR="00A46DCA" w:rsidRDefault="00715FC3" w:rsidP="00A26D04">
      <w:r>
        <w:pict>
          <v:shape id="_x0000_i1027" type="#_x0000_t75" style="width:377.65pt;height:3in">
            <v:imagedata r:id="rId42" o:title=""/>
          </v:shape>
        </w:pict>
      </w:r>
    </w:p>
    <w:p w:rsidR="00A46DCA" w:rsidRDefault="00A46DCA" w:rsidP="00A26D04">
      <w:pPr>
        <w:pStyle w:val="Source"/>
      </w:pPr>
      <w:r w:rsidRPr="00165693">
        <w:t>Source: Department of Treasury and Finance</w:t>
      </w:r>
    </w:p>
    <w:p w:rsidR="00A46DCA" w:rsidRDefault="00A46DCA">
      <w:pPr>
        <w:keepLines w:val="0"/>
      </w:pPr>
      <w:r>
        <w:br w:type="page"/>
      </w:r>
    </w:p>
    <w:p w:rsidR="00A46DCA" w:rsidRPr="008D65A2" w:rsidRDefault="00A46DCA" w:rsidP="00A26D04">
      <w:r w:rsidRPr="003B6625">
        <w:lastRenderedPageBreak/>
        <w:t xml:space="preserve">The application of </w:t>
      </w:r>
      <w:r w:rsidRPr="007E4E2E">
        <w:t>cash resources for the general government sector</w:t>
      </w:r>
      <w:r w:rsidRPr="00E11E85">
        <w:t xml:space="preserve"> </w:t>
      </w:r>
      <w:r>
        <w:t>(Table 3.5) outlines the annual movements in net debt. General government sector</w:t>
      </w:r>
      <w:r w:rsidRPr="00614140">
        <w:t xml:space="preserve"> </w:t>
      </w:r>
      <w:r>
        <w:t xml:space="preserve">cash from operating activities is expected to </w:t>
      </w:r>
      <w:r w:rsidRPr="00614140">
        <w:t>averag</w:t>
      </w:r>
      <w:r>
        <w:t>e</w:t>
      </w:r>
      <w:r w:rsidRPr="00614140">
        <w:t xml:space="preserve"> $</w:t>
      </w:r>
      <w:r>
        <w:t>4.7 billion</w:t>
      </w:r>
      <w:r w:rsidRPr="00614140">
        <w:t xml:space="preserve"> </w:t>
      </w:r>
      <w:r w:rsidRPr="00821899">
        <w:t xml:space="preserve">a year over the </w:t>
      </w:r>
      <w:r>
        <w:t>next four years.</w:t>
      </w:r>
    </w:p>
    <w:p w:rsidR="00A46DCA" w:rsidRPr="00373D6B" w:rsidRDefault="00A46DCA" w:rsidP="00A26D04">
      <w:pPr>
        <w:pStyle w:val="TableHeading"/>
        <w:rPr>
          <w:i/>
          <w:spacing w:val="-2"/>
          <w:sz w:val="14"/>
        </w:rPr>
      </w:pPr>
      <w:r w:rsidRPr="002E2383">
        <w:t xml:space="preserve">Table </w:t>
      </w:r>
      <w:r>
        <w:t>3.5</w:t>
      </w:r>
      <w:r w:rsidRPr="002E2383">
        <w:t>:</w:t>
      </w:r>
      <w:r w:rsidRPr="002E2383">
        <w:tab/>
        <w:t xml:space="preserve">Application of cash </w:t>
      </w:r>
      <w:r w:rsidRPr="001B3FC5">
        <w:t>resources</w:t>
      </w:r>
      <w:r w:rsidRPr="002E2383">
        <w:t xml:space="preserve"> for the general government sector</w:t>
      </w:r>
      <w:r>
        <w:t xml:space="preserve"> </w:t>
      </w:r>
      <w:r w:rsidRPr="00907FA8">
        <w:rPr>
          <w:vertAlign w:val="superscript"/>
        </w:rPr>
        <w:t>(a)</w:t>
      </w:r>
      <w:r>
        <w:rPr>
          <w:vertAlign w:val="superscript"/>
        </w:rPr>
        <w:tab/>
      </w:r>
      <w:r>
        <w:t>($ million)</w:t>
      </w:r>
    </w:p>
    <w:tbl>
      <w:tblPr>
        <w:tblStyle w:val="DTFTable"/>
        <w:tblW w:w="7765" w:type="dxa"/>
        <w:tblInd w:w="45" w:type="dxa"/>
        <w:tblLayout w:type="fixed"/>
        <w:tblCellMar>
          <w:left w:w="45" w:type="dxa"/>
          <w:right w:w="45" w:type="dxa"/>
        </w:tblCellMar>
        <w:tblLook w:val="06E0" w:firstRow="1" w:lastRow="1" w:firstColumn="1" w:lastColumn="0" w:noHBand="1" w:noVBand="1"/>
      </w:tblPr>
      <w:tblGrid>
        <w:gridCol w:w="4365"/>
        <w:gridCol w:w="850"/>
        <w:gridCol w:w="850"/>
        <w:gridCol w:w="850"/>
        <w:gridCol w:w="850"/>
      </w:tblGrid>
      <w:tr w:rsidR="00A26D04" w:rsidRPr="00373D6B" w:rsidTr="00A26D04">
        <w:trPr>
          <w:cnfStyle w:val="100000000000" w:firstRow="1" w:lastRow="0" w:firstColumn="0" w:lastColumn="0" w:oddVBand="0" w:evenVBand="0" w:oddHBand="0" w:evenHBand="0" w:firstRowFirstColumn="0" w:firstRowLastColumn="0" w:lastRowFirstColumn="0" w:lastRowLastColumn="0"/>
          <w:trHeight w:val="465"/>
          <w:tblHeader/>
        </w:trPr>
        <w:tc>
          <w:tcPr>
            <w:cnfStyle w:val="001000000000" w:firstRow="0" w:lastRow="0" w:firstColumn="1" w:lastColumn="0" w:oddVBand="0" w:evenVBand="0" w:oddHBand="0" w:evenHBand="0" w:firstRowFirstColumn="0" w:firstRowLastColumn="0" w:lastRowFirstColumn="0" w:lastRowLastColumn="0"/>
            <w:tcW w:w="4365" w:type="dxa"/>
            <w:tcBorders>
              <w:top w:val="nil"/>
              <w:left w:val="nil"/>
              <w:right w:val="nil"/>
            </w:tcBorders>
            <w:shd w:val="solid" w:color="000000" w:fill="auto"/>
          </w:tcPr>
          <w:p w:rsidR="00A26D04" w:rsidRPr="00373D6B" w:rsidRDefault="00A26D04" w:rsidP="00A26D04">
            <w:pPr>
              <w:autoSpaceDE w:val="0"/>
              <w:autoSpaceDN w:val="0"/>
              <w:adjustRightInd w:val="0"/>
              <w:rPr>
                <w:rFonts w:eastAsiaTheme="minorEastAsia" w:cs="Calibri"/>
                <w:iCs/>
                <w:color w:val="FFFFFF"/>
                <w:lang w:eastAsia="en-AU"/>
              </w:rPr>
            </w:pPr>
            <w:r w:rsidRPr="00373D6B">
              <w:rPr>
                <w:rFonts w:eastAsiaTheme="minorEastAsia" w:cs="Calibri"/>
                <w:iCs/>
                <w:color w:val="FFFFFF"/>
                <w:lang w:eastAsia="en-AU"/>
              </w:rPr>
              <w:t xml:space="preserve">  </w:t>
            </w:r>
          </w:p>
        </w:tc>
        <w:tc>
          <w:tcPr>
            <w:tcW w:w="850" w:type="dxa"/>
            <w:tcBorders>
              <w:top w:val="nil"/>
              <w:left w:val="nil"/>
              <w:right w:val="nil"/>
            </w:tcBorders>
            <w:shd w:val="solid" w:color="000000" w:fill="auto"/>
          </w:tcPr>
          <w:p w:rsidR="00A26D04" w:rsidRPr="00373D6B" w:rsidRDefault="00A26D04" w:rsidP="00A26D0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373D6B">
              <w:rPr>
                <w:rFonts w:eastAsiaTheme="minorEastAsia" w:cs="Calibri"/>
                <w:iCs/>
                <w:color w:val="FFFFFF"/>
                <w:szCs w:val="18"/>
                <w:lang w:eastAsia="en-AU"/>
              </w:rPr>
              <w:t>2017-18</w:t>
            </w:r>
            <w:r>
              <w:rPr>
                <w:rFonts w:eastAsiaTheme="minorEastAsia" w:cs="Calibri"/>
                <w:iCs/>
                <w:color w:val="FFFFFF"/>
                <w:szCs w:val="18"/>
                <w:lang w:eastAsia="en-AU"/>
              </w:rPr>
              <w:br/>
            </w:r>
            <w:r w:rsidRPr="00373D6B">
              <w:rPr>
                <w:rFonts w:eastAsiaTheme="minorEastAsia" w:cs="Calibri"/>
                <w:iCs/>
                <w:color w:val="FFFFFF"/>
                <w:szCs w:val="18"/>
                <w:lang w:eastAsia="en-AU"/>
              </w:rPr>
              <w:t>revised</w:t>
            </w:r>
          </w:p>
        </w:tc>
        <w:tc>
          <w:tcPr>
            <w:tcW w:w="850" w:type="dxa"/>
            <w:tcBorders>
              <w:top w:val="nil"/>
              <w:left w:val="nil"/>
              <w:right w:val="nil"/>
            </w:tcBorders>
            <w:shd w:val="solid" w:color="000000" w:fill="auto"/>
          </w:tcPr>
          <w:p w:rsidR="00A26D04" w:rsidRPr="00373D6B" w:rsidRDefault="00A26D04" w:rsidP="00A26D0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373D6B">
              <w:rPr>
                <w:rFonts w:eastAsiaTheme="minorEastAsia" w:cs="Calibri"/>
                <w:iCs/>
                <w:color w:val="FFFFFF"/>
                <w:szCs w:val="18"/>
                <w:lang w:eastAsia="en-AU"/>
              </w:rPr>
              <w:t>2018-19</w:t>
            </w:r>
            <w:r>
              <w:rPr>
                <w:rFonts w:eastAsiaTheme="minorEastAsia" w:cs="Calibri"/>
                <w:iCs/>
                <w:color w:val="FFFFFF"/>
                <w:szCs w:val="18"/>
                <w:lang w:eastAsia="en-AU"/>
              </w:rPr>
              <w:br/>
            </w:r>
            <w:r w:rsidRPr="00373D6B">
              <w:rPr>
                <w:rFonts w:eastAsiaTheme="minorEastAsia" w:cs="Calibri"/>
                <w:iCs/>
                <w:color w:val="FFFFFF"/>
                <w:szCs w:val="18"/>
                <w:lang w:eastAsia="en-AU"/>
              </w:rPr>
              <w:t>estimate</w:t>
            </w:r>
          </w:p>
        </w:tc>
        <w:tc>
          <w:tcPr>
            <w:tcW w:w="850" w:type="dxa"/>
            <w:tcBorders>
              <w:top w:val="nil"/>
              <w:left w:val="nil"/>
              <w:right w:val="nil"/>
            </w:tcBorders>
            <w:shd w:val="solid" w:color="000000" w:fill="auto"/>
          </w:tcPr>
          <w:p w:rsidR="00A26D04" w:rsidRPr="00373D6B" w:rsidRDefault="00A26D04" w:rsidP="00A26D0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373D6B">
              <w:rPr>
                <w:rFonts w:eastAsiaTheme="minorEastAsia" w:cs="Calibri"/>
                <w:iCs/>
                <w:color w:val="FFFFFF"/>
                <w:szCs w:val="18"/>
                <w:lang w:eastAsia="en-AU"/>
              </w:rPr>
              <w:t>2019-20</w:t>
            </w:r>
            <w:r>
              <w:rPr>
                <w:rFonts w:eastAsiaTheme="minorEastAsia" w:cs="Calibri"/>
                <w:iCs/>
                <w:color w:val="FFFFFF"/>
                <w:szCs w:val="18"/>
                <w:lang w:eastAsia="en-AU"/>
              </w:rPr>
              <w:br/>
            </w:r>
            <w:r w:rsidRPr="00373D6B">
              <w:rPr>
                <w:rFonts w:eastAsiaTheme="minorEastAsia" w:cs="Calibri"/>
                <w:iCs/>
                <w:color w:val="FFFFFF"/>
                <w:szCs w:val="18"/>
                <w:lang w:eastAsia="en-AU"/>
              </w:rPr>
              <w:t>estimate</w:t>
            </w:r>
          </w:p>
        </w:tc>
        <w:tc>
          <w:tcPr>
            <w:tcW w:w="850" w:type="dxa"/>
            <w:tcBorders>
              <w:top w:val="nil"/>
              <w:left w:val="nil"/>
              <w:right w:val="nil"/>
            </w:tcBorders>
            <w:shd w:val="solid" w:color="000000" w:fill="auto"/>
          </w:tcPr>
          <w:p w:rsidR="00A26D04" w:rsidRPr="00373D6B" w:rsidRDefault="00A26D04" w:rsidP="00A26D0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373D6B">
              <w:rPr>
                <w:rFonts w:eastAsiaTheme="minorEastAsia" w:cs="Calibri"/>
                <w:iCs/>
                <w:color w:val="FFFFFF"/>
                <w:szCs w:val="18"/>
                <w:lang w:eastAsia="en-AU"/>
              </w:rPr>
              <w:t>2020-21</w:t>
            </w:r>
            <w:r>
              <w:rPr>
                <w:rFonts w:eastAsiaTheme="minorEastAsia" w:cs="Calibri"/>
                <w:iCs/>
                <w:color w:val="FFFFFF"/>
                <w:szCs w:val="18"/>
                <w:lang w:eastAsia="en-AU"/>
              </w:rPr>
              <w:br/>
            </w:r>
            <w:r w:rsidRPr="00373D6B">
              <w:rPr>
                <w:rFonts w:eastAsiaTheme="minorEastAsia" w:cs="Calibri"/>
                <w:iCs/>
                <w:color w:val="FFFFFF"/>
                <w:szCs w:val="18"/>
                <w:lang w:eastAsia="en-AU"/>
              </w:rPr>
              <w:t>estimate</w:t>
            </w:r>
          </w:p>
        </w:tc>
      </w:tr>
      <w:tr w:rsidR="00A46DCA" w:rsidRPr="00373D6B" w:rsidTr="00A26D04">
        <w:tc>
          <w:tcPr>
            <w:cnfStyle w:val="001000000000" w:firstRow="0" w:lastRow="0" w:firstColumn="1" w:lastColumn="0" w:oddVBand="0" w:evenVBand="0" w:oddHBand="0" w:evenHBand="0" w:firstRowFirstColumn="0" w:firstRowLastColumn="0" w:lastRowFirstColumn="0" w:lastRowLastColumn="0"/>
            <w:tcW w:w="4365" w:type="dxa"/>
            <w:tcBorders>
              <w:top w:val="nil"/>
              <w:left w:val="nil"/>
              <w:bottom w:val="nil"/>
              <w:right w:val="nil"/>
            </w:tcBorders>
          </w:tcPr>
          <w:p w:rsidR="00A46DCA" w:rsidRPr="00373D6B" w:rsidRDefault="00A46DCA" w:rsidP="00A26D04">
            <w:pPr>
              <w:keepLines w:val="0"/>
              <w:autoSpaceDE w:val="0"/>
              <w:autoSpaceDN w:val="0"/>
              <w:adjustRightInd w:val="0"/>
              <w:rPr>
                <w:rFonts w:eastAsiaTheme="minorEastAsia" w:cs="Calibri"/>
                <w:b/>
                <w:bCs/>
                <w:color w:val="000000"/>
                <w:szCs w:val="18"/>
                <w:lang w:eastAsia="en-AU"/>
              </w:rPr>
            </w:pPr>
            <w:r w:rsidRPr="00373D6B">
              <w:rPr>
                <w:rFonts w:eastAsiaTheme="minorEastAsia" w:cs="Calibri"/>
                <w:b/>
                <w:bCs/>
                <w:color w:val="000000"/>
                <w:szCs w:val="18"/>
                <w:lang w:eastAsia="en-AU"/>
              </w:rPr>
              <w:t>Net result from transactions</w:t>
            </w:r>
          </w:p>
        </w:tc>
        <w:tc>
          <w:tcPr>
            <w:tcW w:w="850" w:type="dxa"/>
            <w:tcBorders>
              <w:top w:val="nil"/>
              <w:left w:val="nil"/>
              <w:bottom w:val="nil"/>
              <w:right w:val="nil"/>
            </w:tcBorders>
          </w:tcPr>
          <w:p w:rsidR="00A46DCA" w:rsidRPr="00373D6B"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373D6B">
              <w:rPr>
                <w:rFonts w:eastAsiaTheme="minorEastAsia" w:cs="Calibri"/>
                <w:b/>
                <w:bCs/>
                <w:color w:val="000000"/>
                <w:szCs w:val="18"/>
                <w:lang w:eastAsia="en-AU"/>
              </w:rPr>
              <w:t>1 713</w:t>
            </w:r>
          </w:p>
        </w:tc>
        <w:tc>
          <w:tcPr>
            <w:tcW w:w="850" w:type="dxa"/>
            <w:tcBorders>
              <w:top w:val="nil"/>
              <w:left w:val="nil"/>
              <w:bottom w:val="nil"/>
              <w:right w:val="nil"/>
            </w:tcBorders>
          </w:tcPr>
          <w:p w:rsidR="00A46DCA" w:rsidRPr="00373D6B"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373D6B">
              <w:rPr>
                <w:rFonts w:eastAsiaTheme="minorEastAsia" w:cs="Calibri"/>
                <w:b/>
                <w:bCs/>
                <w:color w:val="000000"/>
                <w:szCs w:val="18"/>
                <w:lang w:eastAsia="en-AU"/>
              </w:rPr>
              <w:t>2 117</w:t>
            </w:r>
          </w:p>
        </w:tc>
        <w:tc>
          <w:tcPr>
            <w:tcW w:w="850" w:type="dxa"/>
            <w:tcBorders>
              <w:top w:val="nil"/>
              <w:left w:val="nil"/>
              <w:bottom w:val="nil"/>
              <w:right w:val="nil"/>
            </w:tcBorders>
          </w:tcPr>
          <w:p w:rsidR="00A46DCA" w:rsidRPr="00373D6B"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373D6B">
              <w:rPr>
                <w:rFonts w:eastAsiaTheme="minorEastAsia" w:cs="Calibri"/>
                <w:b/>
                <w:bCs/>
                <w:color w:val="000000"/>
                <w:szCs w:val="18"/>
                <w:lang w:eastAsia="en-AU"/>
              </w:rPr>
              <w:t>1 987</w:t>
            </w:r>
          </w:p>
        </w:tc>
        <w:tc>
          <w:tcPr>
            <w:tcW w:w="850" w:type="dxa"/>
            <w:tcBorders>
              <w:top w:val="nil"/>
              <w:left w:val="nil"/>
              <w:bottom w:val="nil"/>
              <w:right w:val="nil"/>
            </w:tcBorders>
          </w:tcPr>
          <w:p w:rsidR="00A46DCA" w:rsidRPr="00373D6B"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373D6B">
              <w:rPr>
                <w:rFonts w:eastAsiaTheme="minorEastAsia" w:cs="Calibri"/>
                <w:b/>
                <w:bCs/>
                <w:color w:val="000000"/>
                <w:szCs w:val="18"/>
                <w:lang w:eastAsia="en-AU"/>
              </w:rPr>
              <w:t>2 641</w:t>
            </w:r>
          </w:p>
        </w:tc>
      </w:tr>
      <w:tr w:rsidR="00A46DCA" w:rsidRPr="00373D6B" w:rsidTr="00A26D04">
        <w:tc>
          <w:tcPr>
            <w:cnfStyle w:val="001000000000" w:firstRow="0" w:lastRow="0" w:firstColumn="1" w:lastColumn="0" w:oddVBand="0" w:evenVBand="0" w:oddHBand="0" w:evenHBand="0" w:firstRowFirstColumn="0" w:firstRowLastColumn="0" w:lastRowFirstColumn="0" w:lastRowLastColumn="0"/>
            <w:tcW w:w="4365" w:type="dxa"/>
            <w:tcBorders>
              <w:top w:val="nil"/>
              <w:left w:val="nil"/>
              <w:bottom w:val="single" w:sz="6" w:space="0" w:color="000000"/>
              <w:right w:val="nil"/>
            </w:tcBorders>
          </w:tcPr>
          <w:p w:rsidR="00A46DCA" w:rsidRPr="00373D6B" w:rsidRDefault="00A46DCA" w:rsidP="00A26D04">
            <w:pPr>
              <w:keepLines w:val="0"/>
              <w:autoSpaceDE w:val="0"/>
              <w:autoSpaceDN w:val="0"/>
              <w:adjustRightInd w:val="0"/>
              <w:rPr>
                <w:rFonts w:eastAsiaTheme="minorEastAsia" w:cs="Calibri"/>
                <w:color w:val="000000"/>
                <w:szCs w:val="18"/>
                <w:lang w:eastAsia="en-AU"/>
              </w:rPr>
            </w:pPr>
            <w:r w:rsidRPr="00373D6B">
              <w:rPr>
                <w:rFonts w:eastAsiaTheme="minorEastAsia" w:cs="Calibri"/>
                <w:color w:val="000000"/>
                <w:szCs w:val="18"/>
                <w:lang w:eastAsia="en-AU"/>
              </w:rPr>
              <w:t xml:space="preserve">Add back: non-cash revenue and expenses (net) </w:t>
            </w:r>
            <w:r w:rsidRPr="00373D6B">
              <w:rPr>
                <w:rFonts w:eastAsiaTheme="minorEastAsia" w:cs="Calibri"/>
                <w:color w:val="000000"/>
                <w:szCs w:val="18"/>
                <w:vertAlign w:val="superscript"/>
                <w:lang w:eastAsia="en-AU"/>
              </w:rPr>
              <w:t>(b)</w:t>
            </w:r>
          </w:p>
        </w:tc>
        <w:tc>
          <w:tcPr>
            <w:tcW w:w="850" w:type="dxa"/>
            <w:tcBorders>
              <w:top w:val="nil"/>
              <w:left w:val="nil"/>
              <w:bottom w:val="single" w:sz="6" w:space="0" w:color="000000"/>
              <w:right w:val="nil"/>
            </w:tcBorders>
          </w:tcPr>
          <w:p w:rsidR="00A46DCA" w:rsidRPr="00373D6B"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73D6B">
              <w:rPr>
                <w:rFonts w:eastAsiaTheme="minorEastAsia" w:cs="Calibri"/>
                <w:color w:val="000000"/>
                <w:szCs w:val="18"/>
                <w:lang w:eastAsia="en-AU"/>
              </w:rPr>
              <w:t>2 180</w:t>
            </w:r>
          </w:p>
        </w:tc>
        <w:tc>
          <w:tcPr>
            <w:tcW w:w="850" w:type="dxa"/>
            <w:tcBorders>
              <w:top w:val="nil"/>
              <w:left w:val="nil"/>
              <w:bottom w:val="single" w:sz="6" w:space="0" w:color="000000"/>
              <w:right w:val="nil"/>
            </w:tcBorders>
          </w:tcPr>
          <w:p w:rsidR="00A46DCA" w:rsidRPr="00373D6B"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73D6B">
              <w:rPr>
                <w:rFonts w:eastAsiaTheme="minorEastAsia" w:cs="Calibri"/>
                <w:color w:val="000000"/>
                <w:szCs w:val="18"/>
                <w:lang w:eastAsia="en-AU"/>
              </w:rPr>
              <w:t>3 844</w:t>
            </w:r>
          </w:p>
        </w:tc>
        <w:tc>
          <w:tcPr>
            <w:tcW w:w="850" w:type="dxa"/>
            <w:tcBorders>
              <w:top w:val="nil"/>
              <w:left w:val="nil"/>
              <w:bottom w:val="single" w:sz="6" w:space="0" w:color="000000"/>
              <w:right w:val="nil"/>
            </w:tcBorders>
          </w:tcPr>
          <w:p w:rsidR="00A46DCA" w:rsidRPr="00373D6B"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73D6B">
              <w:rPr>
                <w:rFonts w:eastAsiaTheme="minorEastAsia" w:cs="Calibri"/>
                <w:color w:val="000000"/>
                <w:szCs w:val="18"/>
                <w:lang w:eastAsia="en-AU"/>
              </w:rPr>
              <w:t>2 136</w:t>
            </w:r>
          </w:p>
        </w:tc>
        <w:tc>
          <w:tcPr>
            <w:tcW w:w="850" w:type="dxa"/>
            <w:tcBorders>
              <w:top w:val="nil"/>
              <w:left w:val="nil"/>
              <w:bottom w:val="single" w:sz="6" w:space="0" w:color="000000"/>
              <w:right w:val="nil"/>
            </w:tcBorders>
          </w:tcPr>
          <w:p w:rsidR="00A46DCA" w:rsidRPr="00373D6B"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73D6B">
              <w:rPr>
                <w:rFonts w:eastAsiaTheme="minorEastAsia" w:cs="Calibri"/>
                <w:color w:val="000000"/>
                <w:szCs w:val="18"/>
                <w:lang w:eastAsia="en-AU"/>
              </w:rPr>
              <w:t>2 130</w:t>
            </w:r>
          </w:p>
        </w:tc>
      </w:tr>
      <w:tr w:rsidR="00A46DCA" w:rsidRPr="00373D6B" w:rsidTr="00A26D04">
        <w:tc>
          <w:tcPr>
            <w:cnfStyle w:val="001000000000" w:firstRow="0" w:lastRow="0" w:firstColumn="1" w:lastColumn="0" w:oddVBand="0" w:evenVBand="0" w:oddHBand="0" w:evenHBand="0" w:firstRowFirstColumn="0" w:firstRowLastColumn="0" w:lastRowFirstColumn="0" w:lastRowLastColumn="0"/>
            <w:tcW w:w="4365" w:type="dxa"/>
            <w:tcBorders>
              <w:top w:val="nil"/>
              <w:left w:val="nil"/>
              <w:bottom w:val="nil"/>
              <w:right w:val="nil"/>
            </w:tcBorders>
          </w:tcPr>
          <w:p w:rsidR="00A46DCA" w:rsidRPr="00373D6B" w:rsidRDefault="00A46DCA" w:rsidP="00A26D04">
            <w:pPr>
              <w:keepLines w:val="0"/>
              <w:autoSpaceDE w:val="0"/>
              <w:autoSpaceDN w:val="0"/>
              <w:adjustRightInd w:val="0"/>
              <w:rPr>
                <w:rFonts w:eastAsiaTheme="minorEastAsia" w:cs="Calibri"/>
                <w:b/>
                <w:bCs/>
                <w:color w:val="000000"/>
                <w:szCs w:val="18"/>
                <w:lang w:eastAsia="en-AU"/>
              </w:rPr>
            </w:pPr>
            <w:r w:rsidRPr="00373D6B">
              <w:rPr>
                <w:rFonts w:eastAsiaTheme="minorEastAsia" w:cs="Calibri"/>
                <w:b/>
                <w:bCs/>
                <w:color w:val="000000"/>
                <w:szCs w:val="18"/>
                <w:lang w:eastAsia="en-AU"/>
              </w:rPr>
              <w:t>Net cash flows from operating activities</w:t>
            </w:r>
          </w:p>
        </w:tc>
        <w:tc>
          <w:tcPr>
            <w:tcW w:w="850" w:type="dxa"/>
            <w:tcBorders>
              <w:top w:val="nil"/>
              <w:left w:val="nil"/>
              <w:bottom w:val="nil"/>
              <w:right w:val="nil"/>
            </w:tcBorders>
          </w:tcPr>
          <w:p w:rsidR="00A46DCA" w:rsidRPr="00373D6B"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373D6B">
              <w:rPr>
                <w:rFonts w:eastAsiaTheme="minorEastAsia" w:cs="Calibri"/>
                <w:b/>
                <w:bCs/>
                <w:color w:val="000000"/>
                <w:szCs w:val="18"/>
                <w:lang w:eastAsia="en-AU"/>
              </w:rPr>
              <w:t>3 893</w:t>
            </w:r>
          </w:p>
        </w:tc>
        <w:tc>
          <w:tcPr>
            <w:tcW w:w="850" w:type="dxa"/>
            <w:tcBorders>
              <w:top w:val="nil"/>
              <w:left w:val="nil"/>
              <w:bottom w:val="nil"/>
              <w:right w:val="nil"/>
            </w:tcBorders>
          </w:tcPr>
          <w:p w:rsidR="00A46DCA" w:rsidRPr="00373D6B"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373D6B">
              <w:rPr>
                <w:rFonts w:eastAsiaTheme="minorEastAsia" w:cs="Calibri"/>
                <w:b/>
                <w:bCs/>
                <w:color w:val="000000"/>
                <w:szCs w:val="18"/>
                <w:lang w:eastAsia="en-AU"/>
              </w:rPr>
              <w:t>5 961</w:t>
            </w:r>
          </w:p>
        </w:tc>
        <w:tc>
          <w:tcPr>
            <w:tcW w:w="850" w:type="dxa"/>
            <w:tcBorders>
              <w:top w:val="nil"/>
              <w:left w:val="nil"/>
              <w:bottom w:val="nil"/>
              <w:right w:val="nil"/>
            </w:tcBorders>
          </w:tcPr>
          <w:p w:rsidR="00A46DCA" w:rsidRPr="00373D6B"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373D6B">
              <w:rPr>
                <w:rFonts w:eastAsiaTheme="minorEastAsia" w:cs="Calibri"/>
                <w:b/>
                <w:bCs/>
                <w:color w:val="000000"/>
                <w:szCs w:val="18"/>
                <w:lang w:eastAsia="en-AU"/>
              </w:rPr>
              <w:t>4 122</w:t>
            </w:r>
          </w:p>
        </w:tc>
        <w:tc>
          <w:tcPr>
            <w:tcW w:w="850" w:type="dxa"/>
            <w:tcBorders>
              <w:top w:val="nil"/>
              <w:left w:val="nil"/>
              <w:bottom w:val="nil"/>
              <w:right w:val="nil"/>
            </w:tcBorders>
          </w:tcPr>
          <w:p w:rsidR="00A46DCA" w:rsidRPr="00373D6B"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373D6B">
              <w:rPr>
                <w:rFonts w:eastAsiaTheme="minorEastAsia" w:cs="Calibri"/>
                <w:b/>
                <w:bCs/>
                <w:color w:val="000000"/>
                <w:szCs w:val="18"/>
                <w:lang w:eastAsia="en-AU"/>
              </w:rPr>
              <w:t>4 771</w:t>
            </w:r>
          </w:p>
        </w:tc>
      </w:tr>
      <w:tr w:rsidR="00A46DCA" w:rsidRPr="00373D6B" w:rsidTr="00A26D04">
        <w:tc>
          <w:tcPr>
            <w:cnfStyle w:val="001000000000" w:firstRow="0" w:lastRow="0" w:firstColumn="1" w:lastColumn="0" w:oddVBand="0" w:evenVBand="0" w:oddHBand="0" w:evenHBand="0" w:firstRowFirstColumn="0" w:firstRowLastColumn="0" w:lastRowFirstColumn="0" w:lastRowLastColumn="0"/>
            <w:tcW w:w="4365" w:type="dxa"/>
            <w:tcBorders>
              <w:top w:val="single" w:sz="6" w:space="0" w:color="000000"/>
              <w:left w:val="nil"/>
              <w:bottom w:val="nil"/>
              <w:right w:val="nil"/>
            </w:tcBorders>
          </w:tcPr>
          <w:p w:rsidR="00A46DCA" w:rsidRPr="00373D6B" w:rsidRDefault="00A46DCA" w:rsidP="00A26D04">
            <w:pPr>
              <w:keepLines w:val="0"/>
              <w:autoSpaceDE w:val="0"/>
              <w:autoSpaceDN w:val="0"/>
              <w:adjustRightInd w:val="0"/>
              <w:rPr>
                <w:rFonts w:eastAsiaTheme="minorEastAsia" w:cs="Calibri"/>
                <w:b/>
                <w:bCs/>
                <w:color w:val="000000"/>
                <w:szCs w:val="18"/>
                <w:lang w:eastAsia="en-AU"/>
              </w:rPr>
            </w:pPr>
            <w:r w:rsidRPr="00373D6B">
              <w:rPr>
                <w:rFonts w:eastAsiaTheme="minorEastAsia" w:cs="Calibri"/>
                <w:b/>
                <w:bCs/>
                <w:color w:val="000000"/>
                <w:szCs w:val="18"/>
                <w:lang w:eastAsia="en-AU"/>
              </w:rPr>
              <w:t xml:space="preserve">Less: Total net investment in fixed assets </w:t>
            </w:r>
            <w:r w:rsidRPr="00373D6B">
              <w:rPr>
                <w:rFonts w:eastAsiaTheme="minorEastAsia" w:cs="Calibri"/>
                <w:b/>
                <w:bCs/>
                <w:color w:val="000000"/>
                <w:szCs w:val="18"/>
                <w:vertAlign w:val="superscript"/>
                <w:lang w:eastAsia="en-AU"/>
              </w:rPr>
              <w:t>(c)</w:t>
            </w:r>
          </w:p>
        </w:tc>
        <w:tc>
          <w:tcPr>
            <w:tcW w:w="850" w:type="dxa"/>
            <w:tcBorders>
              <w:top w:val="single" w:sz="6" w:space="0" w:color="000000"/>
              <w:left w:val="nil"/>
              <w:bottom w:val="nil"/>
              <w:right w:val="nil"/>
            </w:tcBorders>
          </w:tcPr>
          <w:p w:rsidR="00A46DCA" w:rsidRPr="00373D6B"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373D6B">
              <w:rPr>
                <w:rFonts w:eastAsiaTheme="minorEastAsia" w:cs="Calibri"/>
                <w:b/>
                <w:bCs/>
                <w:color w:val="000000"/>
                <w:szCs w:val="18"/>
                <w:lang w:eastAsia="en-AU"/>
              </w:rPr>
              <w:t>6 165</w:t>
            </w:r>
          </w:p>
        </w:tc>
        <w:tc>
          <w:tcPr>
            <w:tcW w:w="850" w:type="dxa"/>
            <w:tcBorders>
              <w:top w:val="single" w:sz="6" w:space="0" w:color="000000"/>
              <w:left w:val="nil"/>
              <w:bottom w:val="nil"/>
              <w:right w:val="nil"/>
            </w:tcBorders>
          </w:tcPr>
          <w:p w:rsidR="00A46DCA" w:rsidRPr="00373D6B"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373D6B">
              <w:rPr>
                <w:rFonts w:eastAsiaTheme="minorEastAsia" w:cs="Calibri"/>
                <w:b/>
                <w:bCs/>
                <w:color w:val="000000"/>
                <w:szCs w:val="18"/>
                <w:lang w:eastAsia="en-AU"/>
              </w:rPr>
              <w:t>5 844</w:t>
            </w:r>
          </w:p>
        </w:tc>
        <w:tc>
          <w:tcPr>
            <w:tcW w:w="850" w:type="dxa"/>
            <w:tcBorders>
              <w:top w:val="single" w:sz="6" w:space="0" w:color="000000"/>
              <w:left w:val="nil"/>
              <w:bottom w:val="nil"/>
              <w:right w:val="nil"/>
            </w:tcBorders>
          </w:tcPr>
          <w:p w:rsidR="00A46DCA" w:rsidRPr="00373D6B"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373D6B">
              <w:rPr>
                <w:rFonts w:eastAsiaTheme="minorEastAsia" w:cs="Calibri"/>
                <w:b/>
                <w:bCs/>
                <w:color w:val="000000"/>
                <w:szCs w:val="18"/>
                <w:lang w:eastAsia="en-AU"/>
              </w:rPr>
              <w:t>4 699</w:t>
            </w:r>
          </w:p>
        </w:tc>
        <w:tc>
          <w:tcPr>
            <w:tcW w:w="850" w:type="dxa"/>
            <w:tcBorders>
              <w:top w:val="single" w:sz="6" w:space="0" w:color="000000"/>
              <w:left w:val="nil"/>
              <w:bottom w:val="nil"/>
              <w:right w:val="nil"/>
            </w:tcBorders>
          </w:tcPr>
          <w:p w:rsidR="00A46DCA" w:rsidRPr="00373D6B"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373D6B">
              <w:rPr>
                <w:rFonts w:eastAsiaTheme="minorEastAsia" w:cs="Calibri"/>
                <w:b/>
                <w:bCs/>
                <w:color w:val="000000"/>
                <w:szCs w:val="18"/>
                <w:lang w:eastAsia="en-AU"/>
              </w:rPr>
              <w:t>4 269</w:t>
            </w:r>
          </w:p>
        </w:tc>
      </w:tr>
      <w:tr w:rsidR="00A46DCA" w:rsidRPr="00373D6B" w:rsidTr="00A26D04">
        <w:tc>
          <w:tcPr>
            <w:cnfStyle w:val="001000000000" w:firstRow="0" w:lastRow="0" w:firstColumn="1" w:lastColumn="0" w:oddVBand="0" w:evenVBand="0" w:oddHBand="0" w:evenHBand="0" w:firstRowFirstColumn="0" w:firstRowLastColumn="0" w:lastRowFirstColumn="0" w:lastRowLastColumn="0"/>
            <w:tcW w:w="4365" w:type="dxa"/>
            <w:tcBorders>
              <w:top w:val="single" w:sz="6" w:space="0" w:color="000000"/>
              <w:left w:val="nil"/>
              <w:bottom w:val="single" w:sz="6" w:space="0" w:color="000000"/>
              <w:right w:val="nil"/>
            </w:tcBorders>
          </w:tcPr>
          <w:p w:rsidR="00A46DCA" w:rsidRPr="00373D6B" w:rsidRDefault="00A46DCA" w:rsidP="00A26D04">
            <w:pPr>
              <w:keepLines w:val="0"/>
              <w:autoSpaceDE w:val="0"/>
              <w:autoSpaceDN w:val="0"/>
              <w:adjustRightInd w:val="0"/>
              <w:rPr>
                <w:rFonts w:eastAsiaTheme="minorEastAsia" w:cs="Calibri"/>
                <w:b/>
                <w:bCs/>
                <w:color w:val="000000"/>
                <w:szCs w:val="18"/>
                <w:lang w:eastAsia="en-AU"/>
              </w:rPr>
            </w:pPr>
            <w:r w:rsidRPr="00373D6B">
              <w:rPr>
                <w:rFonts w:eastAsiaTheme="minorEastAsia" w:cs="Calibri"/>
                <w:b/>
                <w:bCs/>
                <w:color w:val="000000"/>
                <w:szCs w:val="18"/>
                <w:lang w:eastAsia="en-AU"/>
              </w:rPr>
              <w:t>Surplus/(deficit) of cash from operations after funding net investment in fixed assets</w:t>
            </w:r>
          </w:p>
        </w:tc>
        <w:tc>
          <w:tcPr>
            <w:tcW w:w="850" w:type="dxa"/>
            <w:tcBorders>
              <w:top w:val="single" w:sz="6" w:space="0" w:color="000000"/>
              <w:left w:val="nil"/>
              <w:bottom w:val="single" w:sz="6" w:space="0" w:color="000000"/>
              <w:right w:val="nil"/>
            </w:tcBorders>
          </w:tcPr>
          <w:p w:rsidR="00A46DCA" w:rsidRPr="00373D6B"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(2 271)</w:t>
            </w:r>
          </w:p>
        </w:tc>
        <w:tc>
          <w:tcPr>
            <w:tcW w:w="850" w:type="dxa"/>
            <w:tcBorders>
              <w:top w:val="single" w:sz="6" w:space="0" w:color="000000"/>
              <w:left w:val="nil"/>
              <w:bottom w:val="single" w:sz="6" w:space="0" w:color="000000"/>
              <w:right w:val="nil"/>
            </w:tcBorders>
          </w:tcPr>
          <w:p w:rsidR="00A46DCA" w:rsidRPr="00373D6B"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117</w:t>
            </w:r>
          </w:p>
        </w:tc>
        <w:tc>
          <w:tcPr>
            <w:tcW w:w="850" w:type="dxa"/>
            <w:tcBorders>
              <w:top w:val="single" w:sz="6" w:space="0" w:color="000000"/>
              <w:left w:val="nil"/>
              <w:bottom w:val="single" w:sz="6" w:space="0" w:color="000000"/>
              <w:right w:val="nil"/>
            </w:tcBorders>
          </w:tcPr>
          <w:p w:rsidR="00A46DCA" w:rsidRPr="00373D6B"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(577)</w:t>
            </w:r>
          </w:p>
        </w:tc>
        <w:tc>
          <w:tcPr>
            <w:tcW w:w="850" w:type="dxa"/>
            <w:tcBorders>
              <w:top w:val="single" w:sz="6" w:space="0" w:color="000000"/>
              <w:left w:val="nil"/>
              <w:bottom w:val="single" w:sz="6" w:space="0" w:color="000000"/>
              <w:right w:val="nil"/>
            </w:tcBorders>
          </w:tcPr>
          <w:p w:rsidR="00A46DCA" w:rsidRPr="00373D6B"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502</w:t>
            </w:r>
          </w:p>
        </w:tc>
      </w:tr>
      <w:tr w:rsidR="00A46DCA" w:rsidRPr="00373D6B" w:rsidTr="00A26D04">
        <w:tc>
          <w:tcPr>
            <w:cnfStyle w:val="001000000000" w:firstRow="0" w:lastRow="0" w:firstColumn="1" w:lastColumn="0" w:oddVBand="0" w:evenVBand="0" w:oddHBand="0" w:evenHBand="0" w:firstRowFirstColumn="0" w:firstRowLastColumn="0" w:lastRowFirstColumn="0" w:lastRowLastColumn="0"/>
            <w:tcW w:w="4365" w:type="dxa"/>
            <w:tcBorders>
              <w:top w:val="nil"/>
              <w:left w:val="nil"/>
              <w:bottom w:val="nil"/>
              <w:right w:val="nil"/>
            </w:tcBorders>
          </w:tcPr>
          <w:p w:rsidR="00A46DCA" w:rsidRPr="00373D6B" w:rsidRDefault="00A46DCA" w:rsidP="00A26D04">
            <w:pPr>
              <w:keepLines w:val="0"/>
              <w:autoSpaceDE w:val="0"/>
              <w:autoSpaceDN w:val="0"/>
              <w:adjustRightInd w:val="0"/>
              <w:rPr>
                <w:rFonts w:eastAsiaTheme="minorEastAsia" w:cs="Calibri"/>
                <w:color w:val="000000"/>
                <w:szCs w:val="18"/>
                <w:lang w:eastAsia="en-AU"/>
              </w:rPr>
            </w:pPr>
            <w:r w:rsidRPr="00373D6B">
              <w:rPr>
                <w:rFonts w:eastAsiaTheme="minorEastAsia" w:cs="Calibri"/>
                <w:color w:val="000000"/>
                <w:szCs w:val="18"/>
                <w:lang w:eastAsia="en-AU"/>
              </w:rPr>
              <w:t xml:space="preserve">Finance leases </w:t>
            </w:r>
            <w:r w:rsidRPr="00373D6B">
              <w:rPr>
                <w:rFonts w:eastAsiaTheme="minorEastAsia" w:cs="Calibri"/>
                <w:color w:val="000000"/>
                <w:szCs w:val="18"/>
                <w:vertAlign w:val="superscript"/>
                <w:lang w:eastAsia="en-AU"/>
              </w:rPr>
              <w:t>(d)</w:t>
            </w:r>
          </w:p>
        </w:tc>
        <w:tc>
          <w:tcPr>
            <w:tcW w:w="850" w:type="dxa"/>
            <w:tcBorders>
              <w:top w:val="nil"/>
              <w:left w:val="nil"/>
              <w:bottom w:val="nil"/>
              <w:right w:val="nil"/>
            </w:tcBorders>
          </w:tcPr>
          <w:p w:rsidR="00A46DCA" w:rsidRPr="00373D6B"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647</w:t>
            </w:r>
          </w:p>
        </w:tc>
        <w:tc>
          <w:tcPr>
            <w:tcW w:w="850" w:type="dxa"/>
            <w:tcBorders>
              <w:top w:val="nil"/>
              <w:left w:val="nil"/>
              <w:bottom w:val="nil"/>
              <w:right w:val="nil"/>
            </w:tcBorders>
          </w:tcPr>
          <w:p w:rsidR="00A46DCA" w:rsidRPr="00373D6B"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419</w:t>
            </w:r>
          </w:p>
        </w:tc>
        <w:tc>
          <w:tcPr>
            <w:tcW w:w="850" w:type="dxa"/>
            <w:tcBorders>
              <w:top w:val="nil"/>
              <w:left w:val="nil"/>
              <w:bottom w:val="nil"/>
              <w:right w:val="nil"/>
            </w:tcBorders>
          </w:tcPr>
          <w:p w:rsidR="00A46DCA" w:rsidRPr="00373D6B"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315</w:t>
            </w:r>
          </w:p>
        </w:tc>
        <w:tc>
          <w:tcPr>
            <w:tcW w:w="850" w:type="dxa"/>
            <w:tcBorders>
              <w:top w:val="nil"/>
              <w:left w:val="nil"/>
              <w:bottom w:val="nil"/>
              <w:right w:val="nil"/>
            </w:tcBorders>
          </w:tcPr>
          <w:p w:rsidR="00A46DCA" w:rsidRPr="00373D6B"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73D6B">
              <w:rPr>
                <w:rFonts w:eastAsiaTheme="minorEastAsia" w:cs="Calibri"/>
                <w:color w:val="000000"/>
                <w:szCs w:val="18"/>
                <w:lang w:eastAsia="en-AU"/>
              </w:rPr>
              <w:t>1 022</w:t>
            </w:r>
          </w:p>
        </w:tc>
      </w:tr>
      <w:tr w:rsidR="00A46DCA" w:rsidRPr="00373D6B" w:rsidTr="00A26D04">
        <w:tc>
          <w:tcPr>
            <w:cnfStyle w:val="001000000000" w:firstRow="0" w:lastRow="0" w:firstColumn="1" w:lastColumn="0" w:oddVBand="0" w:evenVBand="0" w:oddHBand="0" w:evenHBand="0" w:firstRowFirstColumn="0" w:firstRowLastColumn="0" w:lastRowFirstColumn="0" w:lastRowLastColumn="0"/>
            <w:tcW w:w="4365" w:type="dxa"/>
            <w:tcBorders>
              <w:top w:val="nil"/>
              <w:left w:val="nil"/>
              <w:bottom w:val="nil"/>
              <w:right w:val="nil"/>
            </w:tcBorders>
          </w:tcPr>
          <w:p w:rsidR="00A46DCA" w:rsidRPr="00373D6B" w:rsidRDefault="00A46DCA" w:rsidP="00A26D04">
            <w:pPr>
              <w:keepLines w:val="0"/>
              <w:autoSpaceDE w:val="0"/>
              <w:autoSpaceDN w:val="0"/>
              <w:adjustRightInd w:val="0"/>
              <w:rPr>
                <w:rFonts w:eastAsiaTheme="minorEastAsia" w:cs="Calibri"/>
                <w:color w:val="000000"/>
                <w:szCs w:val="18"/>
                <w:lang w:eastAsia="en-AU"/>
              </w:rPr>
            </w:pPr>
            <w:r w:rsidRPr="00373D6B">
              <w:rPr>
                <w:rFonts w:eastAsiaTheme="minorEastAsia" w:cs="Calibri"/>
                <w:color w:val="000000"/>
                <w:szCs w:val="18"/>
                <w:lang w:eastAsia="en-AU"/>
              </w:rPr>
              <w:t xml:space="preserve">Other movements </w:t>
            </w:r>
          </w:p>
        </w:tc>
        <w:tc>
          <w:tcPr>
            <w:tcW w:w="850" w:type="dxa"/>
            <w:tcBorders>
              <w:top w:val="nil"/>
              <w:left w:val="nil"/>
              <w:bottom w:val="nil"/>
              <w:right w:val="nil"/>
            </w:tcBorders>
          </w:tcPr>
          <w:p w:rsidR="00A46DCA" w:rsidRPr="00373D6B"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73D6B">
              <w:rPr>
                <w:rFonts w:eastAsiaTheme="minorEastAsia" w:cs="Calibri"/>
                <w:color w:val="000000"/>
                <w:szCs w:val="18"/>
                <w:lang w:eastAsia="en-AU"/>
              </w:rPr>
              <w:t>2 954</w:t>
            </w:r>
          </w:p>
        </w:tc>
        <w:tc>
          <w:tcPr>
            <w:tcW w:w="850" w:type="dxa"/>
            <w:tcBorders>
              <w:top w:val="nil"/>
              <w:left w:val="nil"/>
              <w:bottom w:val="nil"/>
              <w:right w:val="nil"/>
            </w:tcBorders>
          </w:tcPr>
          <w:p w:rsidR="00A46DCA" w:rsidRPr="00373D6B"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73D6B">
              <w:rPr>
                <w:rFonts w:eastAsiaTheme="minorEastAsia" w:cs="Calibri"/>
                <w:color w:val="000000"/>
                <w:szCs w:val="18"/>
                <w:lang w:eastAsia="en-AU"/>
              </w:rPr>
              <w:t>1 700</w:t>
            </w:r>
          </w:p>
        </w:tc>
        <w:tc>
          <w:tcPr>
            <w:tcW w:w="850" w:type="dxa"/>
            <w:tcBorders>
              <w:top w:val="nil"/>
              <w:left w:val="nil"/>
              <w:bottom w:val="nil"/>
              <w:right w:val="nil"/>
            </w:tcBorders>
          </w:tcPr>
          <w:p w:rsidR="00A46DCA" w:rsidRPr="00373D6B"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73D6B">
              <w:rPr>
                <w:rFonts w:eastAsiaTheme="minorEastAsia" w:cs="Calibri"/>
                <w:color w:val="000000"/>
                <w:szCs w:val="18"/>
                <w:lang w:eastAsia="en-AU"/>
              </w:rPr>
              <w:t>1 564</w:t>
            </w:r>
          </w:p>
        </w:tc>
        <w:tc>
          <w:tcPr>
            <w:tcW w:w="850" w:type="dxa"/>
            <w:tcBorders>
              <w:top w:val="nil"/>
              <w:left w:val="nil"/>
              <w:bottom w:val="nil"/>
              <w:right w:val="nil"/>
            </w:tcBorders>
          </w:tcPr>
          <w:p w:rsidR="00A46DCA" w:rsidRPr="00373D6B"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73D6B">
              <w:rPr>
                <w:rFonts w:eastAsiaTheme="minorEastAsia" w:cs="Calibri"/>
                <w:color w:val="000000"/>
                <w:szCs w:val="18"/>
                <w:lang w:eastAsia="en-AU"/>
              </w:rPr>
              <w:t>1 627</w:t>
            </w:r>
          </w:p>
        </w:tc>
      </w:tr>
      <w:tr w:rsidR="00A46DCA" w:rsidRPr="00373D6B" w:rsidTr="00A26D04">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5" w:type="dxa"/>
            <w:tcBorders>
              <w:top w:val="single" w:sz="6" w:space="0" w:color="000000"/>
              <w:bottom w:val="single" w:sz="12" w:space="0" w:color="000000"/>
            </w:tcBorders>
          </w:tcPr>
          <w:p w:rsidR="00A46DCA" w:rsidRPr="00373D6B" w:rsidRDefault="00A46DCA" w:rsidP="00A26D04">
            <w:pPr>
              <w:keepLines w:val="0"/>
              <w:autoSpaceDE w:val="0"/>
              <w:autoSpaceDN w:val="0"/>
              <w:adjustRightInd w:val="0"/>
              <w:rPr>
                <w:rFonts w:eastAsiaTheme="minorEastAsia" w:cs="Calibri"/>
                <w:bCs/>
                <w:color w:val="000000"/>
                <w:szCs w:val="18"/>
                <w:lang w:eastAsia="en-AU"/>
              </w:rPr>
            </w:pPr>
            <w:r w:rsidRPr="00373D6B">
              <w:rPr>
                <w:rFonts w:eastAsiaTheme="minorEastAsia" w:cs="Calibri"/>
                <w:bCs/>
                <w:color w:val="000000"/>
                <w:szCs w:val="18"/>
                <w:lang w:eastAsia="en-AU"/>
              </w:rPr>
              <w:t>Decrease/(increase) in net debt</w:t>
            </w:r>
          </w:p>
        </w:tc>
        <w:tc>
          <w:tcPr>
            <w:tcW w:w="850" w:type="dxa"/>
            <w:tcBorders>
              <w:top w:val="single" w:sz="6" w:space="0" w:color="000000"/>
              <w:bottom w:val="single" w:sz="12" w:space="0" w:color="000000"/>
            </w:tcBorders>
          </w:tcPr>
          <w:p w:rsidR="00A46DCA" w:rsidRPr="00373D6B" w:rsidRDefault="00A46DCA" w:rsidP="00A26D0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Pr>
                <w:rFonts w:eastAsiaTheme="minorEastAsia" w:cs="Calibri"/>
                <w:bCs/>
                <w:color w:val="000000"/>
                <w:szCs w:val="18"/>
                <w:lang w:eastAsia="en-AU"/>
              </w:rPr>
              <w:t>(5 872)</w:t>
            </w:r>
          </w:p>
        </w:tc>
        <w:tc>
          <w:tcPr>
            <w:tcW w:w="850" w:type="dxa"/>
            <w:tcBorders>
              <w:top w:val="single" w:sz="6" w:space="0" w:color="000000"/>
              <w:bottom w:val="single" w:sz="12" w:space="0" w:color="000000"/>
            </w:tcBorders>
          </w:tcPr>
          <w:p w:rsidR="00A46DCA" w:rsidRPr="00373D6B" w:rsidRDefault="00A46DCA" w:rsidP="00A26D0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Pr>
                <w:rFonts w:eastAsiaTheme="minorEastAsia" w:cs="Calibri"/>
                <w:bCs/>
                <w:color w:val="000000"/>
                <w:szCs w:val="18"/>
                <w:lang w:eastAsia="en-AU"/>
              </w:rPr>
              <w:t>(2 002)</w:t>
            </w:r>
          </w:p>
        </w:tc>
        <w:tc>
          <w:tcPr>
            <w:tcW w:w="850" w:type="dxa"/>
            <w:tcBorders>
              <w:top w:val="single" w:sz="6" w:space="0" w:color="000000"/>
              <w:bottom w:val="single" w:sz="12" w:space="0" w:color="000000"/>
            </w:tcBorders>
          </w:tcPr>
          <w:p w:rsidR="00A46DCA" w:rsidRPr="00373D6B" w:rsidRDefault="00A46DCA" w:rsidP="00A26D0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Pr>
                <w:rFonts w:eastAsiaTheme="minorEastAsia" w:cs="Calibri"/>
                <w:bCs/>
                <w:color w:val="000000"/>
                <w:szCs w:val="18"/>
                <w:lang w:eastAsia="en-AU"/>
              </w:rPr>
              <w:t>(2 456)</w:t>
            </w:r>
          </w:p>
        </w:tc>
        <w:tc>
          <w:tcPr>
            <w:tcW w:w="850" w:type="dxa"/>
            <w:tcBorders>
              <w:top w:val="single" w:sz="6" w:space="0" w:color="000000"/>
              <w:bottom w:val="single" w:sz="12" w:space="0" w:color="000000"/>
            </w:tcBorders>
          </w:tcPr>
          <w:p w:rsidR="00A46DCA" w:rsidRPr="00373D6B" w:rsidRDefault="00A46DCA" w:rsidP="00A26D0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Pr>
                <w:rFonts w:eastAsiaTheme="minorEastAsia" w:cs="Calibri"/>
                <w:bCs/>
                <w:color w:val="000000"/>
                <w:szCs w:val="18"/>
                <w:lang w:eastAsia="en-AU"/>
              </w:rPr>
              <w:t>(2 147)</w:t>
            </w:r>
          </w:p>
        </w:tc>
      </w:tr>
    </w:tbl>
    <w:p w:rsidR="00A46DCA" w:rsidRDefault="00A46DCA" w:rsidP="00A26D04">
      <w:pPr>
        <w:pStyle w:val="Source"/>
      </w:pPr>
      <w:r>
        <w:t>S</w:t>
      </w:r>
      <w:r w:rsidRPr="002E2383">
        <w:t>ource: Department of Treasury and Finance</w:t>
      </w:r>
    </w:p>
    <w:p w:rsidR="00A46DCA" w:rsidRPr="001B3FC5" w:rsidRDefault="00A46DCA" w:rsidP="00A26D04">
      <w:pPr>
        <w:pStyle w:val="Note"/>
      </w:pPr>
      <w:r w:rsidRPr="001B3FC5">
        <w:t>Notes:</w:t>
      </w:r>
    </w:p>
    <w:p w:rsidR="00A46DCA" w:rsidRPr="001B3FC5" w:rsidRDefault="00A46DCA" w:rsidP="00A26D04">
      <w:pPr>
        <w:pStyle w:val="Note"/>
      </w:pPr>
      <w:r w:rsidRPr="001B3FC5">
        <w:t xml:space="preserve">(a) </w:t>
      </w:r>
      <w:r w:rsidRPr="001B3FC5">
        <w:tab/>
      </w:r>
      <w:r>
        <w:t>Figures in this table are subject to rounding to the nearest million and may not add up to totals.</w:t>
      </w:r>
    </w:p>
    <w:p w:rsidR="00A46DCA" w:rsidRDefault="00A46DCA" w:rsidP="00A26D04">
      <w:pPr>
        <w:pStyle w:val="Note"/>
      </w:pPr>
      <w:r w:rsidRPr="001B3FC5">
        <w:t xml:space="preserve">(b) </w:t>
      </w:r>
      <w:r w:rsidRPr="001B3FC5">
        <w:tab/>
        <w:t>Includes depreciation, movements in the unfunded superannuation liability and liability for employee benefits.</w:t>
      </w:r>
    </w:p>
    <w:p w:rsidR="00A46DCA" w:rsidRDefault="00A46DCA" w:rsidP="00A26D04">
      <w:pPr>
        <w:pStyle w:val="Note"/>
      </w:pPr>
      <w:r w:rsidRPr="001B3FC5">
        <w:t>(</w:t>
      </w:r>
      <w:r>
        <w:t>c)</w:t>
      </w:r>
      <w:r w:rsidRPr="001B3FC5">
        <w:tab/>
        <w:t>Includes total purchases of plant, property and equipment, and capital contributions to other sectors of government net of proceeds from asset sales.</w:t>
      </w:r>
    </w:p>
    <w:p w:rsidR="00A46DCA" w:rsidRPr="00AD3172" w:rsidRDefault="00A46DCA" w:rsidP="00A26D04">
      <w:pPr>
        <w:pStyle w:val="Note"/>
      </w:pPr>
      <w:r w:rsidRPr="001B3FC5">
        <w:t>(</w:t>
      </w:r>
      <w:r>
        <w:t>d)</w:t>
      </w:r>
      <w:r w:rsidRPr="003103D0">
        <w:t xml:space="preserve"> </w:t>
      </w:r>
      <w:r>
        <w:tab/>
      </w:r>
      <w:r w:rsidRPr="00962243">
        <w:t>The 2017</w:t>
      </w:r>
      <w:r>
        <w:noBreakHyphen/>
      </w:r>
      <w:r w:rsidRPr="00962243">
        <w:t>18 estimate relates to the Ravenhall Prison project, the new Bendigo Hospital project (stage 2) and the New Schools PPP project (tranche 2). The 2018</w:t>
      </w:r>
      <w:r>
        <w:noBreakHyphen/>
      </w:r>
      <w:r w:rsidRPr="00962243">
        <w:t>19 and 2019</w:t>
      </w:r>
      <w:r>
        <w:noBreakHyphen/>
      </w:r>
      <w:r w:rsidRPr="00962243">
        <w:t>20 estimates relate t</w:t>
      </w:r>
      <w:r>
        <w:t>o the High Capacity Metro</w:t>
      </w:r>
      <w:r w:rsidRPr="00962243">
        <w:t xml:space="preserve"> Trains project. The 2020</w:t>
      </w:r>
      <w:r>
        <w:noBreakHyphen/>
      </w:r>
      <w:r w:rsidRPr="00962243">
        <w:t>21 estimates relate t</w:t>
      </w:r>
      <w:r>
        <w:t>o the High Capacity Metro</w:t>
      </w:r>
      <w:r w:rsidRPr="00962243">
        <w:t xml:space="preserve"> Trains project and </w:t>
      </w:r>
      <w:r>
        <w:t>Western Roads Upgrade.</w:t>
      </w:r>
    </w:p>
    <w:p w:rsidR="00A46DCA" w:rsidRDefault="00A46DCA" w:rsidP="00A26D04">
      <w:pPr>
        <w:pStyle w:val="Heading20"/>
      </w:pPr>
      <w:r>
        <w:t>Unfunded superannuation liability</w:t>
      </w:r>
    </w:p>
    <w:p w:rsidR="00A46DCA" w:rsidRPr="00DB74A9" w:rsidRDefault="00A46DCA" w:rsidP="00A26D04">
      <w:pPr>
        <w:rPr>
          <w:i/>
        </w:rPr>
      </w:pPr>
      <w:r w:rsidRPr="00165693">
        <w:t>The Government is on track to fully fund the State</w:t>
      </w:r>
      <w:r>
        <w:t>’</w:t>
      </w:r>
      <w:r w:rsidRPr="00165693">
        <w:t>s unfun</w:t>
      </w:r>
      <w:r>
        <w:t>ded superannuation liability by </w:t>
      </w:r>
      <w:r w:rsidRPr="00165693">
        <w:t xml:space="preserve">2035. </w:t>
      </w:r>
      <w:r>
        <w:t>Information on</w:t>
      </w:r>
      <w:r w:rsidRPr="00165693">
        <w:t xml:space="preserve"> </w:t>
      </w:r>
      <w:r>
        <w:t xml:space="preserve">the reported </w:t>
      </w:r>
      <w:r w:rsidRPr="00165693">
        <w:t xml:space="preserve">superannuation </w:t>
      </w:r>
      <w:r>
        <w:t>liability is shown in Note 4.6.3</w:t>
      </w:r>
      <w:r w:rsidRPr="00165693">
        <w:t xml:space="preserve"> of </w:t>
      </w:r>
      <w:r>
        <w:t>Chapter 4</w:t>
      </w:r>
      <w:r w:rsidRPr="00916A19">
        <w:t xml:space="preserve"> </w:t>
      </w:r>
      <w:r w:rsidRPr="00916A19">
        <w:rPr>
          <w:i/>
        </w:rPr>
        <w:t>Estimated financial statements and notes</w:t>
      </w:r>
      <w:r w:rsidRPr="00165693">
        <w:rPr>
          <w:i/>
        </w:rPr>
        <w:t>.</w:t>
      </w:r>
    </w:p>
    <w:p w:rsidR="00A46DCA" w:rsidRDefault="00A46DCA">
      <w:pPr>
        <w:keepLines w:val="0"/>
        <w:rPr>
          <w:rFonts w:asciiTheme="majorHAnsi" w:eastAsiaTheme="majorEastAsia" w:hAnsiTheme="majorHAnsi" w:cstheme="majorBidi"/>
          <w:b/>
          <w:bCs/>
          <w:caps/>
          <w:spacing w:val="-2"/>
          <w:sz w:val="26"/>
          <w:szCs w:val="28"/>
        </w:rPr>
      </w:pPr>
      <w:r>
        <w:br w:type="page"/>
      </w:r>
    </w:p>
    <w:p w:rsidR="00A46DCA" w:rsidRDefault="00A46DCA" w:rsidP="00A26D04">
      <w:pPr>
        <w:pStyle w:val="Heading10"/>
      </w:pPr>
      <w:bookmarkStart w:id="15" w:name="_Toc500179527"/>
      <w:bookmarkStart w:id="16" w:name="_Toc500435569"/>
      <w:r>
        <w:lastRenderedPageBreak/>
        <w:t>Fiscal risks</w:t>
      </w:r>
      <w:bookmarkEnd w:id="15"/>
      <w:bookmarkEnd w:id="16"/>
    </w:p>
    <w:p w:rsidR="00A46DCA" w:rsidRPr="007E4E2E" w:rsidRDefault="00A46DCA" w:rsidP="00A26D04">
      <w:r w:rsidRPr="007E4E2E">
        <w:t>This section contains a number of known risks, which if realised, are likely to impact on the State</w:t>
      </w:r>
      <w:r>
        <w:t>’</w:t>
      </w:r>
      <w:r w:rsidRPr="007E4E2E">
        <w:t xml:space="preserve">s financial position and budget outcomes. </w:t>
      </w:r>
    </w:p>
    <w:p w:rsidR="00A46DCA" w:rsidRPr="007E4E2E" w:rsidRDefault="00A46DCA" w:rsidP="00A26D04">
      <w:r w:rsidRPr="007E4E2E">
        <w:t>Details of specific contingent assets and liabilities, defined as possible assets or liabilities that arise from past events, whose existence will be confirmed only by the occurrence or non</w:t>
      </w:r>
      <w:r>
        <w:noBreakHyphen/>
      </w:r>
      <w:r w:rsidRPr="007E4E2E">
        <w:t xml:space="preserve">occurrence of one or more uncertain future events not wholly within the control of the entity, are contained within </w:t>
      </w:r>
      <w:r>
        <w:t>Chapter </w:t>
      </w:r>
      <w:r w:rsidRPr="007E4E2E">
        <w:t xml:space="preserve">6 </w:t>
      </w:r>
      <w:r w:rsidRPr="007E4E2E">
        <w:rPr>
          <w:i/>
        </w:rPr>
        <w:t>Contingent assets and contingent liabilities</w:t>
      </w:r>
      <w:r w:rsidRPr="007E4E2E">
        <w:t>.</w:t>
      </w:r>
    </w:p>
    <w:p w:rsidR="00A46DCA" w:rsidRPr="002D3FE4" w:rsidRDefault="00A46DCA" w:rsidP="00A26D04">
      <w:pPr>
        <w:pStyle w:val="Heading20"/>
      </w:pPr>
      <w:r w:rsidRPr="002D3FE4">
        <w:t>General fiscal risks</w:t>
      </w:r>
    </w:p>
    <w:p w:rsidR="00A46DCA" w:rsidRPr="00C01256" w:rsidRDefault="00A46DCA" w:rsidP="00A26D04">
      <w:pPr>
        <w:pStyle w:val="Heading30"/>
      </w:pPr>
      <w:r w:rsidRPr="00C01256">
        <w:t>State taxes</w:t>
      </w:r>
    </w:p>
    <w:p w:rsidR="00A46DCA" w:rsidRPr="0077327C" w:rsidRDefault="00A46DCA" w:rsidP="00A26D04">
      <w:r w:rsidRPr="0077327C">
        <w:t xml:space="preserve">State tax forecasts are primarily </w:t>
      </w:r>
      <w:r>
        <w:t xml:space="preserve">modelled </w:t>
      </w:r>
      <w:r w:rsidRPr="0077327C">
        <w:t xml:space="preserve">on </w:t>
      </w:r>
      <w:r>
        <w:t xml:space="preserve">the </w:t>
      </w:r>
      <w:r w:rsidRPr="0077327C">
        <w:t xml:space="preserve">relationships between taxation revenue and projected economic variables. As a result, the main source of risk to the taxation estimates are unforeseen changes in the economic outlook. </w:t>
      </w:r>
    </w:p>
    <w:p w:rsidR="00A46DCA" w:rsidRPr="0077327C" w:rsidRDefault="00A46DCA" w:rsidP="00A26D04">
      <w:r w:rsidRPr="0077327C">
        <w:t>Land transfer duty in particular is</w:t>
      </w:r>
      <w:r>
        <w:t xml:space="preserve"> subject to </w:t>
      </w:r>
      <w:r w:rsidRPr="0077327C">
        <w:t>unique risks. For example, the outlook for interest rates is a key driver of future revenue. The Reserve Bank of Australia is holding the official cash rate at historic lows, however, Australia</w:t>
      </w:r>
      <w:r>
        <w:t>’</w:t>
      </w:r>
      <w:r w:rsidRPr="0077327C">
        <w:t>s high level of household debt means there is greater sensitivity to cha</w:t>
      </w:r>
      <w:r>
        <w:t xml:space="preserve">nges in mortgage repayments. If </w:t>
      </w:r>
      <w:r w:rsidRPr="0077327C">
        <w:t xml:space="preserve">interest rates rise more quickly than currently expected, land transfer duty revenue will </w:t>
      </w:r>
      <w:r>
        <w:t xml:space="preserve">likely </w:t>
      </w:r>
      <w:r w:rsidRPr="0077327C">
        <w:t xml:space="preserve">be lower than forecast. </w:t>
      </w:r>
    </w:p>
    <w:p w:rsidR="00A46DCA" w:rsidRDefault="00A46DCA" w:rsidP="00A26D04">
      <w:pPr>
        <w:rPr>
          <w:rFonts w:ascii="Helv" w:hAnsi="Helv" w:cs="Helv"/>
          <w:color w:val="808080"/>
        </w:rPr>
      </w:pPr>
      <w:r w:rsidRPr="0077327C">
        <w:t>The fiscal implications of variations in economic parameters from forecasts are outlined in</w:t>
      </w:r>
      <w:r>
        <w:t xml:space="preserve"> further detail in Appendix </w:t>
      </w:r>
      <w:r w:rsidRPr="0077327C">
        <w:t xml:space="preserve">D </w:t>
      </w:r>
      <w:r w:rsidRPr="002D3FE4">
        <w:rPr>
          <w:i/>
        </w:rPr>
        <w:t>Sensitivity analysis</w:t>
      </w:r>
      <w:r w:rsidRPr="00D329F4">
        <w:rPr>
          <w:rFonts w:ascii="Helv" w:hAnsi="Helv" w:cs="Helv"/>
          <w:color w:val="808080"/>
        </w:rPr>
        <w:t>.</w:t>
      </w:r>
    </w:p>
    <w:p w:rsidR="00A46DCA" w:rsidRPr="00C01256" w:rsidRDefault="00A46DCA" w:rsidP="00A26D04">
      <w:pPr>
        <w:pStyle w:val="Heading30"/>
      </w:pPr>
      <w:r w:rsidRPr="00C01256">
        <w:t>Employee expenses</w:t>
      </w:r>
    </w:p>
    <w:p w:rsidR="00A46DCA" w:rsidRPr="00AD3172" w:rsidRDefault="00A46DCA" w:rsidP="00A26D04">
      <w:r w:rsidRPr="00821899">
        <w:t>Employee expenses are the State</w:t>
      </w:r>
      <w:r>
        <w:t>’s largest expense. The Government’s w</w:t>
      </w:r>
      <w:r w:rsidRPr="00821899">
        <w:t>ages policy sets the framework for enterprise agreement negotiations and in part contributes to the projection of employee expenses. The composition and profile of the workforce and rostering arrangements also contribute to the projection of employee expenses.</w:t>
      </w:r>
    </w:p>
    <w:p w:rsidR="00A46DCA" w:rsidRPr="002D3FE4" w:rsidRDefault="00A46DCA" w:rsidP="00A26D04">
      <w:pPr>
        <w:pStyle w:val="Heading30"/>
      </w:pPr>
      <w:r w:rsidRPr="002D3FE4">
        <w:t>Demand growth</w:t>
      </w:r>
    </w:p>
    <w:p w:rsidR="00A46DCA" w:rsidRPr="00821899" w:rsidRDefault="00A46DCA" w:rsidP="00A26D04">
      <w:r w:rsidRPr="00821899">
        <w:t>Another ke</w:t>
      </w:r>
      <w:r>
        <w:t>y risk is growth in demand for G</w:t>
      </w:r>
      <w:r w:rsidRPr="00821899">
        <w:t xml:space="preserve">overnment services exceeding current projections. This can occur, for example, as a result of higher than forecast population growth or expenditure in response to unforeseen events such as natural disasters, including bushfires and floods. </w:t>
      </w:r>
    </w:p>
    <w:p w:rsidR="00A46DCA" w:rsidRPr="00821899" w:rsidRDefault="00A46DCA" w:rsidP="00A26D04">
      <w:r w:rsidRPr="00821899">
        <w:t>The estimates incorporate contingency provisions to mitigate the impact of expenditure risks</w:t>
      </w:r>
      <w:r>
        <w:t>,</w:t>
      </w:r>
      <w:r w:rsidRPr="00821899">
        <w:t xml:space="preserve"> which may be realised during the </w:t>
      </w:r>
      <w:r>
        <w:t>next four years</w:t>
      </w:r>
      <w:r w:rsidRPr="00821899">
        <w:t xml:space="preserve">. The contingency provisions are designed to </w:t>
      </w:r>
      <w:r>
        <w:t>allow for</w:t>
      </w:r>
      <w:r w:rsidRPr="00821899">
        <w:t xml:space="preserve"> the likely growth in Victoria</w:t>
      </w:r>
      <w:r>
        <w:t>’</w:t>
      </w:r>
      <w:r w:rsidRPr="00821899">
        <w:t>s population and</w:t>
      </w:r>
      <w:r>
        <w:t xml:space="preserve"> the</w:t>
      </w:r>
      <w:r w:rsidRPr="00821899">
        <w:t xml:space="preserve"> consequent derived demand for government services.</w:t>
      </w:r>
    </w:p>
    <w:p w:rsidR="00A46DCA" w:rsidRPr="00AD3172" w:rsidRDefault="00A46DCA" w:rsidP="00A26D04">
      <w:r>
        <w:t>D</w:t>
      </w:r>
      <w:r w:rsidRPr="00D521E9">
        <w:t>isclosures of general government output and asset contingencies not allocated to de</w:t>
      </w:r>
      <w:r>
        <w:t>partments are shown in Note 4.3.5 and Note 4.3.6</w:t>
      </w:r>
      <w:r w:rsidRPr="00D521E9">
        <w:t xml:space="preserve"> of Chapter 4 </w:t>
      </w:r>
      <w:r w:rsidRPr="00D521E9">
        <w:rPr>
          <w:i/>
        </w:rPr>
        <w:t>Estimated financial statements and notes.</w:t>
      </w:r>
    </w:p>
    <w:p w:rsidR="00A46DCA" w:rsidRDefault="00A46DCA" w:rsidP="00A26D04">
      <w:pPr>
        <w:pStyle w:val="Heading20"/>
      </w:pPr>
      <w:r>
        <w:lastRenderedPageBreak/>
        <w:t>Specific fiscal risks</w:t>
      </w:r>
    </w:p>
    <w:p w:rsidR="00A46DCA" w:rsidRDefault="00A46DCA" w:rsidP="00A26D04">
      <w:pPr>
        <w:pStyle w:val="Heading30"/>
      </w:pPr>
      <w:r w:rsidRPr="00736373">
        <w:t>Natio</w:t>
      </w:r>
      <w:r>
        <w:t>nal Disability Insurance Scheme</w:t>
      </w:r>
    </w:p>
    <w:p w:rsidR="00A46DCA" w:rsidRDefault="00A46DCA" w:rsidP="00A26D04">
      <w:r w:rsidRPr="00FC018E">
        <w:t>Victoria commenced transition to the NDIS on 1</w:t>
      </w:r>
      <w:r>
        <w:t> </w:t>
      </w:r>
      <w:r w:rsidRPr="00FC018E">
        <w:t xml:space="preserve">July 2016 and is expected to reach full </w:t>
      </w:r>
      <w:r>
        <w:t xml:space="preserve">roll out </w:t>
      </w:r>
      <w:r w:rsidRPr="00FC018E">
        <w:t>across the State by July 2019. Once fully implemented, Victoria</w:t>
      </w:r>
      <w:r>
        <w:t>’</w:t>
      </w:r>
      <w:r w:rsidRPr="00FC018E">
        <w:t>s investment in the NDIS will be an estimated $2.5</w:t>
      </w:r>
      <w:r>
        <w:t> </w:t>
      </w:r>
      <w:r w:rsidRPr="00FC018E">
        <w:t>billion a year, with the Commonwealth estimated to provide $2.6 billion a year for Victorians. The Productivity Commission</w:t>
      </w:r>
      <w:r>
        <w:t>’</w:t>
      </w:r>
      <w:r w:rsidRPr="00FC018E">
        <w:t xml:space="preserve">s review of NDIS costs will inform the future of the scheme including the </w:t>
      </w:r>
      <w:r>
        <w:t>s</w:t>
      </w:r>
      <w:r w:rsidRPr="00FC018E">
        <w:t>tates/</w:t>
      </w:r>
      <w:r>
        <w:t>t</w:t>
      </w:r>
      <w:r w:rsidRPr="00FC018E">
        <w:t>erritories and Commonwealth</w:t>
      </w:r>
      <w:r>
        <w:t>’s financial responsibility</w:t>
      </w:r>
      <w:r w:rsidRPr="00FC018E">
        <w:t xml:space="preserve"> for participant demand, cost overruns and market development. Victoria will work with the Commonwealth to monitor and manage any risks associated with transition.</w:t>
      </w:r>
    </w:p>
    <w:p w:rsidR="00A46DCA" w:rsidRDefault="00A46DCA" w:rsidP="00A26D04">
      <w:pPr>
        <w:pStyle w:val="Heading30"/>
      </w:pPr>
      <w:r w:rsidRPr="00736373">
        <w:t>Commonwealth schools funding</w:t>
      </w:r>
    </w:p>
    <w:p w:rsidR="00A46DCA" w:rsidRPr="00C01256" w:rsidRDefault="00A46DCA" w:rsidP="00A26D04">
      <w:r w:rsidRPr="002A21CA">
        <w:t>The Victorian Government has signed a one-year interim agreement with the Commonwealth to ensure funding is not at risk for schools for 2018.</w:t>
      </w:r>
      <w:r>
        <w:rPr>
          <w:rFonts w:ascii="Helv" w:hAnsi="Helv" w:cs="Helv"/>
          <w:color w:val="000000"/>
          <w:sz w:val="20"/>
          <w:szCs w:val="20"/>
        </w:rPr>
        <w:t xml:space="preserve"> </w:t>
      </w:r>
      <w:r w:rsidRPr="00C02CA4">
        <w:t xml:space="preserve">Commonwealth contributions to school education via </w:t>
      </w:r>
      <w:r>
        <w:t>Quality</w:t>
      </w:r>
      <w:r w:rsidRPr="00C02CA4">
        <w:t xml:space="preserve"> Schools funding is y</w:t>
      </w:r>
      <w:r>
        <w:t>et to be determined for the 2019</w:t>
      </w:r>
      <w:r w:rsidRPr="00C02CA4">
        <w:t xml:space="preserve"> school year onwards. </w:t>
      </w:r>
      <w:r>
        <w:t>T</w:t>
      </w:r>
      <w:r w:rsidRPr="00C02CA4">
        <w:t>he quantum and conditions of funding are dependent on formal negotiations between t</w:t>
      </w:r>
      <w:r>
        <w:t>he Commonwealth, the states and the non</w:t>
      </w:r>
      <w:r>
        <w:noBreakHyphen/>
      </w:r>
      <w:r w:rsidRPr="00C02CA4">
        <w:t>government schools sector.</w:t>
      </w:r>
    </w:p>
    <w:p w:rsidR="00A46DCA" w:rsidRDefault="00A46DCA" w:rsidP="00A26D04">
      <w:pPr>
        <w:pStyle w:val="Heading30"/>
      </w:pPr>
      <w:r w:rsidRPr="00736373">
        <w:t>Universal Access to Early Childhood Education</w:t>
      </w:r>
    </w:p>
    <w:p w:rsidR="00A46DCA" w:rsidRDefault="00A46DCA" w:rsidP="00A26D04">
      <w:pPr>
        <w:pStyle w:val="Heading4"/>
        <w:rPr>
          <w:rFonts w:asciiTheme="minorHAnsi" w:eastAsiaTheme="minorHAnsi" w:hAnsiTheme="minorHAnsi" w:cstheme="minorBidi"/>
          <w:i w:val="0"/>
          <w:iCs w:val="0"/>
          <w:szCs w:val="22"/>
        </w:rPr>
      </w:pPr>
      <w:r w:rsidRPr="00DA7FB7">
        <w:rPr>
          <w:rFonts w:asciiTheme="minorHAnsi" w:eastAsiaTheme="minorHAnsi" w:hAnsiTheme="minorHAnsi" w:cstheme="minorBidi"/>
          <w:i w:val="0"/>
          <w:iCs w:val="0"/>
          <w:szCs w:val="22"/>
        </w:rPr>
        <w:t>The Commonwealth</w:t>
      </w:r>
      <w:r>
        <w:rPr>
          <w:rFonts w:asciiTheme="minorHAnsi" w:eastAsiaTheme="minorHAnsi" w:hAnsiTheme="minorHAnsi" w:cstheme="minorBidi"/>
          <w:i w:val="0"/>
          <w:iCs w:val="0"/>
          <w:szCs w:val="22"/>
        </w:rPr>
        <w:t>’</w:t>
      </w:r>
      <w:r w:rsidRPr="00DA7FB7">
        <w:rPr>
          <w:rFonts w:asciiTheme="minorHAnsi" w:eastAsiaTheme="minorHAnsi" w:hAnsiTheme="minorHAnsi" w:cstheme="minorBidi"/>
          <w:i w:val="0"/>
          <w:iCs w:val="0"/>
          <w:szCs w:val="22"/>
        </w:rPr>
        <w:t xml:space="preserve">s financial contribution to assist </w:t>
      </w:r>
      <w:r>
        <w:rPr>
          <w:rFonts w:asciiTheme="minorHAnsi" w:eastAsiaTheme="minorHAnsi" w:hAnsiTheme="minorHAnsi" w:cstheme="minorBidi"/>
          <w:i w:val="0"/>
          <w:iCs w:val="0"/>
          <w:szCs w:val="22"/>
        </w:rPr>
        <w:t>the S</w:t>
      </w:r>
      <w:r w:rsidRPr="00DA7FB7">
        <w:rPr>
          <w:rFonts w:asciiTheme="minorHAnsi" w:eastAsiaTheme="minorHAnsi" w:hAnsiTheme="minorHAnsi" w:cstheme="minorBidi"/>
          <w:i w:val="0"/>
          <w:iCs w:val="0"/>
          <w:szCs w:val="22"/>
        </w:rPr>
        <w:t>tates in providing 15 hours per week of preschool support per student is supplied under the National Partnership Agreement on Universal Access to Early Childhood Education. Funding under this agreement is due to cease on 31 December 2018, with ongoing Commonwealth funding uncertain.</w:t>
      </w:r>
    </w:p>
    <w:p w:rsidR="00A46DCA" w:rsidRPr="001B2211" w:rsidRDefault="00A46DCA" w:rsidP="00A26D04">
      <w:pPr>
        <w:pStyle w:val="Heading30"/>
      </w:pPr>
      <w:r w:rsidRPr="001B2211">
        <w:t>National Health Reform</w:t>
      </w:r>
    </w:p>
    <w:p w:rsidR="00A46DCA" w:rsidRPr="00FC018E" w:rsidRDefault="00A46DCA" w:rsidP="00A26D04">
      <w:r w:rsidRPr="00FC018E">
        <w:t>Under the National Health Reform Agreement (NHRA), Commonwealth growth funding is derived from a complex model based on the number of procedures delivered (activity) and an efficient price determined by an independent administrator.</w:t>
      </w:r>
    </w:p>
    <w:p w:rsidR="00A46DCA" w:rsidRPr="00FC018E" w:rsidRDefault="00A46DCA" w:rsidP="00A26D04">
      <w:r w:rsidRPr="00FC018E">
        <w:t xml:space="preserve">These arrangements were scheduled to cease from 1 July 2017, however, in April 2016 the Commonwealth agreed to continue the NHRA from 1 July 2017 until 30 June 2020. Conditions attached to the </w:t>
      </w:r>
      <w:r>
        <w:t>A</w:t>
      </w:r>
      <w:r w:rsidRPr="00FC018E">
        <w:t xml:space="preserve">greement may increase fiscal </w:t>
      </w:r>
      <w:r>
        <w:t>exposure</w:t>
      </w:r>
      <w:r w:rsidRPr="00FC018E">
        <w:t xml:space="preserve"> for the State and include:</w:t>
      </w:r>
    </w:p>
    <w:p w:rsidR="00A46DCA" w:rsidRPr="00FC018E" w:rsidRDefault="00A46DCA" w:rsidP="00A26D04">
      <w:pPr>
        <w:pStyle w:val="ListBullet"/>
      </w:pPr>
      <w:r w:rsidRPr="00FC018E">
        <w:t xml:space="preserve">a national cap on Commonwealth annual expenditure growth of 6.5 per cent (above which the State </w:t>
      </w:r>
      <w:r>
        <w:t>will be required to</w:t>
      </w:r>
      <w:r w:rsidRPr="00FC018E">
        <w:t xml:space="preserve"> fund all hospital activity);</w:t>
      </w:r>
    </w:p>
    <w:p w:rsidR="00A46DCA" w:rsidRPr="00FC018E" w:rsidRDefault="00A46DCA" w:rsidP="00A26D04">
      <w:pPr>
        <w:pStyle w:val="ListBullet"/>
      </w:pPr>
      <w:r w:rsidRPr="00FC018E">
        <w:t>reduced funding to the State for avoidable hospital admissions or unsafe care; and</w:t>
      </w:r>
    </w:p>
    <w:p w:rsidR="00A46DCA" w:rsidRPr="00FC018E" w:rsidRDefault="00A46DCA" w:rsidP="00A26D04">
      <w:pPr>
        <w:pStyle w:val="ListBullet"/>
      </w:pPr>
      <w:r w:rsidRPr="00FC018E">
        <w:t>the Commonwealth withholding funds until hospital activity data is provided.</w:t>
      </w:r>
    </w:p>
    <w:p w:rsidR="00A46DCA" w:rsidRPr="001B6E0D" w:rsidRDefault="00A46DCA" w:rsidP="00A26D04">
      <w:r>
        <w:t>The State has engaged in</w:t>
      </w:r>
      <w:r w:rsidRPr="00FC018E">
        <w:t xml:space="preserve"> e</w:t>
      </w:r>
      <w:r>
        <w:t>arly negotiations with the Commonwealth on</w:t>
      </w:r>
      <w:r w:rsidRPr="00FC018E">
        <w:t xml:space="preserve"> the next national health agreeme</w:t>
      </w:r>
      <w:r>
        <w:t>nt to commence from July 2020.</w:t>
      </w:r>
    </w:p>
    <w:p w:rsidR="00A46DCA" w:rsidRPr="00C7569D" w:rsidRDefault="00A46DCA" w:rsidP="00A26D04">
      <w:pPr>
        <w:pStyle w:val="Heading30"/>
      </w:pPr>
      <w:r w:rsidRPr="00C7569D">
        <w:lastRenderedPageBreak/>
        <w:t>Victoria</w:t>
      </w:r>
      <w:r>
        <w:t>’</w:t>
      </w:r>
      <w:r w:rsidRPr="00C7569D">
        <w:t>s GST revenue</w:t>
      </w:r>
    </w:p>
    <w:p w:rsidR="00A46DCA" w:rsidRPr="00C7569D" w:rsidRDefault="00A46DCA" w:rsidP="00A26D04">
      <w:r w:rsidRPr="00C7569D">
        <w:t>The distribution of GST grants between states and territories is determined by the size of the national GST pool and each jurisdiction</w:t>
      </w:r>
      <w:r>
        <w:t>’</w:t>
      </w:r>
      <w:r w:rsidRPr="00C7569D">
        <w:t>s population share weighted by its GST relativity. Revenue sharing relativities are determined by the Commonwealth Treasurer, as informed by the recommendations of the Commonwealth Grants Commission.</w:t>
      </w:r>
      <w:r w:rsidRPr="0049107A">
        <w:t xml:space="preserve"> </w:t>
      </w:r>
      <w:r w:rsidRPr="0049107A">
        <w:rPr>
          <w:iCs/>
        </w:rPr>
        <w:t>The Productivity Commission is currently undertaking an inquiry into Australia</w:t>
      </w:r>
      <w:r>
        <w:rPr>
          <w:iCs/>
        </w:rPr>
        <w:t>’</w:t>
      </w:r>
      <w:r w:rsidRPr="0049107A">
        <w:rPr>
          <w:iCs/>
        </w:rPr>
        <w:t>s system of horizontal fiscal equalisation (HFE) with the final report expected to be handed to the Commonwealth Government by 31 January 2018. The Commonwealth Government</w:t>
      </w:r>
      <w:r>
        <w:rPr>
          <w:iCs/>
        </w:rPr>
        <w:t>’</w:t>
      </w:r>
      <w:r w:rsidRPr="0049107A">
        <w:rPr>
          <w:iCs/>
        </w:rPr>
        <w:t>s response to the inquiry may have implications for the distribution of GST revenue to the states and territories</w:t>
      </w:r>
      <w:r w:rsidRPr="004B1A1C">
        <w:rPr>
          <w:i/>
          <w:iCs/>
        </w:rPr>
        <w:t>.</w:t>
      </w:r>
      <w:r>
        <w:rPr>
          <w:i/>
          <w:iCs/>
        </w:rPr>
        <w:t xml:space="preserve"> </w:t>
      </w:r>
      <w:r w:rsidRPr="00BE2DD4">
        <w:rPr>
          <w:iCs/>
        </w:rPr>
        <w:t>For example, under one approach proposed by the Productivity Commission, it is estimated that Victoria</w:t>
      </w:r>
      <w:r>
        <w:rPr>
          <w:iCs/>
        </w:rPr>
        <w:t>’</w:t>
      </w:r>
      <w:r w:rsidRPr="00BE2DD4">
        <w:rPr>
          <w:iCs/>
        </w:rPr>
        <w:t>s GST payments would re</w:t>
      </w:r>
      <w:r>
        <w:rPr>
          <w:iCs/>
        </w:rPr>
        <w:t>duce by $972 million in 2017-18, with an ongoing impact in future years.</w:t>
      </w:r>
    </w:p>
    <w:p w:rsidR="00A46DCA" w:rsidRPr="00C7569D" w:rsidRDefault="00A46DCA" w:rsidP="00A26D04">
      <w:r w:rsidRPr="00C7569D">
        <w:t>There are three specific risks to Victoria</w:t>
      </w:r>
      <w:r>
        <w:t>’</w:t>
      </w:r>
      <w:r w:rsidRPr="00C7569D">
        <w:t>s GST revenue:</w:t>
      </w:r>
    </w:p>
    <w:p w:rsidR="00A46DCA" w:rsidRPr="00C7569D" w:rsidRDefault="00A46DCA" w:rsidP="00A26D04">
      <w:pPr>
        <w:pStyle w:val="ListBullet"/>
      </w:pPr>
      <w:r>
        <w:t>t</w:t>
      </w:r>
      <w:r w:rsidRPr="00C7569D">
        <w:t>he outlook for the national GST pool reflects current expectations of a return to trend in nominal consumption growth over the next four years, with steady recoveries in growth in consumer prices and incomes. This is expected to be accompanied by lower dwelling investment in 2018-19. If consumer prices and wages growth do not pick up</w:t>
      </w:r>
      <w:r>
        <w:t xml:space="preserve"> as forecast, or</w:t>
      </w:r>
      <w:r w:rsidRPr="00C7569D">
        <w:t xml:space="preserve"> </w:t>
      </w:r>
      <w:r>
        <w:t xml:space="preserve">the growth in </w:t>
      </w:r>
      <w:r w:rsidRPr="00C7569D">
        <w:t xml:space="preserve">dwelling investment is </w:t>
      </w:r>
      <w:r>
        <w:t>slower</w:t>
      </w:r>
      <w:r w:rsidRPr="00C7569D">
        <w:t xml:space="preserve"> than expected, there is a risk that the GST pool could grow more slowly than anticipated. Movements in the household savings ratio are also a key source of uncertainty for consumer spending and the GST pool outlook;</w:t>
      </w:r>
    </w:p>
    <w:p w:rsidR="00A46DCA" w:rsidRPr="00C7569D" w:rsidRDefault="00A46DCA" w:rsidP="00A26D04">
      <w:pPr>
        <w:pStyle w:val="ListBullet"/>
      </w:pPr>
      <w:r w:rsidRPr="00C7569D">
        <w:t>Victoria</w:t>
      </w:r>
      <w:r>
        <w:t>’</w:t>
      </w:r>
      <w:r w:rsidRPr="00C7569D">
        <w:t>s population growth rate relative to the national average can have a significant impact on Victoria</w:t>
      </w:r>
      <w:r>
        <w:t>’</w:t>
      </w:r>
      <w:r w:rsidRPr="00C7569D">
        <w:t>s share of the national GST pool. Victoria</w:t>
      </w:r>
      <w:r>
        <w:t>’</w:t>
      </w:r>
      <w:r w:rsidRPr="00C7569D">
        <w:t>s population growth is currently the highest in the nation, driven by strong employment growth. If Victoria</w:t>
      </w:r>
      <w:r>
        <w:t>’</w:t>
      </w:r>
      <w:r w:rsidRPr="00C7569D">
        <w:t>s net overseas or interstate migration is hig</w:t>
      </w:r>
      <w:r>
        <w:t xml:space="preserve">her than forecast, </w:t>
      </w:r>
      <w:r w:rsidRPr="00C7569D">
        <w:t>Victoria</w:t>
      </w:r>
      <w:r>
        <w:t>’</w:t>
      </w:r>
      <w:r w:rsidRPr="00C7569D">
        <w:t>s share of GST revenue</w:t>
      </w:r>
      <w:r>
        <w:t xml:space="preserve"> would</w:t>
      </w:r>
      <w:r w:rsidRPr="00C7569D">
        <w:t xml:space="preserve"> increase</w:t>
      </w:r>
      <w:r>
        <w:t xml:space="preserve">. </w:t>
      </w:r>
      <w:r w:rsidRPr="00EA403A">
        <w:t>Conversely, other states</w:t>
      </w:r>
      <w:r>
        <w:t>’</w:t>
      </w:r>
      <w:r w:rsidRPr="00EA403A">
        <w:t xml:space="preserve"> higher than expected net overseas or interstate migration would negatively affect Victoria</w:t>
      </w:r>
      <w:r>
        <w:t xml:space="preserve">’s GST revenue; </w:t>
      </w:r>
      <w:r w:rsidRPr="00C7569D">
        <w:t>and</w:t>
      </w:r>
    </w:p>
    <w:p w:rsidR="00A46DCA" w:rsidRDefault="00A46DCA" w:rsidP="00A26D04">
      <w:pPr>
        <w:pStyle w:val="ListBullet"/>
      </w:pPr>
      <w:r w:rsidRPr="00C7569D">
        <w:t xml:space="preserve">mining royalties are an important driver for the </w:t>
      </w:r>
      <w:r>
        <w:t xml:space="preserve">annual </w:t>
      </w:r>
      <w:r w:rsidRPr="00C7569D">
        <w:t>per capita relativities of each jurisdiction over the following three years. Royalty revenue is influenced by commodity prices, the value of the Australian dollar and production and export volumes. Variation in prices relative to current forecasts, particularly in iron ore and coal, pose a risk for Victoria</w:t>
      </w:r>
      <w:r>
        <w:t>’</w:t>
      </w:r>
      <w:r w:rsidRPr="00C7569D">
        <w:t>s GST revenue.</w:t>
      </w:r>
    </w:p>
    <w:p w:rsidR="00A46DCA" w:rsidRDefault="00A46DCA">
      <w:pPr>
        <w:keepLines w:val="0"/>
        <w:rPr>
          <w:rFonts w:asciiTheme="majorHAnsi" w:eastAsiaTheme="majorEastAsia" w:hAnsiTheme="majorHAnsi" w:cstheme="majorBidi"/>
          <w:b/>
          <w:bCs/>
          <w:caps/>
          <w:spacing w:val="-2"/>
          <w:sz w:val="26"/>
          <w:szCs w:val="28"/>
        </w:rPr>
      </w:pPr>
      <w:r>
        <w:br w:type="page"/>
      </w:r>
    </w:p>
    <w:p w:rsidR="00A46DCA" w:rsidRDefault="00A46DCA" w:rsidP="00A26D04">
      <w:pPr>
        <w:pStyle w:val="Heading10"/>
      </w:pPr>
      <w:bookmarkStart w:id="17" w:name="_Toc500435570"/>
      <w:r w:rsidRPr="006A7C8A">
        <w:rPr>
          <w:caps w:val="0"/>
        </w:rPr>
        <w:lastRenderedPageBreak/>
        <w:t>Non</w:t>
      </w:r>
      <w:r w:rsidRPr="006A7C8A">
        <w:rPr>
          <w:caps w:val="0"/>
        </w:rPr>
        <w:noBreakHyphen/>
      </w:r>
      <w:r>
        <w:rPr>
          <w:caps w:val="0"/>
        </w:rPr>
        <w:t>financial public sector</w:t>
      </w:r>
      <w:bookmarkEnd w:id="17"/>
    </w:p>
    <w:p w:rsidR="00A46DCA" w:rsidRDefault="00A46DCA" w:rsidP="00A26D04">
      <w:r>
        <w:t xml:space="preserve">This section overviews the NFP sector, which consolidates the PNFC and general government sectors. The PNFC sector comprise of entities that provide services primarily funded from user charges and fees. The largest PNFCs provide water, housing and transport services. The debt level of the NFP sector is an important measure of the State’s financial sustainability that supports the State’s </w:t>
      </w:r>
      <w:r w:rsidRPr="006A7C8A">
        <w:t>triple</w:t>
      </w:r>
      <w:r w:rsidRPr="006A7C8A">
        <w:noBreakHyphen/>
        <w:t>A</w:t>
      </w:r>
      <w:r>
        <w:t xml:space="preserve"> credit rating.</w:t>
      </w:r>
    </w:p>
    <w:p w:rsidR="00A46DCA" w:rsidRDefault="00A46DCA" w:rsidP="00A26D04">
      <w:pPr>
        <w:pStyle w:val="Heading20"/>
      </w:pPr>
      <w:r>
        <w:t>Summary operating statement</w:t>
      </w:r>
    </w:p>
    <w:p w:rsidR="00A46DCA" w:rsidRPr="00B6730C" w:rsidRDefault="00A46DCA" w:rsidP="00A26D04">
      <w:pPr>
        <w:pStyle w:val="TableHeading"/>
        <w:rPr>
          <w:bCs/>
          <w:lang w:val="en-US"/>
        </w:rPr>
      </w:pPr>
      <w:r>
        <w:t>Table 3.6:</w:t>
      </w:r>
      <w:r>
        <w:tab/>
        <w:t xml:space="preserve">Summary operating statement for the </w:t>
      </w:r>
      <w:r w:rsidRPr="006A7C8A">
        <w:t>non</w:t>
      </w:r>
      <w:r w:rsidRPr="006A7C8A">
        <w:noBreakHyphen/>
      </w:r>
      <w:r>
        <w:t xml:space="preserve">financial public sector </w:t>
      </w:r>
      <w:r w:rsidRPr="00D3308C">
        <w:rPr>
          <w:vertAlign w:val="superscript"/>
        </w:rPr>
        <w:t>(a)</w:t>
      </w:r>
      <w:r w:rsidRPr="00D3308C">
        <w:tab/>
        <w:t>($ million)</w:t>
      </w:r>
    </w:p>
    <w:tbl>
      <w:tblPr>
        <w:tblStyle w:val="DTFTable"/>
        <w:tblW w:w="7765" w:type="dxa"/>
        <w:tblInd w:w="45" w:type="dxa"/>
        <w:tblLayout w:type="fixed"/>
        <w:tblCellMar>
          <w:left w:w="45" w:type="dxa"/>
          <w:right w:w="45" w:type="dxa"/>
        </w:tblCellMar>
        <w:tblLook w:val="06A0" w:firstRow="1" w:lastRow="0" w:firstColumn="1" w:lastColumn="0" w:noHBand="1" w:noVBand="1"/>
      </w:tblPr>
      <w:tblGrid>
        <w:gridCol w:w="4365"/>
        <w:gridCol w:w="850"/>
        <w:gridCol w:w="850"/>
        <w:gridCol w:w="850"/>
        <w:gridCol w:w="850"/>
      </w:tblGrid>
      <w:tr w:rsidR="00A26D04" w:rsidRPr="00B6730C" w:rsidTr="00996E49">
        <w:trPr>
          <w:cnfStyle w:val="100000000000" w:firstRow="1" w:lastRow="0" w:firstColumn="0" w:lastColumn="0" w:oddVBand="0" w:evenVBand="0" w:oddHBand="0" w:evenHBand="0" w:firstRowFirstColumn="0" w:firstRowLastColumn="0" w:lastRowFirstColumn="0" w:lastRowLastColumn="0"/>
          <w:trHeight w:val="132"/>
        </w:trPr>
        <w:tc>
          <w:tcPr>
            <w:cnfStyle w:val="001000000000" w:firstRow="0" w:lastRow="0" w:firstColumn="1" w:lastColumn="0" w:oddVBand="0" w:evenVBand="0" w:oddHBand="0" w:evenHBand="0" w:firstRowFirstColumn="0" w:firstRowLastColumn="0" w:lastRowFirstColumn="0" w:lastRowLastColumn="0"/>
            <w:tcW w:w="4365" w:type="dxa"/>
            <w:tcBorders>
              <w:top w:val="nil"/>
              <w:left w:val="nil"/>
              <w:right w:val="nil"/>
            </w:tcBorders>
            <w:shd w:val="solid" w:color="000000" w:fill="auto"/>
          </w:tcPr>
          <w:p w:rsidR="00A26D04" w:rsidRPr="00B6730C" w:rsidRDefault="00A26D04" w:rsidP="00A26D04">
            <w:pPr>
              <w:autoSpaceDE w:val="0"/>
              <w:autoSpaceDN w:val="0"/>
              <w:adjustRightInd w:val="0"/>
              <w:rPr>
                <w:rFonts w:eastAsiaTheme="minorEastAsia" w:cs="Calibri"/>
                <w:iCs/>
                <w:color w:val="FFFFFF"/>
                <w:szCs w:val="19"/>
                <w:lang w:eastAsia="en-AU"/>
              </w:rPr>
            </w:pPr>
            <w:r w:rsidRPr="00B6730C">
              <w:rPr>
                <w:rFonts w:eastAsiaTheme="minorEastAsia" w:cs="Calibri"/>
                <w:iCs/>
                <w:color w:val="FFFFFF"/>
                <w:szCs w:val="19"/>
                <w:lang w:eastAsia="en-AU"/>
              </w:rPr>
              <w:t xml:space="preserve">  </w:t>
            </w:r>
          </w:p>
        </w:tc>
        <w:tc>
          <w:tcPr>
            <w:tcW w:w="850" w:type="dxa"/>
            <w:tcBorders>
              <w:top w:val="nil"/>
              <w:left w:val="nil"/>
              <w:right w:val="nil"/>
            </w:tcBorders>
            <w:shd w:val="solid" w:color="000000" w:fill="auto"/>
          </w:tcPr>
          <w:p w:rsidR="00A26D04" w:rsidRPr="00B6730C" w:rsidRDefault="00A26D04" w:rsidP="00A26D0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9"/>
                <w:lang w:eastAsia="en-AU"/>
              </w:rPr>
            </w:pPr>
            <w:r w:rsidRPr="00B6730C">
              <w:rPr>
                <w:rFonts w:eastAsiaTheme="minorEastAsia" w:cs="Calibri"/>
                <w:iCs/>
                <w:color w:val="FFFFFF"/>
                <w:szCs w:val="19"/>
                <w:lang w:eastAsia="en-AU"/>
              </w:rPr>
              <w:t>2017-18</w:t>
            </w:r>
            <w:r>
              <w:rPr>
                <w:rFonts w:eastAsiaTheme="minorEastAsia" w:cs="Calibri"/>
                <w:iCs/>
                <w:color w:val="FFFFFF"/>
                <w:szCs w:val="19"/>
                <w:lang w:eastAsia="en-AU"/>
              </w:rPr>
              <w:br/>
            </w:r>
            <w:r w:rsidRPr="00B6730C">
              <w:rPr>
                <w:rFonts w:eastAsiaTheme="minorEastAsia" w:cs="Calibri"/>
                <w:iCs/>
                <w:color w:val="FFFFFF"/>
                <w:szCs w:val="19"/>
                <w:lang w:eastAsia="en-AU"/>
              </w:rPr>
              <w:t>revised</w:t>
            </w:r>
          </w:p>
        </w:tc>
        <w:tc>
          <w:tcPr>
            <w:tcW w:w="850" w:type="dxa"/>
            <w:tcBorders>
              <w:top w:val="nil"/>
              <w:left w:val="nil"/>
              <w:right w:val="nil"/>
            </w:tcBorders>
            <w:shd w:val="solid" w:color="000000" w:fill="auto"/>
          </w:tcPr>
          <w:p w:rsidR="00A26D04" w:rsidRPr="00B6730C" w:rsidRDefault="00A26D04" w:rsidP="00A26D0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9"/>
                <w:lang w:eastAsia="en-AU"/>
              </w:rPr>
            </w:pPr>
            <w:r w:rsidRPr="00B6730C">
              <w:rPr>
                <w:rFonts w:eastAsiaTheme="minorEastAsia" w:cs="Calibri"/>
                <w:iCs/>
                <w:color w:val="FFFFFF"/>
                <w:szCs w:val="19"/>
                <w:lang w:eastAsia="en-AU"/>
              </w:rPr>
              <w:t>2018-19</w:t>
            </w:r>
            <w:r>
              <w:rPr>
                <w:rFonts w:eastAsiaTheme="minorEastAsia" w:cs="Calibri"/>
                <w:iCs/>
                <w:color w:val="FFFFFF"/>
                <w:szCs w:val="19"/>
                <w:lang w:eastAsia="en-AU"/>
              </w:rPr>
              <w:br/>
            </w:r>
            <w:r w:rsidRPr="00B6730C">
              <w:rPr>
                <w:rFonts w:eastAsiaTheme="minorEastAsia" w:cs="Calibri"/>
                <w:iCs/>
                <w:color w:val="FFFFFF"/>
                <w:szCs w:val="19"/>
                <w:lang w:eastAsia="en-AU"/>
              </w:rPr>
              <w:t>estimate</w:t>
            </w:r>
          </w:p>
        </w:tc>
        <w:tc>
          <w:tcPr>
            <w:tcW w:w="850" w:type="dxa"/>
            <w:tcBorders>
              <w:top w:val="nil"/>
              <w:left w:val="nil"/>
              <w:right w:val="nil"/>
            </w:tcBorders>
            <w:shd w:val="solid" w:color="000000" w:fill="auto"/>
          </w:tcPr>
          <w:p w:rsidR="00A26D04" w:rsidRPr="00B6730C" w:rsidRDefault="00A26D04" w:rsidP="00A26D0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9"/>
                <w:lang w:eastAsia="en-AU"/>
              </w:rPr>
            </w:pPr>
            <w:r w:rsidRPr="00B6730C">
              <w:rPr>
                <w:rFonts w:eastAsiaTheme="minorEastAsia" w:cs="Calibri"/>
                <w:iCs/>
                <w:color w:val="FFFFFF"/>
                <w:szCs w:val="19"/>
                <w:lang w:eastAsia="en-AU"/>
              </w:rPr>
              <w:t>2019-20</w:t>
            </w:r>
            <w:r>
              <w:rPr>
                <w:rFonts w:eastAsiaTheme="minorEastAsia" w:cs="Calibri"/>
                <w:iCs/>
                <w:color w:val="FFFFFF"/>
                <w:szCs w:val="19"/>
                <w:lang w:eastAsia="en-AU"/>
              </w:rPr>
              <w:br/>
            </w:r>
            <w:r w:rsidRPr="00B6730C">
              <w:rPr>
                <w:rFonts w:eastAsiaTheme="minorEastAsia" w:cs="Calibri"/>
                <w:iCs/>
                <w:color w:val="FFFFFF"/>
                <w:szCs w:val="19"/>
                <w:lang w:eastAsia="en-AU"/>
              </w:rPr>
              <w:t>estimate</w:t>
            </w:r>
          </w:p>
        </w:tc>
        <w:tc>
          <w:tcPr>
            <w:tcW w:w="850" w:type="dxa"/>
            <w:tcBorders>
              <w:top w:val="nil"/>
              <w:left w:val="nil"/>
              <w:right w:val="nil"/>
            </w:tcBorders>
            <w:shd w:val="solid" w:color="000000" w:fill="auto"/>
          </w:tcPr>
          <w:p w:rsidR="00A26D04" w:rsidRPr="00B6730C" w:rsidRDefault="00A26D04" w:rsidP="00A26D0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9"/>
                <w:lang w:eastAsia="en-AU"/>
              </w:rPr>
            </w:pPr>
            <w:r w:rsidRPr="00B6730C">
              <w:rPr>
                <w:rFonts w:eastAsiaTheme="minorEastAsia" w:cs="Calibri"/>
                <w:iCs/>
                <w:color w:val="FFFFFF"/>
                <w:szCs w:val="19"/>
                <w:lang w:eastAsia="en-AU"/>
              </w:rPr>
              <w:t>2020-21</w:t>
            </w:r>
            <w:r>
              <w:rPr>
                <w:rFonts w:eastAsiaTheme="minorEastAsia" w:cs="Calibri"/>
                <w:iCs/>
                <w:color w:val="FFFFFF"/>
                <w:szCs w:val="19"/>
                <w:lang w:eastAsia="en-AU"/>
              </w:rPr>
              <w:br/>
            </w:r>
            <w:r w:rsidRPr="00B6730C">
              <w:rPr>
                <w:rFonts w:eastAsiaTheme="minorEastAsia" w:cs="Calibri"/>
                <w:iCs/>
                <w:color w:val="FFFFFF"/>
                <w:szCs w:val="19"/>
                <w:lang w:eastAsia="en-AU"/>
              </w:rPr>
              <w:t>estimate</w:t>
            </w:r>
          </w:p>
        </w:tc>
      </w:tr>
      <w:tr w:rsidR="00A46DCA" w:rsidRPr="00B6730C" w:rsidTr="00A26D04">
        <w:tc>
          <w:tcPr>
            <w:cnfStyle w:val="001000000000" w:firstRow="0" w:lastRow="0" w:firstColumn="1" w:lastColumn="0" w:oddVBand="0" w:evenVBand="0" w:oddHBand="0" w:evenHBand="0" w:firstRowFirstColumn="0" w:firstRowLastColumn="0" w:lastRowFirstColumn="0" w:lastRowLastColumn="0"/>
            <w:tcW w:w="4365" w:type="dxa"/>
            <w:tcBorders>
              <w:top w:val="nil"/>
              <w:left w:val="nil"/>
              <w:bottom w:val="nil"/>
              <w:right w:val="nil"/>
            </w:tcBorders>
          </w:tcPr>
          <w:p w:rsidR="00A46DCA" w:rsidRPr="00B6730C" w:rsidRDefault="00A46DCA" w:rsidP="00A26D04">
            <w:pPr>
              <w:keepLines w:val="0"/>
              <w:autoSpaceDE w:val="0"/>
              <w:autoSpaceDN w:val="0"/>
              <w:adjustRightInd w:val="0"/>
              <w:rPr>
                <w:rFonts w:eastAsiaTheme="minorEastAsia" w:cs="Calibri"/>
                <w:b/>
                <w:bCs/>
                <w:color w:val="000000"/>
                <w:szCs w:val="19"/>
                <w:lang w:eastAsia="en-AU"/>
              </w:rPr>
            </w:pPr>
            <w:r w:rsidRPr="00B6730C">
              <w:rPr>
                <w:rFonts w:eastAsiaTheme="minorEastAsia" w:cs="Calibri"/>
                <w:b/>
                <w:bCs/>
                <w:color w:val="000000"/>
                <w:szCs w:val="19"/>
                <w:lang w:eastAsia="en-AU"/>
              </w:rPr>
              <w:t>Revenue</w:t>
            </w:r>
          </w:p>
        </w:tc>
        <w:tc>
          <w:tcPr>
            <w:tcW w:w="850" w:type="dxa"/>
            <w:tcBorders>
              <w:top w:val="nil"/>
              <w:left w:val="nil"/>
              <w:bottom w:val="nil"/>
              <w:right w:val="nil"/>
            </w:tcBorders>
          </w:tcPr>
          <w:p w:rsidR="00A46DCA" w:rsidRPr="00B6730C"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lang w:eastAsia="en-AU"/>
              </w:rPr>
            </w:pPr>
            <w:r w:rsidRPr="00B6730C">
              <w:rPr>
                <w:rFonts w:eastAsiaTheme="minorEastAsia" w:cs="Calibri"/>
                <w:color w:val="000000"/>
                <w:szCs w:val="19"/>
                <w:lang w:eastAsia="en-AU"/>
              </w:rPr>
              <w:t xml:space="preserve"> </w:t>
            </w:r>
          </w:p>
        </w:tc>
        <w:tc>
          <w:tcPr>
            <w:tcW w:w="850" w:type="dxa"/>
            <w:tcBorders>
              <w:top w:val="nil"/>
              <w:left w:val="nil"/>
              <w:bottom w:val="nil"/>
              <w:right w:val="nil"/>
            </w:tcBorders>
          </w:tcPr>
          <w:p w:rsidR="00A46DCA" w:rsidRPr="00B6730C"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lang w:eastAsia="en-AU"/>
              </w:rPr>
            </w:pPr>
            <w:r w:rsidRPr="00B6730C">
              <w:rPr>
                <w:rFonts w:eastAsiaTheme="minorEastAsia" w:cs="Calibri"/>
                <w:color w:val="000000"/>
                <w:szCs w:val="19"/>
                <w:lang w:eastAsia="en-AU"/>
              </w:rPr>
              <w:t xml:space="preserve"> </w:t>
            </w:r>
          </w:p>
        </w:tc>
        <w:tc>
          <w:tcPr>
            <w:tcW w:w="850" w:type="dxa"/>
            <w:tcBorders>
              <w:top w:val="nil"/>
              <w:left w:val="nil"/>
              <w:bottom w:val="nil"/>
              <w:right w:val="nil"/>
            </w:tcBorders>
          </w:tcPr>
          <w:p w:rsidR="00A46DCA" w:rsidRPr="00B6730C"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lang w:eastAsia="en-AU"/>
              </w:rPr>
            </w:pPr>
            <w:r w:rsidRPr="00B6730C">
              <w:rPr>
                <w:rFonts w:eastAsiaTheme="minorEastAsia" w:cs="Calibri"/>
                <w:color w:val="000000"/>
                <w:szCs w:val="19"/>
                <w:lang w:eastAsia="en-AU"/>
              </w:rPr>
              <w:t xml:space="preserve"> </w:t>
            </w:r>
          </w:p>
        </w:tc>
        <w:tc>
          <w:tcPr>
            <w:tcW w:w="850" w:type="dxa"/>
            <w:tcBorders>
              <w:top w:val="nil"/>
              <w:left w:val="nil"/>
              <w:bottom w:val="nil"/>
              <w:right w:val="nil"/>
            </w:tcBorders>
          </w:tcPr>
          <w:p w:rsidR="00A46DCA" w:rsidRPr="00B6730C"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lang w:eastAsia="en-AU"/>
              </w:rPr>
            </w:pPr>
            <w:r w:rsidRPr="00B6730C">
              <w:rPr>
                <w:rFonts w:eastAsiaTheme="minorEastAsia" w:cs="Calibri"/>
                <w:color w:val="000000"/>
                <w:szCs w:val="19"/>
                <w:lang w:eastAsia="en-AU"/>
              </w:rPr>
              <w:t xml:space="preserve"> </w:t>
            </w:r>
          </w:p>
        </w:tc>
      </w:tr>
      <w:tr w:rsidR="00A46DCA" w:rsidRPr="00B6730C" w:rsidTr="00A26D04">
        <w:tc>
          <w:tcPr>
            <w:cnfStyle w:val="001000000000" w:firstRow="0" w:lastRow="0" w:firstColumn="1" w:lastColumn="0" w:oddVBand="0" w:evenVBand="0" w:oddHBand="0" w:evenHBand="0" w:firstRowFirstColumn="0" w:firstRowLastColumn="0" w:lastRowFirstColumn="0" w:lastRowLastColumn="0"/>
            <w:tcW w:w="4365" w:type="dxa"/>
            <w:tcBorders>
              <w:top w:val="nil"/>
              <w:left w:val="nil"/>
              <w:bottom w:val="nil"/>
              <w:right w:val="nil"/>
            </w:tcBorders>
          </w:tcPr>
          <w:p w:rsidR="00A46DCA" w:rsidRPr="00B6730C" w:rsidRDefault="00A46DCA" w:rsidP="00A26D04">
            <w:pPr>
              <w:keepLines w:val="0"/>
              <w:autoSpaceDE w:val="0"/>
              <w:autoSpaceDN w:val="0"/>
              <w:adjustRightInd w:val="0"/>
              <w:rPr>
                <w:rFonts w:eastAsiaTheme="minorEastAsia" w:cs="Calibri"/>
                <w:color w:val="000000"/>
                <w:szCs w:val="19"/>
                <w:lang w:eastAsia="en-AU"/>
              </w:rPr>
            </w:pPr>
            <w:r w:rsidRPr="00B6730C">
              <w:rPr>
                <w:rFonts w:eastAsiaTheme="minorEastAsia" w:cs="Calibri"/>
                <w:color w:val="000000"/>
                <w:szCs w:val="19"/>
                <w:lang w:eastAsia="en-AU"/>
              </w:rPr>
              <w:t>Taxation revenue</w:t>
            </w:r>
          </w:p>
        </w:tc>
        <w:tc>
          <w:tcPr>
            <w:tcW w:w="850" w:type="dxa"/>
            <w:tcBorders>
              <w:top w:val="nil"/>
              <w:left w:val="nil"/>
              <w:bottom w:val="nil"/>
              <w:right w:val="nil"/>
            </w:tcBorders>
          </w:tcPr>
          <w:p w:rsidR="00A46DCA" w:rsidRPr="00B6730C"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lang w:eastAsia="en-AU"/>
              </w:rPr>
            </w:pPr>
            <w:r w:rsidRPr="00B6730C">
              <w:rPr>
                <w:rFonts w:eastAsiaTheme="minorEastAsia" w:cs="Calibri"/>
                <w:color w:val="000000"/>
                <w:szCs w:val="19"/>
                <w:lang w:eastAsia="en-AU"/>
              </w:rPr>
              <w:t>21 811</w:t>
            </w:r>
          </w:p>
        </w:tc>
        <w:tc>
          <w:tcPr>
            <w:tcW w:w="850" w:type="dxa"/>
            <w:tcBorders>
              <w:top w:val="nil"/>
              <w:left w:val="nil"/>
              <w:bottom w:val="nil"/>
              <w:right w:val="nil"/>
            </w:tcBorders>
          </w:tcPr>
          <w:p w:rsidR="00A46DCA" w:rsidRPr="00B6730C"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lang w:eastAsia="en-AU"/>
              </w:rPr>
            </w:pPr>
            <w:r w:rsidRPr="00B6730C">
              <w:rPr>
                <w:rFonts w:eastAsiaTheme="minorEastAsia" w:cs="Calibri"/>
                <w:color w:val="000000"/>
                <w:szCs w:val="19"/>
                <w:lang w:eastAsia="en-AU"/>
              </w:rPr>
              <w:t>23 365</w:t>
            </w:r>
          </w:p>
        </w:tc>
        <w:tc>
          <w:tcPr>
            <w:tcW w:w="850" w:type="dxa"/>
            <w:tcBorders>
              <w:top w:val="nil"/>
              <w:left w:val="nil"/>
              <w:bottom w:val="nil"/>
              <w:right w:val="nil"/>
            </w:tcBorders>
          </w:tcPr>
          <w:p w:rsidR="00A46DCA" w:rsidRPr="00B6730C"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lang w:eastAsia="en-AU"/>
              </w:rPr>
            </w:pPr>
            <w:r w:rsidRPr="00B6730C">
              <w:rPr>
                <w:rFonts w:eastAsiaTheme="minorEastAsia" w:cs="Calibri"/>
                <w:color w:val="000000"/>
                <w:szCs w:val="19"/>
                <w:lang w:eastAsia="en-AU"/>
              </w:rPr>
              <w:t>24 476</w:t>
            </w:r>
          </w:p>
        </w:tc>
        <w:tc>
          <w:tcPr>
            <w:tcW w:w="850" w:type="dxa"/>
            <w:tcBorders>
              <w:top w:val="nil"/>
              <w:left w:val="nil"/>
              <w:bottom w:val="nil"/>
              <w:right w:val="nil"/>
            </w:tcBorders>
          </w:tcPr>
          <w:p w:rsidR="00A46DCA" w:rsidRPr="00B6730C"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lang w:eastAsia="en-AU"/>
              </w:rPr>
            </w:pPr>
            <w:r w:rsidRPr="00B6730C">
              <w:rPr>
                <w:rFonts w:eastAsiaTheme="minorEastAsia" w:cs="Calibri"/>
                <w:color w:val="000000"/>
                <w:szCs w:val="19"/>
                <w:lang w:eastAsia="en-AU"/>
              </w:rPr>
              <w:t>25 465</w:t>
            </w:r>
          </w:p>
        </w:tc>
      </w:tr>
      <w:tr w:rsidR="00A46DCA" w:rsidRPr="00B6730C" w:rsidTr="00A26D04">
        <w:tc>
          <w:tcPr>
            <w:cnfStyle w:val="001000000000" w:firstRow="0" w:lastRow="0" w:firstColumn="1" w:lastColumn="0" w:oddVBand="0" w:evenVBand="0" w:oddHBand="0" w:evenHBand="0" w:firstRowFirstColumn="0" w:firstRowLastColumn="0" w:lastRowFirstColumn="0" w:lastRowLastColumn="0"/>
            <w:tcW w:w="4365" w:type="dxa"/>
            <w:tcBorders>
              <w:top w:val="nil"/>
              <w:left w:val="nil"/>
              <w:bottom w:val="nil"/>
              <w:right w:val="nil"/>
            </w:tcBorders>
          </w:tcPr>
          <w:p w:rsidR="00A46DCA" w:rsidRPr="00B6730C" w:rsidRDefault="00A46DCA" w:rsidP="00A26D04">
            <w:pPr>
              <w:keepLines w:val="0"/>
              <w:autoSpaceDE w:val="0"/>
              <w:autoSpaceDN w:val="0"/>
              <w:adjustRightInd w:val="0"/>
              <w:rPr>
                <w:rFonts w:eastAsiaTheme="minorEastAsia" w:cs="Calibri"/>
                <w:color w:val="000000"/>
                <w:szCs w:val="19"/>
                <w:vertAlign w:val="superscript"/>
                <w:lang w:eastAsia="en-AU"/>
              </w:rPr>
            </w:pPr>
            <w:r w:rsidRPr="00B6730C">
              <w:rPr>
                <w:rFonts w:eastAsiaTheme="minorEastAsia" w:cs="Calibri"/>
                <w:color w:val="000000"/>
                <w:szCs w:val="19"/>
                <w:lang w:eastAsia="en-AU"/>
              </w:rPr>
              <w:t xml:space="preserve">Dividends, income tax equivalent and interest </w:t>
            </w:r>
            <w:r w:rsidRPr="00B6730C">
              <w:rPr>
                <w:rFonts w:eastAsiaTheme="minorEastAsia" w:cs="Calibri"/>
                <w:color w:val="000000"/>
                <w:szCs w:val="19"/>
                <w:vertAlign w:val="superscript"/>
                <w:lang w:eastAsia="en-AU"/>
              </w:rPr>
              <w:t>(b)</w:t>
            </w:r>
          </w:p>
        </w:tc>
        <w:tc>
          <w:tcPr>
            <w:tcW w:w="850" w:type="dxa"/>
            <w:tcBorders>
              <w:top w:val="nil"/>
              <w:left w:val="nil"/>
              <w:bottom w:val="nil"/>
              <w:right w:val="nil"/>
            </w:tcBorders>
          </w:tcPr>
          <w:p w:rsidR="00A46DCA" w:rsidRPr="00B6730C"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sidRPr="00B6730C">
              <w:rPr>
                <w:rFonts w:eastAsiaTheme="minorEastAsia" w:cs="Calibri"/>
                <w:color w:val="000000"/>
                <w:szCs w:val="19"/>
                <w:lang w:eastAsia="en-AU"/>
              </w:rPr>
              <w:t xml:space="preserve"> 891</w:t>
            </w:r>
          </w:p>
        </w:tc>
        <w:tc>
          <w:tcPr>
            <w:tcW w:w="850" w:type="dxa"/>
            <w:tcBorders>
              <w:top w:val="nil"/>
              <w:left w:val="nil"/>
              <w:bottom w:val="nil"/>
              <w:right w:val="nil"/>
            </w:tcBorders>
          </w:tcPr>
          <w:p w:rsidR="00A46DCA" w:rsidRPr="00B6730C"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sidRPr="00B6730C">
              <w:rPr>
                <w:rFonts w:eastAsiaTheme="minorEastAsia" w:cs="Calibri"/>
                <w:color w:val="000000"/>
                <w:szCs w:val="19"/>
                <w:lang w:eastAsia="en-AU"/>
              </w:rPr>
              <w:t xml:space="preserve"> 566</w:t>
            </w:r>
          </w:p>
        </w:tc>
        <w:tc>
          <w:tcPr>
            <w:tcW w:w="850" w:type="dxa"/>
            <w:tcBorders>
              <w:top w:val="nil"/>
              <w:left w:val="nil"/>
              <w:bottom w:val="nil"/>
              <w:right w:val="nil"/>
            </w:tcBorders>
          </w:tcPr>
          <w:p w:rsidR="00A46DCA" w:rsidRPr="00B6730C"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sidRPr="00B6730C">
              <w:rPr>
                <w:rFonts w:eastAsiaTheme="minorEastAsia" w:cs="Calibri"/>
                <w:color w:val="000000"/>
                <w:szCs w:val="19"/>
                <w:lang w:eastAsia="en-AU"/>
              </w:rPr>
              <w:t xml:space="preserve"> 548</w:t>
            </w:r>
          </w:p>
        </w:tc>
        <w:tc>
          <w:tcPr>
            <w:tcW w:w="850" w:type="dxa"/>
            <w:tcBorders>
              <w:top w:val="nil"/>
              <w:left w:val="nil"/>
              <w:bottom w:val="nil"/>
              <w:right w:val="nil"/>
            </w:tcBorders>
          </w:tcPr>
          <w:p w:rsidR="00A46DCA" w:rsidRPr="00B6730C"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sidRPr="00B6730C">
              <w:rPr>
                <w:rFonts w:eastAsiaTheme="minorEastAsia" w:cs="Calibri"/>
                <w:color w:val="000000"/>
                <w:szCs w:val="19"/>
                <w:lang w:eastAsia="en-AU"/>
              </w:rPr>
              <w:t xml:space="preserve"> 627</w:t>
            </w:r>
          </w:p>
        </w:tc>
      </w:tr>
      <w:tr w:rsidR="00A46DCA" w:rsidRPr="00B6730C" w:rsidTr="00A26D04">
        <w:tc>
          <w:tcPr>
            <w:cnfStyle w:val="001000000000" w:firstRow="0" w:lastRow="0" w:firstColumn="1" w:lastColumn="0" w:oddVBand="0" w:evenVBand="0" w:oddHBand="0" w:evenHBand="0" w:firstRowFirstColumn="0" w:firstRowLastColumn="0" w:lastRowFirstColumn="0" w:lastRowLastColumn="0"/>
            <w:tcW w:w="4365" w:type="dxa"/>
            <w:tcBorders>
              <w:top w:val="nil"/>
              <w:left w:val="nil"/>
              <w:bottom w:val="nil"/>
              <w:right w:val="nil"/>
            </w:tcBorders>
          </w:tcPr>
          <w:p w:rsidR="00A46DCA" w:rsidRPr="00B6730C" w:rsidRDefault="00A46DCA" w:rsidP="00A26D04">
            <w:pPr>
              <w:keepLines w:val="0"/>
              <w:autoSpaceDE w:val="0"/>
              <w:autoSpaceDN w:val="0"/>
              <w:adjustRightInd w:val="0"/>
              <w:rPr>
                <w:rFonts w:eastAsiaTheme="minorEastAsia" w:cs="Calibri"/>
                <w:color w:val="000000"/>
                <w:szCs w:val="19"/>
                <w:lang w:eastAsia="en-AU"/>
              </w:rPr>
            </w:pPr>
            <w:r w:rsidRPr="00B6730C">
              <w:rPr>
                <w:rFonts w:eastAsiaTheme="minorEastAsia" w:cs="Calibri"/>
                <w:color w:val="000000"/>
                <w:szCs w:val="19"/>
                <w:lang w:eastAsia="en-AU"/>
              </w:rPr>
              <w:t>Sales of goods and services</w:t>
            </w:r>
          </w:p>
        </w:tc>
        <w:tc>
          <w:tcPr>
            <w:tcW w:w="850" w:type="dxa"/>
            <w:tcBorders>
              <w:top w:val="nil"/>
              <w:left w:val="nil"/>
              <w:bottom w:val="nil"/>
              <w:right w:val="nil"/>
            </w:tcBorders>
          </w:tcPr>
          <w:p w:rsidR="00A46DCA" w:rsidRPr="00B6730C"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lang w:eastAsia="en-AU"/>
              </w:rPr>
            </w:pPr>
            <w:r w:rsidRPr="00B6730C">
              <w:rPr>
                <w:rFonts w:eastAsiaTheme="minorEastAsia" w:cs="Calibri"/>
                <w:color w:val="000000"/>
                <w:szCs w:val="19"/>
                <w:lang w:eastAsia="en-AU"/>
              </w:rPr>
              <w:t>11 430</w:t>
            </w:r>
          </w:p>
        </w:tc>
        <w:tc>
          <w:tcPr>
            <w:tcW w:w="850" w:type="dxa"/>
            <w:tcBorders>
              <w:top w:val="nil"/>
              <w:left w:val="nil"/>
              <w:bottom w:val="nil"/>
              <w:right w:val="nil"/>
            </w:tcBorders>
          </w:tcPr>
          <w:p w:rsidR="00A46DCA" w:rsidRPr="00B6730C"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lang w:eastAsia="en-AU"/>
              </w:rPr>
            </w:pPr>
            <w:r w:rsidRPr="00B6730C">
              <w:rPr>
                <w:rFonts w:eastAsiaTheme="minorEastAsia" w:cs="Calibri"/>
                <w:color w:val="000000"/>
                <w:szCs w:val="19"/>
                <w:lang w:eastAsia="en-AU"/>
              </w:rPr>
              <w:t>11 618</w:t>
            </w:r>
          </w:p>
        </w:tc>
        <w:tc>
          <w:tcPr>
            <w:tcW w:w="850" w:type="dxa"/>
            <w:tcBorders>
              <w:top w:val="nil"/>
              <w:left w:val="nil"/>
              <w:bottom w:val="nil"/>
              <w:right w:val="nil"/>
            </w:tcBorders>
          </w:tcPr>
          <w:p w:rsidR="00A46DCA" w:rsidRPr="00B6730C"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lang w:eastAsia="en-AU"/>
              </w:rPr>
            </w:pPr>
            <w:r w:rsidRPr="00B6730C">
              <w:rPr>
                <w:rFonts w:eastAsiaTheme="minorEastAsia" w:cs="Calibri"/>
                <w:color w:val="000000"/>
                <w:szCs w:val="19"/>
                <w:lang w:eastAsia="en-AU"/>
              </w:rPr>
              <w:t>12 108</w:t>
            </w:r>
          </w:p>
        </w:tc>
        <w:tc>
          <w:tcPr>
            <w:tcW w:w="850" w:type="dxa"/>
            <w:tcBorders>
              <w:top w:val="nil"/>
              <w:left w:val="nil"/>
              <w:bottom w:val="nil"/>
              <w:right w:val="nil"/>
            </w:tcBorders>
          </w:tcPr>
          <w:p w:rsidR="00A46DCA" w:rsidRPr="00B6730C"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lang w:eastAsia="en-AU"/>
              </w:rPr>
            </w:pPr>
            <w:r w:rsidRPr="00B6730C">
              <w:rPr>
                <w:rFonts w:eastAsiaTheme="minorEastAsia" w:cs="Calibri"/>
                <w:color w:val="000000"/>
                <w:szCs w:val="19"/>
                <w:lang w:eastAsia="en-AU"/>
              </w:rPr>
              <w:t>12 946</w:t>
            </w:r>
          </w:p>
        </w:tc>
      </w:tr>
      <w:tr w:rsidR="00A46DCA" w:rsidRPr="00B6730C" w:rsidTr="00A26D04">
        <w:tc>
          <w:tcPr>
            <w:cnfStyle w:val="001000000000" w:firstRow="0" w:lastRow="0" w:firstColumn="1" w:lastColumn="0" w:oddVBand="0" w:evenVBand="0" w:oddHBand="0" w:evenHBand="0" w:firstRowFirstColumn="0" w:firstRowLastColumn="0" w:lastRowFirstColumn="0" w:lastRowLastColumn="0"/>
            <w:tcW w:w="4365" w:type="dxa"/>
            <w:tcBorders>
              <w:top w:val="nil"/>
              <w:left w:val="nil"/>
              <w:bottom w:val="nil"/>
              <w:right w:val="nil"/>
            </w:tcBorders>
          </w:tcPr>
          <w:p w:rsidR="00A46DCA" w:rsidRPr="00B6730C" w:rsidRDefault="00A46DCA" w:rsidP="00A26D04">
            <w:pPr>
              <w:keepLines w:val="0"/>
              <w:autoSpaceDE w:val="0"/>
              <w:autoSpaceDN w:val="0"/>
              <w:adjustRightInd w:val="0"/>
              <w:rPr>
                <w:rFonts w:eastAsiaTheme="minorEastAsia" w:cs="Calibri"/>
                <w:color w:val="000000"/>
                <w:szCs w:val="19"/>
                <w:lang w:eastAsia="en-AU"/>
              </w:rPr>
            </w:pPr>
            <w:r w:rsidRPr="00B6730C">
              <w:rPr>
                <w:rFonts w:eastAsiaTheme="minorEastAsia" w:cs="Calibri"/>
                <w:color w:val="000000"/>
                <w:szCs w:val="19"/>
                <w:lang w:eastAsia="en-AU"/>
              </w:rPr>
              <w:t>Grant revenue</w:t>
            </w:r>
          </w:p>
        </w:tc>
        <w:tc>
          <w:tcPr>
            <w:tcW w:w="850" w:type="dxa"/>
            <w:tcBorders>
              <w:top w:val="nil"/>
              <w:left w:val="nil"/>
              <w:bottom w:val="nil"/>
              <w:right w:val="nil"/>
            </w:tcBorders>
          </w:tcPr>
          <w:p w:rsidR="00A46DCA" w:rsidRPr="00B6730C"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lang w:eastAsia="en-AU"/>
              </w:rPr>
            </w:pPr>
            <w:r w:rsidRPr="00B6730C">
              <w:rPr>
                <w:rFonts w:eastAsiaTheme="minorEastAsia" w:cs="Calibri"/>
                <w:color w:val="000000"/>
                <w:szCs w:val="19"/>
                <w:lang w:eastAsia="en-AU"/>
              </w:rPr>
              <w:t>30 216</w:t>
            </w:r>
          </w:p>
        </w:tc>
        <w:tc>
          <w:tcPr>
            <w:tcW w:w="850" w:type="dxa"/>
            <w:tcBorders>
              <w:top w:val="nil"/>
              <w:left w:val="nil"/>
              <w:bottom w:val="nil"/>
              <w:right w:val="nil"/>
            </w:tcBorders>
          </w:tcPr>
          <w:p w:rsidR="00A46DCA" w:rsidRPr="00B6730C"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lang w:eastAsia="en-AU"/>
              </w:rPr>
            </w:pPr>
            <w:r w:rsidRPr="00B6730C">
              <w:rPr>
                <w:rFonts w:eastAsiaTheme="minorEastAsia" w:cs="Calibri"/>
                <w:color w:val="000000"/>
                <w:szCs w:val="19"/>
                <w:lang w:eastAsia="en-AU"/>
              </w:rPr>
              <w:t>32 210</w:t>
            </w:r>
          </w:p>
        </w:tc>
        <w:tc>
          <w:tcPr>
            <w:tcW w:w="850" w:type="dxa"/>
            <w:tcBorders>
              <w:top w:val="nil"/>
              <w:left w:val="nil"/>
              <w:bottom w:val="nil"/>
              <w:right w:val="nil"/>
            </w:tcBorders>
          </w:tcPr>
          <w:p w:rsidR="00A46DCA" w:rsidRPr="00B6730C"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lang w:eastAsia="en-AU"/>
              </w:rPr>
            </w:pPr>
            <w:r w:rsidRPr="00B6730C">
              <w:rPr>
                <w:rFonts w:eastAsiaTheme="minorEastAsia" w:cs="Calibri"/>
                <w:color w:val="000000"/>
                <w:szCs w:val="19"/>
                <w:lang w:eastAsia="en-AU"/>
              </w:rPr>
              <w:t>32 184</w:t>
            </w:r>
          </w:p>
        </w:tc>
        <w:tc>
          <w:tcPr>
            <w:tcW w:w="850" w:type="dxa"/>
            <w:tcBorders>
              <w:top w:val="nil"/>
              <w:left w:val="nil"/>
              <w:bottom w:val="nil"/>
              <w:right w:val="nil"/>
            </w:tcBorders>
          </w:tcPr>
          <w:p w:rsidR="00A46DCA" w:rsidRPr="00B6730C"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lang w:eastAsia="en-AU"/>
              </w:rPr>
            </w:pPr>
            <w:r w:rsidRPr="00B6730C">
              <w:rPr>
                <w:rFonts w:eastAsiaTheme="minorEastAsia" w:cs="Calibri"/>
                <w:color w:val="000000"/>
                <w:szCs w:val="19"/>
                <w:lang w:eastAsia="en-AU"/>
              </w:rPr>
              <w:t>33 407</w:t>
            </w:r>
          </w:p>
        </w:tc>
      </w:tr>
      <w:tr w:rsidR="00A46DCA" w:rsidRPr="00B6730C" w:rsidTr="00A26D04">
        <w:tc>
          <w:tcPr>
            <w:cnfStyle w:val="001000000000" w:firstRow="0" w:lastRow="0" w:firstColumn="1" w:lastColumn="0" w:oddVBand="0" w:evenVBand="0" w:oddHBand="0" w:evenHBand="0" w:firstRowFirstColumn="0" w:firstRowLastColumn="0" w:lastRowFirstColumn="0" w:lastRowLastColumn="0"/>
            <w:tcW w:w="4365" w:type="dxa"/>
            <w:tcBorders>
              <w:top w:val="nil"/>
              <w:left w:val="nil"/>
              <w:bottom w:val="single" w:sz="6" w:space="0" w:color="auto"/>
              <w:right w:val="nil"/>
            </w:tcBorders>
          </w:tcPr>
          <w:p w:rsidR="00A46DCA" w:rsidRPr="00B6730C" w:rsidRDefault="00A46DCA" w:rsidP="00A26D04">
            <w:pPr>
              <w:keepLines w:val="0"/>
              <w:autoSpaceDE w:val="0"/>
              <w:autoSpaceDN w:val="0"/>
              <w:adjustRightInd w:val="0"/>
              <w:rPr>
                <w:rFonts w:eastAsiaTheme="minorEastAsia" w:cs="Calibri"/>
                <w:color w:val="000000"/>
                <w:szCs w:val="19"/>
                <w:lang w:eastAsia="en-AU"/>
              </w:rPr>
            </w:pPr>
            <w:r w:rsidRPr="00B6730C">
              <w:rPr>
                <w:rFonts w:eastAsiaTheme="minorEastAsia" w:cs="Calibri"/>
                <w:color w:val="000000"/>
                <w:szCs w:val="19"/>
                <w:lang w:eastAsia="en-AU"/>
              </w:rPr>
              <w:t>Other current revenue</w:t>
            </w:r>
          </w:p>
        </w:tc>
        <w:tc>
          <w:tcPr>
            <w:tcW w:w="850" w:type="dxa"/>
            <w:tcBorders>
              <w:top w:val="nil"/>
              <w:left w:val="nil"/>
              <w:bottom w:val="single" w:sz="6" w:space="0" w:color="auto"/>
              <w:right w:val="nil"/>
            </w:tcBorders>
          </w:tcPr>
          <w:p w:rsidR="00A46DCA" w:rsidRPr="00B6730C"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lang w:eastAsia="en-AU"/>
              </w:rPr>
            </w:pPr>
            <w:r w:rsidRPr="00B6730C">
              <w:rPr>
                <w:rFonts w:eastAsiaTheme="minorEastAsia" w:cs="Calibri"/>
                <w:color w:val="000000"/>
                <w:szCs w:val="19"/>
                <w:lang w:eastAsia="en-AU"/>
              </w:rPr>
              <w:t>3 182</w:t>
            </w:r>
          </w:p>
        </w:tc>
        <w:tc>
          <w:tcPr>
            <w:tcW w:w="850" w:type="dxa"/>
            <w:tcBorders>
              <w:top w:val="nil"/>
              <w:left w:val="nil"/>
              <w:bottom w:val="single" w:sz="6" w:space="0" w:color="auto"/>
              <w:right w:val="nil"/>
            </w:tcBorders>
          </w:tcPr>
          <w:p w:rsidR="00A46DCA" w:rsidRPr="00B6730C"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lang w:eastAsia="en-AU"/>
              </w:rPr>
            </w:pPr>
            <w:r w:rsidRPr="00B6730C">
              <w:rPr>
                <w:rFonts w:eastAsiaTheme="minorEastAsia" w:cs="Calibri"/>
                <w:color w:val="000000"/>
                <w:szCs w:val="19"/>
                <w:lang w:eastAsia="en-AU"/>
              </w:rPr>
              <w:t>3 265</w:t>
            </w:r>
          </w:p>
        </w:tc>
        <w:tc>
          <w:tcPr>
            <w:tcW w:w="850" w:type="dxa"/>
            <w:tcBorders>
              <w:top w:val="nil"/>
              <w:left w:val="nil"/>
              <w:bottom w:val="single" w:sz="6" w:space="0" w:color="auto"/>
              <w:right w:val="nil"/>
            </w:tcBorders>
          </w:tcPr>
          <w:p w:rsidR="00A46DCA" w:rsidRPr="00B6730C"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lang w:eastAsia="en-AU"/>
              </w:rPr>
            </w:pPr>
            <w:r w:rsidRPr="00B6730C">
              <w:rPr>
                <w:rFonts w:eastAsiaTheme="minorEastAsia" w:cs="Calibri"/>
                <w:color w:val="000000"/>
                <w:szCs w:val="19"/>
                <w:lang w:eastAsia="en-AU"/>
              </w:rPr>
              <w:t>3 213</w:t>
            </w:r>
          </w:p>
        </w:tc>
        <w:tc>
          <w:tcPr>
            <w:tcW w:w="850" w:type="dxa"/>
            <w:tcBorders>
              <w:top w:val="nil"/>
              <w:left w:val="nil"/>
              <w:bottom w:val="single" w:sz="6" w:space="0" w:color="auto"/>
              <w:right w:val="nil"/>
            </w:tcBorders>
          </w:tcPr>
          <w:p w:rsidR="00A46DCA" w:rsidRPr="00B6730C"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lang w:eastAsia="en-AU"/>
              </w:rPr>
            </w:pPr>
            <w:r w:rsidRPr="00B6730C">
              <w:rPr>
                <w:rFonts w:eastAsiaTheme="minorEastAsia" w:cs="Calibri"/>
                <w:color w:val="000000"/>
                <w:szCs w:val="19"/>
                <w:lang w:eastAsia="en-AU"/>
              </w:rPr>
              <w:t>3 273</w:t>
            </w:r>
          </w:p>
        </w:tc>
      </w:tr>
      <w:tr w:rsidR="00A46DCA" w:rsidRPr="00B6730C" w:rsidTr="00A26D04">
        <w:tc>
          <w:tcPr>
            <w:cnfStyle w:val="001000000000" w:firstRow="0" w:lastRow="0" w:firstColumn="1" w:lastColumn="0" w:oddVBand="0" w:evenVBand="0" w:oddHBand="0" w:evenHBand="0" w:firstRowFirstColumn="0" w:firstRowLastColumn="0" w:lastRowFirstColumn="0" w:lastRowLastColumn="0"/>
            <w:tcW w:w="4365" w:type="dxa"/>
            <w:tcBorders>
              <w:top w:val="nil"/>
              <w:left w:val="nil"/>
              <w:bottom w:val="nil"/>
              <w:right w:val="nil"/>
            </w:tcBorders>
          </w:tcPr>
          <w:p w:rsidR="00A46DCA" w:rsidRPr="00B6730C" w:rsidRDefault="00A46DCA" w:rsidP="00A26D04">
            <w:pPr>
              <w:keepLines w:val="0"/>
              <w:autoSpaceDE w:val="0"/>
              <w:autoSpaceDN w:val="0"/>
              <w:adjustRightInd w:val="0"/>
              <w:rPr>
                <w:rFonts w:eastAsiaTheme="minorEastAsia" w:cs="Calibri"/>
                <w:b/>
                <w:bCs/>
                <w:color w:val="000000"/>
                <w:szCs w:val="19"/>
                <w:lang w:eastAsia="en-AU"/>
              </w:rPr>
            </w:pPr>
            <w:r w:rsidRPr="00B6730C">
              <w:rPr>
                <w:rFonts w:eastAsiaTheme="minorEastAsia" w:cs="Calibri"/>
                <w:b/>
                <w:bCs/>
                <w:color w:val="000000"/>
                <w:szCs w:val="19"/>
                <w:lang w:eastAsia="en-AU"/>
              </w:rPr>
              <w:t>Total revenue</w:t>
            </w:r>
          </w:p>
        </w:tc>
        <w:tc>
          <w:tcPr>
            <w:tcW w:w="850" w:type="dxa"/>
            <w:tcBorders>
              <w:top w:val="nil"/>
              <w:left w:val="nil"/>
              <w:bottom w:val="nil"/>
              <w:right w:val="nil"/>
            </w:tcBorders>
          </w:tcPr>
          <w:p w:rsidR="00A46DCA" w:rsidRPr="00B6730C"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9"/>
                <w:lang w:eastAsia="en-AU"/>
              </w:rPr>
            </w:pPr>
            <w:r w:rsidRPr="00B6730C">
              <w:rPr>
                <w:rFonts w:eastAsiaTheme="minorEastAsia" w:cs="Calibri"/>
                <w:b/>
                <w:bCs/>
                <w:color w:val="000000"/>
                <w:szCs w:val="19"/>
                <w:lang w:eastAsia="en-AU"/>
              </w:rPr>
              <w:t>67 530</w:t>
            </w:r>
          </w:p>
        </w:tc>
        <w:tc>
          <w:tcPr>
            <w:tcW w:w="850" w:type="dxa"/>
            <w:tcBorders>
              <w:top w:val="nil"/>
              <w:left w:val="nil"/>
              <w:bottom w:val="nil"/>
              <w:right w:val="nil"/>
            </w:tcBorders>
          </w:tcPr>
          <w:p w:rsidR="00A46DCA" w:rsidRPr="00B6730C"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9"/>
                <w:lang w:eastAsia="en-AU"/>
              </w:rPr>
            </w:pPr>
            <w:r w:rsidRPr="00B6730C">
              <w:rPr>
                <w:rFonts w:eastAsiaTheme="minorEastAsia" w:cs="Calibri"/>
                <w:b/>
                <w:bCs/>
                <w:color w:val="000000"/>
                <w:szCs w:val="19"/>
                <w:lang w:eastAsia="en-AU"/>
              </w:rPr>
              <w:t>71 025</w:t>
            </w:r>
          </w:p>
        </w:tc>
        <w:tc>
          <w:tcPr>
            <w:tcW w:w="850" w:type="dxa"/>
            <w:tcBorders>
              <w:top w:val="nil"/>
              <w:left w:val="nil"/>
              <w:bottom w:val="nil"/>
              <w:right w:val="nil"/>
            </w:tcBorders>
          </w:tcPr>
          <w:p w:rsidR="00A46DCA" w:rsidRPr="00B6730C"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9"/>
                <w:lang w:eastAsia="en-AU"/>
              </w:rPr>
            </w:pPr>
            <w:r w:rsidRPr="00B6730C">
              <w:rPr>
                <w:rFonts w:eastAsiaTheme="minorEastAsia" w:cs="Calibri"/>
                <w:b/>
                <w:bCs/>
                <w:color w:val="000000"/>
                <w:szCs w:val="19"/>
                <w:lang w:eastAsia="en-AU"/>
              </w:rPr>
              <w:t>72 529</w:t>
            </w:r>
          </w:p>
        </w:tc>
        <w:tc>
          <w:tcPr>
            <w:tcW w:w="850" w:type="dxa"/>
            <w:tcBorders>
              <w:top w:val="nil"/>
              <w:left w:val="nil"/>
              <w:bottom w:val="nil"/>
              <w:right w:val="nil"/>
            </w:tcBorders>
          </w:tcPr>
          <w:p w:rsidR="00A46DCA" w:rsidRPr="00B6730C"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9"/>
                <w:lang w:eastAsia="en-AU"/>
              </w:rPr>
            </w:pPr>
            <w:r w:rsidRPr="00B6730C">
              <w:rPr>
                <w:rFonts w:eastAsiaTheme="minorEastAsia" w:cs="Calibri"/>
                <w:b/>
                <w:bCs/>
                <w:color w:val="000000"/>
                <w:szCs w:val="19"/>
                <w:lang w:eastAsia="en-AU"/>
              </w:rPr>
              <w:t>75 718</w:t>
            </w:r>
          </w:p>
        </w:tc>
      </w:tr>
      <w:tr w:rsidR="00A46DCA" w:rsidRPr="00B6730C" w:rsidTr="00A26D04">
        <w:tc>
          <w:tcPr>
            <w:cnfStyle w:val="001000000000" w:firstRow="0" w:lastRow="0" w:firstColumn="1" w:lastColumn="0" w:oddVBand="0" w:evenVBand="0" w:oddHBand="0" w:evenHBand="0" w:firstRowFirstColumn="0" w:firstRowLastColumn="0" w:lastRowFirstColumn="0" w:lastRowLastColumn="0"/>
            <w:tcW w:w="4365" w:type="dxa"/>
            <w:tcBorders>
              <w:top w:val="nil"/>
              <w:left w:val="nil"/>
              <w:bottom w:val="nil"/>
              <w:right w:val="nil"/>
            </w:tcBorders>
          </w:tcPr>
          <w:p w:rsidR="00A46DCA" w:rsidRPr="00B6730C" w:rsidRDefault="00A46DCA" w:rsidP="00A26D04">
            <w:pPr>
              <w:keepLines w:val="0"/>
              <w:autoSpaceDE w:val="0"/>
              <w:autoSpaceDN w:val="0"/>
              <w:adjustRightInd w:val="0"/>
              <w:rPr>
                <w:rFonts w:eastAsiaTheme="minorEastAsia" w:cs="Calibri"/>
                <w:i/>
                <w:iCs/>
                <w:color w:val="000000"/>
                <w:szCs w:val="19"/>
                <w:vertAlign w:val="superscript"/>
                <w:lang w:eastAsia="en-AU"/>
              </w:rPr>
            </w:pPr>
            <w:r w:rsidRPr="00B6730C">
              <w:rPr>
                <w:rFonts w:eastAsiaTheme="minorEastAsia" w:cs="Calibri"/>
                <w:i/>
                <w:iCs/>
                <w:color w:val="000000"/>
                <w:szCs w:val="19"/>
                <w:lang w:eastAsia="en-AU"/>
              </w:rPr>
              <w:t>% change</w:t>
            </w:r>
            <w:r w:rsidRPr="00B6730C">
              <w:rPr>
                <w:rFonts w:eastAsiaTheme="minorEastAsia" w:cs="Calibri"/>
                <w:i/>
                <w:iCs/>
                <w:color w:val="000000"/>
                <w:szCs w:val="19"/>
                <w:vertAlign w:val="superscript"/>
                <w:lang w:eastAsia="en-AU"/>
              </w:rPr>
              <w:t xml:space="preserve"> (c)</w:t>
            </w:r>
          </w:p>
        </w:tc>
        <w:tc>
          <w:tcPr>
            <w:tcW w:w="850" w:type="dxa"/>
            <w:tcBorders>
              <w:top w:val="nil"/>
              <w:left w:val="nil"/>
              <w:bottom w:val="nil"/>
              <w:right w:val="nil"/>
            </w:tcBorders>
          </w:tcPr>
          <w:p w:rsidR="00A46DCA" w:rsidRPr="00B6730C"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lang w:eastAsia="en-AU"/>
              </w:rPr>
            </w:pPr>
            <w:r w:rsidRPr="00B6730C">
              <w:rPr>
                <w:rFonts w:eastAsiaTheme="minorEastAsia" w:cs="Calibri"/>
                <w:color w:val="000000"/>
                <w:szCs w:val="19"/>
                <w:lang w:eastAsia="en-AU"/>
              </w:rPr>
              <w:t>6.2</w:t>
            </w:r>
          </w:p>
        </w:tc>
        <w:tc>
          <w:tcPr>
            <w:tcW w:w="850" w:type="dxa"/>
            <w:tcBorders>
              <w:top w:val="nil"/>
              <w:left w:val="nil"/>
              <w:bottom w:val="nil"/>
              <w:right w:val="nil"/>
            </w:tcBorders>
          </w:tcPr>
          <w:p w:rsidR="00A46DCA" w:rsidRPr="00B6730C"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lang w:eastAsia="en-AU"/>
              </w:rPr>
            </w:pPr>
            <w:r w:rsidRPr="00B6730C">
              <w:rPr>
                <w:rFonts w:eastAsiaTheme="minorEastAsia" w:cs="Calibri"/>
                <w:color w:val="000000"/>
                <w:szCs w:val="19"/>
                <w:lang w:eastAsia="en-AU"/>
              </w:rPr>
              <w:t>5.2</w:t>
            </w:r>
          </w:p>
        </w:tc>
        <w:tc>
          <w:tcPr>
            <w:tcW w:w="850" w:type="dxa"/>
            <w:tcBorders>
              <w:top w:val="nil"/>
              <w:left w:val="nil"/>
              <w:bottom w:val="nil"/>
              <w:right w:val="nil"/>
            </w:tcBorders>
          </w:tcPr>
          <w:p w:rsidR="00A46DCA" w:rsidRPr="00B6730C"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lang w:eastAsia="en-AU"/>
              </w:rPr>
            </w:pPr>
            <w:r w:rsidRPr="00B6730C">
              <w:rPr>
                <w:rFonts w:eastAsiaTheme="minorEastAsia" w:cs="Calibri"/>
                <w:color w:val="000000"/>
                <w:szCs w:val="19"/>
                <w:lang w:eastAsia="en-AU"/>
              </w:rPr>
              <w:t>2.1</w:t>
            </w:r>
          </w:p>
        </w:tc>
        <w:tc>
          <w:tcPr>
            <w:tcW w:w="850" w:type="dxa"/>
            <w:tcBorders>
              <w:top w:val="nil"/>
              <w:left w:val="nil"/>
              <w:bottom w:val="nil"/>
              <w:right w:val="nil"/>
            </w:tcBorders>
          </w:tcPr>
          <w:p w:rsidR="00A46DCA" w:rsidRPr="00B6730C"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lang w:eastAsia="en-AU"/>
              </w:rPr>
            </w:pPr>
            <w:r w:rsidRPr="00B6730C">
              <w:rPr>
                <w:rFonts w:eastAsiaTheme="minorEastAsia" w:cs="Calibri"/>
                <w:color w:val="000000"/>
                <w:szCs w:val="19"/>
                <w:lang w:eastAsia="en-AU"/>
              </w:rPr>
              <w:t>4.4</w:t>
            </w:r>
          </w:p>
        </w:tc>
      </w:tr>
      <w:tr w:rsidR="00A46DCA" w:rsidRPr="00B6730C" w:rsidTr="00A26D04">
        <w:tc>
          <w:tcPr>
            <w:cnfStyle w:val="001000000000" w:firstRow="0" w:lastRow="0" w:firstColumn="1" w:lastColumn="0" w:oddVBand="0" w:evenVBand="0" w:oddHBand="0" w:evenHBand="0" w:firstRowFirstColumn="0" w:firstRowLastColumn="0" w:lastRowFirstColumn="0" w:lastRowLastColumn="0"/>
            <w:tcW w:w="4365" w:type="dxa"/>
            <w:tcBorders>
              <w:top w:val="nil"/>
              <w:left w:val="nil"/>
              <w:bottom w:val="nil"/>
              <w:right w:val="nil"/>
            </w:tcBorders>
          </w:tcPr>
          <w:p w:rsidR="00A46DCA" w:rsidRPr="00B6730C" w:rsidRDefault="00A46DCA" w:rsidP="00A26D04">
            <w:pPr>
              <w:keepLines w:val="0"/>
              <w:autoSpaceDE w:val="0"/>
              <w:autoSpaceDN w:val="0"/>
              <w:adjustRightInd w:val="0"/>
              <w:rPr>
                <w:rFonts w:eastAsiaTheme="minorEastAsia" w:cs="Calibri"/>
                <w:b/>
                <w:bCs/>
                <w:color w:val="000000"/>
                <w:szCs w:val="19"/>
                <w:lang w:eastAsia="en-AU"/>
              </w:rPr>
            </w:pPr>
            <w:r w:rsidRPr="00B6730C">
              <w:rPr>
                <w:rFonts w:eastAsiaTheme="minorEastAsia" w:cs="Calibri"/>
                <w:b/>
                <w:bCs/>
                <w:color w:val="000000"/>
                <w:szCs w:val="19"/>
                <w:lang w:eastAsia="en-AU"/>
              </w:rPr>
              <w:t>Expenses</w:t>
            </w:r>
          </w:p>
        </w:tc>
        <w:tc>
          <w:tcPr>
            <w:tcW w:w="850" w:type="dxa"/>
            <w:tcBorders>
              <w:top w:val="nil"/>
              <w:left w:val="nil"/>
              <w:bottom w:val="nil"/>
              <w:right w:val="nil"/>
            </w:tcBorders>
          </w:tcPr>
          <w:p w:rsidR="00A46DCA" w:rsidRPr="00B6730C"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lang w:eastAsia="en-AU"/>
              </w:rPr>
            </w:pPr>
            <w:r w:rsidRPr="00B6730C">
              <w:rPr>
                <w:rFonts w:eastAsiaTheme="minorEastAsia" w:cs="Calibri"/>
                <w:color w:val="000000"/>
                <w:szCs w:val="19"/>
                <w:lang w:eastAsia="en-AU"/>
              </w:rPr>
              <w:t xml:space="preserve"> </w:t>
            </w:r>
          </w:p>
        </w:tc>
        <w:tc>
          <w:tcPr>
            <w:tcW w:w="850" w:type="dxa"/>
            <w:tcBorders>
              <w:top w:val="nil"/>
              <w:left w:val="nil"/>
              <w:bottom w:val="nil"/>
              <w:right w:val="nil"/>
            </w:tcBorders>
          </w:tcPr>
          <w:p w:rsidR="00A46DCA" w:rsidRPr="00B6730C"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lang w:eastAsia="en-AU"/>
              </w:rPr>
            </w:pPr>
            <w:r w:rsidRPr="00B6730C">
              <w:rPr>
                <w:rFonts w:eastAsiaTheme="minorEastAsia" w:cs="Calibri"/>
                <w:color w:val="000000"/>
                <w:szCs w:val="19"/>
                <w:lang w:eastAsia="en-AU"/>
              </w:rPr>
              <w:t xml:space="preserve"> </w:t>
            </w:r>
          </w:p>
        </w:tc>
        <w:tc>
          <w:tcPr>
            <w:tcW w:w="850" w:type="dxa"/>
            <w:tcBorders>
              <w:top w:val="nil"/>
              <w:left w:val="nil"/>
              <w:bottom w:val="nil"/>
              <w:right w:val="nil"/>
            </w:tcBorders>
          </w:tcPr>
          <w:p w:rsidR="00A46DCA" w:rsidRPr="00B6730C"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lang w:eastAsia="en-AU"/>
              </w:rPr>
            </w:pPr>
            <w:r w:rsidRPr="00B6730C">
              <w:rPr>
                <w:rFonts w:eastAsiaTheme="minorEastAsia" w:cs="Calibri"/>
                <w:color w:val="000000"/>
                <w:szCs w:val="19"/>
                <w:lang w:eastAsia="en-AU"/>
              </w:rPr>
              <w:t xml:space="preserve"> </w:t>
            </w:r>
          </w:p>
        </w:tc>
        <w:tc>
          <w:tcPr>
            <w:tcW w:w="850" w:type="dxa"/>
            <w:tcBorders>
              <w:top w:val="nil"/>
              <w:left w:val="nil"/>
              <w:bottom w:val="nil"/>
              <w:right w:val="nil"/>
            </w:tcBorders>
          </w:tcPr>
          <w:p w:rsidR="00A46DCA" w:rsidRPr="00B6730C"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lang w:eastAsia="en-AU"/>
              </w:rPr>
            </w:pPr>
            <w:r w:rsidRPr="00B6730C">
              <w:rPr>
                <w:rFonts w:eastAsiaTheme="minorEastAsia" w:cs="Calibri"/>
                <w:color w:val="000000"/>
                <w:szCs w:val="19"/>
                <w:lang w:eastAsia="en-AU"/>
              </w:rPr>
              <w:t xml:space="preserve"> </w:t>
            </w:r>
          </w:p>
        </w:tc>
      </w:tr>
      <w:tr w:rsidR="00A46DCA" w:rsidRPr="00B6730C" w:rsidTr="00A26D04">
        <w:tc>
          <w:tcPr>
            <w:cnfStyle w:val="001000000000" w:firstRow="0" w:lastRow="0" w:firstColumn="1" w:lastColumn="0" w:oddVBand="0" w:evenVBand="0" w:oddHBand="0" w:evenHBand="0" w:firstRowFirstColumn="0" w:firstRowLastColumn="0" w:lastRowFirstColumn="0" w:lastRowLastColumn="0"/>
            <w:tcW w:w="4365" w:type="dxa"/>
            <w:tcBorders>
              <w:top w:val="nil"/>
              <w:left w:val="nil"/>
              <w:bottom w:val="nil"/>
              <w:right w:val="nil"/>
            </w:tcBorders>
          </w:tcPr>
          <w:p w:rsidR="00A46DCA" w:rsidRPr="00B6730C" w:rsidRDefault="00A46DCA" w:rsidP="00A26D04">
            <w:pPr>
              <w:keepLines w:val="0"/>
              <w:autoSpaceDE w:val="0"/>
              <w:autoSpaceDN w:val="0"/>
              <w:adjustRightInd w:val="0"/>
              <w:rPr>
                <w:rFonts w:eastAsiaTheme="minorEastAsia" w:cs="Calibri"/>
                <w:color w:val="000000"/>
                <w:szCs w:val="19"/>
                <w:lang w:eastAsia="en-AU"/>
              </w:rPr>
            </w:pPr>
            <w:r w:rsidRPr="00B6730C">
              <w:rPr>
                <w:rFonts w:eastAsiaTheme="minorEastAsia" w:cs="Calibri"/>
                <w:color w:val="000000"/>
                <w:szCs w:val="19"/>
                <w:lang w:eastAsia="en-AU"/>
              </w:rPr>
              <w:t>Employee expenses</w:t>
            </w:r>
          </w:p>
        </w:tc>
        <w:tc>
          <w:tcPr>
            <w:tcW w:w="850" w:type="dxa"/>
            <w:tcBorders>
              <w:top w:val="nil"/>
              <w:left w:val="nil"/>
              <w:bottom w:val="nil"/>
              <w:right w:val="nil"/>
            </w:tcBorders>
          </w:tcPr>
          <w:p w:rsidR="00A46DCA" w:rsidRPr="00B6730C"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lang w:eastAsia="en-AU"/>
              </w:rPr>
            </w:pPr>
            <w:r w:rsidRPr="00B6730C">
              <w:rPr>
                <w:rFonts w:eastAsiaTheme="minorEastAsia" w:cs="Calibri"/>
                <w:color w:val="000000"/>
                <w:szCs w:val="19"/>
                <w:lang w:eastAsia="en-AU"/>
              </w:rPr>
              <w:t>24 277</w:t>
            </w:r>
          </w:p>
        </w:tc>
        <w:tc>
          <w:tcPr>
            <w:tcW w:w="850" w:type="dxa"/>
            <w:tcBorders>
              <w:top w:val="nil"/>
              <w:left w:val="nil"/>
              <w:bottom w:val="nil"/>
              <w:right w:val="nil"/>
            </w:tcBorders>
          </w:tcPr>
          <w:p w:rsidR="00A46DCA" w:rsidRPr="00B6730C"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lang w:eastAsia="en-AU"/>
              </w:rPr>
            </w:pPr>
            <w:r w:rsidRPr="00B6730C">
              <w:rPr>
                <w:rFonts w:eastAsiaTheme="minorEastAsia" w:cs="Calibri"/>
                <w:color w:val="000000"/>
                <w:szCs w:val="19"/>
                <w:lang w:eastAsia="en-AU"/>
              </w:rPr>
              <w:t>25 814</w:t>
            </w:r>
          </w:p>
        </w:tc>
        <w:tc>
          <w:tcPr>
            <w:tcW w:w="850" w:type="dxa"/>
            <w:tcBorders>
              <w:top w:val="nil"/>
              <w:left w:val="nil"/>
              <w:bottom w:val="nil"/>
              <w:right w:val="nil"/>
            </w:tcBorders>
          </w:tcPr>
          <w:p w:rsidR="00A46DCA" w:rsidRPr="00B6730C"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lang w:eastAsia="en-AU"/>
              </w:rPr>
            </w:pPr>
            <w:r w:rsidRPr="00B6730C">
              <w:rPr>
                <w:rFonts w:eastAsiaTheme="minorEastAsia" w:cs="Calibri"/>
                <w:color w:val="000000"/>
                <w:szCs w:val="19"/>
                <w:lang w:eastAsia="en-AU"/>
              </w:rPr>
              <w:t>26 374</w:t>
            </w:r>
          </w:p>
        </w:tc>
        <w:tc>
          <w:tcPr>
            <w:tcW w:w="850" w:type="dxa"/>
            <w:tcBorders>
              <w:top w:val="nil"/>
              <w:left w:val="nil"/>
              <w:bottom w:val="nil"/>
              <w:right w:val="nil"/>
            </w:tcBorders>
          </w:tcPr>
          <w:p w:rsidR="00A46DCA" w:rsidRPr="00B6730C"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lang w:eastAsia="en-AU"/>
              </w:rPr>
            </w:pPr>
            <w:r w:rsidRPr="00B6730C">
              <w:rPr>
                <w:rFonts w:eastAsiaTheme="minorEastAsia" w:cs="Calibri"/>
                <w:color w:val="000000"/>
                <w:szCs w:val="19"/>
                <w:lang w:eastAsia="en-AU"/>
              </w:rPr>
              <w:t>27 196</w:t>
            </w:r>
          </w:p>
        </w:tc>
      </w:tr>
      <w:tr w:rsidR="00A46DCA" w:rsidRPr="00B6730C" w:rsidTr="00A26D04">
        <w:tc>
          <w:tcPr>
            <w:cnfStyle w:val="001000000000" w:firstRow="0" w:lastRow="0" w:firstColumn="1" w:lastColumn="0" w:oddVBand="0" w:evenVBand="0" w:oddHBand="0" w:evenHBand="0" w:firstRowFirstColumn="0" w:firstRowLastColumn="0" w:lastRowFirstColumn="0" w:lastRowLastColumn="0"/>
            <w:tcW w:w="4365" w:type="dxa"/>
            <w:tcBorders>
              <w:top w:val="nil"/>
              <w:left w:val="nil"/>
              <w:bottom w:val="nil"/>
              <w:right w:val="nil"/>
            </w:tcBorders>
          </w:tcPr>
          <w:p w:rsidR="00A46DCA" w:rsidRPr="00B6730C" w:rsidRDefault="00A46DCA" w:rsidP="00A26D04">
            <w:pPr>
              <w:keepLines w:val="0"/>
              <w:autoSpaceDE w:val="0"/>
              <w:autoSpaceDN w:val="0"/>
              <w:adjustRightInd w:val="0"/>
              <w:rPr>
                <w:rFonts w:eastAsiaTheme="minorEastAsia" w:cs="Calibri"/>
                <w:color w:val="000000"/>
                <w:szCs w:val="19"/>
                <w:vertAlign w:val="superscript"/>
                <w:lang w:eastAsia="en-AU"/>
              </w:rPr>
            </w:pPr>
            <w:r w:rsidRPr="00B6730C">
              <w:rPr>
                <w:rFonts w:eastAsiaTheme="minorEastAsia" w:cs="Calibri"/>
                <w:color w:val="000000"/>
                <w:szCs w:val="19"/>
                <w:lang w:eastAsia="en-AU"/>
              </w:rPr>
              <w:t xml:space="preserve">Superannuation </w:t>
            </w:r>
            <w:r w:rsidRPr="00B6730C">
              <w:rPr>
                <w:rFonts w:eastAsiaTheme="minorEastAsia" w:cs="Calibri"/>
                <w:color w:val="000000"/>
                <w:szCs w:val="19"/>
                <w:vertAlign w:val="superscript"/>
                <w:lang w:eastAsia="en-AU"/>
              </w:rPr>
              <w:t>(d)</w:t>
            </w:r>
          </w:p>
        </w:tc>
        <w:tc>
          <w:tcPr>
            <w:tcW w:w="850" w:type="dxa"/>
            <w:tcBorders>
              <w:top w:val="nil"/>
              <w:left w:val="nil"/>
              <w:bottom w:val="nil"/>
              <w:right w:val="nil"/>
            </w:tcBorders>
          </w:tcPr>
          <w:p w:rsidR="00A46DCA" w:rsidRPr="00B6730C"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lang w:eastAsia="en-AU"/>
              </w:rPr>
            </w:pPr>
            <w:r w:rsidRPr="00B6730C">
              <w:rPr>
                <w:rFonts w:eastAsiaTheme="minorEastAsia" w:cs="Calibri"/>
                <w:color w:val="000000"/>
                <w:szCs w:val="19"/>
                <w:lang w:eastAsia="en-AU"/>
              </w:rPr>
              <w:t>3 328</w:t>
            </w:r>
          </w:p>
        </w:tc>
        <w:tc>
          <w:tcPr>
            <w:tcW w:w="850" w:type="dxa"/>
            <w:tcBorders>
              <w:top w:val="nil"/>
              <w:left w:val="nil"/>
              <w:bottom w:val="nil"/>
              <w:right w:val="nil"/>
            </w:tcBorders>
          </w:tcPr>
          <w:p w:rsidR="00A46DCA" w:rsidRPr="00B6730C"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lang w:eastAsia="en-AU"/>
              </w:rPr>
            </w:pPr>
            <w:r w:rsidRPr="00B6730C">
              <w:rPr>
                <w:rFonts w:eastAsiaTheme="minorEastAsia" w:cs="Calibri"/>
                <w:color w:val="000000"/>
                <w:szCs w:val="19"/>
                <w:lang w:eastAsia="en-AU"/>
              </w:rPr>
              <w:t>3 323</w:t>
            </w:r>
          </w:p>
        </w:tc>
        <w:tc>
          <w:tcPr>
            <w:tcW w:w="850" w:type="dxa"/>
            <w:tcBorders>
              <w:top w:val="nil"/>
              <w:left w:val="nil"/>
              <w:bottom w:val="nil"/>
              <w:right w:val="nil"/>
            </w:tcBorders>
          </w:tcPr>
          <w:p w:rsidR="00A46DCA" w:rsidRPr="00B6730C"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lang w:eastAsia="en-AU"/>
              </w:rPr>
            </w:pPr>
            <w:r w:rsidRPr="00B6730C">
              <w:rPr>
                <w:rFonts w:eastAsiaTheme="minorEastAsia" w:cs="Calibri"/>
                <w:color w:val="000000"/>
                <w:szCs w:val="19"/>
                <w:lang w:eastAsia="en-AU"/>
              </w:rPr>
              <w:t>3 360</w:t>
            </w:r>
          </w:p>
        </w:tc>
        <w:tc>
          <w:tcPr>
            <w:tcW w:w="850" w:type="dxa"/>
            <w:tcBorders>
              <w:top w:val="nil"/>
              <w:left w:val="nil"/>
              <w:bottom w:val="nil"/>
              <w:right w:val="nil"/>
            </w:tcBorders>
          </w:tcPr>
          <w:p w:rsidR="00A46DCA" w:rsidRPr="00B6730C"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lang w:eastAsia="en-AU"/>
              </w:rPr>
            </w:pPr>
            <w:r w:rsidRPr="00B6730C">
              <w:rPr>
                <w:rFonts w:eastAsiaTheme="minorEastAsia" w:cs="Calibri"/>
                <w:color w:val="000000"/>
                <w:szCs w:val="19"/>
                <w:lang w:eastAsia="en-AU"/>
              </w:rPr>
              <w:t>3 377</w:t>
            </w:r>
          </w:p>
        </w:tc>
      </w:tr>
      <w:tr w:rsidR="00A46DCA" w:rsidRPr="00B6730C" w:rsidTr="00A26D04">
        <w:tc>
          <w:tcPr>
            <w:cnfStyle w:val="001000000000" w:firstRow="0" w:lastRow="0" w:firstColumn="1" w:lastColumn="0" w:oddVBand="0" w:evenVBand="0" w:oddHBand="0" w:evenHBand="0" w:firstRowFirstColumn="0" w:firstRowLastColumn="0" w:lastRowFirstColumn="0" w:lastRowLastColumn="0"/>
            <w:tcW w:w="4365" w:type="dxa"/>
            <w:tcBorders>
              <w:top w:val="nil"/>
              <w:left w:val="nil"/>
              <w:bottom w:val="nil"/>
              <w:right w:val="nil"/>
            </w:tcBorders>
          </w:tcPr>
          <w:p w:rsidR="00A46DCA" w:rsidRPr="00B6730C" w:rsidRDefault="00A46DCA" w:rsidP="00A26D04">
            <w:pPr>
              <w:keepLines w:val="0"/>
              <w:autoSpaceDE w:val="0"/>
              <w:autoSpaceDN w:val="0"/>
              <w:adjustRightInd w:val="0"/>
              <w:rPr>
                <w:rFonts w:eastAsiaTheme="minorEastAsia" w:cs="Calibri"/>
                <w:color w:val="000000"/>
                <w:szCs w:val="19"/>
                <w:lang w:eastAsia="en-AU"/>
              </w:rPr>
            </w:pPr>
            <w:r w:rsidRPr="00B6730C">
              <w:rPr>
                <w:rFonts w:eastAsiaTheme="minorEastAsia" w:cs="Calibri"/>
                <w:color w:val="000000"/>
                <w:szCs w:val="19"/>
                <w:lang w:eastAsia="en-AU"/>
              </w:rPr>
              <w:t xml:space="preserve">Depreciation </w:t>
            </w:r>
          </w:p>
        </w:tc>
        <w:tc>
          <w:tcPr>
            <w:tcW w:w="850" w:type="dxa"/>
            <w:tcBorders>
              <w:top w:val="nil"/>
              <w:left w:val="nil"/>
              <w:bottom w:val="nil"/>
              <w:right w:val="nil"/>
            </w:tcBorders>
          </w:tcPr>
          <w:p w:rsidR="00A46DCA" w:rsidRPr="00B6730C"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lang w:eastAsia="en-AU"/>
              </w:rPr>
            </w:pPr>
            <w:r w:rsidRPr="00B6730C">
              <w:rPr>
                <w:rFonts w:eastAsiaTheme="minorEastAsia" w:cs="Calibri"/>
                <w:color w:val="000000"/>
                <w:szCs w:val="19"/>
                <w:lang w:eastAsia="en-AU"/>
              </w:rPr>
              <w:t>5 008</w:t>
            </w:r>
          </w:p>
        </w:tc>
        <w:tc>
          <w:tcPr>
            <w:tcW w:w="850" w:type="dxa"/>
            <w:tcBorders>
              <w:top w:val="nil"/>
              <w:left w:val="nil"/>
              <w:bottom w:val="nil"/>
              <w:right w:val="nil"/>
            </w:tcBorders>
          </w:tcPr>
          <w:p w:rsidR="00A46DCA" w:rsidRPr="00B6730C"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lang w:eastAsia="en-AU"/>
              </w:rPr>
            </w:pPr>
            <w:r w:rsidRPr="00B6730C">
              <w:rPr>
                <w:rFonts w:eastAsiaTheme="minorEastAsia" w:cs="Calibri"/>
                <w:color w:val="000000"/>
                <w:szCs w:val="19"/>
                <w:lang w:eastAsia="en-AU"/>
              </w:rPr>
              <w:t>5 284</w:t>
            </w:r>
          </w:p>
        </w:tc>
        <w:tc>
          <w:tcPr>
            <w:tcW w:w="850" w:type="dxa"/>
            <w:tcBorders>
              <w:top w:val="nil"/>
              <w:left w:val="nil"/>
              <w:bottom w:val="nil"/>
              <w:right w:val="nil"/>
            </w:tcBorders>
          </w:tcPr>
          <w:p w:rsidR="00A46DCA" w:rsidRPr="00B6730C"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lang w:eastAsia="en-AU"/>
              </w:rPr>
            </w:pPr>
            <w:r w:rsidRPr="00B6730C">
              <w:rPr>
                <w:rFonts w:eastAsiaTheme="minorEastAsia" w:cs="Calibri"/>
                <w:color w:val="000000"/>
                <w:szCs w:val="19"/>
                <w:lang w:eastAsia="en-AU"/>
              </w:rPr>
              <w:t>5 634</w:t>
            </w:r>
          </w:p>
        </w:tc>
        <w:tc>
          <w:tcPr>
            <w:tcW w:w="850" w:type="dxa"/>
            <w:tcBorders>
              <w:top w:val="nil"/>
              <w:left w:val="nil"/>
              <w:bottom w:val="nil"/>
              <w:right w:val="nil"/>
            </w:tcBorders>
          </w:tcPr>
          <w:p w:rsidR="00A46DCA" w:rsidRPr="00B6730C"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lang w:eastAsia="en-AU"/>
              </w:rPr>
            </w:pPr>
            <w:r w:rsidRPr="00B6730C">
              <w:rPr>
                <w:rFonts w:eastAsiaTheme="minorEastAsia" w:cs="Calibri"/>
                <w:color w:val="000000"/>
                <w:szCs w:val="19"/>
                <w:lang w:eastAsia="en-AU"/>
              </w:rPr>
              <w:t>6 078</w:t>
            </w:r>
          </w:p>
        </w:tc>
      </w:tr>
      <w:tr w:rsidR="00A46DCA" w:rsidRPr="00B6730C" w:rsidTr="00A26D04">
        <w:tc>
          <w:tcPr>
            <w:cnfStyle w:val="001000000000" w:firstRow="0" w:lastRow="0" w:firstColumn="1" w:lastColumn="0" w:oddVBand="0" w:evenVBand="0" w:oddHBand="0" w:evenHBand="0" w:firstRowFirstColumn="0" w:firstRowLastColumn="0" w:lastRowFirstColumn="0" w:lastRowLastColumn="0"/>
            <w:tcW w:w="4365" w:type="dxa"/>
            <w:tcBorders>
              <w:top w:val="nil"/>
              <w:left w:val="nil"/>
              <w:bottom w:val="nil"/>
              <w:right w:val="nil"/>
            </w:tcBorders>
          </w:tcPr>
          <w:p w:rsidR="00A46DCA" w:rsidRPr="00B6730C" w:rsidRDefault="00A46DCA" w:rsidP="00A26D04">
            <w:pPr>
              <w:keepLines w:val="0"/>
              <w:autoSpaceDE w:val="0"/>
              <w:autoSpaceDN w:val="0"/>
              <w:adjustRightInd w:val="0"/>
              <w:rPr>
                <w:rFonts w:eastAsiaTheme="minorEastAsia" w:cs="Calibri"/>
                <w:color w:val="000000"/>
                <w:szCs w:val="19"/>
                <w:lang w:eastAsia="en-AU"/>
              </w:rPr>
            </w:pPr>
            <w:r w:rsidRPr="00B6730C">
              <w:rPr>
                <w:rFonts w:eastAsiaTheme="minorEastAsia" w:cs="Calibri"/>
                <w:color w:val="000000"/>
                <w:szCs w:val="19"/>
                <w:lang w:eastAsia="en-AU"/>
              </w:rPr>
              <w:t>Interest expense</w:t>
            </w:r>
          </w:p>
        </w:tc>
        <w:tc>
          <w:tcPr>
            <w:tcW w:w="850" w:type="dxa"/>
            <w:tcBorders>
              <w:top w:val="nil"/>
              <w:left w:val="nil"/>
              <w:bottom w:val="nil"/>
              <w:right w:val="nil"/>
            </w:tcBorders>
          </w:tcPr>
          <w:p w:rsidR="00A46DCA" w:rsidRPr="00B6730C"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lang w:eastAsia="en-AU"/>
              </w:rPr>
            </w:pPr>
            <w:r w:rsidRPr="00B6730C">
              <w:rPr>
                <w:rFonts w:eastAsiaTheme="minorEastAsia" w:cs="Calibri"/>
                <w:color w:val="000000"/>
                <w:szCs w:val="19"/>
                <w:lang w:eastAsia="en-AU"/>
              </w:rPr>
              <w:t>2 678</w:t>
            </w:r>
          </w:p>
        </w:tc>
        <w:tc>
          <w:tcPr>
            <w:tcW w:w="850" w:type="dxa"/>
            <w:tcBorders>
              <w:top w:val="nil"/>
              <w:left w:val="nil"/>
              <w:bottom w:val="nil"/>
              <w:right w:val="nil"/>
            </w:tcBorders>
          </w:tcPr>
          <w:p w:rsidR="00A46DCA" w:rsidRPr="00B6730C"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lang w:eastAsia="en-AU"/>
              </w:rPr>
            </w:pPr>
            <w:r w:rsidRPr="00B6730C">
              <w:rPr>
                <w:rFonts w:eastAsiaTheme="minorEastAsia" w:cs="Calibri"/>
                <w:color w:val="000000"/>
                <w:szCs w:val="19"/>
                <w:lang w:eastAsia="en-AU"/>
              </w:rPr>
              <w:t>2 736</w:t>
            </w:r>
          </w:p>
        </w:tc>
        <w:tc>
          <w:tcPr>
            <w:tcW w:w="850" w:type="dxa"/>
            <w:tcBorders>
              <w:top w:val="nil"/>
              <w:left w:val="nil"/>
              <w:bottom w:val="nil"/>
              <w:right w:val="nil"/>
            </w:tcBorders>
          </w:tcPr>
          <w:p w:rsidR="00A46DCA" w:rsidRPr="00B6730C"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lang w:eastAsia="en-AU"/>
              </w:rPr>
            </w:pPr>
            <w:r w:rsidRPr="00B6730C">
              <w:rPr>
                <w:rFonts w:eastAsiaTheme="minorEastAsia" w:cs="Calibri"/>
                <w:color w:val="000000"/>
                <w:szCs w:val="19"/>
                <w:lang w:eastAsia="en-AU"/>
              </w:rPr>
              <w:t>2 809</w:t>
            </w:r>
          </w:p>
        </w:tc>
        <w:tc>
          <w:tcPr>
            <w:tcW w:w="850" w:type="dxa"/>
            <w:tcBorders>
              <w:top w:val="nil"/>
              <w:left w:val="nil"/>
              <w:bottom w:val="nil"/>
              <w:right w:val="nil"/>
            </w:tcBorders>
          </w:tcPr>
          <w:p w:rsidR="00A46DCA" w:rsidRPr="00B6730C"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lang w:eastAsia="en-AU"/>
              </w:rPr>
            </w:pPr>
            <w:r w:rsidRPr="00B6730C">
              <w:rPr>
                <w:rFonts w:eastAsiaTheme="minorEastAsia" w:cs="Calibri"/>
                <w:color w:val="000000"/>
                <w:szCs w:val="19"/>
                <w:lang w:eastAsia="en-AU"/>
              </w:rPr>
              <w:t>2 938</w:t>
            </w:r>
          </w:p>
        </w:tc>
      </w:tr>
      <w:tr w:rsidR="00A46DCA" w:rsidRPr="00B6730C" w:rsidTr="00A26D04">
        <w:tc>
          <w:tcPr>
            <w:cnfStyle w:val="001000000000" w:firstRow="0" w:lastRow="0" w:firstColumn="1" w:lastColumn="0" w:oddVBand="0" w:evenVBand="0" w:oddHBand="0" w:evenHBand="0" w:firstRowFirstColumn="0" w:firstRowLastColumn="0" w:lastRowFirstColumn="0" w:lastRowLastColumn="0"/>
            <w:tcW w:w="4365" w:type="dxa"/>
            <w:tcBorders>
              <w:top w:val="nil"/>
              <w:left w:val="nil"/>
              <w:bottom w:val="nil"/>
              <w:right w:val="nil"/>
            </w:tcBorders>
          </w:tcPr>
          <w:p w:rsidR="00A46DCA" w:rsidRPr="00B6730C" w:rsidRDefault="00A46DCA" w:rsidP="00A26D04">
            <w:pPr>
              <w:keepLines w:val="0"/>
              <w:autoSpaceDE w:val="0"/>
              <w:autoSpaceDN w:val="0"/>
              <w:adjustRightInd w:val="0"/>
              <w:rPr>
                <w:rFonts w:eastAsiaTheme="minorEastAsia" w:cs="Calibri"/>
                <w:color w:val="000000"/>
                <w:szCs w:val="19"/>
                <w:lang w:eastAsia="en-AU"/>
              </w:rPr>
            </w:pPr>
            <w:r w:rsidRPr="00B6730C">
              <w:rPr>
                <w:rFonts w:eastAsiaTheme="minorEastAsia" w:cs="Calibri"/>
                <w:color w:val="000000"/>
                <w:szCs w:val="19"/>
                <w:lang w:eastAsia="en-AU"/>
              </w:rPr>
              <w:t>Grant expense</w:t>
            </w:r>
          </w:p>
        </w:tc>
        <w:tc>
          <w:tcPr>
            <w:tcW w:w="850" w:type="dxa"/>
            <w:tcBorders>
              <w:top w:val="nil"/>
              <w:left w:val="nil"/>
              <w:bottom w:val="nil"/>
              <w:right w:val="nil"/>
            </w:tcBorders>
          </w:tcPr>
          <w:p w:rsidR="00A46DCA" w:rsidRPr="00B6730C"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lang w:eastAsia="en-AU"/>
              </w:rPr>
            </w:pPr>
            <w:r w:rsidRPr="00B6730C">
              <w:rPr>
                <w:rFonts w:eastAsiaTheme="minorEastAsia" w:cs="Calibri"/>
                <w:color w:val="000000"/>
                <w:szCs w:val="19"/>
                <w:lang w:eastAsia="en-AU"/>
              </w:rPr>
              <w:t>7 486</w:t>
            </w:r>
          </w:p>
        </w:tc>
        <w:tc>
          <w:tcPr>
            <w:tcW w:w="850" w:type="dxa"/>
            <w:tcBorders>
              <w:top w:val="nil"/>
              <w:left w:val="nil"/>
              <w:bottom w:val="nil"/>
              <w:right w:val="nil"/>
            </w:tcBorders>
          </w:tcPr>
          <w:p w:rsidR="00A46DCA" w:rsidRPr="00B6730C"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lang w:eastAsia="en-AU"/>
              </w:rPr>
            </w:pPr>
            <w:r w:rsidRPr="00B6730C">
              <w:rPr>
                <w:rFonts w:eastAsiaTheme="minorEastAsia" w:cs="Calibri"/>
                <w:color w:val="000000"/>
                <w:szCs w:val="19"/>
                <w:lang w:eastAsia="en-AU"/>
              </w:rPr>
              <w:t>9 045</w:t>
            </w:r>
          </w:p>
        </w:tc>
        <w:tc>
          <w:tcPr>
            <w:tcW w:w="850" w:type="dxa"/>
            <w:tcBorders>
              <w:top w:val="nil"/>
              <w:left w:val="nil"/>
              <w:bottom w:val="nil"/>
              <w:right w:val="nil"/>
            </w:tcBorders>
          </w:tcPr>
          <w:p w:rsidR="00A46DCA" w:rsidRPr="00B6730C"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lang w:eastAsia="en-AU"/>
              </w:rPr>
            </w:pPr>
            <w:r w:rsidRPr="00B6730C">
              <w:rPr>
                <w:rFonts w:eastAsiaTheme="minorEastAsia" w:cs="Calibri"/>
                <w:color w:val="000000"/>
                <w:szCs w:val="19"/>
                <w:lang w:eastAsia="en-AU"/>
              </w:rPr>
              <w:t>10 132</w:t>
            </w:r>
          </w:p>
        </w:tc>
        <w:tc>
          <w:tcPr>
            <w:tcW w:w="850" w:type="dxa"/>
            <w:tcBorders>
              <w:top w:val="nil"/>
              <w:left w:val="nil"/>
              <w:bottom w:val="nil"/>
              <w:right w:val="nil"/>
            </w:tcBorders>
          </w:tcPr>
          <w:p w:rsidR="00A46DCA" w:rsidRPr="00B6730C"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lang w:eastAsia="en-AU"/>
              </w:rPr>
            </w:pPr>
            <w:r w:rsidRPr="00B6730C">
              <w:rPr>
                <w:rFonts w:eastAsiaTheme="minorEastAsia" w:cs="Calibri"/>
                <w:color w:val="000000"/>
                <w:szCs w:val="19"/>
                <w:lang w:eastAsia="en-AU"/>
              </w:rPr>
              <w:t>10 063</w:t>
            </w:r>
          </w:p>
        </w:tc>
      </w:tr>
      <w:tr w:rsidR="00A46DCA" w:rsidRPr="00B6730C" w:rsidTr="00A26D04">
        <w:tc>
          <w:tcPr>
            <w:cnfStyle w:val="001000000000" w:firstRow="0" w:lastRow="0" w:firstColumn="1" w:lastColumn="0" w:oddVBand="0" w:evenVBand="0" w:oddHBand="0" w:evenHBand="0" w:firstRowFirstColumn="0" w:firstRowLastColumn="0" w:lastRowFirstColumn="0" w:lastRowLastColumn="0"/>
            <w:tcW w:w="4365" w:type="dxa"/>
            <w:tcBorders>
              <w:top w:val="nil"/>
              <w:left w:val="nil"/>
              <w:bottom w:val="single" w:sz="6" w:space="0" w:color="auto"/>
              <w:right w:val="nil"/>
            </w:tcBorders>
          </w:tcPr>
          <w:p w:rsidR="00A46DCA" w:rsidRPr="00B6730C" w:rsidRDefault="00A46DCA" w:rsidP="00A26D04">
            <w:pPr>
              <w:keepLines w:val="0"/>
              <w:autoSpaceDE w:val="0"/>
              <w:autoSpaceDN w:val="0"/>
              <w:adjustRightInd w:val="0"/>
              <w:rPr>
                <w:rFonts w:eastAsiaTheme="minorEastAsia" w:cs="Calibri"/>
                <w:color w:val="000000"/>
                <w:szCs w:val="19"/>
                <w:lang w:eastAsia="en-AU"/>
              </w:rPr>
            </w:pPr>
            <w:r w:rsidRPr="00B6730C">
              <w:rPr>
                <w:rFonts w:eastAsiaTheme="minorEastAsia" w:cs="Calibri"/>
                <w:color w:val="000000"/>
                <w:szCs w:val="19"/>
                <w:lang w:eastAsia="en-AU"/>
              </w:rPr>
              <w:t>Other operating expenses</w:t>
            </w:r>
          </w:p>
        </w:tc>
        <w:tc>
          <w:tcPr>
            <w:tcW w:w="850" w:type="dxa"/>
            <w:tcBorders>
              <w:top w:val="nil"/>
              <w:left w:val="nil"/>
              <w:bottom w:val="single" w:sz="6" w:space="0" w:color="auto"/>
              <w:right w:val="nil"/>
            </w:tcBorders>
          </w:tcPr>
          <w:p w:rsidR="00A46DCA" w:rsidRPr="00B6730C"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lang w:eastAsia="en-AU"/>
              </w:rPr>
            </w:pPr>
            <w:r w:rsidRPr="00B6730C">
              <w:rPr>
                <w:rFonts w:eastAsiaTheme="minorEastAsia" w:cs="Calibri"/>
                <w:color w:val="000000"/>
                <w:szCs w:val="19"/>
                <w:lang w:eastAsia="en-AU"/>
              </w:rPr>
              <w:t>24 019</w:t>
            </w:r>
          </w:p>
        </w:tc>
        <w:tc>
          <w:tcPr>
            <w:tcW w:w="850" w:type="dxa"/>
            <w:tcBorders>
              <w:top w:val="nil"/>
              <w:left w:val="nil"/>
              <w:bottom w:val="single" w:sz="6" w:space="0" w:color="auto"/>
              <w:right w:val="nil"/>
            </w:tcBorders>
          </w:tcPr>
          <w:p w:rsidR="00A46DCA" w:rsidRPr="00B6730C"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lang w:eastAsia="en-AU"/>
              </w:rPr>
            </w:pPr>
            <w:r w:rsidRPr="00B6730C">
              <w:rPr>
                <w:rFonts w:eastAsiaTheme="minorEastAsia" w:cs="Calibri"/>
                <w:color w:val="000000"/>
                <w:szCs w:val="19"/>
                <w:lang w:eastAsia="en-AU"/>
              </w:rPr>
              <w:t>23 385</w:t>
            </w:r>
          </w:p>
        </w:tc>
        <w:tc>
          <w:tcPr>
            <w:tcW w:w="850" w:type="dxa"/>
            <w:tcBorders>
              <w:top w:val="nil"/>
              <w:left w:val="nil"/>
              <w:bottom w:val="single" w:sz="6" w:space="0" w:color="auto"/>
              <w:right w:val="nil"/>
            </w:tcBorders>
          </w:tcPr>
          <w:p w:rsidR="00A46DCA" w:rsidRPr="00B6730C"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lang w:eastAsia="en-AU"/>
              </w:rPr>
            </w:pPr>
            <w:r w:rsidRPr="00B6730C">
              <w:rPr>
                <w:rFonts w:eastAsiaTheme="minorEastAsia" w:cs="Calibri"/>
                <w:color w:val="000000"/>
                <w:szCs w:val="19"/>
                <w:lang w:eastAsia="en-AU"/>
              </w:rPr>
              <w:t>22 790</w:t>
            </w:r>
          </w:p>
        </w:tc>
        <w:tc>
          <w:tcPr>
            <w:tcW w:w="850" w:type="dxa"/>
            <w:tcBorders>
              <w:top w:val="nil"/>
              <w:left w:val="nil"/>
              <w:bottom w:val="single" w:sz="6" w:space="0" w:color="auto"/>
              <w:right w:val="nil"/>
            </w:tcBorders>
          </w:tcPr>
          <w:p w:rsidR="00A46DCA" w:rsidRPr="00B6730C"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lang w:eastAsia="en-AU"/>
              </w:rPr>
            </w:pPr>
            <w:r w:rsidRPr="00B6730C">
              <w:rPr>
                <w:rFonts w:eastAsiaTheme="minorEastAsia" w:cs="Calibri"/>
                <w:color w:val="000000"/>
                <w:szCs w:val="19"/>
                <w:lang w:eastAsia="en-AU"/>
              </w:rPr>
              <w:t>24 161</w:t>
            </w:r>
          </w:p>
        </w:tc>
      </w:tr>
      <w:tr w:rsidR="00A46DCA" w:rsidRPr="00B6730C" w:rsidTr="00A26D04">
        <w:tc>
          <w:tcPr>
            <w:cnfStyle w:val="001000000000" w:firstRow="0" w:lastRow="0" w:firstColumn="1" w:lastColumn="0" w:oddVBand="0" w:evenVBand="0" w:oddHBand="0" w:evenHBand="0" w:firstRowFirstColumn="0" w:firstRowLastColumn="0" w:lastRowFirstColumn="0" w:lastRowLastColumn="0"/>
            <w:tcW w:w="4365" w:type="dxa"/>
            <w:tcBorders>
              <w:top w:val="nil"/>
              <w:left w:val="nil"/>
              <w:bottom w:val="nil"/>
              <w:right w:val="nil"/>
            </w:tcBorders>
          </w:tcPr>
          <w:p w:rsidR="00A46DCA" w:rsidRPr="00B6730C" w:rsidRDefault="00A46DCA" w:rsidP="00A26D04">
            <w:pPr>
              <w:keepLines w:val="0"/>
              <w:autoSpaceDE w:val="0"/>
              <w:autoSpaceDN w:val="0"/>
              <w:adjustRightInd w:val="0"/>
              <w:rPr>
                <w:rFonts w:eastAsiaTheme="minorEastAsia" w:cs="Calibri"/>
                <w:b/>
                <w:bCs/>
                <w:color w:val="000000"/>
                <w:szCs w:val="19"/>
                <w:lang w:eastAsia="en-AU"/>
              </w:rPr>
            </w:pPr>
            <w:r w:rsidRPr="00B6730C">
              <w:rPr>
                <w:rFonts w:eastAsiaTheme="minorEastAsia" w:cs="Calibri"/>
                <w:b/>
                <w:bCs/>
                <w:color w:val="000000"/>
                <w:szCs w:val="19"/>
                <w:lang w:eastAsia="en-AU"/>
              </w:rPr>
              <w:t>Total expenses</w:t>
            </w:r>
          </w:p>
        </w:tc>
        <w:tc>
          <w:tcPr>
            <w:tcW w:w="850" w:type="dxa"/>
            <w:tcBorders>
              <w:top w:val="nil"/>
              <w:left w:val="nil"/>
              <w:bottom w:val="nil"/>
              <w:right w:val="nil"/>
            </w:tcBorders>
          </w:tcPr>
          <w:p w:rsidR="00A46DCA" w:rsidRPr="00B6730C"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9"/>
                <w:lang w:eastAsia="en-AU"/>
              </w:rPr>
            </w:pPr>
            <w:r w:rsidRPr="00B6730C">
              <w:rPr>
                <w:rFonts w:eastAsiaTheme="minorEastAsia" w:cs="Calibri"/>
                <w:b/>
                <w:bCs/>
                <w:color w:val="000000"/>
                <w:szCs w:val="19"/>
                <w:lang w:eastAsia="en-AU"/>
              </w:rPr>
              <w:t>66 797</w:t>
            </w:r>
          </w:p>
        </w:tc>
        <w:tc>
          <w:tcPr>
            <w:tcW w:w="850" w:type="dxa"/>
            <w:tcBorders>
              <w:top w:val="nil"/>
              <w:left w:val="nil"/>
              <w:bottom w:val="nil"/>
              <w:right w:val="nil"/>
            </w:tcBorders>
          </w:tcPr>
          <w:p w:rsidR="00A46DCA" w:rsidRPr="00B6730C"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9"/>
                <w:lang w:eastAsia="en-AU"/>
              </w:rPr>
            </w:pPr>
            <w:r w:rsidRPr="00B6730C">
              <w:rPr>
                <w:rFonts w:eastAsiaTheme="minorEastAsia" w:cs="Calibri"/>
                <w:b/>
                <w:bCs/>
                <w:color w:val="000000"/>
                <w:szCs w:val="19"/>
                <w:lang w:eastAsia="en-AU"/>
              </w:rPr>
              <w:t>69 587</w:t>
            </w:r>
          </w:p>
        </w:tc>
        <w:tc>
          <w:tcPr>
            <w:tcW w:w="850" w:type="dxa"/>
            <w:tcBorders>
              <w:top w:val="nil"/>
              <w:left w:val="nil"/>
              <w:bottom w:val="nil"/>
              <w:right w:val="nil"/>
            </w:tcBorders>
          </w:tcPr>
          <w:p w:rsidR="00A46DCA" w:rsidRPr="00B6730C"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9"/>
                <w:lang w:eastAsia="en-AU"/>
              </w:rPr>
            </w:pPr>
            <w:r w:rsidRPr="00B6730C">
              <w:rPr>
                <w:rFonts w:eastAsiaTheme="minorEastAsia" w:cs="Calibri"/>
                <w:b/>
                <w:bCs/>
                <w:color w:val="000000"/>
                <w:szCs w:val="19"/>
                <w:lang w:eastAsia="en-AU"/>
              </w:rPr>
              <w:t>71 097</w:t>
            </w:r>
          </w:p>
        </w:tc>
        <w:tc>
          <w:tcPr>
            <w:tcW w:w="850" w:type="dxa"/>
            <w:tcBorders>
              <w:top w:val="nil"/>
              <w:left w:val="nil"/>
              <w:bottom w:val="nil"/>
              <w:right w:val="nil"/>
            </w:tcBorders>
          </w:tcPr>
          <w:p w:rsidR="00A46DCA" w:rsidRPr="00B6730C"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9"/>
                <w:lang w:eastAsia="en-AU"/>
              </w:rPr>
            </w:pPr>
            <w:r w:rsidRPr="00B6730C">
              <w:rPr>
                <w:rFonts w:eastAsiaTheme="minorEastAsia" w:cs="Calibri"/>
                <w:b/>
                <w:bCs/>
                <w:color w:val="000000"/>
                <w:szCs w:val="19"/>
                <w:lang w:eastAsia="en-AU"/>
              </w:rPr>
              <w:t>73 813</w:t>
            </w:r>
          </w:p>
        </w:tc>
      </w:tr>
      <w:tr w:rsidR="00A46DCA" w:rsidRPr="00B6730C" w:rsidTr="00A26D04">
        <w:tc>
          <w:tcPr>
            <w:cnfStyle w:val="001000000000" w:firstRow="0" w:lastRow="0" w:firstColumn="1" w:lastColumn="0" w:oddVBand="0" w:evenVBand="0" w:oddHBand="0" w:evenHBand="0" w:firstRowFirstColumn="0" w:firstRowLastColumn="0" w:lastRowFirstColumn="0" w:lastRowLastColumn="0"/>
            <w:tcW w:w="4365" w:type="dxa"/>
            <w:tcBorders>
              <w:top w:val="nil"/>
              <w:left w:val="nil"/>
              <w:bottom w:val="single" w:sz="6" w:space="0" w:color="auto"/>
              <w:right w:val="nil"/>
            </w:tcBorders>
          </w:tcPr>
          <w:p w:rsidR="00A46DCA" w:rsidRPr="00B6730C" w:rsidRDefault="00A46DCA" w:rsidP="00A26D04">
            <w:pPr>
              <w:keepLines w:val="0"/>
              <w:autoSpaceDE w:val="0"/>
              <w:autoSpaceDN w:val="0"/>
              <w:adjustRightInd w:val="0"/>
              <w:rPr>
                <w:rFonts w:eastAsiaTheme="minorEastAsia" w:cs="Calibri"/>
                <w:i/>
                <w:iCs/>
                <w:color w:val="000000"/>
                <w:szCs w:val="19"/>
                <w:lang w:eastAsia="en-AU"/>
              </w:rPr>
            </w:pPr>
            <w:r w:rsidRPr="00B6730C">
              <w:rPr>
                <w:rFonts w:eastAsiaTheme="minorEastAsia" w:cs="Calibri"/>
                <w:i/>
                <w:iCs/>
                <w:color w:val="000000"/>
                <w:szCs w:val="19"/>
                <w:lang w:eastAsia="en-AU"/>
              </w:rPr>
              <w:t>% change</w:t>
            </w:r>
          </w:p>
        </w:tc>
        <w:tc>
          <w:tcPr>
            <w:tcW w:w="850" w:type="dxa"/>
            <w:tcBorders>
              <w:top w:val="nil"/>
              <w:left w:val="nil"/>
              <w:bottom w:val="single" w:sz="6" w:space="0" w:color="auto"/>
              <w:right w:val="nil"/>
            </w:tcBorders>
          </w:tcPr>
          <w:p w:rsidR="00A46DCA" w:rsidRPr="00B6730C"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lang w:eastAsia="en-AU"/>
              </w:rPr>
            </w:pPr>
            <w:r w:rsidRPr="00B6730C">
              <w:rPr>
                <w:rFonts w:eastAsiaTheme="minorEastAsia" w:cs="Calibri"/>
                <w:color w:val="000000"/>
                <w:szCs w:val="19"/>
                <w:lang w:eastAsia="en-AU"/>
              </w:rPr>
              <w:t>7.4</w:t>
            </w:r>
          </w:p>
        </w:tc>
        <w:tc>
          <w:tcPr>
            <w:tcW w:w="850" w:type="dxa"/>
            <w:tcBorders>
              <w:top w:val="nil"/>
              <w:left w:val="nil"/>
              <w:bottom w:val="single" w:sz="6" w:space="0" w:color="auto"/>
              <w:right w:val="nil"/>
            </w:tcBorders>
          </w:tcPr>
          <w:p w:rsidR="00A46DCA" w:rsidRPr="00B6730C"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lang w:eastAsia="en-AU"/>
              </w:rPr>
            </w:pPr>
            <w:r w:rsidRPr="00B6730C">
              <w:rPr>
                <w:rFonts w:eastAsiaTheme="minorEastAsia" w:cs="Calibri"/>
                <w:color w:val="000000"/>
                <w:szCs w:val="19"/>
                <w:lang w:eastAsia="en-AU"/>
              </w:rPr>
              <w:t>4.2</w:t>
            </w:r>
          </w:p>
        </w:tc>
        <w:tc>
          <w:tcPr>
            <w:tcW w:w="850" w:type="dxa"/>
            <w:tcBorders>
              <w:top w:val="nil"/>
              <w:left w:val="nil"/>
              <w:bottom w:val="single" w:sz="6" w:space="0" w:color="auto"/>
              <w:right w:val="nil"/>
            </w:tcBorders>
          </w:tcPr>
          <w:p w:rsidR="00A46DCA" w:rsidRPr="00B6730C"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lang w:eastAsia="en-AU"/>
              </w:rPr>
            </w:pPr>
            <w:r w:rsidRPr="00B6730C">
              <w:rPr>
                <w:rFonts w:eastAsiaTheme="minorEastAsia" w:cs="Calibri"/>
                <w:color w:val="000000"/>
                <w:szCs w:val="19"/>
                <w:lang w:eastAsia="en-AU"/>
              </w:rPr>
              <w:t>2.2</w:t>
            </w:r>
          </w:p>
        </w:tc>
        <w:tc>
          <w:tcPr>
            <w:tcW w:w="850" w:type="dxa"/>
            <w:tcBorders>
              <w:top w:val="nil"/>
              <w:left w:val="nil"/>
              <w:bottom w:val="single" w:sz="6" w:space="0" w:color="auto"/>
              <w:right w:val="nil"/>
            </w:tcBorders>
          </w:tcPr>
          <w:p w:rsidR="00A46DCA" w:rsidRPr="00B6730C"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lang w:eastAsia="en-AU"/>
              </w:rPr>
            </w:pPr>
            <w:r w:rsidRPr="00B6730C">
              <w:rPr>
                <w:rFonts w:eastAsiaTheme="minorEastAsia" w:cs="Calibri"/>
                <w:color w:val="000000"/>
                <w:szCs w:val="19"/>
                <w:lang w:eastAsia="en-AU"/>
              </w:rPr>
              <w:t>3.8</w:t>
            </w:r>
          </w:p>
        </w:tc>
      </w:tr>
      <w:tr w:rsidR="00A46DCA" w:rsidRPr="00B6730C" w:rsidTr="00A26D04">
        <w:tc>
          <w:tcPr>
            <w:cnfStyle w:val="001000000000" w:firstRow="0" w:lastRow="0" w:firstColumn="1" w:lastColumn="0" w:oddVBand="0" w:evenVBand="0" w:oddHBand="0" w:evenHBand="0" w:firstRowFirstColumn="0" w:firstRowLastColumn="0" w:lastRowFirstColumn="0" w:lastRowLastColumn="0"/>
            <w:tcW w:w="4365" w:type="dxa"/>
            <w:tcBorders>
              <w:top w:val="single" w:sz="6" w:space="0" w:color="auto"/>
              <w:left w:val="nil"/>
              <w:bottom w:val="single" w:sz="12" w:space="0" w:color="auto"/>
              <w:right w:val="nil"/>
            </w:tcBorders>
          </w:tcPr>
          <w:p w:rsidR="00A46DCA" w:rsidRPr="00B6730C" w:rsidRDefault="00A46DCA" w:rsidP="00A26D04">
            <w:pPr>
              <w:keepLines w:val="0"/>
              <w:autoSpaceDE w:val="0"/>
              <w:autoSpaceDN w:val="0"/>
              <w:adjustRightInd w:val="0"/>
              <w:rPr>
                <w:rFonts w:eastAsiaTheme="minorEastAsia" w:cs="Calibri"/>
                <w:b/>
                <w:bCs/>
                <w:color w:val="000000"/>
                <w:szCs w:val="19"/>
                <w:lang w:eastAsia="en-AU"/>
              </w:rPr>
            </w:pPr>
            <w:r w:rsidRPr="00B6730C">
              <w:rPr>
                <w:rFonts w:eastAsiaTheme="minorEastAsia" w:cs="Calibri"/>
                <w:b/>
                <w:bCs/>
                <w:color w:val="000000"/>
                <w:szCs w:val="19"/>
                <w:lang w:eastAsia="en-AU"/>
              </w:rPr>
              <w:t>Net result from transactions</w:t>
            </w:r>
          </w:p>
        </w:tc>
        <w:tc>
          <w:tcPr>
            <w:tcW w:w="850" w:type="dxa"/>
            <w:tcBorders>
              <w:top w:val="single" w:sz="6" w:space="0" w:color="auto"/>
              <w:left w:val="nil"/>
              <w:bottom w:val="single" w:sz="12" w:space="0" w:color="auto"/>
              <w:right w:val="nil"/>
            </w:tcBorders>
          </w:tcPr>
          <w:p w:rsidR="00A46DCA" w:rsidRPr="00B6730C"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sidRPr="00B6730C">
              <w:rPr>
                <w:rFonts w:eastAsiaTheme="minorEastAsia" w:cs="Calibri"/>
                <w:b/>
                <w:bCs/>
                <w:color w:val="000000"/>
                <w:szCs w:val="19"/>
                <w:lang w:eastAsia="en-AU"/>
              </w:rPr>
              <w:t xml:space="preserve"> 733</w:t>
            </w:r>
          </w:p>
        </w:tc>
        <w:tc>
          <w:tcPr>
            <w:tcW w:w="850" w:type="dxa"/>
            <w:tcBorders>
              <w:top w:val="single" w:sz="6" w:space="0" w:color="auto"/>
              <w:left w:val="nil"/>
              <w:bottom w:val="single" w:sz="12" w:space="0" w:color="auto"/>
              <w:right w:val="nil"/>
            </w:tcBorders>
          </w:tcPr>
          <w:p w:rsidR="00A46DCA" w:rsidRPr="00B6730C"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9"/>
                <w:lang w:eastAsia="en-AU"/>
              </w:rPr>
            </w:pPr>
            <w:r w:rsidRPr="00B6730C">
              <w:rPr>
                <w:rFonts w:eastAsiaTheme="minorEastAsia" w:cs="Calibri"/>
                <w:b/>
                <w:bCs/>
                <w:color w:val="000000"/>
                <w:szCs w:val="19"/>
                <w:lang w:eastAsia="en-AU"/>
              </w:rPr>
              <w:t>1 438</w:t>
            </w:r>
          </w:p>
        </w:tc>
        <w:tc>
          <w:tcPr>
            <w:tcW w:w="850" w:type="dxa"/>
            <w:tcBorders>
              <w:top w:val="single" w:sz="6" w:space="0" w:color="auto"/>
              <w:left w:val="nil"/>
              <w:bottom w:val="single" w:sz="12" w:space="0" w:color="auto"/>
              <w:right w:val="nil"/>
            </w:tcBorders>
          </w:tcPr>
          <w:p w:rsidR="00A46DCA" w:rsidRPr="00B6730C"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9"/>
                <w:lang w:eastAsia="en-AU"/>
              </w:rPr>
            </w:pPr>
            <w:r w:rsidRPr="00B6730C">
              <w:rPr>
                <w:rFonts w:eastAsiaTheme="minorEastAsia" w:cs="Calibri"/>
                <w:b/>
                <w:bCs/>
                <w:color w:val="000000"/>
                <w:szCs w:val="19"/>
                <w:lang w:eastAsia="en-AU"/>
              </w:rPr>
              <w:t>1 432</w:t>
            </w:r>
          </w:p>
        </w:tc>
        <w:tc>
          <w:tcPr>
            <w:tcW w:w="850" w:type="dxa"/>
            <w:tcBorders>
              <w:top w:val="single" w:sz="6" w:space="0" w:color="auto"/>
              <w:left w:val="nil"/>
              <w:bottom w:val="single" w:sz="12" w:space="0" w:color="auto"/>
              <w:right w:val="nil"/>
            </w:tcBorders>
          </w:tcPr>
          <w:p w:rsidR="00A46DCA" w:rsidRPr="00B6730C"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9"/>
                <w:lang w:eastAsia="en-AU"/>
              </w:rPr>
            </w:pPr>
            <w:r w:rsidRPr="00B6730C">
              <w:rPr>
                <w:rFonts w:eastAsiaTheme="minorEastAsia" w:cs="Calibri"/>
                <w:b/>
                <w:bCs/>
                <w:color w:val="000000"/>
                <w:szCs w:val="19"/>
                <w:lang w:eastAsia="en-AU"/>
              </w:rPr>
              <w:t>1 905</w:t>
            </w:r>
          </w:p>
        </w:tc>
      </w:tr>
    </w:tbl>
    <w:p w:rsidR="00A46DCA" w:rsidRDefault="00A46DCA" w:rsidP="00A26D04">
      <w:pPr>
        <w:pStyle w:val="Source"/>
      </w:pPr>
      <w:r>
        <w:t>Source: Department of Treasury and Finance</w:t>
      </w:r>
    </w:p>
    <w:p w:rsidR="00A46DCA" w:rsidRDefault="00A46DCA" w:rsidP="00A26D04">
      <w:pPr>
        <w:pStyle w:val="Note"/>
      </w:pPr>
      <w:r>
        <w:t>Notes:</w:t>
      </w:r>
    </w:p>
    <w:p w:rsidR="00A46DCA" w:rsidRDefault="00A46DCA" w:rsidP="00A26D04">
      <w:pPr>
        <w:pStyle w:val="Note"/>
      </w:pPr>
      <w:r>
        <w:t>(a)</w:t>
      </w:r>
      <w:r>
        <w:tab/>
        <w:t xml:space="preserve">This is a summary operating statement. The comprehensive operating statement is presented in Chapter 5 </w:t>
      </w:r>
      <w:r w:rsidRPr="00E377F9">
        <w:rPr>
          <w:i w:val="0"/>
        </w:rPr>
        <w:t>Supplementary uniform presentation framework tables</w:t>
      </w:r>
      <w:r>
        <w:t xml:space="preserve">. Figures in this table are subject to rounding to the nearest dollar and may not add up to totals. </w:t>
      </w:r>
    </w:p>
    <w:p w:rsidR="00A46DCA" w:rsidRDefault="00A46DCA" w:rsidP="00A26D04">
      <w:pPr>
        <w:pStyle w:val="Note"/>
      </w:pPr>
      <w:r>
        <w:t>(b)</w:t>
      </w:r>
      <w:r>
        <w:tab/>
        <w:t>Comprises dividends, income tax equivalents revenue and interest.</w:t>
      </w:r>
    </w:p>
    <w:p w:rsidR="00A46DCA" w:rsidRPr="006E61F2" w:rsidRDefault="00A46DCA" w:rsidP="00A26D04">
      <w:pPr>
        <w:pStyle w:val="Note"/>
      </w:pPr>
      <w:r>
        <w:t>(c)</w:t>
      </w:r>
      <w:r>
        <w:tab/>
      </w:r>
      <w:r w:rsidRPr="00EC1614">
        <w:t>The 2017</w:t>
      </w:r>
      <w:r w:rsidRPr="00EC1614">
        <w:noBreakHyphen/>
        <w:t>18 revised per cent change refers to 2016</w:t>
      </w:r>
      <w:r w:rsidRPr="00EC1614">
        <w:noBreakHyphen/>
        <w:t>17 actual figures, adjusted to remove the one-off receipt of revenue associated with the upfront payment of the Port Licence Fee.</w:t>
      </w:r>
    </w:p>
    <w:p w:rsidR="00A46DCA" w:rsidRDefault="00A46DCA" w:rsidP="00A26D04">
      <w:pPr>
        <w:pStyle w:val="Note"/>
      </w:pPr>
      <w:r>
        <w:t>(d)</w:t>
      </w:r>
      <w:r>
        <w:tab/>
        <w:t>Comprises superannuation interest expense and other superannuation expenses.</w:t>
      </w:r>
    </w:p>
    <w:p w:rsidR="00A46DCA" w:rsidRDefault="00A46DCA" w:rsidP="00A26D04"/>
    <w:p w:rsidR="00A46DCA" w:rsidRDefault="00A46DCA" w:rsidP="00A26D04">
      <w:r>
        <w:t>The net result from transactions for the NFP sector is projected to reach $1.9</w:t>
      </w:r>
      <w:r w:rsidRPr="006A7C8A">
        <w:t> billion</w:t>
      </w:r>
      <w:r>
        <w:t xml:space="preserve"> by 2020</w:t>
      </w:r>
      <w:r>
        <w:noBreakHyphen/>
        <w:t>21. This is largely due to the general government sector forecasting a $1.7</w:t>
      </w:r>
      <w:r w:rsidRPr="006A7C8A">
        <w:t> billion</w:t>
      </w:r>
      <w:r>
        <w:t xml:space="preserve"> surplus in </w:t>
      </w:r>
      <w:r w:rsidRPr="006A7C8A">
        <w:t>2017</w:t>
      </w:r>
      <w:r w:rsidRPr="006A7C8A">
        <w:noBreakHyphen/>
        <w:t>18</w:t>
      </w:r>
      <w:r>
        <w:t xml:space="preserve"> which increases to a $2.6</w:t>
      </w:r>
      <w:r w:rsidRPr="006A7C8A">
        <w:t> billion</w:t>
      </w:r>
      <w:r>
        <w:t xml:space="preserve"> surplus by 2020</w:t>
      </w:r>
      <w:r>
        <w:noBreakHyphen/>
        <w:t>21.</w:t>
      </w:r>
    </w:p>
    <w:p w:rsidR="00A46DCA" w:rsidRDefault="00A46DCA">
      <w:pPr>
        <w:keepLines w:val="0"/>
      </w:pPr>
      <w:r>
        <w:br w:type="page"/>
      </w:r>
    </w:p>
    <w:p w:rsidR="00A46DCA" w:rsidRDefault="00A46DCA" w:rsidP="00A26D04">
      <w:r>
        <w:lastRenderedPageBreak/>
        <w:t>The net result from transactions in the PNFC sector is projected to be an average deficit of $467</w:t>
      </w:r>
      <w:r w:rsidRPr="006A7C8A">
        <w:t> million</w:t>
      </w:r>
      <w:r>
        <w:t xml:space="preserve"> across the forward estimates period. The deficits mainly reflect:</w:t>
      </w:r>
    </w:p>
    <w:p w:rsidR="00A46DCA" w:rsidRDefault="00A46DCA" w:rsidP="00A26D04">
      <w:pPr>
        <w:pStyle w:val="ListBullet"/>
      </w:pPr>
      <w:r>
        <w:t xml:space="preserve">unfunded depreciation expenses for </w:t>
      </w:r>
      <w:proofErr w:type="spellStart"/>
      <w:r>
        <w:t>VicTrack</w:t>
      </w:r>
      <w:proofErr w:type="spellEnd"/>
      <w:r>
        <w:t xml:space="preserve">. However, over the forward estimates </w:t>
      </w:r>
      <w:proofErr w:type="spellStart"/>
      <w:r>
        <w:t>VicTrack</w:t>
      </w:r>
      <w:proofErr w:type="spellEnd"/>
      <w:r>
        <w:t xml:space="preserve"> is estimated to generate an average operating cash flow surplus of $78 million; and </w:t>
      </w:r>
    </w:p>
    <w:p w:rsidR="00A46DCA" w:rsidRDefault="00A46DCA" w:rsidP="00A26D04">
      <w:pPr>
        <w:pStyle w:val="ListBullet"/>
      </w:pPr>
      <w:r>
        <w:t>unfunded depreciation expenses and costs associated with the Director of Housing managing a large and ageing asset portfolio.</w:t>
      </w:r>
    </w:p>
    <w:p w:rsidR="00A46DCA" w:rsidRDefault="00A46DCA" w:rsidP="00A26D04">
      <w:r>
        <w:t>Despite the forecast deficits, the PNFC sector is forecast to remain in a strong and sustainable position, as evidenced by operating cash flow surpluses averaging around $1.6 billion over the forward estimates.</w:t>
      </w:r>
    </w:p>
    <w:p w:rsidR="00A46DCA" w:rsidRDefault="00A46DCA" w:rsidP="00A26D04">
      <w:pPr>
        <w:pStyle w:val="Heading20"/>
      </w:pPr>
      <w:r>
        <w:t>Application of cash resources</w:t>
      </w:r>
    </w:p>
    <w:p w:rsidR="00A46DCA" w:rsidRDefault="00A46DCA" w:rsidP="00A26D04">
      <w:r>
        <w:t>The NFP sector is forecast to record operating cash flow surpluses across the budget and forward estimates period, which will fund approximately 60 per cent of NFP sector infrastructure program. This enables the State to deliver infrastructure projects without compromising debt sustainability.</w:t>
      </w:r>
    </w:p>
    <w:p w:rsidR="00A46DCA" w:rsidRPr="00B6730C" w:rsidRDefault="00A46DCA" w:rsidP="00A26D04">
      <w:pPr>
        <w:pStyle w:val="TableHeading"/>
        <w:rPr>
          <w:i/>
          <w:spacing w:val="-2"/>
          <w:sz w:val="14"/>
        </w:rPr>
      </w:pPr>
      <w:r>
        <w:t xml:space="preserve">Table 3.7: </w:t>
      </w:r>
      <w:r>
        <w:tab/>
        <w:t xml:space="preserve">Application of cash resources for the </w:t>
      </w:r>
      <w:r w:rsidRPr="006A7C8A">
        <w:t>non</w:t>
      </w:r>
      <w:r w:rsidRPr="006A7C8A">
        <w:noBreakHyphen/>
      </w:r>
      <w:r>
        <w:t xml:space="preserve">financial public sector </w:t>
      </w:r>
      <w:r w:rsidRPr="006A7C8A">
        <w:rPr>
          <w:vertAlign w:val="superscript"/>
        </w:rPr>
        <w:t>(a)</w:t>
      </w:r>
      <w:r w:rsidRPr="00D3308C">
        <w:tab/>
        <w:t>($ million)</w:t>
      </w:r>
    </w:p>
    <w:tbl>
      <w:tblPr>
        <w:tblStyle w:val="DTFTable"/>
        <w:tblW w:w="7765" w:type="dxa"/>
        <w:tblInd w:w="45" w:type="dxa"/>
        <w:tblLayout w:type="fixed"/>
        <w:tblCellMar>
          <w:left w:w="45" w:type="dxa"/>
          <w:right w:w="45" w:type="dxa"/>
        </w:tblCellMar>
        <w:tblLook w:val="06E0" w:firstRow="1" w:lastRow="1" w:firstColumn="1" w:lastColumn="0" w:noHBand="1" w:noVBand="1"/>
      </w:tblPr>
      <w:tblGrid>
        <w:gridCol w:w="4365"/>
        <w:gridCol w:w="850"/>
        <w:gridCol w:w="850"/>
        <w:gridCol w:w="850"/>
        <w:gridCol w:w="850"/>
      </w:tblGrid>
      <w:tr w:rsidR="00A26D04" w:rsidRPr="00B6730C" w:rsidTr="00996E49">
        <w:trPr>
          <w:cnfStyle w:val="100000000000" w:firstRow="1" w:lastRow="0" w:firstColumn="0" w:lastColumn="0" w:oddVBand="0" w:evenVBand="0" w:oddHBand="0" w:evenHBand="0" w:firstRowFirstColumn="0" w:firstRowLastColumn="0" w:lastRowFirstColumn="0" w:lastRowLastColumn="0"/>
          <w:trHeight w:val="191"/>
        </w:trPr>
        <w:tc>
          <w:tcPr>
            <w:cnfStyle w:val="001000000000" w:firstRow="0" w:lastRow="0" w:firstColumn="1" w:lastColumn="0" w:oddVBand="0" w:evenVBand="0" w:oddHBand="0" w:evenHBand="0" w:firstRowFirstColumn="0" w:firstRowLastColumn="0" w:lastRowFirstColumn="0" w:lastRowLastColumn="0"/>
            <w:tcW w:w="4365" w:type="dxa"/>
            <w:tcBorders>
              <w:top w:val="nil"/>
              <w:left w:val="nil"/>
              <w:right w:val="nil"/>
            </w:tcBorders>
            <w:shd w:val="solid" w:color="000000" w:fill="auto"/>
          </w:tcPr>
          <w:p w:rsidR="00A26D04" w:rsidRPr="00B6730C" w:rsidRDefault="00A26D04" w:rsidP="00A26D04">
            <w:pPr>
              <w:keepLines w:val="0"/>
              <w:autoSpaceDE w:val="0"/>
              <w:autoSpaceDN w:val="0"/>
              <w:adjustRightInd w:val="0"/>
              <w:rPr>
                <w:rFonts w:eastAsiaTheme="minorEastAsia" w:cs="Calibri"/>
                <w:iCs/>
                <w:color w:val="FFFFFF"/>
                <w:szCs w:val="19"/>
                <w:lang w:eastAsia="en-AU"/>
              </w:rPr>
            </w:pPr>
            <w:r w:rsidRPr="00B6730C">
              <w:rPr>
                <w:rFonts w:eastAsiaTheme="minorEastAsia" w:cs="Calibri"/>
                <w:iCs/>
                <w:color w:val="FFFFFF"/>
                <w:szCs w:val="19"/>
                <w:lang w:eastAsia="en-AU"/>
              </w:rPr>
              <w:t xml:space="preserve">  </w:t>
            </w:r>
          </w:p>
        </w:tc>
        <w:tc>
          <w:tcPr>
            <w:tcW w:w="850" w:type="dxa"/>
            <w:tcBorders>
              <w:top w:val="nil"/>
              <w:left w:val="nil"/>
              <w:right w:val="nil"/>
            </w:tcBorders>
            <w:shd w:val="solid" w:color="000000" w:fill="auto"/>
          </w:tcPr>
          <w:p w:rsidR="00A26D04" w:rsidRPr="00B6730C" w:rsidRDefault="00A26D04" w:rsidP="00A26D0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9"/>
                <w:lang w:eastAsia="en-AU"/>
              </w:rPr>
            </w:pPr>
            <w:r w:rsidRPr="00B6730C">
              <w:rPr>
                <w:rFonts w:eastAsiaTheme="minorEastAsia" w:cs="Calibri"/>
                <w:iCs/>
                <w:color w:val="FFFFFF"/>
                <w:szCs w:val="19"/>
                <w:lang w:eastAsia="en-AU"/>
              </w:rPr>
              <w:t>2017-18</w:t>
            </w:r>
            <w:r>
              <w:rPr>
                <w:rFonts w:eastAsiaTheme="minorEastAsia" w:cs="Calibri"/>
                <w:iCs/>
                <w:color w:val="FFFFFF"/>
                <w:szCs w:val="19"/>
                <w:lang w:eastAsia="en-AU"/>
              </w:rPr>
              <w:br/>
            </w:r>
            <w:r w:rsidRPr="00B6730C">
              <w:rPr>
                <w:rFonts w:eastAsiaTheme="minorEastAsia" w:cs="Calibri"/>
                <w:iCs/>
                <w:color w:val="FFFFFF"/>
                <w:szCs w:val="19"/>
                <w:lang w:eastAsia="en-AU"/>
              </w:rPr>
              <w:t>revised</w:t>
            </w:r>
          </w:p>
        </w:tc>
        <w:tc>
          <w:tcPr>
            <w:tcW w:w="850" w:type="dxa"/>
            <w:tcBorders>
              <w:top w:val="nil"/>
              <w:left w:val="nil"/>
              <w:right w:val="nil"/>
            </w:tcBorders>
            <w:shd w:val="solid" w:color="000000" w:fill="auto"/>
          </w:tcPr>
          <w:p w:rsidR="00A26D04" w:rsidRPr="00B6730C" w:rsidRDefault="00A26D04" w:rsidP="00A26D0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9"/>
                <w:lang w:eastAsia="en-AU"/>
              </w:rPr>
            </w:pPr>
            <w:r w:rsidRPr="00B6730C">
              <w:rPr>
                <w:rFonts w:eastAsiaTheme="minorEastAsia" w:cs="Calibri"/>
                <w:iCs/>
                <w:color w:val="FFFFFF"/>
                <w:szCs w:val="19"/>
                <w:lang w:eastAsia="en-AU"/>
              </w:rPr>
              <w:t>2018-19</w:t>
            </w:r>
            <w:r>
              <w:rPr>
                <w:rFonts w:eastAsiaTheme="minorEastAsia" w:cs="Calibri"/>
                <w:iCs/>
                <w:color w:val="FFFFFF"/>
                <w:szCs w:val="19"/>
                <w:lang w:eastAsia="en-AU"/>
              </w:rPr>
              <w:br/>
            </w:r>
            <w:r w:rsidRPr="00B6730C">
              <w:rPr>
                <w:rFonts w:eastAsiaTheme="minorEastAsia" w:cs="Calibri"/>
                <w:iCs/>
                <w:color w:val="FFFFFF"/>
                <w:szCs w:val="19"/>
                <w:lang w:eastAsia="en-AU"/>
              </w:rPr>
              <w:t>estimate</w:t>
            </w:r>
          </w:p>
        </w:tc>
        <w:tc>
          <w:tcPr>
            <w:tcW w:w="850" w:type="dxa"/>
            <w:tcBorders>
              <w:top w:val="nil"/>
              <w:left w:val="nil"/>
              <w:right w:val="nil"/>
            </w:tcBorders>
            <w:shd w:val="solid" w:color="000000" w:fill="auto"/>
          </w:tcPr>
          <w:p w:rsidR="00A26D04" w:rsidRPr="00B6730C" w:rsidRDefault="00A26D04" w:rsidP="00A26D0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9"/>
                <w:lang w:eastAsia="en-AU"/>
              </w:rPr>
            </w:pPr>
            <w:r w:rsidRPr="00B6730C">
              <w:rPr>
                <w:rFonts w:eastAsiaTheme="minorEastAsia" w:cs="Calibri"/>
                <w:iCs/>
                <w:color w:val="FFFFFF"/>
                <w:szCs w:val="19"/>
                <w:lang w:eastAsia="en-AU"/>
              </w:rPr>
              <w:t>2019-20</w:t>
            </w:r>
            <w:r>
              <w:rPr>
                <w:rFonts w:eastAsiaTheme="minorEastAsia" w:cs="Calibri"/>
                <w:iCs/>
                <w:color w:val="FFFFFF"/>
                <w:szCs w:val="19"/>
                <w:lang w:eastAsia="en-AU"/>
              </w:rPr>
              <w:br/>
            </w:r>
            <w:r w:rsidRPr="00B6730C">
              <w:rPr>
                <w:rFonts w:eastAsiaTheme="minorEastAsia" w:cs="Calibri"/>
                <w:iCs/>
                <w:color w:val="FFFFFF"/>
                <w:szCs w:val="19"/>
                <w:lang w:eastAsia="en-AU"/>
              </w:rPr>
              <w:t>estimate</w:t>
            </w:r>
          </w:p>
        </w:tc>
        <w:tc>
          <w:tcPr>
            <w:tcW w:w="850" w:type="dxa"/>
            <w:tcBorders>
              <w:top w:val="nil"/>
              <w:left w:val="nil"/>
              <w:right w:val="nil"/>
            </w:tcBorders>
            <w:shd w:val="solid" w:color="000000" w:fill="auto"/>
          </w:tcPr>
          <w:p w:rsidR="00A26D04" w:rsidRPr="00B6730C" w:rsidRDefault="00A26D04" w:rsidP="00A26D0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9"/>
                <w:lang w:eastAsia="en-AU"/>
              </w:rPr>
            </w:pPr>
            <w:r w:rsidRPr="00B6730C">
              <w:rPr>
                <w:rFonts w:eastAsiaTheme="minorEastAsia" w:cs="Calibri"/>
                <w:iCs/>
                <w:color w:val="FFFFFF"/>
                <w:szCs w:val="19"/>
                <w:lang w:eastAsia="en-AU"/>
              </w:rPr>
              <w:t>2020-21</w:t>
            </w:r>
            <w:r>
              <w:rPr>
                <w:rFonts w:eastAsiaTheme="minorEastAsia" w:cs="Calibri"/>
                <w:iCs/>
                <w:color w:val="FFFFFF"/>
                <w:szCs w:val="19"/>
                <w:lang w:eastAsia="en-AU"/>
              </w:rPr>
              <w:br/>
            </w:r>
            <w:r w:rsidRPr="00B6730C">
              <w:rPr>
                <w:rFonts w:eastAsiaTheme="minorEastAsia" w:cs="Calibri"/>
                <w:iCs/>
                <w:color w:val="FFFFFF"/>
                <w:szCs w:val="19"/>
                <w:lang w:eastAsia="en-AU"/>
              </w:rPr>
              <w:t>estimate</w:t>
            </w:r>
          </w:p>
        </w:tc>
      </w:tr>
      <w:tr w:rsidR="00A46DCA" w:rsidRPr="00B6730C" w:rsidTr="00A26D04">
        <w:tc>
          <w:tcPr>
            <w:cnfStyle w:val="001000000000" w:firstRow="0" w:lastRow="0" w:firstColumn="1" w:lastColumn="0" w:oddVBand="0" w:evenVBand="0" w:oddHBand="0" w:evenHBand="0" w:firstRowFirstColumn="0" w:firstRowLastColumn="0" w:lastRowFirstColumn="0" w:lastRowLastColumn="0"/>
            <w:tcW w:w="4365" w:type="dxa"/>
            <w:tcBorders>
              <w:top w:val="nil"/>
              <w:left w:val="nil"/>
              <w:bottom w:val="nil"/>
              <w:right w:val="nil"/>
            </w:tcBorders>
          </w:tcPr>
          <w:p w:rsidR="00A46DCA" w:rsidRPr="00B6730C" w:rsidRDefault="00A46DCA" w:rsidP="00A26D04">
            <w:pPr>
              <w:keepLines w:val="0"/>
              <w:autoSpaceDE w:val="0"/>
              <w:autoSpaceDN w:val="0"/>
              <w:adjustRightInd w:val="0"/>
              <w:rPr>
                <w:rFonts w:eastAsiaTheme="minorEastAsia" w:cs="Calibri"/>
                <w:b/>
                <w:bCs/>
                <w:color w:val="000000"/>
                <w:szCs w:val="19"/>
                <w:lang w:eastAsia="en-AU"/>
              </w:rPr>
            </w:pPr>
            <w:r w:rsidRPr="00B6730C">
              <w:rPr>
                <w:rFonts w:eastAsiaTheme="minorEastAsia" w:cs="Calibri"/>
                <w:b/>
                <w:bCs/>
                <w:color w:val="000000"/>
                <w:szCs w:val="19"/>
                <w:lang w:eastAsia="en-AU"/>
              </w:rPr>
              <w:t>Net result from transactions</w:t>
            </w:r>
          </w:p>
        </w:tc>
        <w:tc>
          <w:tcPr>
            <w:tcW w:w="850" w:type="dxa"/>
            <w:tcBorders>
              <w:top w:val="nil"/>
              <w:left w:val="nil"/>
              <w:bottom w:val="nil"/>
              <w:right w:val="nil"/>
            </w:tcBorders>
          </w:tcPr>
          <w:p w:rsidR="00A46DCA" w:rsidRPr="00B6730C" w:rsidRDefault="00996E49"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color w:val="000000"/>
                <w:szCs w:val="19"/>
                <w:lang w:eastAsia="en-AU"/>
              </w:rPr>
              <w:t>733</w:t>
            </w:r>
          </w:p>
        </w:tc>
        <w:tc>
          <w:tcPr>
            <w:tcW w:w="850" w:type="dxa"/>
            <w:tcBorders>
              <w:top w:val="nil"/>
              <w:left w:val="nil"/>
              <w:bottom w:val="nil"/>
              <w:right w:val="nil"/>
            </w:tcBorders>
          </w:tcPr>
          <w:p w:rsidR="00A46DCA" w:rsidRPr="00B6730C"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lang w:eastAsia="en-AU"/>
              </w:rPr>
            </w:pPr>
            <w:r w:rsidRPr="00B6730C">
              <w:rPr>
                <w:rFonts w:eastAsiaTheme="minorEastAsia" w:cs="Calibri"/>
                <w:color w:val="000000"/>
                <w:szCs w:val="19"/>
                <w:lang w:eastAsia="en-AU"/>
              </w:rPr>
              <w:t>1 438</w:t>
            </w:r>
          </w:p>
        </w:tc>
        <w:tc>
          <w:tcPr>
            <w:tcW w:w="850" w:type="dxa"/>
            <w:tcBorders>
              <w:top w:val="nil"/>
              <w:left w:val="nil"/>
              <w:bottom w:val="nil"/>
              <w:right w:val="nil"/>
            </w:tcBorders>
          </w:tcPr>
          <w:p w:rsidR="00A46DCA" w:rsidRPr="00B6730C"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lang w:eastAsia="en-AU"/>
              </w:rPr>
            </w:pPr>
            <w:r w:rsidRPr="00B6730C">
              <w:rPr>
                <w:rFonts w:eastAsiaTheme="minorEastAsia" w:cs="Calibri"/>
                <w:color w:val="000000"/>
                <w:szCs w:val="19"/>
                <w:lang w:eastAsia="en-AU"/>
              </w:rPr>
              <w:t>1 432</w:t>
            </w:r>
          </w:p>
        </w:tc>
        <w:tc>
          <w:tcPr>
            <w:tcW w:w="850" w:type="dxa"/>
            <w:tcBorders>
              <w:top w:val="nil"/>
              <w:left w:val="nil"/>
              <w:bottom w:val="nil"/>
              <w:right w:val="nil"/>
            </w:tcBorders>
          </w:tcPr>
          <w:p w:rsidR="00A46DCA" w:rsidRPr="00B6730C"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lang w:eastAsia="en-AU"/>
              </w:rPr>
            </w:pPr>
            <w:r w:rsidRPr="00B6730C">
              <w:rPr>
                <w:rFonts w:eastAsiaTheme="minorEastAsia" w:cs="Calibri"/>
                <w:color w:val="000000"/>
                <w:szCs w:val="19"/>
                <w:lang w:eastAsia="en-AU"/>
              </w:rPr>
              <w:t>1 905</w:t>
            </w:r>
          </w:p>
        </w:tc>
      </w:tr>
      <w:tr w:rsidR="00A46DCA" w:rsidRPr="00B6730C" w:rsidTr="00A26D04">
        <w:tc>
          <w:tcPr>
            <w:cnfStyle w:val="001000000000" w:firstRow="0" w:lastRow="0" w:firstColumn="1" w:lastColumn="0" w:oddVBand="0" w:evenVBand="0" w:oddHBand="0" w:evenHBand="0" w:firstRowFirstColumn="0" w:firstRowLastColumn="0" w:lastRowFirstColumn="0" w:lastRowLastColumn="0"/>
            <w:tcW w:w="4365" w:type="dxa"/>
            <w:tcBorders>
              <w:top w:val="nil"/>
              <w:left w:val="nil"/>
              <w:bottom w:val="single" w:sz="6" w:space="0" w:color="auto"/>
              <w:right w:val="nil"/>
            </w:tcBorders>
          </w:tcPr>
          <w:p w:rsidR="00A46DCA" w:rsidRPr="00B6730C" w:rsidRDefault="00A46DCA" w:rsidP="00A26D04">
            <w:pPr>
              <w:keepLines w:val="0"/>
              <w:autoSpaceDE w:val="0"/>
              <w:autoSpaceDN w:val="0"/>
              <w:adjustRightInd w:val="0"/>
              <w:rPr>
                <w:rFonts w:eastAsiaTheme="minorEastAsia" w:cs="Calibri"/>
                <w:color w:val="000000"/>
                <w:szCs w:val="19"/>
                <w:lang w:eastAsia="en-AU"/>
              </w:rPr>
            </w:pPr>
            <w:r w:rsidRPr="00B6730C">
              <w:rPr>
                <w:rFonts w:eastAsiaTheme="minorEastAsia" w:cs="Calibri"/>
                <w:color w:val="000000"/>
                <w:szCs w:val="19"/>
                <w:lang w:eastAsia="en-AU"/>
              </w:rPr>
              <w:t xml:space="preserve">Add back: non-cash income and expenses (net) </w:t>
            </w:r>
            <w:r w:rsidRPr="00B6730C">
              <w:rPr>
                <w:rFonts w:eastAsiaTheme="minorEastAsia" w:cs="Calibri"/>
                <w:color w:val="000000"/>
                <w:szCs w:val="19"/>
                <w:vertAlign w:val="superscript"/>
                <w:lang w:eastAsia="en-AU"/>
              </w:rPr>
              <w:t>(b)</w:t>
            </w:r>
          </w:p>
        </w:tc>
        <w:tc>
          <w:tcPr>
            <w:tcW w:w="850" w:type="dxa"/>
            <w:tcBorders>
              <w:top w:val="nil"/>
              <w:left w:val="nil"/>
              <w:bottom w:val="single" w:sz="6" w:space="0" w:color="auto"/>
              <w:right w:val="nil"/>
            </w:tcBorders>
          </w:tcPr>
          <w:p w:rsidR="00A46DCA" w:rsidRPr="00B6730C"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lang w:eastAsia="en-AU"/>
              </w:rPr>
            </w:pPr>
            <w:r w:rsidRPr="00B6730C">
              <w:rPr>
                <w:rFonts w:eastAsiaTheme="minorEastAsia" w:cs="Calibri"/>
                <w:color w:val="000000"/>
                <w:szCs w:val="19"/>
                <w:lang w:eastAsia="en-AU"/>
              </w:rPr>
              <w:t>4 152</w:t>
            </w:r>
          </w:p>
        </w:tc>
        <w:tc>
          <w:tcPr>
            <w:tcW w:w="850" w:type="dxa"/>
            <w:tcBorders>
              <w:top w:val="nil"/>
              <w:left w:val="nil"/>
              <w:bottom w:val="single" w:sz="6" w:space="0" w:color="auto"/>
              <w:right w:val="nil"/>
            </w:tcBorders>
          </w:tcPr>
          <w:p w:rsidR="00A46DCA" w:rsidRPr="00B6730C"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lang w:eastAsia="en-AU"/>
              </w:rPr>
            </w:pPr>
            <w:r w:rsidRPr="00B6730C">
              <w:rPr>
                <w:rFonts w:eastAsiaTheme="minorEastAsia" w:cs="Calibri"/>
                <w:color w:val="000000"/>
                <w:szCs w:val="19"/>
                <w:lang w:eastAsia="en-AU"/>
              </w:rPr>
              <w:t>5 857</w:t>
            </w:r>
          </w:p>
        </w:tc>
        <w:tc>
          <w:tcPr>
            <w:tcW w:w="850" w:type="dxa"/>
            <w:tcBorders>
              <w:top w:val="nil"/>
              <w:left w:val="nil"/>
              <w:bottom w:val="single" w:sz="6" w:space="0" w:color="auto"/>
              <w:right w:val="nil"/>
            </w:tcBorders>
          </w:tcPr>
          <w:p w:rsidR="00A46DCA" w:rsidRPr="00B6730C"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lang w:eastAsia="en-AU"/>
              </w:rPr>
            </w:pPr>
            <w:r w:rsidRPr="00B6730C">
              <w:rPr>
                <w:rFonts w:eastAsiaTheme="minorEastAsia" w:cs="Calibri"/>
                <w:color w:val="000000"/>
                <w:szCs w:val="19"/>
                <w:lang w:eastAsia="en-AU"/>
              </w:rPr>
              <w:t>4 094</w:t>
            </w:r>
          </w:p>
        </w:tc>
        <w:tc>
          <w:tcPr>
            <w:tcW w:w="850" w:type="dxa"/>
            <w:tcBorders>
              <w:top w:val="nil"/>
              <w:left w:val="nil"/>
              <w:bottom w:val="single" w:sz="6" w:space="0" w:color="auto"/>
              <w:right w:val="nil"/>
            </w:tcBorders>
          </w:tcPr>
          <w:p w:rsidR="00A46DCA" w:rsidRPr="00B6730C"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lang w:eastAsia="en-AU"/>
              </w:rPr>
            </w:pPr>
            <w:r w:rsidRPr="00B6730C">
              <w:rPr>
                <w:rFonts w:eastAsiaTheme="minorEastAsia" w:cs="Calibri"/>
                <w:color w:val="000000"/>
                <w:szCs w:val="19"/>
                <w:lang w:eastAsia="en-AU"/>
              </w:rPr>
              <w:t>4 348</w:t>
            </w:r>
          </w:p>
        </w:tc>
      </w:tr>
      <w:tr w:rsidR="00A46DCA" w:rsidRPr="00B6730C" w:rsidTr="00A26D04">
        <w:tc>
          <w:tcPr>
            <w:cnfStyle w:val="001000000000" w:firstRow="0" w:lastRow="0" w:firstColumn="1" w:lastColumn="0" w:oddVBand="0" w:evenVBand="0" w:oddHBand="0" w:evenHBand="0" w:firstRowFirstColumn="0" w:firstRowLastColumn="0" w:lastRowFirstColumn="0" w:lastRowLastColumn="0"/>
            <w:tcW w:w="4365" w:type="dxa"/>
            <w:tcBorders>
              <w:top w:val="nil"/>
              <w:left w:val="nil"/>
              <w:bottom w:val="nil"/>
              <w:right w:val="nil"/>
            </w:tcBorders>
          </w:tcPr>
          <w:p w:rsidR="00A46DCA" w:rsidRPr="00B6730C" w:rsidRDefault="00A46DCA" w:rsidP="00A26D04">
            <w:pPr>
              <w:keepLines w:val="0"/>
              <w:autoSpaceDE w:val="0"/>
              <w:autoSpaceDN w:val="0"/>
              <w:adjustRightInd w:val="0"/>
              <w:rPr>
                <w:rFonts w:eastAsiaTheme="minorEastAsia" w:cs="Calibri"/>
                <w:b/>
                <w:bCs/>
                <w:color w:val="000000"/>
                <w:szCs w:val="19"/>
                <w:lang w:eastAsia="en-AU"/>
              </w:rPr>
            </w:pPr>
            <w:r w:rsidRPr="00B6730C">
              <w:rPr>
                <w:rFonts w:eastAsiaTheme="minorEastAsia" w:cs="Calibri"/>
                <w:b/>
                <w:bCs/>
                <w:color w:val="000000"/>
                <w:szCs w:val="19"/>
                <w:lang w:eastAsia="en-AU"/>
              </w:rPr>
              <w:t>Net cash flow from operating activities</w:t>
            </w:r>
          </w:p>
        </w:tc>
        <w:tc>
          <w:tcPr>
            <w:tcW w:w="850" w:type="dxa"/>
            <w:tcBorders>
              <w:top w:val="nil"/>
              <w:left w:val="nil"/>
              <w:bottom w:val="nil"/>
              <w:right w:val="nil"/>
            </w:tcBorders>
          </w:tcPr>
          <w:p w:rsidR="00A46DCA" w:rsidRPr="00B6730C"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9"/>
                <w:lang w:eastAsia="en-AU"/>
              </w:rPr>
            </w:pPr>
            <w:r w:rsidRPr="00B6730C">
              <w:rPr>
                <w:rFonts w:eastAsiaTheme="minorEastAsia" w:cs="Calibri"/>
                <w:b/>
                <w:bCs/>
                <w:color w:val="000000"/>
                <w:szCs w:val="19"/>
                <w:lang w:eastAsia="en-AU"/>
              </w:rPr>
              <w:t>4 885</w:t>
            </w:r>
          </w:p>
        </w:tc>
        <w:tc>
          <w:tcPr>
            <w:tcW w:w="850" w:type="dxa"/>
            <w:tcBorders>
              <w:top w:val="nil"/>
              <w:left w:val="nil"/>
              <w:bottom w:val="nil"/>
              <w:right w:val="nil"/>
            </w:tcBorders>
          </w:tcPr>
          <w:p w:rsidR="00A46DCA" w:rsidRPr="00B6730C"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9"/>
                <w:lang w:eastAsia="en-AU"/>
              </w:rPr>
            </w:pPr>
            <w:r w:rsidRPr="00B6730C">
              <w:rPr>
                <w:rFonts w:eastAsiaTheme="minorEastAsia" w:cs="Calibri"/>
                <w:b/>
                <w:bCs/>
                <w:color w:val="000000"/>
                <w:szCs w:val="19"/>
                <w:lang w:eastAsia="en-AU"/>
              </w:rPr>
              <w:t>7 295</w:t>
            </w:r>
          </w:p>
        </w:tc>
        <w:tc>
          <w:tcPr>
            <w:tcW w:w="850" w:type="dxa"/>
            <w:tcBorders>
              <w:top w:val="nil"/>
              <w:left w:val="nil"/>
              <w:bottom w:val="nil"/>
              <w:right w:val="nil"/>
            </w:tcBorders>
          </w:tcPr>
          <w:p w:rsidR="00A46DCA" w:rsidRPr="00B6730C"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9"/>
                <w:lang w:eastAsia="en-AU"/>
              </w:rPr>
            </w:pPr>
            <w:r w:rsidRPr="00B6730C">
              <w:rPr>
                <w:rFonts w:eastAsiaTheme="minorEastAsia" w:cs="Calibri"/>
                <w:b/>
                <w:bCs/>
                <w:color w:val="000000"/>
                <w:szCs w:val="19"/>
                <w:lang w:eastAsia="en-AU"/>
              </w:rPr>
              <w:t>5 525</w:t>
            </w:r>
          </w:p>
        </w:tc>
        <w:tc>
          <w:tcPr>
            <w:tcW w:w="850" w:type="dxa"/>
            <w:tcBorders>
              <w:top w:val="nil"/>
              <w:left w:val="nil"/>
              <w:bottom w:val="nil"/>
              <w:right w:val="nil"/>
            </w:tcBorders>
          </w:tcPr>
          <w:p w:rsidR="00A46DCA" w:rsidRPr="00B6730C"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9"/>
                <w:lang w:eastAsia="en-AU"/>
              </w:rPr>
            </w:pPr>
            <w:r w:rsidRPr="00B6730C">
              <w:rPr>
                <w:rFonts w:eastAsiaTheme="minorEastAsia" w:cs="Calibri"/>
                <w:b/>
                <w:bCs/>
                <w:color w:val="000000"/>
                <w:szCs w:val="19"/>
                <w:lang w:eastAsia="en-AU"/>
              </w:rPr>
              <w:t>6 253</w:t>
            </w:r>
          </w:p>
        </w:tc>
      </w:tr>
      <w:tr w:rsidR="00A46DCA" w:rsidRPr="00B6730C" w:rsidTr="00A26D04">
        <w:tc>
          <w:tcPr>
            <w:cnfStyle w:val="001000000000" w:firstRow="0" w:lastRow="0" w:firstColumn="1" w:lastColumn="0" w:oddVBand="0" w:evenVBand="0" w:oddHBand="0" w:evenHBand="0" w:firstRowFirstColumn="0" w:firstRowLastColumn="0" w:lastRowFirstColumn="0" w:lastRowLastColumn="0"/>
            <w:tcW w:w="4365" w:type="dxa"/>
            <w:tcBorders>
              <w:top w:val="nil"/>
              <w:left w:val="nil"/>
              <w:bottom w:val="single" w:sz="6" w:space="0" w:color="auto"/>
              <w:right w:val="nil"/>
            </w:tcBorders>
          </w:tcPr>
          <w:p w:rsidR="00A46DCA" w:rsidRPr="00B6730C" w:rsidRDefault="00A46DCA" w:rsidP="00A26D04">
            <w:pPr>
              <w:keepLines w:val="0"/>
              <w:autoSpaceDE w:val="0"/>
              <w:autoSpaceDN w:val="0"/>
              <w:adjustRightInd w:val="0"/>
              <w:rPr>
                <w:rFonts w:eastAsiaTheme="minorEastAsia" w:cs="Calibri"/>
                <w:b/>
                <w:bCs/>
                <w:color w:val="000000"/>
                <w:szCs w:val="19"/>
                <w:lang w:eastAsia="en-AU"/>
              </w:rPr>
            </w:pPr>
            <w:r w:rsidRPr="00B6730C">
              <w:rPr>
                <w:rFonts w:eastAsiaTheme="minorEastAsia" w:cs="Calibri"/>
                <w:b/>
                <w:bCs/>
                <w:color w:val="000000"/>
                <w:szCs w:val="19"/>
                <w:lang w:eastAsia="en-AU"/>
              </w:rPr>
              <w:t xml:space="preserve">Less: Total net investment in fixed assets </w:t>
            </w:r>
            <w:r w:rsidRPr="00B6730C">
              <w:rPr>
                <w:rFonts w:eastAsiaTheme="minorEastAsia" w:cs="Calibri"/>
                <w:b/>
                <w:bCs/>
                <w:color w:val="000000"/>
                <w:szCs w:val="19"/>
                <w:vertAlign w:val="superscript"/>
                <w:lang w:eastAsia="en-AU"/>
              </w:rPr>
              <w:t>(c)</w:t>
            </w:r>
          </w:p>
        </w:tc>
        <w:tc>
          <w:tcPr>
            <w:tcW w:w="850" w:type="dxa"/>
            <w:tcBorders>
              <w:top w:val="nil"/>
              <w:left w:val="nil"/>
              <w:bottom w:val="single" w:sz="6" w:space="0" w:color="auto"/>
              <w:right w:val="nil"/>
            </w:tcBorders>
          </w:tcPr>
          <w:p w:rsidR="00A46DCA" w:rsidRPr="00B6730C"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9"/>
                <w:lang w:eastAsia="en-AU"/>
              </w:rPr>
            </w:pPr>
            <w:r w:rsidRPr="00B6730C">
              <w:rPr>
                <w:rFonts w:eastAsiaTheme="minorEastAsia" w:cs="Calibri"/>
                <w:b/>
                <w:bCs/>
                <w:color w:val="000000"/>
                <w:szCs w:val="19"/>
                <w:lang w:eastAsia="en-AU"/>
              </w:rPr>
              <w:t>11 449</w:t>
            </w:r>
          </w:p>
        </w:tc>
        <w:tc>
          <w:tcPr>
            <w:tcW w:w="850" w:type="dxa"/>
            <w:tcBorders>
              <w:top w:val="nil"/>
              <w:left w:val="nil"/>
              <w:bottom w:val="single" w:sz="6" w:space="0" w:color="auto"/>
              <w:right w:val="nil"/>
            </w:tcBorders>
          </w:tcPr>
          <w:p w:rsidR="00A46DCA" w:rsidRPr="00B6730C"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9"/>
                <w:lang w:eastAsia="en-AU"/>
              </w:rPr>
            </w:pPr>
            <w:r w:rsidRPr="00B6730C">
              <w:rPr>
                <w:rFonts w:eastAsiaTheme="minorEastAsia" w:cs="Calibri"/>
                <w:b/>
                <w:bCs/>
                <w:color w:val="000000"/>
                <w:szCs w:val="19"/>
                <w:lang w:eastAsia="en-AU"/>
              </w:rPr>
              <w:t>9 874</w:t>
            </w:r>
          </w:p>
        </w:tc>
        <w:tc>
          <w:tcPr>
            <w:tcW w:w="850" w:type="dxa"/>
            <w:tcBorders>
              <w:top w:val="nil"/>
              <w:left w:val="nil"/>
              <w:bottom w:val="single" w:sz="6" w:space="0" w:color="auto"/>
              <w:right w:val="nil"/>
            </w:tcBorders>
          </w:tcPr>
          <w:p w:rsidR="00A46DCA" w:rsidRPr="00B6730C"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9"/>
                <w:lang w:eastAsia="en-AU"/>
              </w:rPr>
            </w:pPr>
            <w:r w:rsidRPr="00B6730C">
              <w:rPr>
                <w:rFonts w:eastAsiaTheme="minorEastAsia" w:cs="Calibri"/>
                <w:b/>
                <w:bCs/>
                <w:color w:val="000000"/>
                <w:szCs w:val="19"/>
                <w:lang w:eastAsia="en-AU"/>
              </w:rPr>
              <w:t>8 594</w:t>
            </w:r>
          </w:p>
        </w:tc>
        <w:tc>
          <w:tcPr>
            <w:tcW w:w="850" w:type="dxa"/>
            <w:tcBorders>
              <w:top w:val="nil"/>
              <w:left w:val="nil"/>
              <w:bottom w:val="single" w:sz="6" w:space="0" w:color="auto"/>
              <w:right w:val="nil"/>
            </w:tcBorders>
          </w:tcPr>
          <w:p w:rsidR="00A46DCA" w:rsidRPr="00B6730C"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9"/>
                <w:lang w:eastAsia="en-AU"/>
              </w:rPr>
            </w:pPr>
            <w:r w:rsidRPr="00B6730C">
              <w:rPr>
                <w:rFonts w:eastAsiaTheme="minorEastAsia" w:cs="Calibri"/>
                <w:b/>
                <w:bCs/>
                <w:color w:val="000000"/>
                <w:szCs w:val="19"/>
                <w:lang w:eastAsia="en-AU"/>
              </w:rPr>
              <w:t>7 752</w:t>
            </w:r>
          </w:p>
        </w:tc>
      </w:tr>
      <w:tr w:rsidR="00A46DCA" w:rsidRPr="00B6730C" w:rsidTr="00A26D04">
        <w:tc>
          <w:tcPr>
            <w:cnfStyle w:val="001000000000" w:firstRow="0" w:lastRow="0" w:firstColumn="1" w:lastColumn="0" w:oddVBand="0" w:evenVBand="0" w:oddHBand="0" w:evenHBand="0" w:firstRowFirstColumn="0" w:firstRowLastColumn="0" w:lastRowFirstColumn="0" w:lastRowLastColumn="0"/>
            <w:tcW w:w="4365" w:type="dxa"/>
            <w:tcBorders>
              <w:top w:val="nil"/>
              <w:left w:val="nil"/>
              <w:bottom w:val="nil"/>
              <w:right w:val="nil"/>
            </w:tcBorders>
          </w:tcPr>
          <w:p w:rsidR="00A46DCA" w:rsidRPr="00B6730C" w:rsidRDefault="00A46DCA" w:rsidP="00A26D04">
            <w:pPr>
              <w:keepLines w:val="0"/>
              <w:autoSpaceDE w:val="0"/>
              <w:autoSpaceDN w:val="0"/>
              <w:adjustRightInd w:val="0"/>
              <w:rPr>
                <w:rFonts w:eastAsiaTheme="minorEastAsia" w:cs="Calibri"/>
                <w:b/>
                <w:bCs/>
                <w:color w:val="000000"/>
                <w:szCs w:val="19"/>
                <w:lang w:eastAsia="en-AU"/>
              </w:rPr>
            </w:pPr>
            <w:r w:rsidRPr="00B6730C">
              <w:rPr>
                <w:rFonts w:eastAsiaTheme="minorEastAsia" w:cs="Calibri"/>
                <w:b/>
                <w:bCs/>
                <w:color w:val="000000"/>
                <w:szCs w:val="19"/>
                <w:lang w:eastAsia="en-AU"/>
              </w:rPr>
              <w:t>Surplus/(deficit) of cash from operations after funding net investments in fixed assets</w:t>
            </w:r>
          </w:p>
        </w:tc>
        <w:tc>
          <w:tcPr>
            <w:tcW w:w="850" w:type="dxa"/>
            <w:tcBorders>
              <w:top w:val="nil"/>
              <w:left w:val="nil"/>
              <w:bottom w:val="nil"/>
              <w:right w:val="nil"/>
            </w:tcBorders>
          </w:tcPr>
          <w:p w:rsidR="00A46DCA" w:rsidRPr="00B6730C" w:rsidRDefault="00996E49"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b/>
                <w:bCs/>
                <w:color w:val="000000"/>
                <w:szCs w:val="19"/>
                <w:lang w:eastAsia="en-AU"/>
              </w:rPr>
              <w:t>(6 564)</w:t>
            </w:r>
          </w:p>
        </w:tc>
        <w:tc>
          <w:tcPr>
            <w:tcW w:w="850" w:type="dxa"/>
            <w:tcBorders>
              <w:top w:val="nil"/>
              <w:left w:val="nil"/>
              <w:bottom w:val="nil"/>
              <w:right w:val="nil"/>
            </w:tcBorders>
          </w:tcPr>
          <w:p w:rsidR="00A46DCA" w:rsidRPr="00B6730C" w:rsidRDefault="00996E49"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b/>
                <w:bCs/>
                <w:color w:val="000000"/>
                <w:szCs w:val="19"/>
                <w:lang w:eastAsia="en-AU"/>
              </w:rPr>
              <w:t>(2 579)</w:t>
            </w:r>
          </w:p>
        </w:tc>
        <w:tc>
          <w:tcPr>
            <w:tcW w:w="850" w:type="dxa"/>
            <w:tcBorders>
              <w:top w:val="nil"/>
              <w:left w:val="nil"/>
              <w:bottom w:val="nil"/>
              <w:right w:val="nil"/>
            </w:tcBorders>
          </w:tcPr>
          <w:p w:rsidR="00A46DCA" w:rsidRPr="00B6730C" w:rsidRDefault="00996E49"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b/>
                <w:bCs/>
                <w:color w:val="000000"/>
                <w:szCs w:val="19"/>
                <w:lang w:eastAsia="en-AU"/>
              </w:rPr>
              <w:t>(3 068)</w:t>
            </w:r>
          </w:p>
        </w:tc>
        <w:tc>
          <w:tcPr>
            <w:tcW w:w="850" w:type="dxa"/>
            <w:tcBorders>
              <w:top w:val="nil"/>
              <w:left w:val="nil"/>
              <w:bottom w:val="nil"/>
              <w:right w:val="nil"/>
            </w:tcBorders>
          </w:tcPr>
          <w:p w:rsidR="00A46DCA" w:rsidRPr="00B6730C" w:rsidRDefault="00996E49"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b/>
                <w:bCs/>
                <w:color w:val="000000"/>
                <w:szCs w:val="19"/>
                <w:lang w:eastAsia="en-AU"/>
              </w:rPr>
              <w:t>(1 499)</w:t>
            </w:r>
          </w:p>
        </w:tc>
      </w:tr>
      <w:tr w:rsidR="00A46DCA" w:rsidRPr="00B6730C" w:rsidTr="00A26D04">
        <w:tc>
          <w:tcPr>
            <w:cnfStyle w:val="001000000000" w:firstRow="0" w:lastRow="0" w:firstColumn="1" w:lastColumn="0" w:oddVBand="0" w:evenVBand="0" w:oddHBand="0" w:evenHBand="0" w:firstRowFirstColumn="0" w:firstRowLastColumn="0" w:lastRowFirstColumn="0" w:lastRowLastColumn="0"/>
            <w:tcW w:w="4365" w:type="dxa"/>
            <w:tcBorders>
              <w:top w:val="nil"/>
              <w:left w:val="nil"/>
              <w:bottom w:val="nil"/>
              <w:right w:val="nil"/>
            </w:tcBorders>
          </w:tcPr>
          <w:p w:rsidR="00A46DCA" w:rsidRPr="00B6730C" w:rsidRDefault="00A46DCA" w:rsidP="00A26D04">
            <w:pPr>
              <w:keepLines w:val="0"/>
              <w:autoSpaceDE w:val="0"/>
              <w:autoSpaceDN w:val="0"/>
              <w:adjustRightInd w:val="0"/>
              <w:rPr>
                <w:rFonts w:eastAsiaTheme="minorEastAsia" w:cs="Calibri"/>
                <w:color w:val="000000"/>
                <w:szCs w:val="19"/>
                <w:lang w:eastAsia="en-AU"/>
              </w:rPr>
            </w:pPr>
            <w:r w:rsidRPr="00B6730C">
              <w:rPr>
                <w:rFonts w:eastAsiaTheme="minorEastAsia" w:cs="Calibri"/>
                <w:color w:val="000000"/>
                <w:szCs w:val="19"/>
                <w:lang w:eastAsia="en-AU"/>
              </w:rPr>
              <w:t>Less:</w:t>
            </w:r>
          </w:p>
        </w:tc>
        <w:tc>
          <w:tcPr>
            <w:tcW w:w="850" w:type="dxa"/>
            <w:tcBorders>
              <w:top w:val="nil"/>
              <w:left w:val="nil"/>
              <w:bottom w:val="nil"/>
              <w:right w:val="nil"/>
            </w:tcBorders>
          </w:tcPr>
          <w:p w:rsidR="00A46DCA" w:rsidRPr="00B6730C"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9"/>
                <w:lang w:eastAsia="en-AU"/>
              </w:rPr>
            </w:pPr>
          </w:p>
        </w:tc>
        <w:tc>
          <w:tcPr>
            <w:tcW w:w="850" w:type="dxa"/>
            <w:tcBorders>
              <w:top w:val="nil"/>
              <w:left w:val="nil"/>
              <w:bottom w:val="nil"/>
              <w:right w:val="nil"/>
            </w:tcBorders>
          </w:tcPr>
          <w:p w:rsidR="00A46DCA" w:rsidRPr="00B6730C"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9"/>
                <w:lang w:eastAsia="en-AU"/>
              </w:rPr>
            </w:pPr>
          </w:p>
        </w:tc>
        <w:tc>
          <w:tcPr>
            <w:tcW w:w="850" w:type="dxa"/>
            <w:tcBorders>
              <w:top w:val="nil"/>
              <w:left w:val="nil"/>
              <w:bottom w:val="nil"/>
              <w:right w:val="nil"/>
            </w:tcBorders>
          </w:tcPr>
          <w:p w:rsidR="00A46DCA" w:rsidRPr="00B6730C"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9"/>
                <w:lang w:eastAsia="en-AU"/>
              </w:rPr>
            </w:pPr>
          </w:p>
        </w:tc>
        <w:tc>
          <w:tcPr>
            <w:tcW w:w="850" w:type="dxa"/>
            <w:tcBorders>
              <w:top w:val="nil"/>
              <w:left w:val="nil"/>
              <w:bottom w:val="nil"/>
              <w:right w:val="nil"/>
            </w:tcBorders>
          </w:tcPr>
          <w:p w:rsidR="00A46DCA" w:rsidRPr="00B6730C"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9"/>
                <w:lang w:eastAsia="en-AU"/>
              </w:rPr>
            </w:pPr>
          </w:p>
        </w:tc>
      </w:tr>
      <w:tr w:rsidR="00A46DCA" w:rsidRPr="00B6730C" w:rsidTr="00A26D04">
        <w:tc>
          <w:tcPr>
            <w:cnfStyle w:val="001000000000" w:firstRow="0" w:lastRow="0" w:firstColumn="1" w:lastColumn="0" w:oddVBand="0" w:evenVBand="0" w:oddHBand="0" w:evenHBand="0" w:firstRowFirstColumn="0" w:firstRowLastColumn="0" w:lastRowFirstColumn="0" w:lastRowLastColumn="0"/>
            <w:tcW w:w="4365" w:type="dxa"/>
            <w:tcBorders>
              <w:top w:val="nil"/>
              <w:left w:val="nil"/>
              <w:bottom w:val="nil"/>
              <w:right w:val="nil"/>
            </w:tcBorders>
          </w:tcPr>
          <w:p w:rsidR="00A46DCA" w:rsidRPr="00B6730C" w:rsidRDefault="00A46DCA" w:rsidP="00A26D04">
            <w:pPr>
              <w:keepLines w:val="0"/>
              <w:autoSpaceDE w:val="0"/>
              <w:autoSpaceDN w:val="0"/>
              <w:adjustRightInd w:val="0"/>
              <w:rPr>
                <w:rFonts w:eastAsiaTheme="minorEastAsia" w:cs="Calibri"/>
                <w:color w:val="000000"/>
                <w:szCs w:val="19"/>
                <w:lang w:eastAsia="en-AU"/>
              </w:rPr>
            </w:pPr>
            <w:r w:rsidRPr="00B6730C">
              <w:rPr>
                <w:rFonts w:eastAsiaTheme="minorEastAsia" w:cs="Calibri"/>
                <w:color w:val="000000"/>
                <w:szCs w:val="19"/>
                <w:lang w:eastAsia="en-AU"/>
              </w:rPr>
              <w:t xml:space="preserve">Finance leases </w:t>
            </w:r>
            <w:r w:rsidRPr="00B6730C">
              <w:rPr>
                <w:rFonts w:eastAsiaTheme="minorEastAsia" w:cs="Calibri"/>
                <w:color w:val="000000"/>
                <w:szCs w:val="19"/>
                <w:vertAlign w:val="superscript"/>
                <w:lang w:eastAsia="en-AU"/>
              </w:rPr>
              <w:t>(d)</w:t>
            </w:r>
          </w:p>
        </w:tc>
        <w:tc>
          <w:tcPr>
            <w:tcW w:w="850" w:type="dxa"/>
            <w:tcBorders>
              <w:top w:val="nil"/>
              <w:left w:val="nil"/>
              <w:bottom w:val="nil"/>
              <w:right w:val="nil"/>
            </w:tcBorders>
          </w:tcPr>
          <w:p w:rsidR="00A46DCA" w:rsidRPr="00B6730C" w:rsidRDefault="00996E49"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color w:val="000000"/>
                <w:szCs w:val="19"/>
                <w:lang w:eastAsia="en-AU"/>
              </w:rPr>
              <w:t>647</w:t>
            </w:r>
          </w:p>
        </w:tc>
        <w:tc>
          <w:tcPr>
            <w:tcW w:w="850" w:type="dxa"/>
            <w:tcBorders>
              <w:top w:val="nil"/>
              <w:left w:val="nil"/>
              <w:bottom w:val="nil"/>
              <w:right w:val="nil"/>
            </w:tcBorders>
          </w:tcPr>
          <w:p w:rsidR="00A46DCA" w:rsidRPr="00B6730C" w:rsidRDefault="00996E49"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color w:val="000000"/>
                <w:szCs w:val="19"/>
                <w:lang w:eastAsia="en-AU"/>
              </w:rPr>
              <w:t>419</w:t>
            </w:r>
          </w:p>
        </w:tc>
        <w:tc>
          <w:tcPr>
            <w:tcW w:w="850" w:type="dxa"/>
            <w:tcBorders>
              <w:top w:val="nil"/>
              <w:left w:val="nil"/>
              <w:bottom w:val="nil"/>
              <w:right w:val="nil"/>
            </w:tcBorders>
          </w:tcPr>
          <w:p w:rsidR="00A46DCA" w:rsidRPr="00B6730C" w:rsidRDefault="00996E49"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color w:val="000000"/>
                <w:szCs w:val="19"/>
                <w:lang w:eastAsia="en-AU"/>
              </w:rPr>
              <w:t>315</w:t>
            </w:r>
          </w:p>
        </w:tc>
        <w:tc>
          <w:tcPr>
            <w:tcW w:w="850" w:type="dxa"/>
            <w:tcBorders>
              <w:top w:val="nil"/>
              <w:left w:val="nil"/>
              <w:bottom w:val="nil"/>
              <w:right w:val="nil"/>
            </w:tcBorders>
          </w:tcPr>
          <w:p w:rsidR="00A46DCA" w:rsidRPr="00B6730C"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lang w:eastAsia="en-AU"/>
              </w:rPr>
            </w:pPr>
            <w:r w:rsidRPr="00B6730C">
              <w:rPr>
                <w:rFonts w:eastAsiaTheme="minorEastAsia" w:cs="Calibri"/>
                <w:color w:val="000000"/>
                <w:szCs w:val="19"/>
                <w:lang w:eastAsia="en-AU"/>
              </w:rPr>
              <w:t>1 022</w:t>
            </w:r>
          </w:p>
        </w:tc>
      </w:tr>
      <w:tr w:rsidR="00A46DCA" w:rsidRPr="00B6730C" w:rsidTr="00A26D04">
        <w:tc>
          <w:tcPr>
            <w:cnfStyle w:val="001000000000" w:firstRow="0" w:lastRow="0" w:firstColumn="1" w:lastColumn="0" w:oddVBand="0" w:evenVBand="0" w:oddHBand="0" w:evenHBand="0" w:firstRowFirstColumn="0" w:firstRowLastColumn="0" w:lastRowFirstColumn="0" w:lastRowLastColumn="0"/>
            <w:tcW w:w="4365" w:type="dxa"/>
            <w:tcBorders>
              <w:top w:val="nil"/>
              <w:left w:val="nil"/>
              <w:bottom w:val="single" w:sz="6" w:space="0" w:color="auto"/>
              <w:right w:val="nil"/>
            </w:tcBorders>
          </w:tcPr>
          <w:p w:rsidR="00A46DCA" w:rsidRPr="00B6730C" w:rsidRDefault="00A46DCA" w:rsidP="00A26D04">
            <w:pPr>
              <w:keepLines w:val="0"/>
              <w:autoSpaceDE w:val="0"/>
              <w:autoSpaceDN w:val="0"/>
              <w:adjustRightInd w:val="0"/>
              <w:rPr>
                <w:rFonts w:eastAsiaTheme="minorEastAsia" w:cs="Calibri"/>
                <w:color w:val="000000"/>
                <w:szCs w:val="19"/>
                <w:lang w:eastAsia="en-AU"/>
              </w:rPr>
            </w:pPr>
            <w:r w:rsidRPr="00B6730C">
              <w:rPr>
                <w:rFonts w:eastAsiaTheme="minorEastAsia" w:cs="Calibri"/>
                <w:color w:val="000000"/>
                <w:szCs w:val="19"/>
                <w:lang w:eastAsia="en-AU"/>
              </w:rPr>
              <w:t>Other movements</w:t>
            </w:r>
          </w:p>
        </w:tc>
        <w:tc>
          <w:tcPr>
            <w:tcW w:w="850" w:type="dxa"/>
            <w:tcBorders>
              <w:top w:val="nil"/>
              <w:left w:val="nil"/>
              <w:bottom w:val="single" w:sz="6" w:space="0" w:color="auto"/>
              <w:right w:val="nil"/>
            </w:tcBorders>
          </w:tcPr>
          <w:p w:rsidR="00A46DCA" w:rsidRPr="00B6730C" w:rsidRDefault="00996E49"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color w:val="000000"/>
                <w:szCs w:val="19"/>
                <w:lang w:eastAsia="en-AU"/>
              </w:rPr>
              <w:t>(43)</w:t>
            </w:r>
          </w:p>
        </w:tc>
        <w:tc>
          <w:tcPr>
            <w:tcW w:w="850" w:type="dxa"/>
            <w:tcBorders>
              <w:top w:val="nil"/>
              <w:left w:val="nil"/>
              <w:bottom w:val="single" w:sz="6" w:space="0" w:color="auto"/>
              <w:right w:val="nil"/>
            </w:tcBorders>
          </w:tcPr>
          <w:p w:rsidR="00A46DCA" w:rsidRPr="00B6730C" w:rsidRDefault="00996E49"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color w:val="000000"/>
                <w:szCs w:val="19"/>
                <w:lang w:eastAsia="en-AU"/>
              </w:rPr>
              <w:t>(5)</w:t>
            </w:r>
          </w:p>
        </w:tc>
        <w:tc>
          <w:tcPr>
            <w:tcW w:w="850" w:type="dxa"/>
            <w:tcBorders>
              <w:top w:val="nil"/>
              <w:left w:val="nil"/>
              <w:bottom w:val="single" w:sz="6" w:space="0" w:color="auto"/>
              <w:right w:val="nil"/>
            </w:tcBorders>
          </w:tcPr>
          <w:p w:rsidR="00A46DCA" w:rsidRPr="00B6730C" w:rsidRDefault="00996E49"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color w:val="000000"/>
                <w:szCs w:val="19"/>
                <w:lang w:eastAsia="en-AU"/>
              </w:rPr>
              <w:t>(11)</w:t>
            </w:r>
          </w:p>
        </w:tc>
        <w:tc>
          <w:tcPr>
            <w:tcW w:w="850" w:type="dxa"/>
            <w:tcBorders>
              <w:top w:val="nil"/>
              <w:left w:val="nil"/>
              <w:bottom w:val="single" w:sz="6" w:space="0" w:color="auto"/>
              <w:right w:val="nil"/>
            </w:tcBorders>
          </w:tcPr>
          <w:p w:rsidR="00A46DCA" w:rsidRPr="00B6730C" w:rsidRDefault="00996E49"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color w:val="000000"/>
                <w:szCs w:val="19"/>
                <w:lang w:eastAsia="en-AU"/>
              </w:rPr>
              <w:t>(2)</w:t>
            </w:r>
          </w:p>
        </w:tc>
      </w:tr>
      <w:tr w:rsidR="00A46DCA" w:rsidRPr="00B6730C" w:rsidTr="00A26D04">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5" w:type="dxa"/>
            <w:tcBorders>
              <w:top w:val="nil"/>
              <w:bottom w:val="single" w:sz="12" w:space="0" w:color="auto"/>
            </w:tcBorders>
          </w:tcPr>
          <w:p w:rsidR="00A46DCA" w:rsidRPr="00B6730C" w:rsidRDefault="00A46DCA" w:rsidP="00A26D04">
            <w:pPr>
              <w:keepLines w:val="0"/>
              <w:autoSpaceDE w:val="0"/>
              <w:autoSpaceDN w:val="0"/>
              <w:adjustRightInd w:val="0"/>
              <w:rPr>
                <w:rFonts w:eastAsiaTheme="minorEastAsia" w:cs="Calibri"/>
                <w:bCs/>
                <w:color w:val="000000"/>
                <w:szCs w:val="19"/>
                <w:lang w:eastAsia="en-AU"/>
              </w:rPr>
            </w:pPr>
            <w:r w:rsidRPr="00B6730C">
              <w:rPr>
                <w:rFonts w:eastAsiaTheme="minorEastAsia" w:cs="Calibri"/>
                <w:bCs/>
                <w:color w:val="000000"/>
                <w:szCs w:val="19"/>
                <w:lang w:eastAsia="en-AU"/>
              </w:rPr>
              <w:t>Decrease/(increase) in net debt</w:t>
            </w:r>
          </w:p>
        </w:tc>
        <w:tc>
          <w:tcPr>
            <w:tcW w:w="850" w:type="dxa"/>
            <w:tcBorders>
              <w:top w:val="nil"/>
              <w:bottom w:val="single" w:sz="12" w:space="0" w:color="auto"/>
            </w:tcBorders>
          </w:tcPr>
          <w:p w:rsidR="00A46DCA" w:rsidRPr="00B6730C" w:rsidRDefault="00996E49" w:rsidP="00A26D0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pPr>
            <w:r>
              <w:rPr>
                <w:rFonts w:eastAsiaTheme="minorEastAsia" w:cs="Calibri"/>
                <w:bCs/>
                <w:color w:val="000000"/>
                <w:szCs w:val="19"/>
                <w:lang w:eastAsia="en-AU"/>
              </w:rPr>
              <w:t>(7 168)</w:t>
            </w:r>
          </w:p>
        </w:tc>
        <w:tc>
          <w:tcPr>
            <w:tcW w:w="850" w:type="dxa"/>
            <w:tcBorders>
              <w:top w:val="nil"/>
              <w:bottom w:val="single" w:sz="12" w:space="0" w:color="auto"/>
            </w:tcBorders>
          </w:tcPr>
          <w:p w:rsidR="00A46DCA" w:rsidRPr="00B6730C" w:rsidRDefault="00996E49" w:rsidP="00A26D0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pPr>
            <w:r>
              <w:rPr>
                <w:rFonts w:eastAsiaTheme="minorEastAsia" w:cs="Calibri"/>
                <w:bCs/>
                <w:color w:val="000000"/>
                <w:szCs w:val="19"/>
                <w:lang w:eastAsia="en-AU"/>
              </w:rPr>
              <w:t>(2 993)</w:t>
            </w:r>
          </w:p>
        </w:tc>
        <w:tc>
          <w:tcPr>
            <w:tcW w:w="850" w:type="dxa"/>
            <w:tcBorders>
              <w:top w:val="nil"/>
              <w:bottom w:val="single" w:sz="12" w:space="0" w:color="auto"/>
            </w:tcBorders>
          </w:tcPr>
          <w:p w:rsidR="00A46DCA" w:rsidRPr="00B6730C" w:rsidRDefault="00996E49" w:rsidP="00A26D0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pPr>
            <w:r>
              <w:rPr>
                <w:rFonts w:eastAsiaTheme="minorEastAsia" w:cs="Calibri"/>
                <w:bCs/>
                <w:color w:val="000000"/>
                <w:szCs w:val="19"/>
                <w:lang w:eastAsia="en-AU"/>
              </w:rPr>
              <w:t>(3 373)</w:t>
            </w:r>
          </w:p>
        </w:tc>
        <w:tc>
          <w:tcPr>
            <w:tcW w:w="850" w:type="dxa"/>
            <w:tcBorders>
              <w:top w:val="nil"/>
              <w:bottom w:val="single" w:sz="12" w:space="0" w:color="auto"/>
            </w:tcBorders>
          </w:tcPr>
          <w:p w:rsidR="00A46DCA" w:rsidRPr="00B6730C" w:rsidRDefault="00996E49" w:rsidP="00A26D0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pPr>
            <w:r>
              <w:rPr>
                <w:rFonts w:eastAsiaTheme="minorEastAsia" w:cs="Calibri"/>
                <w:bCs/>
                <w:color w:val="000000"/>
                <w:szCs w:val="19"/>
                <w:lang w:eastAsia="en-AU"/>
              </w:rPr>
              <w:t>(2 518)</w:t>
            </w:r>
          </w:p>
        </w:tc>
      </w:tr>
    </w:tbl>
    <w:p w:rsidR="00A46DCA" w:rsidRDefault="00A46DCA" w:rsidP="00A26D04">
      <w:pPr>
        <w:pStyle w:val="Source"/>
      </w:pPr>
      <w:r>
        <w:t>Source: Department of Treasury and Finance</w:t>
      </w:r>
    </w:p>
    <w:p w:rsidR="00A46DCA" w:rsidRDefault="00A46DCA" w:rsidP="00A26D04">
      <w:pPr>
        <w:pStyle w:val="Note"/>
      </w:pPr>
      <w:r>
        <w:t>Notes:</w:t>
      </w:r>
    </w:p>
    <w:p w:rsidR="00A46DCA" w:rsidRDefault="00A46DCA" w:rsidP="00A26D04">
      <w:pPr>
        <w:pStyle w:val="Note"/>
      </w:pPr>
      <w:r>
        <w:t>(a)</w:t>
      </w:r>
      <w:r>
        <w:tab/>
        <w:t xml:space="preserve">Figures in this table are subject to rounding to the nearest dollar and may not add up to totals. </w:t>
      </w:r>
    </w:p>
    <w:p w:rsidR="00A46DCA" w:rsidRDefault="00A46DCA" w:rsidP="00A26D04">
      <w:pPr>
        <w:pStyle w:val="Note"/>
      </w:pPr>
      <w:r>
        <w:t>(b)</w:t>
      </w:r>
      <w:r>
        <w:tab/>
        <w:t xml:space="preserve">Includes depreciation, movements in the unfunded superannuation liability and liability of employee benefits. </w:t>
      </w:r>
    </w:p>
    <w:p w:rsidR="00A46DCA" w:rsidRDefault="00A46DCA" w:rsidP="00A26D04">
      <w:pPr>
        <w:pStyle w:val="Note"/>
      </w:pPr>
      <w:r>
        <w:t>(c)</w:t>
      </w:r>
      <w:r>
        <w:tab/>
        <w:t>Includes total purchases of plant, property and equipment, and capital contributions to other sectors of government net of proceeds from asset sales.</w:t>
      </w:r>
    </w:p>
    <w:p w:rsidR="00A46DCA" w:rsidRDefault="00A46DCA" w:rsidP="00A26D04">
      <w:pPr>
        <w:pStyle w:val="Note"/>
      </w:pPr>
      <w:r>
        <w:t>(d)</w:t>
      </w:r>
      <w:r>
        <w:tab/>
      </w:r>
      <w:r w:rsidRPr="00962243">
        <w:t>The 2017</w:t>
      </w:r>
      <w:r>
        <w:noBreakHyphen/>
      </w:r>
      <w:r w:rsidRPr="00962243">
        <w:t>18 estimate relates to the Ravenhall Prison project, the new Bendigo Hospital project (stage 2) and the New Schools PPP project (tranche 2). The 2018</w:t>
      </w:r>
      <w:r>
        <w:noBreakHyphen/>
      </w:r>
      <w:r w:rsidRPr="00962243">
        <w:t>19 and 2019</w:t>
      </w:r>
      <w:r>
        <w:noBreakHyphen/>
      </w:r>
      <w:r w:rsidRPr="00962243">
        <w:t>20 estimates relate t</w:t>
      </w:r>
      <w:r>
        <w:t>o the High Capacity Metro</w:t>
      </w:r>
      <w:r w:rsidRPr="00962243">
        <w:t xml:space="preserve"> Trains project. The 2020</w:t>
      </w:r>
      <w:r>
        <w:noBreakHyphen/>
      </w:r>
      <w:r w:rsidRPr="00962243">
        <w:t>21 estimates relate t</w:t>
      </w:r>
      <w:r>
        <w:t>o the High Capacity Metro</w:t>
      </w:r>
      <w:r w:rsidRPr="00962243">
        <w:t xml:space="preserve"> Trains project and </w:t>
      </w:r>
      <w:r>
        <w:t>Western Roads Upgrade.</w:t>
      </w:r>
    </w:p>
    <w:p w:rsidR="00A46DCA" w:rsidRDefault="00A46DCA">
      <w:pPr>
        <w:keepLines w:val="0"/>
      </w:pPr>
      <w:r>
        <w:br w:type="page"/>
      </w:r>
    </w:p>
    <w:p w:rsidR="00A46DCA" w:rsidRDefault="00A46DCA" w:rsidP="00A26D04">
      <w:r>
        <w:lastRenderedPageBreak/>
        <w:t>The NFP sector is projected to invest a total of $40</w:t>
      </w:r>
      <w:r w:rsidRPr="006A7C8A">
        <w:t> billion</w:t>
      </w:r>
      <w:r>
        <w:t xml:space="preserve"> in </w:t>
      </w:r>
      <w:r w:rsidRPr="006A7C8A">
        <w:t>non</w:t>
      </w:r>
      <w:r w:rsidRPr="006A7C8A">
        <w:noBreakHyphen/>
      </w:r>
      <w:r>
        <w:t xml:space="preserve">financial assets from </w:t>
      </w:r>
      <w:r w:rsidRPr="006A7C8A">
        <w:t>2017</w:t>
      </w:r>
      <w:r w:rsidRPr="006A7C8A">
        <w:noBreakHyphen/>
        <w:t>18</w:t>
      </w:r>
      <w:r>
        <w:t xml:space="preserve"> to 2020</w:t>
      </w:r>
      <w:r>
        <w:noBreakHyphen/>
        <w:t>21. The key infrastructure projects under development include:</w:t>
      </w:r>
    </w:p>
    <w:p w:rsidR="00A46DCA" w:rsidRDefault="00A46DCA" w:rsidP="00A26D04">
      <w:pPr>
        <w:pStyle w:val="ListBullet"/>
      </w:pPr>
      <w:r>
        <w:t>significant investment in transport infrastructure, including new trains (metropolitan and regional) and trams to meet patronage growth and improve network performance;</w:t>
      </w:r>
    </w:p>
    <w:p w:rsidR="00A46DCA" w:rsidRDefault="00A46DCA" w:rsidP="00A26D04">
      <w:pPr>
        <w:pStyle w:val="ListBullet"/>
      </w:pPr>
      <w:r w:rsidRPr="0049064B">
        <w:t>upgrading and renewal of water and sewer assets by the Melbourne metropolitan water corporations, including an increase in the capacity of the Western Treatment Plant (Melbourne Water Corporation), the Epping Main Sewer and Craigieburn Sewer Transfer Hub (Yarra Valley Water), the Boneo Water Recycling Plant (South East Water), and the West Werribee Dual Water Supply Project (City West Water); and</w:t>
      </w:r>
    </w:p>
    <w:p w:rsidR="00A46DCA" w:rsidRDefault="00A46DCA" w:rsidP="00A26D04">
      <w:pPr>
        <w:pStyle w:val="ListBullet"/>
      </w:pPr>
      <w:r w:rsidRPr="0049064B">
        <w:t>upgrading and renewal of water and sewer assets in regional Victoria, including Goulburn-Murray Water</w:t>
      </w:r>
      <w:r>
        <w:t>’</w:t>
      </w:r>
      <w:r w:rsidRPr="0049064B">
        <w:t>s Connections Project, which will connect irrigators to a modernised main system of irrigation channels, and the modernisation of various irrigation systems by Southern Rural Water.</w:t>
      </w:r>
    </w:p>
    <w:p w:rsidR="00A46DCA" w:rsidRDefault="00A46DCA">
      <w:pPr>
        <w:keepLines w:val="0"/>
        <w:rPr>
          <w:rFonts w:asciiTheme="majorHAnsi" w:eastAsiaTheme="majorEastAsia" w:hAnsiTheme="majorHAnsi" w:cstheme="majorBidi"/>
          <w:b/>
          <w:bCs/>
          <w:caps/>
          <w:spacing w:val="-2"/>
          <w:sz w:val="26"/>
          <w:szCs w:val="28"/>
        </w:rPr>
      </w:pPr>
      <w:r>
        <w:br w:type="page"/>
      </w:r>
    </w:p>
    <w:p w:rsidR="00A46DCA" w:rsidRDefault="00A46DCA" w:rsidP="00A26D04">
      <w:pPr>
        <w:pStyle w:val="Heading10"/>
      </w:pPr>
      <w:bookmarkStart w:id="18" w:name="_Toc500435571"/>
      <w:r w:rsidRPr="006A7C8A">
        <w:lastRenderedPageBreak/>
        <w:t>Non</w:t>
      </w:r>
      <w:r w:rsidRPr="006A7C8A">
        <w:noBreakHyphen/>
      </w:r>
      <w:r>
        <w:t>financial public sector net debt and net financial liabilities</w:t>
      </w:r>
      <w:bookmarkEnd w:id="18"/>
    </w:p>
    <w:p w:rsidR="00A46DCA" w:rsidRDefault="00A46DCA" w:rsidP="00A26D04">
      <w:r>
        <w:t>Table 3.8 details NFP sector net debt and financial liabilities. It shows that net debt is projected to increase in nominal terms over the estimates period.</w:t>
      </w:r>
    </w:p>
    <w:p w:rsidR="00A46DCA" w:rsidRPr="00030844" w:rsidRDefault="00A46DCA" w:rsidP="00A26D04">
      <w:pPr>
        <w:pStyle w:val="TableHeading"/>
        <w:rPr>
          <w:bCs/>
          <w:lang w:val="en-US"/>
        </w:rPr>
      </w:pPr>
      <w:r>
        <w:t>Table 3.8:</w:t>
      </w:r>
      <w:r>
        <w:tab/>
      </w:r>
      <w:r w:rsidRPr="006A7C8A">
        <w:t>Non</w:t>
      </w:r>
      <w:r w:rsidRPr="006A7C8A">
        <w:noBreakHyphen/>
      </w:r>
      <w:r>
        <w:t>financial public sector net debt and financial liabilities</w:t>
      </w:r>
      <w:r>
        <w:tab/>
        <w:t>($ billion)</w:t>
      </w:r>
    </w:p>
    <w:tbl>
      <w:tblPr>
        <w:tblStyle w:val="DTFTable"/>
        <w:tblW w:w="7765" w:type="dxa"/>
        <w:tblInd w:w="45" w:type="dxa"/>
        <w:tblLayout w:type="fixed"/>
        <w:tblCellMar>
          <w:left w:w="45" w:type="dxa"/>
          <w:right w:w="45" w:type="dxa"/>
        </w:tblCellMar>
        <w:tblLook w:val="06E0" w:firstRow="1" w:lastRow="1" w:firstColumn="1" w:lastColumn="0" w:noHBand="1" w:noVBand="1"/>
      </w:tblPr>
      <w:tblGrid>
        <w:gridCol w:w="4365"/>
        <w:gridCol w:w="850"/>
        <w:gridCol w:w="850"/>
        <w:gridCol w:w="850"/>
        <w:gridCol w:w="850"/>
      </w:tblGrid>
      <w:tr w:rsidR="00A26D04" w:rsidRPr="00A22100" w:rsidTr="00996E49">
        <w:trPr>
          <w:cnfStyle w:val="100000000000" w:firstRow="1" w:lastRow="0" w:firstColumn="0" w:lastColumn="0" w:oddVBand="0" w:evenVBand="0" w:oddHBand="0" w:evenHBand="0" w:firstRowFirstColumn="0" w:firstRowLastColumn="0" w:lastRowFirstColumn="0" w:lastRowLastColumn="0"/>
          <w:trHeight w:val="132"/>
          <w:tblHeader/>
        </w:trPr>
        <w:tc>
          <w:tcPr>
            <w:cnfStyle w:val="001000000000" w:firstRow="0" w:lastRow="0" w:firstColumn="1" w:lastColumn="0" w:oddVBand="0" w:evenVBand="0" w:oddHBand="0" w:evenHBand="0" w:firstRowFirstColumn="0" w:firstRowLastColumn="0" w:lastRowFirstColumn="0" w:lastRowLastColumn="0"/>
            <w:tcW w:w="4365" w:type="dxa"/>
            <w:tcBorders>
              <w:top w:val="nil"/>
              <w:left w:val="nil"/>
              <w:right w:val="nil"/>
            </w:tcBorders>
            <w:shd w:val="solid" w:color="000000" w:fill="auto"/>
          </w:tcPr>
          <w:p w:rsidR="00A26D04" w:rsidRPr="00A22100" w:rsidRDefault="00A26D04" w:rsidP="00A26D04">
            <w:pPr>
              <w:autoSpaceDE w:val="0"/>
              <w:autoSpaceDN w:val="0"/>
              <w:adjustRightInd w:val="0"/>
              <w:rPr>
                <w:rFonts w:eastAsiaTheme="minorEastAsia" w:cs="Calibri"/>
                <w:iCs/>
                <w:color w:val="FFFFFF"/>
                <w:szCs w:val="19"/>
                <w:lang w:eastAsia="en-AU"/>
              </w:rPr>
            </w:pPr>
            <w:r w:rsidRPr="00A22100">
              <w:rPr>
                <w:rFonts w:eastAsiaTheme="minorEastAsia" w:cs="Calibri"/>
                <w:iCs/>
                <w:color w:val="FFFFFF"/>
                <w:szCs w:val="19"/>
                <w:lang w:eastAsia="en-AU"/>
              </w:rPr>
              <w:t xml:space="preserve">  </w:t>
            </w:r>
          </w:p>
        </w:tc>
        <w:tc>
          <w:tcPr>
            <w:tcW w:w="850" w:type="dxa"/>
            <w:tcBorders>
              <w:top w:val="nil"/>
              <w:left w:val="nil"/>
              <w:right w:val="nil"/>
            </w:tcBorders>
            <w:shd w:val="solid" w:color="000000" w:fill="auto"/>
          </w:tcPr>
          <w:p w:rsidR="00A26D04" w:rsidRPr="00A22100" w:rsidRDefault="00A26D04" w:rsidP="00A26D0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9"/>
                <w:lang w:eastAsia="en-AU"/>
              </w:rPr>
            </w:pPr>
            <w:r w:rsidRPr="00A22100">
              <w:rPr>
                <w:rFonts w:eastAsiaTheme="minorEastAsia" w:cs="Calibri"/>
                <w:iCs/>
                <w:color w:val="FFFFFF"/>
                <w:szCs w:val="19"/>
                <w:lang w:eastAsia="en-AU"/>
              </w:rPr>
              <w:t>2017-18</w:t>
            </w:r>
            <w:r>
              <w:rPr>
                <w:rFonts w:eastAsiaTheme="minorEastAsia" w:cs="Calibri"/>
                <w:iCs/>
                <w:color w:val="FFFFFF"/>
                <w:szCs w:val="19"/>
                <w:lang w:eastAsia="en-AU"/>
              </w:rPr>
              <w:br/>
            </w:r>
            <w:r w:rsidRPr="00A22100">
              <w:rPr>
                <w:rFonts w:eastAsiaTheme="minorEastAsia" w:cs="Calibri"/>
                <w:iCs/>
                <w:color w:val="FFFFFF"/>
                <w:szCs w:val="19"/>
                <w:lang w:eastAsia="en-AU"/>
              </w:rPr>
              <w:t>revised</w:t>
            </w:r>
          </w:p>
        </w:tc>
        <w:tc>
          <w:tcPr>
            <w:tcW w:w="850" w:type="dxa"/>
            <w:tcBorders>
              <w:top w:val="nil"/>
              <w:left w:val="nil"/>
              <w:right w:val="nil"/>
            </w:tcBorders>
            <w:shd w:val="solid" w:color="000000" w:fill="auto"/>
          </w:tcPr>
          <w:p w:rsidR="00A26D04" w:rsidRPr="00A22100" w:rsidRDefault="00A26D04" w:rsidP="00A26D0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9"/>
                <w:lang w:eastAsia="en-AU"/>
              </w:rPr>
            </w:pPr>
            <w:r w:rsidRPr="00A22100">
              <w:rPr>
                <w:rFonts w:eastAsiaTheme="minorEastAsia" w:cs="Calibri"/>
                <w:iCs/>
                <w:color w:val="FFFFFF"/>
                <w:szCs w:val="19"/>
                <w:lang w:eastAsia="en-AU"/>
              </w:rPr>
              <w:t>2018-19</w:t>
            </w:r>
            <w:r>
              <w:rPr>
                <w:rFonts w:eastAsiaTheme="minorEastAsia" w:cs="Calibri"/>
                <w:iCs/>
                <w:color w:val="FFFFFF"/>
                <w:szCs w:val="19"/>
                <w:lang w:eastAsia="en-AU"/>
              </w:rPr>
              <w:br/>
            </w:r>
            <w:r w:rsidRPr="00A22100">
              <w:rPr>
                <w:rFonts w:eastAsiaTheme="minorEastAsia" w:cs="Calibri"/>
                <w:iCs/>
                <w:color w:val="FFFFFF"/>
                <w:szCs w:val="19"/>
                <w:lang w:eastAsia="en-AU"/>
              </w:rPr>
              <w:t>estimate</w:t>
            </w:r>
          </w:p>
        </w:tc>
        <w:tc>
          <w:tcPr>
            <w:tcW w:w="850" w:type="dxa"/>
            <w:tcBorders>
              <w:top w:val="nil"/>
              <w:left w:val="nil"/>
              <w:right w:val="nil"/>
            </w:tcBorders>
            <w:shd w:val="solid" w:color="000000" w:fill="auto"/>
          </w:tcPr>
          <w:p w:rsidR="00A26D04" w:rsidRPr="00A22100" w:rsidRDefault="00A26D04" w:rsidP="00A26D0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9"/>
                <w:lang w:eastAsia="en-AU"/>
              </w:rPr>
            </w:pPr>
            <w:r w:rsidRPr="00A22100">
              <w:rPr>
                <w:rFonts w:eastAsiaTheme="minorEastAsia" w:cs="Calibri"/>
                <w:iCs/>
                <w:color w:val="FFFFFF"/>
                <w:szCs w:val="19"/>
                <w:lang w:eastAsia="en-AU"/>
              </w:rPr>
              <w:t>2019-20</w:t>
            </w:r>
            <w:r>
              <w:rPr>
                <w:rFonts w:eastAsiaTheme="minorEastAsia" w:cs="Calibri"/>
                <w:iCs/>
                <w:color w:val="FFFFFF"/>
                <w:szCs w:val="19"/>
                <w:lang w:eastAsia="en-AU"/>
              </w:rPr>
              <w:br/>
            </w:r>
            <w:r w:rsidRPr="00A22100">
              <w:rPr>
                <w:rFonts w:eastAsiaTheme="minorEastAsia" w:cs="Calibri"/>
                <w:iCs/>
                <w:color w:val="FFFFFF"/>
                <w:szCs w:val="19"/>
                <w:lang w:eastAsia="en-AU"/>
              </w:rPr>
              <w:t>estimate</w:t>
            </w:r>
          </w:p>
        </w:tc>
        <w:tc>
          <w:tcPr>
            <w:tcW w:w="850" w:type="dxa"/>
            <w:tcBorders>
              <w:top w:val="nil"/>
              <w:left w:val="nil"/>
              <w:right w:val="nil"/>
            </w:tcBorders>
            <w:shd w:val="solid" w:color="000000" w:fill="auto"/>
          </w:tcPr>
          <w:p w:rsidR="00A26D04" w:rsidRPr="00A22100" w:rsidRDefault="00A26D04" w:rsidP="00A26D0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9"/>
                <w:lang w:eastAsia="en-AU"/>
              </w:rPr>
            </w:pPr>
            <w:r w:rsidRPr="00A22100">
              <w:rPr>
                <w:rFonts w:eastAsiaTheme="minorEastAsia" w:cs="Calibri"/>
                <w:iCs/>
                <w:color w:val="FFFFFF"/>
                <w:szCs w:val="19"/>
                <w:lang w:eastAsia="en-AU"/>
              </w:rPr>
              <w:t>2020-21</w:t>
            </w:r>
            <w:r>
              <w:rPr>
                <w:rFonts w:eastAsiaTheme="minorEastAsia" w:cs="Calibri"/>
                <w:iCs/>
                <w:color w:val="FFFFFF"/>
                <w:szCs w:val="19"/>
                <w:lang w:eastAsia="en-AU"/>
              </w:rPr>
              <w:br/>
            </w:r>
            <w:r w:rsidRPr="00A22100">
              <w:rPr>
                <w:rFonts w:eastAsiaTheme="minorEastAsia" w:cs="Calibri"/>
                <w:iCs/>
                <w:color w:val="FFFFFF"/>
                <w:szCs w:val="19"/>
                <w:lang w:eastAsia="en-AU"/>
              </w:rPr>
              <w:t>estimate</w:t>
            </w:r>
          </w:p>
        </w:tc>
      </w:tr>
      <w:tr w:rsidR="00A46DCA" w:rsidRPr="00A22100" w:rsidTr="00A26D04">
        <w:tc>
          <w:tcPr>
            <w:cnfStyle w:val="001000000000" w:firstRow="0" w:lastRow="0" w:firstColumn="1" w:lastColumn="0" w:oddVBand="0" w:evenVBand="0" w:oddHBand="0" w:evenHBand="0" w:firstRowFirstColumn="0" w:firstRowLastColumn="0" w:lastRowFirstColumn="0" w:lastRowLastColumn="0"/>
            <w:tcW w:w="4365" w:type="dxa"/>
            <w:tcBorders>
              <w:top w:val="nil"/>
              <w:left w:val="nil"/>
              <w:bottom w:val="nil"/>
              <w:right w:val="nil"/>
            </w:tcBorders>
          </w:tcPr>
          <w:p w:rsidR="00A46DCA" w:rsidRPr="00A22100" w:rsidRDefault="00A46DCA" w:rsidP="00A26D04">
            <w:pPr>
              <w:keepLines w:val="0"/>
              <w:autoSpaceDE w:val="0"/>
              <w:autoSpaceDN w:val="0"/>
              <w:adjustRightInd w:val="0"/>
              <w:rPr>
                <w:rFonts w:eastAsiaTheme="minorEastAsia" w:cs="Calibri"/>
                <w:b/>
                <w:bCs/>
                <w:color w:val="000000"/>
                <w:szCs w:val="19"/>
                <w:lang w:eastAsia="en-AU"/>
              </w:rPr>
            </w:pPr>
            <w:r w:rsidRPr="00A22100">
              <w:rPr>
                <w:rFonts w:eastAsiaTheme="minorEastAsia" w:cs="Calibri"/>
                <w:b/>
                <w:bCs/>
                <w:color w:val="000000"/>
                <w:szCs w:val="19"/>
                <w:lang w:eastAsia="en-AU"/>
              </w:rPr>
              <w:t>Assets</w:t>
            </w:r>
          </w:p>
        </w:tc>
        <w:tc>
          <w:tcPr>
            <w:tcW w:w="850" w:type="dxa"/>
            <w:tcBorders>
              <w:top w:val="nil"/>
              <w:left w:val="nil"/>
              <w:bottom w:val="nil"/>
              <w:right w:val="nil"/>
            </w:tcBorders>
          </w:tcPr>
          <w:p w:rsidR="00A46DCA" w:rsidRPr="00A2210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lang w:eastAsia="en-AU"/>
              </w:rPr>
            </w:pPr>
            <w:r w:rsidRPr="00A22100">
              <w:rPr>
                <w:rFonts w:eastAsiaTheme="minorEastAsia" w:cs="Calibri"/>
                <w:color w:val="000000"/>
                <w:szCs w:val="19"/>
                <w:lang w:eastAsia="en-AU"/>
              </w:rPr>
              <w:t xml:space="preserve"> </w:t>
            </w:r>
          </w:p>
        </w:tc>
        <w:tc>
          <w:tcPr>
            <w:tcW w:w="850" w:type="dxa"/>
            <w:tcBorders>
              <w:top w:val="nil"/>
              <w:left w:val="nil"/>
              <w:bottom w:val="nil"/>
              <w:right w:val="nil"/>
            </w:tcBorders>
          </w:tcPr>
          <w:p w:rsidR="00A46DCA" w:rsidRPr="00A2210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lang w:eastAsia="en-AU"/>
              </w:rPr>
            </w:pPr>
            <w:r w:rsidRPr="00A22100">
              <w:rPr>
                <w:rFonts w:eastAsiaTheme="minorEastAsia" w:cs="Calibri"/>
                <w:color w:val="000000"/>
                <w:szCs w:val="19"/>
                <w:lang w:eastAsia="en-AU"/>
              </w:rPr>
              <w:t xml:space="preserve"> </w:t>
            </w:r>
          </w:p>
        </w:tc>
        <w:tc>
          <w:tcPr>
            <w:tcW w:w="850" w:type="dxa"/>
            <w:tcBorders>
              <w:top w:val="nil"/>
              <w:left w:val="nil"/>
              <w:bottom w:val="nil"/>
              <w:right w:val="nil"/>
            </w:tcBorders>
          </w:tcPr>
          <w:p w:rsidR="00A46DCA" w:rsidRPr="00A2210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lang w:eastAsia="en-AU"/>
              </w:rPr>
            </w:pPr>
            <w:r w:rsidRPr="00A22100">
              <w:rPr>
                <w:rFonts w:eastAsiaTheme="minorEastAsia" w:cs="Calibri"/>
                <w:color w:val="000000"/>
                <w:szCs w:val="19"/>
                <w:lang w:eastAsia="en-AU"/>
              </w:rPr>
              <w:t xml:space="preserve"> </w:t>
            </w:r>
          </w:p>
        </w:tc>
        <w:tc>
          <w:tcPr>
            <w:tcW w:w="850" w:type="dxa"/>
            <w:tcBorders>
              <w:top w:val="nil"/>
              <w:left w:val="nil"/>
              <w:bottom w:val="nil"/>
              <w:right w:val="nil"/>
            </w:tcBorders>
          </w:tcPr>
          <w:p w:rsidR="00A46DCA" w:rsidRPr="00A2210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lang w:eastAsia="en-AU"/>
              </w:rPr>
            </w:pPr>
            <w:r w:rsidRPr="00A22100">
              <w:rPr>
                <w:rFonts w:eastAsiaTheme="minorEastAsia" w:cs="Calibri"/>
                <w:color w:val="000000"/>
                <w:szCs w:val="19"/>
                <w:lang w:eastAsia="en-AU"/>
              </w:rPr>
              <w:t xml:space="preserve"> </w:t>
            </w:r>
          </w:p>
        </w:tc>
      </w:tr>
      <w:tr w:rsidR="00A46DCA" w:rsidRPr="00A22100" w:rsidTr="00A26D04">
        <w:tc>
          <w:tcPr>
            <w:cnfStyle w:val="001000000000" w:firstRow="0" w:lastRow="0" w:firstColumn="1" w:lastColumn="0" w:oddVBand="0" w:evenVBand="0" w:oddHBand="0" w:evenHBand="0" w:firstRowFirstColumn="0" w:firstRowLastColumn="0" w:lastRowFirstColumn="0" w:lastRowLastColumn="0"/>
            <w:tcW w:w="4365" w:type="dxa"/>
            <w:tcBorders>
              <w:top w:val="nil"/>
              <w:left w:val="nil"/>
              <w:bottom w:val="nil"/>
              <w:right w:val="nil"/>
            </w:tcBorders>
          </w:tcPr>
          <w:p w:rsidR="00A46DCA" w:rsidRPr="00A22100" w:rsidRDefault="00A46DCA" w:rsidP="00A26D04">
            <w:pPr>
              <w:keepLines w:val="0"/>
              <w:autoSpaceDE w:val="0"/>
              <w:autoSpaceDN w:val="0"/>
              <w:adjustRightInd w:val="0"/>
              <w:rPr>
                <w:rFonts w:eastAsiaTheme="minorEastAsia" w:cs="Calibri"/>
                <w:color w:val="000000"/>
                <w:szCs w:val="19"/>
                <w:lang w:eastAsia="en-AU"/>
              </w:rPr>
            </w:pPr>
            <w:r w:rsidRPr="00A22100">
              <w:rPr>
                <w:rFonts w:eastAsiaTheme="minorEastAsia" w:cs="Calibri"/>
                <w:color w:val="000000"/>
                <w:szCs w:val="19"/>
                <w:lang w:eastAsia="en-AU"/>
              </w:rPr>
              <w:t>Cash and deposits</w:t>
            </w:r>
          </w:p>
        </w:tc>
        <w:tc>
          <w:tcPr>
            <w:tcW w:w="850" w:type="dxa"/>
            <w:tcBorders>
              <w:top w:val="nil"/>
              <w:left w:val="nil"/>
              <w:bottom w:val="nil"/>
              <w:right w:val="nil"/>
            </w:tcBorders>
          </w:tcPr>
          <w:p w:rsidR="00A46DCA" w:rsidRPr="00A2210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A22100">
              <w:rPr>
                <w:rFonts w:eastAsiaTheme="minorEastAsia" w:cs="Calibri"/>
                <w:color w:val="000000"/>
                <w:szCs w:val="20"/>
                <w:lang w:eastAsia="en-AU"/>
              </w:rPr>
              <w:t>5.6</w:t>
            </w:r>
          </w:p>
        </w:tc>
        <w:tc>
          <w:tcPr>
            <w:tcW w:w="850" w:type="dxa"/>
            <w:tcBorders>
              <w:top w:val="nil"/>
              <w:left w:val="nil"/>
              <w:bottom w:val="nil"/>
              <w:right w:val="nil"/>
            </w:tcBorders>
          </w:tcPr>
          <w:p w:rsidR="00A46DCA" w:rsidRPr="00A2210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A22100">
              <w:rPr>
                <w:rFonts w:eastAsiaTheme="minorEastAsia" w:cs="Calibri"/>
                <w:color w:val="000000"/>
                <w:szCs w:val="20"/>
                <w:lang w:eastAsia="en-AU"/>
              </w:rPr>
              <w:t>6.0</w:t>
            </w:r>
          </w:p>
        </w:tc>
        <w:tc>
          <w:tcPr>
            <w:tcW w:w="850" w:type="dxa"/>
            <w:tcBorders>
              <w:top w:val="nil"/>
              <w:left w:val="nil"/>
              <w:bottom w:val="nil"/>
              <w:right w:val="nil"/>
            </w:tcBorders>
          </w:tcPr>
          <w:p w:rsidR="00A46DCA" w:rsidRPr="00A2210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A22100">
              <w:rPr>
                <w:rFonts w:eastAsiaTheme="minorEastAsia" w:cs="Calibri"/>
                <w:color w:val="000000"/>
                <w:szCs w:val="20"/>
                <w:lang w:eastAsia="en-AU"/>
              </w:rPr>
              <w:t>6.4</w:t>
            </w:r>
          </w:p>
        </w:tc>
        <w:tc>
          <w:tcPr>
            <w:tcW w:w="850" w:type="dxa"/>
            <w:tcBorders>
              <w:top w:val="nil"/>
              <w:left w:val="nil"/>
              <w:bottom w:val="nil"/>
              <w:right w:val="nil"/>
            </w:tcBorders>
          </w:tcPr>
          <w:p w:rsidR="00A46DCA" w:rsidRPr="00A2210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A22100">
              <w:rPr>
                <w:rFonts w:eastAsiaTheme="minorEastAsia" w:cs="Calibri"/>
                <w:color w:val="000000"/>
                <w:szCs w:val="20"/>
                <w:lang w:eastAsia="en-AU"/>
              </w:rPr>
              <w:t>6.8</w:t>
            </w:r>
          </w:p>
        </w:tc>
      </w:tr>
      <w:tr w:rsidR="00A46DCA" w:rsidRPr="00A22100" w:rsidTr="00A26D04">
        <w:tc>
          <w:tcPr>
            <w:cnfStyle w:val="001000000000" w:firstRow="0" w:lastRow="0" w:firstColumn="1" w:lastColumn="0" w:oddVBand="0" w:evenVBand="0" w:oddHBand="0" w:evenHBand="0" w:firstRowFirstColumn="0" w:firstRowLastColumn="0" w:lastRowFirstColumn="0" w:lastRowLastColumn="0"/>
            <w:tcW w:w="4365" w:type="dxa"/>
            <w:tcBorders>
              <w:top w:val="nil"/>
              <w:left w:val="nil"/>
              <w:bottom w:val="nil"/>
              <w:right w:val="nil"/>
            </w:tcBorders>
          </w:tcPr>
          <w:p w:rsidR="00A46DCA" w:rsidRPr="00A22100" w:rsidRDefault="00A46DCA" w:rsidP="00A26D04">
            <w:pPr>
              <w:keepLines w:val="0"/>
              <w:autoSpaceDE w:val="0"/>
              <w:autoSpaceDN w:val="0"/>
              <w:adjustRightInd w:val="0"/>
              <w:rPr>
                <w:rFonts w:eastAsiaTheme="minorEastAsia" w:cs="Calibri"/>
                <w:color w:val="000000"/>
                <w:szCs w:val="19"/>
                <w:lang w:eastAsia="en-AU"/>
              </w:rPr>
            </w:pPr>
            <w:r w:rsidRPr="00A22100">
              <w:rPr>
                <w:rFonts w:eastAsiaTheme="minorEastAsia" w:cs="Calibri"/>
                <w:color w:val="000000"/>
                <w:szCs w:val="19"/>
                <w:lang w:eastAsia="en-AU"/>
              </w:rPr>
              <w:t>Advances paid</w:t>
            </w:r>
          </w:p>
        </w:tc>
        <w:tc>
          <w:tcPr>
            <w:tcW w:w="850" w:type="dxa"/>
            <w:tcBorders>
              <w:top w:val="nil"/>
              <w:left w:val="nil"/>
              <w:bottom w:val="nil"/>
              <w:right w:val="nil"/>
            </w:tcBorders>
          </w:tcPr>
          <w:p w:rsidR="00A46DCA" w:rsidRPr="00A2210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A22100">
              <w:rPr>
                <w:rFonts w:eastAsiaTheme="minorEastAsia" w:cs="Calibri"/>
                <w:color w:val="000000"/>
                <w:szCs w:val="20"/>
                <w:lang w:eastAsia="en-AU"/>
              </w:rPr>
              <w:t>0.3</w:t>
            </w:r>
          </w:p>
        </w:tc>
        <w:tc>
          <w:tcPr>
            <w:tcW w:w="850" w:type="dxa"/>
            <w:tcBorders>
              <w:top w:val="nil"/>
              <w:left w:val="nil"/>
              <w:bottom w:val="nil"/>
              <w:right w:val="nil"/>
            </w:tcBorders>
          </w:tcPr>
          <w:p w:rsidR="00A46DCA" w:rsidRPr="00A2210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A22100">
              <w:rPr>
                <w:rFonts w:eastAsiaTheme="minorEastAsia" w:cs="Calibri"/>
                <w:color w:val="000000"/>
                <w:szCs w:val="20"/>
                <w:lang w:eastAsia="en-AU"/>
              </w:rPr>
              <w:t>0.3</w:t>
            </w:r>
          </w:p>
        </w:tc>
        <w:tc>
          <w:tcPr>
            <w:tcW w:w="850" w:type="dxa"/>
            <w:tcBorders>
              <w:top w:val="nil"/>
              <w:left w:val="nil"/>
              <w:bottom w:val="nil"/>
              <w:right w:val="nil"/>
            </w:tcBorders>
          </w:tcPr>
          <w:p w:rsidR="00A46DCA" w:rsidRPr="00A2210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A22100">
              <w:rPr>
                <w:rFonts w:eastAsiaTheme="minorEastAsia" w:cs="Calibri"/>
                <w:color w:val="000000"/>
                <w:szCs w:val="20"/>
                <w:lang w:eastAsia="en-AU"/>
              </w:rPr>
              <w:t>0.3</w:t>
            </w:r>
          </w:p>
        </w:tc>
        <w:tc>
          <w:tcPr>
            <w:tcW w:w="850" w:type="dxa"/>
            <w:tcBorders>
              <w:top w:val="nil"/>
              <w:left w:val="nil"/>
              <w:bottom w:val="nil"/>
              <w:right w:val="nil"/>
            </w:tcBorders>
          </w:tcPr>
          <w:p w:rsidR="00A46DCA" w:rsidRPr="00A2210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A22100">
              <w:rPr>
                <w:rFonts w:eastAsiaTheme="minorEastAsia" w:cs="Calibri"/>
                <w:color w:val="000000"/>
                <w:szCs w:val="20"/>
                <w:lang w:eastAsia="en-AU"/>
              </w:rPr>
              <w:t>0.2</w:t>
            </w:r>
          </w:p>
        </w:tc>
      </w:tr>
      <w:tr w:rsidR="00A46DCA" w:rsidRPr="00A22100" w:rsidTr="00A26D04">
        <w:tc>
          <w:tcPr>
            <w:cnfStyle w:val="001000000000" w:firstRow="0" w:lastRow="0" w:firstColumn="1" w:lastColumn="0" w:oddVBand="0" w:evenVBand="0" w:oddHBand="0" w:evenHBand="0" w:firstRowFirstColumn="0" w:firstRowLastColumn="0" w:lastRowFirstColumn="0" w:lastRowLastColumn="0"/>
            <w:tcW w:w="4365" w:type="dxa"/>
            <w:tcBorders>
              <w:top w:val="nil"/>
              <w:left w:val="nil"/>
              <w:bottom w:val="single" w:sz="6" w:space="0" w:color="auto"/>
              <w:right w:val="nil"/>
            </w:tcBorders>
          </w:tcPr>
          <w:p w:rsidR="00A46DCA" w:rsidRPr="00A22100" w:rsidRDefault="00A46DCA" w:rsidP="00A26D04">
            <w:pPr>
              <w:keepLines w:val="0"/>
              <w:autoSpaceDE w:val="0"/>
              <w:autoSpaceDN w:val="0"/>
              <w:adjustRightInd w:val="0"/>
              <w:rPr>
                <w:rFonts w:eastAsiaTheme="minorEastAsia" w:cs="Calibri"/>
                <w:color w:val="000000"/>
                <w:szCs w:val="19"/>
                <w:lang w:eastAsia="en-AU"/>
              </w:rPr>
            </w:pPr>
            <w:r w:rsidRPr="00A22100">
              <w:rPr>
                <w:rFonts w:eastAsiaTheme="minorEastAsia" w:cs="Calibri"/>
                <w:color w:val="000000"/>
                <w:szCs w:val="19"/>
                <w:lang w:eastAsia="en-AU"/>
              </w:rPr>
              <w:t>Investments, loans and placements</w:t>
            </w:r>
          </w:p>
        </w:tc>
        <w:tc>
          <w:tcPr>
            <w:tcW w:w="850" w:type="dxa"/>
            <w:tcBorders>
              <w:top w:val="nil"/>
              <w:left w:val="nil"/>
              <w:bottom w:val="single" w:sz="6" w:space="0" w:color="auto"/>
              <w:right w:val="nil"/>
            </w:tcBorders>
          </w:tcPr>
          <w:p w:rsidR="00A46DCA" w:rsidRPr="00A2210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A22100">
              <w:rPr>
                <w:rFonts w:eastAsiaTheme="minorEastAsia" w:cs="Calibri"/>
                <w:color w:val="000000"/>
                <w:szCs w:val="20"/>
                <w:lang w:eastAsia="en-AU"/>
              </w:rPr>
              <w:t>4.4</w:t>
            </w:r>
          </w:p>
        </w:tc>
        <w:tc>
          <w:tcPr>
            <w:tcW w:w="850" w:type="dxa"/>
            <w:tcBorders>
              <w:top w:val="nil"/>
              <w:left w:val="nil"/>
              <w:bottom w:val="single" w:sz="6" w:space="0" w:color="auto"/>
              <w:right w:val="nil"/>
            </w:tcBorders>
          </w:tcPr>
          <w:p w:rsidR="00A46DCA" w:rsidRPr="00A2210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A22100">
              <w:rPr>
                <w:rFonts w:eastAsiaTheme="minorEastAsia" w:cs="Calibri"/>
                <w:color w:val="000000"/>
                <w:szCs w:val="20"/>
                <w:lang w:eastAsia="en-AU"/>
              </w:rPr>
              <w:t>4.2</w:t>
            </w:r>
          </w:p>
        </w:tc>
        <w:tc>
          <w:tcPr>
            <w:tcW w:w="850" w:type="dxa"/>
            <w:tcBorders>
              <w:top w:val="nil"/>
              <w:left w:val="nil"/>
              <w:bottom w:val="single" w:sz="6" w:space="0" w:color="auto"/>
              <w:right w:val="nil"/>
            </w:tcBorders>
          </w:tcPr>
          <w:p w:rsidR="00A46DCA" w:rsidRPr="00A2210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A22100">
              <w:rPr>
                <w:rFonts w:eastAsiaTheme="minorEastAsia" w:cs="Calibri"/>
                <w:color w:val="000000"/>
                <w:szCs w:val="20"/>
                <w:lang w:eastAsia="en-AU"/>
              </w:rPr>
              <w:t>4.2</w:t>
            </w:r>
          </w:p>
        </w:tc>
        <w:tc>
          <w:tcPr>
            <w:tcW w:w="850" w:type="dxa"/>
            <w:tcBorders>
              <w:top w:val="nil"/>
              <w:left w:val="nil"/>
              <w:bottom w:val="single" w:sz="6" w:space="0" w:color="auto"/>
              <w:right w:val="nil"/>
            </w:tcBorders>
          </w:tcPr>
          <w:p w:rsidR="00A46DCA" w:rsidRPr="00A2210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A22100">
              <w:rPr>
                <w:rFonts w:eastAsiaTheme="minorEastAsia" w:cs="Calibri"/>
                <w:color w:val="000000"/>
                <w:szCs w:val="20"/>
                <w:lang w:eastAsia="en-AU"/>
              </w:rPr>
              <w:t>4.1</w:t>
            </w:r>
          </w:p>
        </w:tc>
      </w:tr>
      <w:tr w:rsidR="00A46DCA" w:rsidRPr="00A22100" w:rsidTr="00A26D04">
        <w:tc>
          <w:tcPr>
            <w:cnfStyle w:val="001000000000" w:firstRow="0" w:lastRow="0" w:firstColumn="1" w:lastColumn="0" w:oddVBand="0" w:evenVBand="0" w:oddHBand="0" w:evenHBand="0" w:firstRowFirstColumn="0" w:firstRowLastColumn="0" w:lastRowFirstColumn="0" w:lastRowLastColumn="0"/>
            <w:tcW w:w="4365" w:type="dxa"/>
            <w:tcBorders>
              <w:top w:val="nil"/>
              <w:left w:val="nil"/>
              <w:bottom w:val="nil"/>
              <w:right w:val="nil"/>
            </w:tcBorders>
          </w:tcPr>
          <w:p w:rsidR="00A46DCA" w:rsidRPr="00A22100" w:rsidRDefault="00A46DCA" w:rsidP="00A26D04">
            <w:pPr>
              <w:keepLines w:val="0"/>
              <w:autoSpaceDE w:val="0"/>
              <w:autoSpaceDN w:val="0"/>
              <w:adjustRightInd w:val="0"/>
              <w:rPr>
                <w:rFonts w:eastAsiaTheme="minorEastAsia" w:cs="Calibri"/>
                <w:b/>
                <w:bCs/>
                <w:color w:val="000000"/>
                <w:szCs w:val="19"/>
                <w:lang w:eastAsia="en-AU"/>
              </w:rPr>
            </w:pPr>
            <w:r w:rsidRPr="00A22100">
              <w:rPr>
                <w:rFonts w:eastAsiaTheme="minorEastAsia" w:cs="Calibri"/>
                <w:b/>
                <w:bCs/>
                <w:color w:val="000000"/>
                <w:szCs w:val="19"/>
                <w:lang w:eastAsia="en-AU"/>
              </w:rPr>
              <w:t>Total</w:t>
            </w:r>
          </w:p>
        </w:tc>
        <w:tc>
          <w:tcPr>
            <w:tcW w:w="850" w:type="dxa"/>
            <w:tcBorders>
              <w:top w:val="nil"/>
              <w:left w:val="nil"/>
              <w:bottom w:val="nil"/>
              <w:right w:val="nil"/>
            </w:tcBorders>
          </w:tcPr>
          <w:p w:rsidR="00A46DCA" w:rsidRPr="00A2210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0"/>
                <w:lang w:eastAsia="en-AU"/>
              </w:rPr>
            </w:pPr>
            <w:r w:rsidRPr="00A22100">
              <w:rPr>
                <w:rFonts w:eastAsiaTheme="minorEastAsia" w:cs="Calibri"/>
                <w:b/>
                <w:bCs/>
                <w:color w:val="000000"/>
                <w:szCs w:val="20"/>
                <w:lang w:eastAsia="en-AU"/>
              </w:rPr>
              <w:t>10.3</w:t>
            </w:r>
          </w:p>
        </w:tc>
        <w:tc>
          <w:tcPr>
            <w:tcW w:w="850" w:type="dxa"/>
            <w:tcBorders>
              <w:top w:val="nil"/>
              <w:left w:val="nil"/>
              <w:bottom w:val="nil"/>
              <w:right w:val="nil"/>
            </w:tcBorders>
          </w:tcPr>
          <w:p w:rsidR="00A46DCA" w:rsidRPr="00A2210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0"/>
                <w:lang w:eastAsia="en-AU"/>
              </w:rPr>
            </w:pPr>
            <w:r w:rsidRPr="00A22100">
              <w:rPr>
                <w:rFonts w:eastAsiaTheme="minorEastAsia" w:cs="Calibri"/>
                <w:b/>
                <w:bCs/>
                <w:color w:val="000000"/>
                <w:szCs w:val="20"/>
                <w:lang w:eastAsia="en-AU"/>
              </w:rPr>
              <w:t>10.5</w:t>
            </w:r>
          </w:p>
        </w:tc>
        <w:tc>
          <w:tcPr>
            <w:tcW w:w="850" w:type="dxa"/>
            <w:tcBorders>
              <w:top w:val="nil"/>
              <w:left w:val="nil"/>
              <w:bottom w:val="nil"/>
              <w:right w:val="nil"/>
            </w:tcBorders>
          </w:tcPr>
          <w:p w:rsidR="00A46DCA" w:rsidRPr="00A2210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0"/>
                <w:lang w:eastAsia="en-AU"/>
              </w:rPr>
            </w:pPr>
            <w:r w:rsidRPr="00A22100">
              <w:rPr>
                <w:rFonts w:eastAsiaTheme="minorEastAsia" w:cs="Calibri"/>
                <w:b/>
                <w:bCs/>
                <w:color w:val="000000"/>
                <w:szCs w:val="20"/>
                <w:lang w:eastAsia="en-AU"/>
              </w:rPr>
              <w:t>10.9</w:t>
            </w:r>
          </w:p>
        </w:tc>
        <w:tc>
          <w:tcPr>
            <w:tcW w:w="850" w:type="dxa"/>
            <w:tcBorders>
              <w:top w:val="nil"/>
              <w:left w:val="nil"/>
              <w:bottom w:val="nil"/>
              <w:right w:val="nil"/>
            </w:tcBorders>
          </w:tcPr>
          <w:p w:rsidR="00A46DCA" w:rsidRPr="00A2210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0"/>
                <w:lang w:eastAsia="en-AU"/>
              </w:rPr>
            </w:pPr>
            <w:r w:rsidRPr="00A22100">
              <w:rPr>
                <w:rFonts w:eastAsiaTheme="minorEastAsia" w:cs="Calibri"/>
                <w:b/>
                <w:bCs/>
                <w:color w:val="000000"/>
                <w:szCs w:val="20"/>
                <w:lang w:eastAsia="en-AU"/>
              </w:rPr>
              <w:t>11.1</w:t>
            </w:r>
          </w:p>
        </w:tc>
      </w:tr>
      <w:tr w:rsidR="00A46DCA" w:rsidRPr="00A22100" w:rsidTr="00A26D04">
        <w:tc>
          <w:tcPr>
            <w:cnfStyle w:val="001000000000" w:firstRow="0" w:lastRow="0" w:firstColumn="1" w:lastColumn="0" w:oddVBand="0" w:evenVBand="0" w:oddHBand="0" w:evenHBand="0" w:firstRowFirstColumn="0" w:firstRowLastColumn="0" w:lastRowFirstColumn="0" w:lastRowLastColumn="0"/>
            <w:tcW w:w="4365" w:type="dxa"/>
            <w:tcBorders>
              <w:top w:val="nil"/>
              <w:left w:val="nil"/>
              <w:bottom w:val="nil"/>
              <w:right w:val="nil"/>
            </w:tcBorders>
          </w:tcPr>
          <w:p w:rsidR="00A46DCA" w:rsidRPr="00A22100" w:rsidRDefault="00A46DCA" w:rsidP="00A26D04">
            <w:pPr>
              <w:keepLines w:val="0"/>
              <w:autoSpaceDE w:val="0"/>
              <w:autoSpaceDN w:val="0"/>
              <w:adjustRightInd w:val="0"/>
              <w:rPr>
                <w:rFonts w:eastAsiaTheme="minorEastAsia" w:cs="Calibri"/>
                <w:b/>
                <w:bCs/>
                <w:color w:val="000000"/>
                <w:szCs w:val="19"/>
                <w:lang w:eastAsia="en-AU"/>
              </w:rPr>
            </w:pPr>
            <w:r w:rsidRPr="00A22100">
              <w:rPr>
                <w:rFonts w:eastAsiaTheme="minorEastAsia" w:cs="Calibri"/>
                <w:b/>
                <w:bCs/>
                <w:color w:val="000000"/>
                <w:szCs w:val="19"/>
                <w:lang w:eastAsia="en-AU"/>
              </w:rPr>
              <w:t>Liabilities</w:t>
            </w:r>
          </w:p>
        </w:tc>
        <w:tc>
          <w:tcPr>
            <w:tcW w:w="850" w:type="dxa"/>
            <w:tcBorders>
              <w:top w:val="nil"/>
              <w:left w:val="nil"/>
              <w:bottom w:val="nil"/>
              <w:right w:val="nil"/>
            </w:tcBorders>
          </w:tcPr>
          <w:p w:rsidR="00A46DCA" w:rsidRPr="00A2210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lang w:eastAsia="en-AU"/>
              </w:rPr>
            </w:pPr>
            <w:r w:rsidRPr="00A22100">
              <w:rPr>
                <w:rFonts w:eastAsiaTheme="minorEastAsia" w:cs="Calibri"/>
                <w:color w:val="000000"/>
                <w:szCs w:val="19"/>
                <w:lang w:eastAsia="en-AU"/>
              </w:rPr>
              <w:t xml:space="preserve"> </w:t>
            </w:r>
          </w:p>
        </w:tc>
        <w:tc>
          <w:tcPr>
            <w:tcW w:w="850" w:type="dxa"/>
            <w:tcBorders>
              <w:top w:val="nil"/>
              <w:left w:val="nil"/>
              <w:bottom w:val="nil"/>
              <w:right w:val="nil"/>
            </w:tcBorders>
          </w:tcPr>
          <w:p w:rsidR="00A46DCA" w:rsidRPr="00A2210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lang w:eastAsia="en-AU"/>
              </w:rPr>
            </w:pPr>
            <w:r w:rsidRPr="00A22100">
              <w:rPr>
                <w:rFonts w:eastAsiaTheme="minorEastAsia" w:cs="Calibri"/>
                <w:color w:val="000000"/>
                <w:szCs w:val="19"/>
                <w:lang w:eastAsia="en-AU"/>
              </w:rPr>
              <w:t xml:space="preserve"> </w:t>
            </w:r>
          </w:p>
        </w:tc>
        <w:tc>
          <w:tcPr>
            <w:tcW w:w="850" w:type="dxa"/>
            <w:tcBorders>
              <w:top w:val="nil"/>
              <w:left w:val="nil"/>
              <w:bottom w:val="nil"/>
              <w:right w:val="nil"/>
            </w:tcBorders>
          </w:tcPr>
          <w:p w:rsidR="00A46DCA" w:rsidRPr="00A2210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lang w:eastAsia="en-AU"/>
              </w:rPr>
            </w:pPr>
            <w:r w:rsidRPr="00A22100">
              <w:rPr>
                <w:rFonts w:eastAsiaTheme="minorEastAsia" w:cs="Calibri"/>
                <w:color w:val="000000"/>
                <w:szCs w:val="19"/>
                <w:lang w:eastAsia="en-AU"/>
              </w:rPr>
              <w:t xml:space="preserve"> </w:t>
            </w:r>
          </w:p>
        </w:tc>
        <w:tc>
          <w:tcPr>
            <w:tcW w:w="850" w:type="dxa"/>
            <w:tcBorders>
              <w:top w:val="nil"/>
              <w:left w:val="nil"/>
              <w:bottom w:val="nil"/>
              <w:right w:val="nil"/>
            </w:tcBorders>
          </w:tcPr>
          <w:p w:rsidR="00A46DCA" w:rsidRPr="00A2210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lang w:eastAsia="en-AU"/>
              </w:rPr>
            </w:pPr>
            <w:r w:rsidRPr="00A22100">
              <w:rPr>
                <w:rFonts w:eastAsiaTheme="minorEastAsia" w:cs="Calibri"/>
                <w:color w:val="000000"/>
                <w:szCs w:val="19"/>
                <w:lang w:eastAsia="en-AU"/>
              </w:rPr>
              <w:t xml:space="preserve"> </w:t>
            </w:r>
          </w:p>
        </w:tc>
      </w:tr>
      <w:tr w:rsidR="00A46DCA" w:rsidRPr="00A22100" w:rsidTr="00A26D04">
        <w:tc>
          <w:tcPr>
            <w:cnfStyle w:val="001000000000" w:firstRow="0" w:lastRow="0" w:firstColumn="1" w:lastColumn="0" w:oddVBand="0" w:evenVBand="0" w:oddHBand="0" w:evenHBand="0" w:firstRowFirstColumn="0" w:firstRowLastColumn="0" w:lastRowFirstColumn="0" w:lastRowLastColumn="0"/>
            <w:tcW w:w="4365" w:type="dxa"/>
            <w:tcBorders>
              <w:top w:val="nil"/>
              <w:left w:val="nil"/>
              <w:bottom w:val="nil"/>
              <w:right w:val="nil"/>
            </w:tcBorders>
          </w:tcPr>
          <w:p w:rsidR="00A46DCA" w:rsidRPr="00A22100" w:rsidRDefault="00A46DCA" w:rsidP="00A26D04">
            <w:pPr>
              <w:keepLines w:val="0"/>
              <w:autoSpaceDE w:val="0"/>
              <w:autoSpaceDN w:val="0"/>
              <w:adjustRightInd w:val="0"/>
              <w:rPr>
                <w:rFonts w:eastAsiaTheme="minorEastAsia" w:cs="Calibri"/>
                <w:color w:val="000000"/>
                <w:szCs w:val="19"/>
                <w:lang w:eastAsia="en-AU"/>
              </w:rPr>
            </w:pPr>
            <w:r w:rsidRPr="00A22100">
              <w:rPr>
                <w:rFonts w:eastAsiaTheme="minorEastAsia" w:cs="Calibri"/>
                <w:color w:val="000000"/>
                <w:szCs w:val="19"/>
                <w:lang w:eastAsia="en-AU"/>
              </w:rPr>
              <w:t>Deposits held and advances received</w:t>
            </w:r>
          </w:p>
        </w:tc>
        <w:tc>
          <w:tcPr>
            <w:tcW w:w="850" w:type="dxa"/>
            <w:tcBorders>
              <w:top w:val="nil"/>
              <w:left w:val="nil"/>
              <w:bottom w:val="nil"/>
              <w:right w:val="nil"/>
            </w:tcBorders>
          </w:tcPr>
          <w:p w:rsidR="00A46DCA" w:rsidRPr="00A2210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A22100">
              <w:rPr>
                <w:rFonts w:eastAsiaTheme="minorEastAsia" w:cs="Calibri"/>
                <w:color w:val="000000"/>
                <w:szCs w:val="20"/>
                <w:lang w:eastAsia="en-AU"/>
              </w:rPr>
              <w:t>0.9</w:t>
            </w:r>
          </w:p>
        </w:tc>
        <w:tc>
          <w:tcPr>
            <w:tcW w:w="850" w:type="dxa"/>
            <w:tcBorders>
              <w:top w:val="nil"/>
              <w:left w:val="nil"/>
              <w:bottom w:val="nil"/>
              <w:right w:val="nil"/>
            </w:tcBorders>
          </w:tcPr>
          <w:p w:rsidR="00A46DCA" w:rsidRPr="00A2210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A22100">
              <w:rPr>
                <w:rFonts w:eastAsiaTheme="minorEastAsia" w:cs="Calibri"/>
                <w:color w:val="000000"/>
                <w:szCs w:val="20"/>
                <w:lang w:eastAsia="en-AU"/>
              </w:rPr>
              <w:t>0.9</w:t>
            </w:r>
          </w:p>
        </w:tc>
        <w:tc>
          <w:tcPr>
            <w:tcW w:w="850" w:type="dxa"/>
            <w:tcBorders>
              <w:top w:val="nil"/>
              <w:left w:val="nil"/>
              <w:bottom w:val="nil"/>
              <w:right w:val="nil"/>
            </w:tcBorders>
          </w:tcPr>
          <w:p w:rsidR="00A46DCA" w:rsidRPr="00A2210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A22100">
              <w:rPr>
                <w:rFonts w:eastAsiaTheme="minorEastAsia" w:cs="Calibri"/>
                <w:color w:val="000000"/>
                <w:szCs w:val="20"/>
                <w:lang w:eastAsia="en-AU"/>
              </w:rPr>
              <w:t>0.9</w:t>
            </w:r>
          </w:p>
        </w:tc>
        <w:tc>
          <w:tcPr>
            <w:tcW w:w="850" w:type="dxa"/>
            <w:tcBorders>
              <w:top w:val="nil"/>
              <w:left w:val="nil"/>
              <w:bottom w:val="nil"/>
              <w:right w:val="nil"/>
            </w:tcBorders>
          </w:tcPr>
          <w:p w:rsidR="00A46DCA" w:rsidRPr="00A2210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A22100">
              <w:rPr>
                <w:rFonts w:eastAsiaTheme="minorEastAsia" w:cs="Calibri"/>
                <w:color w:val="000000"/>
                <w:szCs w:val="20"/>
                <w:lang w:eastAsia="en-AU"/>
              </w:rPr>
              <w:t>0.9</w:t>
            </w:r>
          </w:p>
        </w:tc>
      </w:tr>
      <w:tr w:rsidR="00A46DCA" w:rsidRPr="00A22100" w:rsidTr="00A26D04">
        <w:tc>
          <w:tcPr>
            <w:cnfStyle w:val="001000000000" w:firstRow="0" w:lastRow="0" w:firstColumn="1" w:lastColumn="0" w:oddVBand="0" w:evenVBand="0" w:oddHBand="0" w:evenHBand="0" w:firstRowFirstColumn="0" w:firstRowLastColumn="0" w:lastRowFirstColumn="0" w:lastRowLastColumn="0"/>
            <w:tcW w:w="4365" w:type="dxa"/>
            <w:tcBorders>
              <w:top w:val="nil"/>
              <w:left w:val="nil"/>
              <w:bottom w:val="single" w:sz="6" w:space="0" w:color="auto"/>
              <w:right w:val="nil"/>
            </w:tcBorders>
          </w:tcPr>
          <w:p w:rsidR="00A46DCA" w:rsidRPr="00A22100" w:rsidRDefault="00A46DCA" w:rsidP="00A26D04">
            <w:pPr>
              <w:keepLines w:val="0"/>
              <w:autoSpaceDE w:val="0"/>
              <w:autoSpaceDN w:val="0"/>
              <w:adjustRightInd w:val="0"/>
              <w:rPr>
                <w:rFonts w:eastAsiaTheme="minorEastAsia" w:cs="Calibri"/>
                <w:color w:val="000000"/>
                <w:szCs w:val="19"/>
                <w:lang w:eastAsia="en-AU"/>
              </w:rPr>
            </w:pPr>
            <w:r w:rsidRPr="00A22100">
              <w:rPr>
                <w:rFonts w:eastAsiaTheme="minorEastAsia" w:cs="Calibri"/>
                <w:color w:val="000000"/>
                <w:szCs w:val="19"/>
                <w:lang w:eastAsia="en-AU"/>
              </w:rPr>
              <w:t>Borrowings</w:t>
            </w:r>
          </w:p>
        </w:tc>
        <w:tc>
          <w:tcPr>
            <w:tcW w:w="850" w:type="dxa"/>
            <w:tcBorders>
              <w:top w:val="nil"/>
              <w:left w:val="nil"/>
              <w:bottom w:val="single" w:sz="6" w:space="0" w:color="auto"/>
              <w:right w:val="nil"/>
            </w:tcBorders>
          </w:tcPr>
          <w:p w:rsidR="00A46DCA" w:rsidRPr="00A2210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A22100">
              <w:rPr>
                <w:rFonts w:eastAsiaTheme="minorEastAsia" w:cs="Calibri"/>
                <w:color w:val="000000"/>
                <w:szCs w:val="20"/>
                <w:lang w:eastAsia="en-AU"/>
              </w:rPr>
              <w:t>46.4</w:t>
            </w:r>
          </w:p>
        </w:tc>
        <w:tc>
          <w:tcPr>
            <w:tcW w:w="850" w:type="dxa"/>
            <w:tcBorders>
              <w:top w:val="nil"/>
              <w:left w:val="nil"/>
              <w:bottom w:val="single" w:sz="6" w:space="0" w:color="auto"/>
              <w:right w:val="nil"/>
            </w:tcBorders>
          </w:tcPr>
          <w:p w:rsidR="00A46DCA" w:rsidRPr="00A2210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A22100">
              <w:rPr>
                <w:rFonts w:eastAsiaTheme="minorEastAsia" w:cs="Calibri"/>
                <w:color w:val="000000"/>
                <w:szCs w:val="20"/>
                <w:lang w:eastAsia="en-AU"/>
              </w:rPr>
              <w:t>49.6</w:t>
            </w:r>
          </w:p>
        </w:tc>
        <w:tc>
          <w:tcPr>
            <w:tcW w:w="850" w:type="dxa"/>
            <w:tcBorders>
              <w:top w:val="nil"/>
              <w:left w:val="nil"/>
              <w:bottom w:val="single" w:sz="6" w:space="0" w:color="auto"/>
              <w:right w:val="nil"/>
            </w:tcBorders>
          </w:tcPr>
          <w:p w:rsidR="00A46DCA" w:rsidRPr="00A2210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A22100">
              <w:rPr>
                <w:rFonts w:eastAsiaTheme="minorEastAsia" w:cs="Calibri"/>
                <w:color w:val="000000"/>
                <w:szCs w:val="20"/>
                <w:lang w:eastAsia="en-AU"/>
              </w:rPr>
              <w:t>53.3</w:t>
            </w:r>
          </w:p>
        </w:tc>
        <w:tc>
          <w:tcPr>
            <w:tcW w:w="850" w:type="dxa"/>
            <w:tcBorders>
              <w:top w:val="nil"/>
              <w:left w:val="nil"/>
              <w:bottom w:val="single" w:sz="6" w:space="0" w:color="auto"/>
              <w:right w:val="nil"/>
            </w:tcBorders>
          </w:tcPr>
          <w:p w:rsidR="00A46DCA" w:rsidRPr="00A2210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A22100">
              <w:rPr>
                <w:rFonts w:eastAsiaTheme="minorEastAsia" w:cs="Calibri"/>
                <w:color w:val="000000"/>
                <w:szCs w:val="20"/>
                <w:lang w:eastAsia="en-AU"/>
              </w:rPr>
              <w:t>56.1</w:t>
            </w:r>
          </w:p>
        </w:tc>
      </w:tr>
      <w:tr w:rsidR="00A46DCA" w:rsidRPr="00A22100" w:rsidTr="00A26D04">
        <w:tc>
          <w:tcPr>
            <w:cnfStyle w:val="001000000000" w:firstRow="0" w:lastRow="0" w:firstColumn="1" w:lastColumn="0" w:oddVBand="0" w:evenVBand="0" w:oddHBand="0" w:evenHBand="0" w:firstRowFirstColumn="0" w:firstRowLastColumn="0" w:lastRowFirstColumn="0" w:lastRowLastColumn="0"/>
            <w:tcW w:w="4365" w:type="dxa"/>
            <w:tcBorders>
              <w:top w:val="nil"/>
              <w:left w:val="nil"/>
              <w:bottom w:val="nil"/>
              <w:right w:val="nil"/>
            </w:tcBorders>
          </w:tcPr>
          <w:p w:rsidR="00A46DCA" w:rsidRPr="00A22100" w:rsidRDefault="00A46DCA" w:rsidP="00A26D04">
            <w:pPr>
              <w:keepLines w:val="0"/>
              <w:autoSpaceDE w:val="0"/>
              <w:autoSpaceDN w:val="0"/>
              <w:adjustRightInd w:val="0"/>
              <w:rPr>
                <w:rFonts w:eastAsiaTheme="minorEastAsia" w:cs="Calibri"/>
                <w:b/>
                <w:bCs/>
                <w:color w:val="000000"/>
                <w:szCs w:val="19"/>
                <w:lang w:eastAsia="en-AU"/>
              </w:rPr>
            </w:pPr>
            <w:r w:rsidRPr="00A22100">
              <w:rPr>
                <w:rFonts w:eastAsiaTheme="minorEastAsia" w:cs="Calibri"/>
                <w:b/>
                <w:bCs/>
                <w:color w:val="000000"/>
                <w:szCs w:val="19"/>
                <w:lang w:eastAsia="en-AU"/>
              </w:rPr>
              <w:t>Total</w:t>
            </w:r>
          </w:p>
        </w:tc>
        <w:tc>
          <w:tcPr>
            <w:tcW w:w="850" w:type="dxa"/>
            <w:tcBorders>
              <w:top w:val="nil"/>
              <w:left w:val="nil"/>
              <w:bottom w:val="nil"/>
              <w:right w:val="nil"/>
            </w:tcBorders>
          </w:tcPr>
          <w:p w:rsidR="00A46DCA" w:rsidRPr="00A2210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0"/>
                <w:lang w:eastAsia="en-AU"/>
              </w:rPr>
            </w:pPr>
            <w:r w:rsidRPr="00A22100">
              <w:rPr>
                <w:rFonts w:eastAsiaTheme="minorEastAsia" w:cs="Calibri"/>
                <w:b/>
                <w:bCs/>
                <w:color w:val="000000"/>
                <w:szCs w:val="20"/>
                <w:lang w:eastAsia="en-AU"/>
              </w:rPr>
              <w:t>47.3</w:t>
            </w:r>
          </w:p>
        </w:tc>
        <w:tc>
          <w:tcPr>
            <w:tcW w:w="850" w:type="dxa"/>
            <w:tcBorders>
              <w:top w:val="nil"/>
              <w:left w:val="nil"/>
              <w:bottom w:val="nil"/>
              <w:right w:val="nil"/>
            </w:tcBorders>
          </w:tcPr>
          <w:p w:rsidR="00A46DCA" w:rsidRPr="00A2210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0"/>
                <w:lang w:eastAsia="en-AU"/>
              </w:rPr>
            </w:pPr>
            <w:r w:rsidRPr="00A22100">
              <w:rPr>
                <w:rFonts w:eastAsiaTheme="minorEastAsia" w:cs="Calibri"/>
                <w:b/>
                <w:bCs/>
                <w:color w:val="000000"/>
                <w:szCs w:val="20"/>
                <w:lang w:eastAsia="en-AU"/>
              </w:rPr>
              <w:t>50.5</w:t>
            </w:r>
          </w:p>
        </w:tc>
        <w:tc>
          <w:tcPr>
            <w:tcW w:w="850" w:type="dxa"/>
            <w:tcBorders>
              <w:top w:val="nil"/>
              <w:left w:val="nil"/>
              <w:bottom w:val="nil"/>
              <w:right w:val="nil"/>
            </w:tcBorders>
          </w:tcPr>
          <w:p w:rsidR="00A46DCA" w:rsidRPr="00A2210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0"/>
                <w:lang w:eastAsia="en-AU"/>
              </w:rPr>
            </w:pPr>
            <w:r w:rsidRPr="00A22100">
              <w:rPr>
                <w:rFonts w:eastAsiaTheme="minorEastAsia" w:cs="Calibri"/>
                <w:b/>
                <w:bCs/>
                <w:color w:val="000000"/>
                <w:szCs w:val="20"/>
                <w:lang w:eastAsia="en-AU"/>
              </w:rPr>
              <w:t>54.3</w:t>
            </w:r>
          </w:p>
        </w:tc>
        <w:tc>
          <w:tcPr>
            <w:tcW w:w="850" w:type="dxa"/>
            <w:tcBorders>
              <w:top w:val="nil"/>
              <w:left w:val="nil"/>
              <w:bottom w:val="nil"/>
              <w:right w:val="nil"/>
            </w:tcBorders>
          </w:tcPr>
          <w:p w:rsidR="00A46DCA" w:rsidRPr="00A2210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0"/>
                <w:lang w:eastAsia="en-AU"/>
              </w:rPr>
            </w:pPr>
            <w:r w:rsidRPr="00A22100">
              <w:rPr>
                <w:rFonts w:eastAsiaTheme="minorEastAsia" w:cs="Calibri"/>
                <w:b/>
                <w:bCs/>
                <w:color w:val="000000"/>
                <w:szCs w:val="20"/>
                <w:lang w:eastAsia="en-AU"/>
              </w:rPr>
              <w:t>57.0</w:t>
            </w:r>
          </w:p>
        </w:tc>
      </w:tr>
      <w:tr w:rsidR="00A46DCA" w:rsidRPr="00A22100" w:rsidTr="00A26D04">
        <w:tc>
          <w:tcPr>
            <w:cnfStyle w:val="001000000000" w:firstRow="0" w:lastRow="0" w:firstColumn="1" w:lastColumn="0" w:oddVBand="0" w:evenVBand="0" w:oddHBand="0" w:evenHBand="0" w:firstRowFirstColumn="0" w:firstRowLastColumn="0" w:lastRowFirstColumn="0" w:lastRowLastColumn="0"/>
            <w:tcW w:w="4365" w:type="dxa"/>
            <w:tcBorders>
              <w:top w:val="nil"/>
              <w:left w:val="nil"/>
              <w:bottom w:val="nil"/>
              <w:right w:val="nil"/>
            </w:tcBorders>
          </w:tcPr>
          <w:p w:rsidR="00A46DCA" w:rsidRPr="00A22100" w:rsidRDefault="00A46DCA" w:rsidP="00A26D04">
            <w:pPr>
              <w:keepLines w:val="0"/>
              <w:autoSpaceDE w:val="0"/>
              <w:autoSpaceDN w:val="0"/>
              <w:adjustRightInd w:val="0"/>
              <w:rPr>
                <w:rFonts w:eastAsiaTheme="minorEastAsia" w:cs="Calibri"/>
                <w:b/>
                <w:bCs/>
                <w:color w:val="000000"/>
                <w:szCs w:val="19"/>
                <w:lang w:eastAsia="en-AU"/>
              </w:rPr>
            </w:pPr>
            <w:r w:rsidRPr="00A22100">
              <w:rPr>
                <w:rFonts w:eastAsiaTheme="minorEastAsia" w:cs="Calibri"/>
                <w:b/>
                <w:bCs/>
                <w:color w:val="000000"/>
                <w:szCs w:val="19"/>
                <w:lang w:eastAsia="en-AU"/>
              </w:rPr>
              <w:t xml:space="preserve">Net debt </w:t>
            </w:r>
            <w:r w:rsidRPr="00A22100">
              <w:rPr>
                <w:rFonts w:eastAsiaTheme="minorEastAsia" w:cs="Calibri"/>
                <w:b/>
                <w:bCs/>
                <w:color w:val="000000"/>
                <w:szCs w:val="19"/>
                <w:vertAlign w:val="superscript"/>
                <w:lang w:eastAsia="en-AU"/>
              </w:rPr>
              <w:t>(a)</w:t>
            </w:r>
          </w:p>
        </w:tc>
        <w:tc>
          <w:tcPr>
            <w:tcW w:w="850" w:type="dxa"/>
            <w:tcBorders>
              <w:top w:val="nil"/>
              <w:left w:val="nil"/>
              <w:bottom w:val="nil"/>
              <w:right w:val="nil"/>
            </w:tcBorders>
          </w:tcPr>
          <w:p w:rsidR="00A46DCA" w:rsidRPr="00A2210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0"/>
                <w:lang w:eastAsia="en-AU"/>
              </w:rPr>
            </w:pPr>
            <w:r w:rsidRPr="00A22100">
              <w:rPr>
                <w:rFonts w:eastAsiaTheme="minorEastAsia" w:cs="Calibri"/>
                <w:b/>
                <w:bCs/>
                <w:color w:val="000000"/>
                <w:szCs w:val="20"/>
                <w:lang w:eastAsia="en-AU"/>
              </w:rPr>
              <w:t>37.0</w:t>
            </w:r>
          </w:p>
        </w:tc>
        <w:tc>
          <w:tcPr>
            <w:tcW w:w="850" w:type="dxa"/>
            <w:tcBorders>
              <w:top w:val="nil"/>
              <w:left w:val="nil"/>
              <w:bottom w:val="nil"/>
              <w:right w:val="nil"/>
            </w:tcBorders>
          </w:tcPr>
          <w:p w:rsidR="00A46DCA" w:rsidRPr="00A2210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0"/>
                <w:lang w:eastAsia="en-AU"/>
              </w:rPr>
            </w:pPr>
            <w:r w:rsidRPr="00A22100">
              <w:rPr>
                <w:rFonts w:eastAsiaTheme="minorEastAsia" w:cs="Calibri"/>
                <w:b/>
                <w:bCs/>
                <w:color w:val="000000"/>
                <w:szCs w:val="20"/>
                <w:lang w:eastAsia="en-AU"/>
              </w:rPr>
              <w:t>40.0</w:t>
            </w:r>
          </w:p>
        </w:tc>
        <w:tc>
          <w:tcPr>
            <w:tcW w:w="850" w:type="dxa"/>
            <w:tcBorders>
              <w:top w:val="nil"/>
              <w:left w:val="nil"/>
              <w:bottom w:val="nil"/>
              <w:right w:val="nil"/>
            </w:tcBorders>
          </w:tcPr>
          <w:p w:rsidR="00A46DCA" w:rsidRPr="00A2210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0"/>
                <w:lang w:eastAsia="en-AU"/>
              </w:rPr>
            </w:pPr>
            <w:r w:rsidRPr="00A22100">
              <w:rPr>
                <w:rFonts w:eastAsiaTheme="minorEastAsia" w:cs="Calibri"/>
                <w:b/>
                <w:bCs/>
                <w:color w:val="000000"/>
                <w:szCs w:val="20"/>
                <w:lang w:eastAsia="en-AU"/>
              </w:rPr>
              <w:t>43.4</w:t>
            </w:r>
          </w:p>
        </w:tc>
        <w:tc>
          <w:tcPr>
            <w:tcW w:w="850" w:type="dxa"/>
            <w:tcBorders>
              <w:top w:val="nil"/>
              <w:left w:val="nil"/>
              <w:bottom w:val="nil"/>
              <w:right w:val="nil"/>
            </w:tcBorders>
          </w:tcPr>
          <w:p w:rsidR="00A46DCA" w:rsidRPr="00A2210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0"/>
                <w:lang w:eastAsia="en-AU"/>
              </w:rPr>
            </w:pPr>
            <w:r w:rsidRPr="00A22100">
              <w:rPr>
                <w:rFonts w:eastAsiaTheme="minorEastAsia" w:cs="Calibri"/>
                <w:b/>
                <w:bCs/>
                <w:color w:val="000000"/>
                <w:szCs w:val="20"/>
                <w:lang w:eastAsia="en-AU"/>
              </w:rPr>
              <w:t>45.9</w:t>
            </w:r>
          </w:p>
        </w:tc>
      </w:tr>
      <w:tr w:rsidR="00A46DCA" w:rsidRPr="00A22100" w:rsidTr="00A26D04">
        <w:tc>
          <w:tcPr>
            <w:cnfStyle w:val="001000000000" w:firstRow="0" w:lastRow="0" w:firstColumn="1" w:lastColumn="0" w:oddVBand="0" w:evenVBand="0" w:oddHBand="0" w:evenHBand="0" w:firstRowFirstColumn="0" w:firstRowLastColumn="0" w:lastRowFirstColumn="0" w:lastRowLastColumn="0"/>
            <w:tcW w:w="4365" w:type="dxa"/>
            <w:tcBorders>
              <w:top w:val="nil"/>
              <w:left w:val="nil"/>
              <w:bottom w:val="single" w:sz="6" w:space="0" w:color="auto"/>
              <w:right w:val="nil"/>
            </w:tcBorders>
          </w:tcPr>
          <w:p w:rsidR="00A46DCA" w:rsidRPr="00A22100" w:rsidRDefault="00A46DCA" w:rsidP="00A26D04">
            <w:pPr>
              <w:keepLines w:val="0"/>
              <w:autoSpaceDE w:val="0"/>
              <w:autoSpaceDN w:val="0"/>
              <w:adjustRightInd w:val="0"/>
              <w:rPr>
                <w:rFonts w:eastAsiaTheme="minorEastAsia" w:cs="Calibri"/>
                <w:color w:val="000000"/>
                <w:szCs w:val="19"/>
                <w:lang w:eastAsia="en-AU"/>
              </w:rPr>
            </w:pPr>
            <w:r w:rsidRPr="00A22100">
              <w:rPr>
                <w:rFonts w:eastAsiaTheme="minorEastAsia" w:cs="Calibri"/>
                <w:color w:val="000000"/>
                <w:szCs w:val="19"/>
                <w:lang w:eastAsia="en-AU"/>
              </w:rPr>
              <w:t>Superannuation liability</w:t>
            </w:r>
          </w:p>
        </w:tc>
        <w:tc>
          <w:tcPr>
            <w:tcW w:w="850" w:type="dxa"/>
            <w:tcBorders>
              <w:top w:val="nil"/>
              <w:left w:val="nil"/>
              <w:bottom w:val="single" w:sz="6" w:space="0" w:color="auto"/>
              <w:right w:val="nil"/>
            </w:tcBorders>
          </w:tcPr>
          <w:p w:rsidR="00A46DCA" w:rsidRPr="00A2210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A22100">
              <w:rPr>
                <w:rFonts w:eastAsiaTheme="minorEastAsia" w:cs="Calibri"/>
                <w:color w:val="000000"/>
                <w:szCs w:val="20"/>
                <w:lang w:eastAsia="en-AU"/>
              </w:rPr>
              <w:t>23.0</w:t>
            </w:r>
          </w:p>
        </w:tc>
        <w:tc>
          <w:tcPr>
            <w:tcW w:w="850" w:type="dxa"/>
            <w:tcBorders>
              <w:top w:val="nil"/>
              <w:left w:val="nil"/>
              <w:bottom w:val="single" w:sz="6" w:space="0" w:color="auto"/>
              <w:right w:val="nil"/>
            </w:tcBorders>
          </w:tcPr>
          <w:p w:rsidR="00A46DCA" w:rsidRPr="00A2210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A22100">
              <w:rPr>
                <w:rFonts w:eastAsiaTheme="minorEastAsia" w:cs="Calibri"/>
                <w:color w:val="000000"/>
                <w:szCs w:val="20"/>
                <w:lang w:eastAsia="en-AU"/>
              </w:rPr>
              <w:t>22.1</w:t>
            </w:r>
          </w:p>
        </w:tc>
        <w:tc>
          <w:tcPr>
            <w:tcW w:w="850" w:type="dxa"/>
            <w:tcBorders>
              <w:top w:val="nil"/>
              <w:left w:val="nil"/>
              <w:bottom w:val="single" w:sz="6" w:space="0" w:color="auto"/>
              <w:right w:val="nil"/>
            </w:tcBorders>
          </w:tcPr>
          <w:p w:rsidR="00A46DCA" w:rsidRPr="00A2210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A22100">
              <w:rPr>
                <w:rFonts w:eastAsiaTheme="minorEastAsia" w:cs="Calibri"/>
                <w:color w:val="000000"/>
                <w:szCs w:val="20"/>
                <w:lang w:eastAsia="en-AU"/>
              </w:rPr>
              <w:t>21.1</w:t>
            </w:r>
          </w:p>
        </w:tc>
        <w:tc>
          <w:tcPr>
            <w:tcW w:w="850" w:type="dxa"/>
            <w:tcBorders>
              <w:top w:val="nil"/>
              <w:left w:val="nil"/>
              <w:bottom w:val="single" w:sz="6" w:space="0" w:color="auto"/>
              <w:right w:val="nil"/>
            </w:tcBorders>
          </w:tcPr>
          <w:p w:rsidR="00A46DCA" w:rsidRPr="00A2210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A22100">
              <w:rPr>
                <w:rFonts w:eastAsiaTheme="minorEastAsia" w:cs="Calibri"/>
                <w:color w:val="000000"/>
                <w:szCs w:val="20"/>
                <w:lang w:eastAsia="en-AU"/>
              </w:rPr>
              <w:t>20.1</w:t>
            </w:r>
          </w:p>
        </w:tc>
      </w:tr>
      <w:tr w:rsidR="00A46DCA" w:rsidRPr="00A22100" w:rsidTr="00A26D04">
        <w:tc>
          <w:tcPr>
            <w:cnfStyle w:val="001000000000" w:firstRow="0" w:lastRow="0" w:firstColumn="1" w:lastColumn="0" w:oddVBand="0" w:evenVBand="0" w:oddHBand="0" w:evenHBand="0" w:firstRowFirstColumn="0" w:firstRowLastColumn="0" w:lastRowFirstColumn="0" w:lastRowLastColumn="0"/>
            <w:tcW w:w="4365" w:type="dxa"/>
            <w:tcBorders>
              <w:top w:val="nil"/>
              <w:left w:val="nil"/>
              <w:bottom w:val="nil"/>
              <w:right w:val="nil"/>
            </w:tcBorders>
          </w:tcPr>
          <w:p w:rsidR="00A46DCA" w:rsidRPr="00A22100" w:rsidRDefault="00A46DCA" w:rsidP="00A26D04">
            <w:pPr>
              <w:keepLines w:val="0"/>
              <w:autoSpaceDE w:val="0"/>
              <w:autoSpaceDN w:val="0"/>
              <w:adjustRightInd w:val="0"/>
              <w:rPr>
                <w:rFonts w:eastAsiaTheme="minorEastAsia" w:cs="Calibri"/>
                <w:b/>
                <w:bCs/>
                <w:color w:val="000000"/>
                <w:szCs w:val="19"/>
                <w:lang w:eastAsia="en-AU"/>
              </w:rPr>
            </w:pPr>
            <w:r w:rsidRPr="00A22100">
              <w:rPr>
                <w:rFonts w:eastAsiaTheme="minorEastAsia" w:cs="Calibri"/>
                <w:b/>
                <w:bCs/>
                <w:color w:val="000000"/>
                <w:szCs w:val="19"/>
                <w:lang w:eastAsia="en-AU"/>
              </w:rPr>
              <w:t>Net debt plus superannuation liabilities</w:t>
            </w:r>
          </w:p>
        </w:tc>
        <w:tc>
          <w:tcPr>
            <w:tcW w:w="850" w:type="dxa"/>
            <w:tcBorders>
              <w:top w:val="nil"/>
              <w:left w:val="nil"/>
              <w:bottom w:val="nil"/>
              <w:right w:val="nil"/>
            </w:tcBorders>
          </w:tcPr>
          <w:p w:rsidR="00A46DCA" w:rsidRPr="00A2210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0"/>
                <w:lang w:eastAsia="en-AU"/>
              </w:rPr>
            </w:pPr>
            <w:r w:rsidRPr="00A22100">
              <w:rPr>
                <w:rFonts w:eastAsiaTheme="minorEastAsia" w:cs="Calibri"/>
                <w:b/>
                <w:bCs/>
                <w:color w:val="000000"/>
                <w:szCs w:val="20"/>
                <w:lang w:eastAsia="en-AU"/>
              </w:rPr>
              <w:t>60.0</w:t>
            </w:r>
          </w:p>
        </w:tc>
        <w:tc>
          <w:tcPr>
            <w:tcW w:w="850" w:type="dxa"/>
            <w:tcBorders>
              <w:top w:val="nil"/>
              <w:left w:val="nil"/>
              <w:bottom w:val="nil"/>
              <w:right w:val="nil"/>
            </w:tcBorders>
          </w:tcPr>
          <w:p w:rsidR="00A46DCA" w:rsidRPr="00A2210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0"/>
                <w:lang w:eastAsia="en-AU"/>
              </w:rPr>
            </w:pPr>
            <w:r w:rsidRPr="00A22100">
              <w:rPr>
                <w:rFonts w:eastAsiaTheme="minorEastAsia" w:cs="Calibri"/>
                <w:b/>
                <w:bCs/>
                <w:color w:val="000000"/>
                <w:szCs w:val="20"/>
                <w:lang w:eastAsia="en-AU"/>
              </w:rPr>
              <w:t>62.1</w:t>
            </w:r>
          </w:p>
        </w:tc>
        <w:tc>
          <w:tcPr>
            <w:tcW w:w="850" w:type="dxa"/>
            <w:tcBorders>
              <w:top w:val="nil"/>
              <w:left w:val="nil"/>
              <w:bottom w:val="nil"/>
              <w:right w:val="nil"/>
            </w:tcBorders>
          </w:tcPr>
          <w:p w:rsidR="00A46DCA" w:rsidRPr="00A2210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0"/>
                <w:lang w:eastAsia="en-AU"/>
              </w:rPr>
            </w:pPr>
            <w:r w:rsidRPr="00A22100">
              <w:rPr>
                <w:rFonts w:eastAsiaTheme="minorEastAsia" w:cs="Calibri"/>
                <w:b/>
                <w:bCs/>
                <w:color w:val="000000"/>
                <w:szCs w:val="20"/>
                <w:lang w:eastAsia="en-AU"/>
              </w:rPr>
              <w:t>64.5</w:t>
            </w:r>
          </w:p>
        </w:tc>
        <w:tc>
          <w:tcPr>
            <w:tcW w:w="850" w:type="dxa"/>
            <w:tcBorders>
              <w:top w:val="nil"/>
              <w:left w:val="nil"/>
              <w:bottom w:val="nil"/>
              <w:right w:val="nil"/>
            </w:tcBorders>
          </w:tcPr>
          <w:p w:rsidR="00A46DCA" w:rsidRPr="00A2210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0"/>
                <w:lang w:eastAsia="en-AU"/>
              </w:rPr>
            </w:pPr>
            <w:r w:rsidRPr="00A22100">
              <w:rPr>
                <w:rFonts w:eastAsiaTheme="minorEastAsia" w:cs="Calibri"/>
                <w:b/>
                <w:bCs/>
                <w:color w:val="000000"/>
                <w:szCs w:val="20"/>
                <w:lang w:eastAsia="en-AU"/>
              </w:rPr>
              <w:t>66.0</w:t>
            </w:r>
          </w:p>
        </w:tc>
      </w:tr>
      <w:tr w:rsidR="00A46DCA" w:rsidRPr="00A22100" w:rsidTr="00A26D04">
        <w:tc>
          <w:tcPr>
            <w:cnfStyle w:val="001000000000" w:firstRow="0" w:lastRow="0" w:firstColumn="1" w:lastColumn="0" w:oddVBand="0" w:evenVBand="0" w:oddHBand="0" w:evenHBand="0" w:firstRowFirstColumn="0" w:firstRowLastColumn="0" w:lastRowFirstColumn="0" w:lastRowLastColumn="0"/>
            <w:tcW w:w="4365" w:type="dxa"/>
            <w:tcBorders>
              <w:top w:val="nil"/>
              <w:left w:val="nil"/>
              <w:bottom w:val="single" w:sz="6" w:space="0" w:color="auto"/>
              <w:right w:val="nil"/>
            </w:tcBorders>
          </w:tcPr>
          <w:p w:rsidR="00A46DCA" w:rsidRPr="00A22100" w:rsidRDefault="00A46DCA" w:rsidP="00A26D04">
            <w:pPr>
              <w:keepLines w:val="0"/>
              <w:autoSpaceDE w:val="0"/>
              <w:autoSpaceDN w:val="0"/>
              <w:adjustRightInd w:val="0"/>
              <w:rPr>
                <w:rFonts w:eastAsiaTheme="minorEastAsia" w:cs="Calibri"/>
                <w:color w:val="000000"/>
                <w:szCs w:val="19"/>
                <w:lang w:eastAsia="en-AU"/>
              </w:rPr>
            </w:pPr>
            <w:r w:rsidRPr="00A22100">
              <w:rPr>
                <w:rFonts w:eastAsiaTheme="minorEastAsia" w:cs="Calibri"/>
                <w:color w:val="000000"/>
                <w:szCs w:val="19"/>
                <w:lang w:eastAsia="en-AU"/>
              </w:rPr>
              <w:t xml:space="preserve">Other liabilities (net) </w:t>
            </w:r>
            <w:r w:rsidRPr="00A22100">
              <w:rPr>
                <w:rFonts w:eastAsiaTheme="minorEastAsia" w:cs="Calibri"/>
                <w:color w:val="000000"/>
                <w:szCs w:val="19"/>
                <w:vertAlign w:val="superscript"/>
                <w:lang w:eastAsia="en-AU"/>
              </w:rPr>
              <w:t>(b)</w:t>
            </w:r>
          </w:p>
        </w:tc>
        <w:tc>
          <w:tcPr>
            <w:tcW w:w="850" w:type="dxa"/>
            <w:tcBorders>
              <w:top w:val="nil"/>
              <w:left w:val="nil"/>
              <w:bottom w:val="single" w:sz="6" w:space="0" w:color="auto"/>
              <w:right w:val="nil"/>
            </w:tcBorders>
          </w:tcPr>
          <w:p w:rsidR="00A46DCA" w:rsidRPr="00A2210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A22100">
              <w:rPr>
                <w:rFonts w:eastAsiaTheme="minorEastAsia" w:cs="Calibri"/>
                <w:color w:val="000000"/>
                <w:szCs w:val="20"/>
                <w:lang w:eastAsia="en-AU"/>
              </w:rPr>
              <w:t>14.6</w:t>
            </w:r>
          </w:p>
        </w:tc>
        <w:tc>
          <w:tcPr>
            <w:tcW w:w="850" w:type="dxa"/>
            <w:tcBorders>
              <w:top w:val="nil"/>
              <w:left w:val="nil"/>
              <w:bottom w:val="single" w:sz="6" w:space="0" w:color="auto"/>
              <w:right w:val="nil"/>
            </w:tcBorders>
          </w:tcPr>
          <w:p w:rsidR="00A46DCA" w:rsidRPr="00A2210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A22100">
              <w:rPr>
                <w:rFonts w:eastAsiaTheme="minorEastAsia" w:cs="Calibri"/>
                <w:color w:val="000000"/>
                <w:szCs w:val="20"/>
                <w:lang w:eastAsia="en-AU"/>
              </w:rPr>
              <w:t>16.1</w:t>
            </w:r>
          </w:p>
        </w:tc>
        <w:tc>
          <w:tcPr>
            <w:tcW w:w="850" w:type="dxa"/>
            <w:tcBorders>
              <w:top w:val="nil"/>
              <w:left w:val="nil"/>
              <w:bottom w:val="single" w:sz="6" w:space="0" w:color="auto"/>
              <w:right w:val="nil"/>
            </w:tcBorders>
          </w:tcPr>
          <w:p w:rsidR="00A46DCA" w:rsidRPr="00A2210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A22100">
              <w:rPr>
                <w:rFonts w:eastAsiaTheme="minorEastAsia" w:cs="Calibri"/>
                <w:color w:val="000000"/>
                <w:szCs w:val="20"/>
                <w:lang w:eastAsia="en-AU"/>
              </w:rPr>
              <w:t>15.8</w:t>
            </w:r>
          </w:p>
        </w:tc>
        <w:tc>
          <w:tcPr>
            <w:tcW w:w="850" w:type="dxa"/>
            <w:tcBorders>
              <w:top w:val="nil"/>
              <w:left w:val="nil"/>
              <w:bottom w:val="single" w:sz="6" w:space="0" w:color="auto"/>
              <w:right w:val="nil"/>
            </w:tcBorders>
          </w:tcPr>
          <w:p w:rsidR="00A46DCA" w:rsidRPr="00A2210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A22100">
              <w:rPr>
                <w:rFonts w:eastAsiaTheme="minorEastAsia" w:cs="Calibri"/>
                <w:color w:val="000000"/>
                <w:szCs w:val="20"/>
                <w:lang w:eastAsia="en-AU"/>
              </w:rPr>
              <w:t>14.8</w:t>
            </w:r>
          </w:p>
        </w:tc>
      </w:tr>
      <w:tr w:rsidR="00A46DCA" w:rsidRPr="00A22100" w:rsidTr="00A26D04">
        <w:tc>
          <w:tcPr>
            <w:cnfStyle w:val="001000000000" w:firstRow="0" w:lastRow="0" w:firstColumn="1" w:lastColumn="0" w:oddVBand="0" w:evenVBand="0" w:oddHBand="0" w:evenHBand="0" w:firstRowFirstColumn="0" w:firstRowLastColumn="0" w:lastRowFirstColumn="0" w:lastRowLastColumn="0"/>
            <w:tcW w:w="4365" w:type="dxa"/>
            <w:tcBorders>
              <w:top w:val="single" w:sz="6" w:space="0" w:color="auto"/>
              <w:left w:val="nil"/>
              <w:bottom w:val="single" w:sz="6" w:space="0" w:color="auto"/>
              <w:right w:val="nil"/>
            </w:tcBorders>
          </w:tcPr>
          <w:p w:rsidR="00A46DCA" w:rsidRPr="00A22100" w:rsidRDefault="00A46DCA" w:rsidP="00A26D04">
            <w:pPr>
              <w:keepLines w:val="0"/>
              <w:autoSpaceDE w:val="0"/>
              <w:autoSpaceDN w:val="0"/>
              <w:adjustRightInd w:val="0"/>
              <w:rPr>
                <w:rFonts w:eastAsiaTheme="minorEastAsia" w:cs="Calibri"/>
                <w:b/>
                <w:bCs/>
                <w:color w:val="000000"/>
                <w:szCs w:val="19"/>
                <w:lang w:eastAsia="en-AU"/>
              </w:rPr>
            </w:pPr>
            <w:r w:rsidRPr="00A22100">
              <w:rPr>
                <w:rFonts w:eastAsiaTheme="minorEastAsia" w:cs="Calibri"/>
                <w:b/>
                <w:bCs/>
                <w:color w:val="000000"/>
                <w:szCs w:val="19"/>
                <w:lang w:eastAsia="en-AU"/>
              </w:rPr>
              <w:t xml:space="preserve">Net financial liabilities </w:t>
            </w:r>
            <w:r w:rsidRPr="00A22100">
              <w:rPr>
                <w:rFonts w:eastAsiaTheme="minorEastAsia" w:cs="Calibri"/>
                <w:b/>
                <w:bCs/>
                <w:color w:val="000000"/>
                <w:szCs w:val="19"/>
                <w:vertAlign w:val="superscript"/>
                <w:lang w:eastAsia="en-AU"/>
              </w:rPr>
              <w:t>(c)</w:t>
            </w:r>
          </w:p>
        </w:tc>
        <w:tc>
          <w:tcPr>
            <w:tcW w:w="850" w:type="dxa"/>
            <w:tcBorders>
              <w:top w:val="nil"/>
              <w:left w:val="nil"/>
              <w:bottom w:val="single" w:sz="6" w:space="0" w:color="auto"/>
              <w:right w:val="nil"/>
            </w:tcBorders>
          </w:tcPr>
          <w:p w:rsidR="00A46DCA" w:rsidRPr="00A2210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0"/>
                <w:lang w:eastAsia="en-AU"/>
              </w:rPr>
            </w:pPr>
            <w:r w:rsidRPr="00A22100">
              <w:rPr>
                <w:rFonts w:eastAsiaTheme="minorEastAsia" w:cs="Calibri"/>
                <w:b/>
                <w:bCs/>
                <w:color w:val="000000"/>
                <w:szCs w:val="20"/>
                <w:lang w:eastAsia="en-AU"/>
              </w:rPr>
              <w:t>74.7</w:t>
            </w:r>
          </w:p>
        </w:tc>
        <w:tc>
          <w:tcPr>
            <w:tcW w:w="850" w:type="dxa"/>
            <w:tcBorders>
              <w:top w:val="nil"/>
              <w:left w:val="nil"/>
              <w:bottom w:val="single" w:sz="6" w:space="0" w:color="auto"/>
              <w:right w:val="nil"/>
            </w:tcBorders>
          </w:tcPr>
          <w:p w:rsidR="00A46DCA" w:rsidRPr="00A2210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0"/>
                <w:lang w:eastAsia="en-AU"/>
              </w:rPr>
            </w:pPr>
            <w:r w:rsidRPr="00A22100">
              <w:rPr>
                <w:rFonts w:eastAsiaTheme="minorEastAsia" w:cs="Calibri"/>
                <w:b/>
                <w:bCs/>
                <w:color w:val="000000"/>
                <w:szCs w:val="20"/>
                <w:lang w:eastAsia="en-AU"/>
              </w:rPr>
              <w:t>78.2</w:t>
            </w:r>
          </w:p>
        </w:tc>
        <w:tc>
          <w:tcPr>
            <w:tcW w:w="850" w:type="dxa"/>
            <w:tcBorders>
              <w:top w:val="nil"/>
              <w:left w:val="nil"/>
              <w:bottom w:val="single" w:sz="6" w:space="0" w:color="auto"/>
              <w:right w:val="nil"/>
            </w:tcBorders>
          </w:tcPr>
          <w:p w:rsidR="00A46DCA" w:rsidRPr="00A2210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0"/>
                <w:lang w:eastAsia="en-AU"/>
              </w:rPr>
            </w:pPr>
            <w:r w:rsidRPr="00A22100">
              <w:rPr>
                <w:rFonts w:eastAsiaTheme="minorEastAsia" w:cs="Calibri"/>
                <w:b/>
                <w:bCs/>
                <w:color w:val="000000"/>
                <w:szCs w:val="20"/>
                <w:lang w:eastAsia="en-AU"/>
              </w:rPr>
              <w:t>80.3</w:t>
            </w:r>
          </w:p>
        </w:tc>
        <w:tc>
          <w:tcPr>
            <w:tcW w:w="850" w:type="dxa"/>
            <w:tcBorders>
              <w:top w:val="nil"/>
              <w:left w:val="nil"/>
              <w:bottom w:val="single" w:sz="6" w:space="0" w:color="auto"/>
              <w:right w:val="nil"/>
            </w:tcBorders>
          </w:tcPr>
          <w:p w:rsidR="00A46DCA" w:rsidRPr="00A2210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0"/>
                <w:lang w:eastAsia="en-AU"/>
              </w:rPr>
            </w:pPr>
            <w:r w:rsidRPr="00A22100">
              <w:rPr>
                <w:rFonts w:eastAsiaTheme="minorEastAsia" w:cs="Calibri"/>
                <w:b/>
                <w:bCs/>
                <w:color w:val="000000"/>
                <w:szCs w:val="20"/>
                <w:lang w:eastAsia="en-AU"/>
              </w:rPr>
              <w:t>80.8</w:t>
            </w:r>
          </w:p>
        </w:tc>
      </w:tr>
      <w:tr w:rsidR="00A46DCA" w:rsidRPr="00A22100" w:rsidTr="00A26D04">
        <w:tc>
          <w:tcPr>
            <w:cnfStyle w:val="001000000000" w:firstRow="0" w:lastRow="0" w:firstColumn="1" w:lastColumn="0" w:oddVBand="0" w:evenVBand="0" w:oddHBand="0" w:evenHBand="0" w:firstRowFirstColumn="0" w:firstRowLastColumn="0" w:lastRowFirstColumn="0" w:lastRowLastColumn="0"/>
            <w:tcW w:w="4365" w:type="dxa"/>
            <w:tcBorders>
              <w:top w:val="nil"/>
              <w:left w:val="nil"/>
              <w:bottom w:val="nil"/>
              <w:right w:val="nil"/>
            </w:tcBorders>
          </w:tcPr>
          <w:p w:rsidR="00A46DCA" w:rsidRPr="00A22100" w:rsidRDefault="00A46DCA" w:rsidP="00A26D04">
            <w:pPr>
              <w:keepLines w:val="0"/>
              <w:autoSpaceDE w:val="0"/>
              <w:autoSpaceDN w:val="0"/>
              <w:adjustRightInd w:val="0"/>
              <w:jc w:val="right"/>
              <w:rPr>
                <w:i/>
              </w:rPr>
            </w:pPr>
            <w:r w:rsidRPr="00A22100">
              <w:rPr>
                <w:i/>
              </w:rPr>
              <w:t>(per cent)</w:t>
            </w:r>
          </w:p>
        </w:tc>
        <w:tc>
          <w:tcPr>
            <w:tcW w:w="850" w:type="dxa"/>
          </w:tcPr>
          <w:p w:rsidR="00A46DCA" w:rsidRPr="00A22100" w:rsidRDefault="00A46DCA" w:rsidP="00A26D04">
            <w:pPr>
              <w:jc w:val="center"/>
              <w:cnfStyle w:val="000000000000" w:firstRow="0" w:lastRow="0" w:firstColumn="0" w:lastColumn="0" w:oddVBand="0" w:evenVBand="0" w:oddHBand="0" w:evenHBand="0" w:firstRowFirstColumn="0" w:firstRowLastColumn="0" w:lastRowFirstColumn="0" w:lastRowLastColumn="0"/>
            </w:pPr>
          </w:p>
        </w:tc>
        <w:tc>
          <w:tcPr>
            <w:tcW w:w="850" w:type="dxa"/>
          </w:tcPr>
          <w:p w:rsidR="00A46DCA" w:rsidRPr="00A22100" w:rsidRDefault="00A46DCA" w:rsidP="00A26D04">
            <w:pPr>
              <w:cnfStyle w:val="000000000000" w:firstRow="0" w:lastRow="0" w:firstColumn="0" w:lastColumn="0" w:oddVBand="0" w:evenVBand="0" w:oddHBand="0" w:evenHBand="0" w:firstRowFirstColumn="0" w:firstRowLastColumn="0" w:lastRowFirstColumn="0" w:lastRowLastColumn="0"/>
            </w:pPr>
            <w:r w:rsidRPr="00A22100">
              <w:t xml:space="preserve"> </w:t>
            </w:r>
          </w:p>
        </w:tc>
        <w:tc>
          <w:tcPr>
            <w:tcW w:w="850" w:type="dxa"/>
          </w:tcPr>
          <w:p w:rsidR="00A46DCA" w:rsidRPr="00A22100" w:rsidRDefault="00A46DCA" w:rsidP="00A26D04">
            <w:pPr>
              <w:cnfStyle w:val="000000000000" w:firstRow="0" w:lastRow="0" w:firstColumn="0" w:lastColumn="0" w:oddVBand="0" w:evenVBand="0" w:oddHBand="0" w:evenHBand="0" w:firstRowFirstColumn="0" w:firstRowLastColumn="0" w:lastRowFirstColumn="0" w:lastRowLastColumn="0"/>
            </w:pPr>
            <w:r w:rsidRPr="00A22100">
              <w:t xml:space="preserve"> </w:t>
            </w:r>
          </w:p>
        </w:tc>
        <w:tc>
          <w:tcPr>
            <w:tcW w:w="850" w:type="dxa"/>
          </w:tcPr>
          <w:p w:rsidR="00A46DCA" w:rsidRPr="00A22100" w:rsidRDefault="00A46DCA" w:rsidP="00A26D04">
            <w:pPr>
              <w:cnfStyle w:val="000000000000" w:firstRow="0" w:lastRow="0" w:firstColumn="0" w:lastColumn="0" w:oddVBand="0" w:evenVBand="0" w:oddHBand="0" w:evenHBand="0" w:firstRowFirstColumn="0" w:firstRowLastColumn="0" w:lastRowFirstColumn="0" w:lastRowLastColumn="0"/>
            </w:pPr>
            <w:r w:rsidRPr="00A22100">
              <w:t xml:space="preserve"> </w:t>
            </w:r>
          </w:p>
        </w:tc>
      </w:tr>
      <w:tr w:rsidR="00A46DCA" w:rsidRPr="00A22100" w:rsidTr="00A26D04">
        <w:tc>
          <w:tcPr>
            <w:cnfStyle w:val="001000000000" w:firstRow="0" w:lastRow="0" w:firstColumn="1" w:lastColumn="0" w:oddVBand="0" w:evenVBand="0" w:oddHBand="0" w:evenHBand="0" w:firstRowFirstColumn="0" w:firstRowLastColumn="0" w:lastRowFirstColumn="0" w:lastRowLastColumn="0"/>
            <w:tcW w:w="4365" w:type="dxa"/>
            <w:tcBorders>
              <w:top w:val="nil"/>
              <w:left w:val="nil"/>
              <w:bottom w:val="nil"/>
              <w:right w:val="nil"/>
            </w:tcBorders>
          </w:tcPr>
          <w:p w:rsidR="00A46DCA" w:rsidRPr="00A22100" w:rsidRDefault="00A46DCA" w:rsidP="00A26D04">
            <w:pPr>
              <w:keepLines w:val="0"/>
              <w:autoSpaceDE w:val="0"/>
              <w:autoSpaceDN w:val="0"/>
              <w:adjustRightInd w:val="0"/>
              <w:rPr>
                <w:rFonts w:eastAsiaTheme="minorEastAsia" w:cs="Calibri"/>
                <w:b/>
                <w:bCs/>
                <w:color w:val="000000"/>
                <w:szCs w:val="19"/>
                <w:lang w:eastAsia="en-AU"/>
              </w:rPr>
            </w:pPr>
            <w:r w:rsidRPr="00A22100">
              <w:rPr>
                <w:rFonts w:eastAsiaTheme="minorEastAsia" w:cs="Calibri"/>
                <w:b/>
                <w:bCs/>
                <w:color w:val="000000"/>
                <w:szCs w:val="19"/>
                <w:lang w:eastAsia="en-AU"/>
              </w:rPr>
              <w:t xml:space="preserve">Net debt to GSP </w:t>
            </w:r>
            <w:r w:rsidRPr="00A22100">
              <w:rPr>
                <w:rFonts w:eastAsiaTheme="minorEastAsia" w:cs="Calibri"/>
                <w:b/>
                <w:bCs/>
                <w:color w:val="000000"/>
                <w:szCs w:val="19"/>
                <w:vertAlign w:val="superscript"/>
                <w:lang w:eastAsia="en-AU"/>
              </w:rPr>
              <w:t>(d)</w:t>
            </w:r>
          </w:p>
        </w:tc>
        <w:tc>
          <w:tcPr>
            <w:tcW w:w="850" w:type="dxa"/>
            <w:tcBorders>
              <w:top w:val="nil"/>
              <w:left w:val="nil"/>
              <w:bottom w:val="nil"/>
              <w:right w:val="nil"/>
            </w:tcBorders>
          </w:tcPr>
          <w:p w:rsidR="00A46DCA" w:rsidRPr="00A2210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lang w:eastAsia="en-AU"/>
              </w:rPr>
            </w:pPr>
            <w:r w:rsidRPr="00A22100">
              <w:rPr>
                <w:rFonts w:eastAsiaTheme="minorEastAsia" w:cs="Calibri"/>
                <w:color w:val="000000"/>
                <w:szCs w:val="19"/>
                <w:lang w:eastAsia="en-AU"/>
              </w:rPr>
              <w:t>8.7</w:t>
            </w:r>
          </w:p>
        </w:tc>
        <w:tc>
          <w:tcPr>
            <w:tcW w:w="850" w:type="dxa"/>
            <w:tcBorders>
              <w:top w:val="nil"/>
              <w:left w:val="nil"/>
              <w:bottom w:val="nil"/>
              <w:right w:val="nil"/>
            </w:tcBorders>
          </w:tcPr>
          <w:p w:rsidR="00A46DCA" w:rsidRPr="00A2210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lang w:eastAsia="en-AU"/>
              </w:rPr>
            </w:pPr>
            <w:r w:rsidRPr="00A22100">
              <w:rPr>
                <w:rFonts w:eastAsiaTheme="minorEastAsia" w:cs="Calibri"/>
                <w:color w:val="000000"/>
                <w:szCs w:val="19"/>
                <w:lang w:eastAsia="en-AU"/>
              </w:rPr>
              <w:t>8.9</w:t>
            </w:r>
          </w:p>
        </w:tc>
        <w:tc>
          <w:tcPr>
            <w:tcW w:w="850" w:type="dxa"/>
            <w:tcBorders>
              <w:top w:val="nil"/>
              <w:left w:val="nil"/>
              <w:bottom w:val="nil"/>
              <w:right w:val="nil"/>
            </w:tcBorders>
          </w:tcPr>
          <w:p w:rsidR="00A46DCA" w:rsidRPr="00A2210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lang w:eastAsia="en-AU"/>
              </w:rPr>
            </w:pPr>
            <w:r w:rsidRPr="00A22100">
              <w:rPr>
                <w:rFonts w:eastAsiaTheme="minorEastAsia" w:cs="Calibri"/>
                <w:color w:val="000000"/>
                <w:szCs w:val="19"/>
                <w:lang w:eastAsia="en-AU"/>
              </w:rPr>
              <w:t>9.2</w:t>
            </w:r>
          </w:p>
        </w:tc>
        <w:tc>
          <w:tcPr>
            <w:tcW w:w="850" w:type="dxa"/>
            <w:tcBorders>
              <w:top w:val="nil"/>
              <w:left w:val="nil"/>
              <w:bottom w:val="nil"/>
              <w:right w:val="nil"/>
            </w:tcBorders>
          </w:tcPr>
          <w:p w:rsidR="00A46DCA" w:rsidRPr="00A2210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lang w:eastAsia="en-AU"/>
              </w:rPr>
            </w:pPr>
            <w:r w:rsidRPr="00A22100">
              <w:rPr>
                <w:rFonts w:eastAsiaTheme="minorEastAsia" w:cs="Calibri"/>
                <w:color w:val="000000"/>
                <w:szCs w:val="19"/>
                <w:lang w:eastAsia="en-AU"/>
              </w:rPr>
              <w:t>9.2</w:t>
            </w:r>
          </w:p>
        </w:tc>
      </w:tr>
      <w:tr w:rsidR="00A46DCA" w:rsidRPr="00A22100" w:rsidTr="00A26D04">
        <w:tc>
          <w:tcPr>
            <w:cnfStyle w:val="001000000000" w:firstRow="0" w:lastRow="0" w:firstColumn="1" w:lastColumn="0" w:oddVBand="0" w:evenVBand="0" w:oddHBand="0" w:evenHBand="0" w:firstRowFirstColumn="0" w:firstRowLastColumn="0" w:lastRowFirstColumn="0" w:lastRowLastColumn="0"/>
            <w:tcW w:w="4365" w:type="dxa"/>
            <w:tcBorders>
              <w:top w:val="nil"/>
              <w:left w:val="nil"/>
              <w:bottom w:val="nil"/>
              <w:right w:val="nil"/>
            </w:tcBorders>
          </w:tcPr>
          <w:p w:rsidR="00A46DCA" w:rsidRPr="00A22100" w:rsidRDefault="00A46DCA" w:rsidP="00A26D04">
            <w:pPr>
              <w:keepLines w:val="0"/>
              <w:autoSpaceDE w:val="0"/>
              <w:autoSpaceDN w:val="0"/>
              <w:adjustRightInd w:val="0"/>
              <w:rPr>
                <w:rFonts w:eastAsiaTheme="minorEastAsia" w:cs="Calibri"/>
                <w:b/>
                <w:bCs/>
                <w:color w:val="000000"/>
                <w:szCs w:val="19"/>
                <w:lang w:eastAsia="en-AU"/>
              </w:rPr>
            </w:pPr>
            <w:r w:rsidRPr="00A22100">
              <w:rPr>
                <w:rFonts w:eastAsiaTheme="minorEastAsia" w:cs="Calibri"/>
                <w:b/>
                <w:bCs/>
                <w:color w:val="000000"/>
                <w:szCs w:val="19"/>
                <w:lang w:eastAsia="en-AU"/>
              </w:rPr>
              <w:t xml:space="preserve">Net debt plus superannuation liability to GSP </w:t>
            </w:r>
            <w:r w:rsidRPr="00A22100">
              <w:rPr>
                <w:rFonts w:eastAsiaTheme="minorEastAsia" w:cs="Calibri"/>
                <w:b/>
                <w:bCs/>
                <w:color w:val="000000"/>
                <w:szCs w:val="19"/>
                <w:vertAlign w:val="superscript"/>
                <w:lang w:eastAsia="en-AU"/>
              </w:rPr>
              <w:t>(d)</w:t>
            </w:r>
          </w:p>
        </w:tc>
        <w:tc>
          <w:tcPr>
            <w:tcW w:w="850" w:type="dxa"/>
            <w:tcBorders>
              <w:top w:val="nil"/>
              <w:left w:val="nil"/>
              <w:bottom w:val="nil"/>
              <w:right w:val="nil"/>
            </w:tcBorders>
          </w:tcPr>
          <w:p w:rsidR="00A46DCA" w:rsidRPr="00A2210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lang w:eastAsia="en-AU"/>
              </w:rPr>
            </w:pPr>
            <w:r w:rsidRPr="00A22100">
              <w:rPr>
                <w:rFonts w:eastAsiaTheme="minorEastAsia" w:cs="Calibri"/>
                <w:color w:val="000000"/>
                <w:szCs w:val="19"/>
                <w:lang w:eastAsia="en-AU"/>
              </w:rPr>
              <w:t>14.1</w:t>
            </w:r>
          </w:p>
        </w:tc>
        <w:tc>
          <w:tcPr>
            <w:tcW w:w="850" w:type="dxa"/>
            <w:tcBorders>
              <w:top w:val="nil"/>
              <w:left w:val="nil"/>
              <w:bottom w:val="nil"/>
              <w:right w:val="nil"/>
            </w:tcBorders>
          </w:tcPr>
          <w:p w:rsidR="00A46DCA" w:rsidRPr="00A2210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lang w:eastAsia="en-AU"/>
              </w:rPr>
            </w:pPr>
            <w:r w:rsidRPr="00A22100">
              <w:rPr>
                <w:rFonts w:eastAsiaTheme="minorEastAsia" w:cs="Calibri"/>
                <w:color w:val="000000"/>
                <w:szCs w:val="19"/>
                <w:lang w:eastAsia="en-AU"/>
              </w:rPr>
              <w:t>13.8</w:t>
            </w:r>
          </w:p>
        </w:tc>
        <w:tc>
          <w:tcPr>
            <w:tcW w:w="850" w:type="dxa"/>
            <w:tcBorders>
              <w:top w:val="nil"/>
              <w:left w:val="nil"/>
              <w:bottom w:val="nil"/>
              <w:right w:val="nil"/>
            </w:tcBorders>
          </w:tcPr>
          <w:p w:rsidR="00A46DCA" w:rsidRPr="00A2210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lang w:eastAsia="en-AU"/>
              </w:rPr>
            </w:pPr>
            <w:r w:rsidRPr="00A22100">
              <w:rPr>
                <w:rFonts w:eastAsiaTheme="minorEastAsia" w:cs="Calibri"/>
                <w:color w:val="000000"/>
                <w:szCs w:val="19"/>
                <w:lang w:eastAsia="en-AU"/>
              </w:rPr>
              <w:t>13.7</w:t>
            </w:r>
          </w:p>
        </w:tc>
        <w:tc>
          <w:tcPr>
            <w:tcW w:w="850" w:type="dxa"/>
            <w:tcBorders>
              <w:top w:val="nil"/>
              <w:left w:val="nil"/>
              <w:bottom w:val="nil"/>
              <w:right w:val="nil"/>
            </w:tcBorders>
          </w:tcPr>
          <w:p w:rsidR="00A46DCA" w:rsidRPr="00A2210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lang w:eastAsia="en-AU"/>
              </w:rPr>
            </w:pPr>
            <w:r w:rsidRPr="00A22100">
              <w:rPr>
                <w:rFonts w:eastAsiaTheme="minorEastAsia" w:cs="Calibri"/>
                <w:color w:val="000000"/>
                <w:szCs w:val="19"/>
                <w:lang w:eastAsia="en-AU"/>
              </w:rPr>
              <w:t>13.3</w:t>
            </w:r>
          </w:p>
        </w:tc>
      </w:tr>
      <w:tr w:rsidR="00A46DCA" w:rsidRPr="00A22100" w:rsidTr="00A26D04">
        <w:tc>
          <w:tcPr>
            <w:cnfStyle w:val="001000000000" w:firstRow="0" w:lastRow="0" w:firstColumn="1" w:lastColumn="0" w:oddVBand="0" w:evenVBand="0" w:oddHBand="0" w:evenHBand="0" w:firstRowFirstColumn="0" w:firstRowLastColumn="0" w:lastRowFirstColumn="0" w:lastRowLastColumn="0"/>
            <w:tcW w:w="4365" w:type="dxa"/>
            <w:tcBorders>
              <w:top w:val="nil"/>
              <w:left w:val="nil"/>
              <w:bottom w:val="nil"/>
              <w:right w:val="nil"/>
            </w:tcBorders>
          </w:tcPr>
          <w:p w:rsidR="00A46DCA" w:rsidRPr="00A22100" w:rsidRDefault="00A46DCA" w:rsidP="00A26D04">
            <w:pPr>
              <w:keepLines w:val="0"/>
              <w:autoSpaceDE w:val="0"/>
              <w:autoSpaceDN w:val="0"/>
              <w:adjustRightInd w:val="0"/>
              <w:rPr>
                <w:rFonts w:eastAsiaTheme="minorEastAsia" w:cs="Calibri"/>
                <w:b/>
                <w:bCs/>
                <w:color w:val="000000"/>
                <w:szCs w:val="19"/>
                <w:lang w:eastAsia="en-AU"/>
              </w:rPr>
            </w:pPr>
            <w:r w:rsidRPr="00A22100">
              <w:rPr>
                <w:rFonts w:eastAsiaTheme="minorEastAsia" w:cs="Calibri"/>
                <w:b/>
                <w:bCs/>
                <w:color w:val="000000"/>
                <w:szCs w:val="19"/>
                <w:lang w:eastAsia="en-AU"/>
              </w:rPr>
              <w:t xml:space="preserve">Net financial liabilities to GSP </w:t>
            </w:r>
            <w:r w:rsidRPr="00A22100">
              <w:rPr>
                <w:rFonts w:eastAsiaTheme="minorEastAsia" w:cs="Calibri"/>
                <w:b/>
                <w:bCs/>
                <w:color w:val="000000"/>
                <w:szCs w:val="19"/>
                <w:vertAlign w:val="superscript"/>
                <w:lang w:eastAsia="en-AU"/>
              </w:rPr>
              <w:t>(d)</w:t>
            </w:r>
          </w:p>
        </w:tc>
        <w:tc>
          <w:tcPr>
            <w:tcW w:w="850" w:type="dxa"/>
            <w:tcBorders>
              <w:top w:val="nil"/>
              <w:left w:val="nil"/>
              <w:bottom w:val="nil"/>
              <w:right w:val="nil"/>
            </w:tcBorders>
          </w:tcPr>
          <w:p w:rsidR="00A46DCA" w:rsidRPr="00A2210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lang w:eastAsia="en-AU"/>
              </w:rPr>
            </w:pPr>
            <w:r w:rsidRPr="00A22100">
              <w:rPr>
                <w:rFonts w:eastAsiaTheme="minorEastAsia" w:cs="Calibri"/>
                <w:color w:val="000000"/>
                <w:szCs w:val="19"/>
                <w:lang w:eastAsia="en-AU"/>
              </w:rPr>
              <w:t>17.5</w:t>
            </w:r>
          </w:p>
        </w:tc>
        <w:tc>
          <w:tcPr>
            <w:tcW w:w="850" w:type="dxa"/>
            <w:tcBorders>
              <w:top w:val="nil"/>
              <w:left w:val="nil"/>
              <w:bottom w:val="nil"/>
              <w:right w:val="nil"/>
            </w:tcBorders>
          </w:tcPr>
          <w:p w:rsidR="00A46DCA" w:rsidRPr="00A2210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lang w:eastAsia="en-AU"/>
              </w:rPr>
            </w:pPr>
            <w:r w:rsidRPr="00A22100">
              <w:rPr>
                <w:rFonts w:eastAsiaTheme="minorEastAsia" w:cs="Calibri"/>
                <w:color w:val="000000"/>
                <w:szCs w:val="19"/>
                <w:lang w:eastAsia="en-AU"/>
              </w:rPr>
              <w:t>17.4</w:t>
            </w:r>
          </w:p>
        </w:tc>
        <w:tc>
          <w:tcPr>
            <w:tcW w:w="850" w:type="dxa"/>
            <w:tcBorders>
              <w:top w:val="nil"/>
              <w:left w:val="nil"/>
              <w:bottom w:val="nil"/>
              <w:right w:val="nil"/>
            </w:tcBorders>
          </w:tcPr>
          <w:p w:rsidR="00A46DCA" w:rsidRPr="00A2210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lang w:eastAsia="en-AU"/>
              </w:rPr>
            </w:pPr>
            <w:r w:rsidRPr="00A22100">
              <w:rPr>
                <w:rFonts w:eastAsiaTheme="minorEastAsia" w:cs="Calibri"/>
                <w:color w:val="000000"/>
                <w:szCs w:val="19"/>
                <w:lang w:eastAsia="en-AU"/>
              </w:rPr>
              <w:t>17.0</w:t>
            </w:r>
          </w:p>
        </w:tc>
        <w:tc>
          <w:tcPr>
            <w:tcW w:w="850" w:type="dxa"/>
            <w:tcBorders>
              <w:top w:val="nil"/>
              <w:left w:val="nil"/>
              <w:bottom w:val="nil"/>
              <w:right w:val="nil"/>
            </w:tcBorders>
          </w:tcPr>
          <w:p w:rsidR="00A46DCA" w:rsidRPr="00A2210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lang w:eastAsia="en-AU"/>
              </w:rPr>
            </w:pPr>
            <w:r w:rsidRPr="00A22100">
              <w:rPr>
                <w:rFonts w:eastAsiaTheme="minorEastAsia" w:cs="Calibri"/>
                <w:color w:val="000000"/>
                <w:szCs w:val="19"/>
                <w:lang w:eastAsia="en-AU"/>
              </w:rPr>
              <w:t>16.3</w:t>
            </w:r>
          </w:p>
        </w:tc>
      </w:tr>
      <w:tr w:rsidR="00A46DCA" w:rsidRPr="00A22100" w:rsidTr="00A26D04">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5" w:type="dxa"/>
            <w:tcBorders>
              <w:top w:val="nil"/>
              <w:bottom w:val="single" w:sz="12" w:space="0" w:color="auto"/>
            </w:tcBorders>
          </w:tcPr>
          <w:p w:rsidR="00A46DCA" w:rsidRPr="00A22100" w:rsidRDefault="00A46DCA" w:rsidP="00A26D04">
            <w:pPr>
              <w:keepLines w:val="0"/>
              <w:autoSpaceDE w:val="0"/>
              <w:autoSpaceDN w:val="0"/>
              <w:adjustRightInd w:val="0"/>
              <w:rPr>
                <w:rFonts w:eastAsiaTheme="minorEastAsia" w:cs="Calibri"/>
                <w:b w:val="0"/>
                <w:bCs/>
                <w:color w:val="000000"/>
                <w:szCs w:val="19"/>
                <w:lang w:eastAsia="en-AU"/>
              </w:rPr>
            </w:pPr>
            <w:r w:rsidRPr="00A22100">
              <w:rPr>
                <w:rFonts w:eastAsiaTheme="minorEastAsia" w:cs="Calibri"/>
                <w:bCs/>
                <w:color w:val="000000"/>
                <w:szCs w:val="19"/>
                <w:lang w:eastAsia="en-AU"/>
              </w:rPr>
              <w:t xml:space="preserve">Net debt plus superannuation liability to revenue </w:t>
            </w:r>
            <w:r w:rsidRPr="00A22100">
              <w:rPr>
                <w:rFonts w:eastAsiaTheme="minorEastAsia" w:cs="Calibri"/>
                <w:bCs/>
                <w:color w:val="000000"/>
                <w:szCs w:val="19"/>
                <w:vertAlign w:val="superscript"/>
                <w:lang w:eastAsia="en-AU"/>
              </w:rPr>
              <w:t>(e)</w:t>
            </w:r>
          </w:p>
        </w:tc>
        <w:tc>
          <w:tcPr>
            <w:tcW w:w="850" w:type="dxa"/>
            <w:tcBorders>
              <w:top w:val="nil"/>
              <w:bottom w:val="single" w:sz="12" w:space="0" w:color="auto"/>
            </w:tcBorders>
          </w:tcPr>
          <w:p w:rsidR="00A46DCA" w:rsidRPr="00A22100" w:rsidRDefault="00A46DCA" w:rsidP="00A26D0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color w:val="000000"/>
                <w:szCs w:val="19"/>
                <w:lang w:eastAsia="en-AU"/>
              </w:rPr>
            </w:pPr>
            <w:r w:rsidRPr="00A22100">
              <w:rPr>
                <w:rFonts w:eastAsiaTheme="minorEastAsia" w:cs="Calibri"/>
                <w:color w:val="000000"/>
                <w:szCs w:val="19"/>
                <w:lang w:eastAsia="en-AU"/>
              </w:rPr>
              <w:t>88.9</w:t>
            </w:r>
          </w:p>
        </w:tc>
        <w:tc>
          <w:tcPr>
            <w:tcW w:w="850" w:type="dxa"/>
            <w:tcBorders>
              <w:top w:val="nil"/>
              <w:bottom w:val="single" w:sz="12" w:space="0" w:color="auto"/>
            </w:tcBorders>
          </w:tcPr>
          <w:p w:rsidR="00A46DCA" w:rsidRPr="00A22100" w:rsidRDefault="00A46DCA" w:rsidP="00A26D0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color w:val="000000"/>
                <w:szCs w:val="19"/>
                <w:lang w:eastAsia="en-AU"/>
              </w:rPr>
            </w:pPr>
            <w:r w:rsidRPr="00A22100">
              <w:rPr>
                <w:rFonts w:eastAsiaTheme="minorEastAsia" w:cs="Calibri"/>
                <w:color w:val="000000"/>
                <w:szCs w:val="19"/>
                <w:lang w:eastAsia="en-AU"/>
              </w:rPr>
              <w:t>87.4</w:t>
            </w:r>
          </w:p>
        </w:tc>
        <w:tc>
          <w:tcPr>
            <w:tcW w:w="850" w:type="dxa"/>
            <w:tcBorders>
              <w:top w:val="nil"/>
              <w:bottom w:val="single" w:sz="12" w:space="0" w:color="auto"/>
            </w:tcBorders>
          </w:tcPr>
          <w:p w:rsidR="00A46DCA" w:rsidRPr="00A22100" w:rsidRDefault="00A46DCA" w:rsidP="00A26D0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color w:val="000000"/>
                <w:szCs w:val="19"/>
                <w:lang w:eastAsia="en-AU"/>
              </w:rPr>
            </w:pPr>
            <w:r w:rsidRPr="00A22100">
              <w:rPr>
                <w:rFonts w:eastAsiaTheme="minorEastAsia" w:cs="Calibri"/>
                <w:color w:val="000000"/>
                <w:szCs w:val="19"/>
                <w:lang w:eastAsia="en-AU"/>
              </w:rPr>
              <w:t>88.9</w:t>
            </w:r>
          </w:p>
        </w:tc>
        <w:tc>
          <w:tcPr>
            <w:tcW w:w="850" w:type="dxa"/>
            <w:tcBorders>
              <w:top w:val="nil"/>
              <w:bottom w:val="single" w:sz="12" w:space="0" w:color="auto"/>
            </w:tcBorders>
          </w:tcPr>
          <w:p w:rsidR="00A46DCA" w:rsidRPr="00A22100" w:rsidRDefault="00A46DCA" w:rsidP="00A26D0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color w:val="000000"/>
                <w:szCs w:val="19"/>
                <w:lang w:eastAsia="en-AU"/>
              </w:rPr>
            </w:pPr>
            <w:r w:rsidRPr="00A22100">
              <w:rPr>
                <w:rFonts w:eastAsiaTheme="minorEastAsia" w:cs="Calibri"/>
                <w:color w:val="000000"/>
                <w:szCs w:val="19"/>
                <w:lang w:eastAsia="en-AU"/>
              </w:rPr>
              <w:t>87.2</w:t>
            </w:r>
          </w:p>
        </w:tc>
      </w:tr>
    </w:tbl>
    <w:p w:rsidR="00A46DCA" w:rsidRDefault="00A46DCA" w:rsidP="00A26D04">
      <w:pPr>
        <w:pStyle w:val="Source"/>
      </w:pPr>
      <w:r>
        <w:t>Source: Department of Treasury and Finance</w:t>
      </w:r>
    </w:p>
    <w:p w:rsidR="00A46DCA" w:rsidRDefault="00A46DCA" w:rsidP="00A26D04">
      <w:pPr>
        <w:pStyle w:val="Note"/>
      </w:pPr>
      <w:r>
        <w:t>Notes:</w:t>
      </w:r>
    </w:p>
    <w:p w:rsidR="00A46DCA" w:rsidRDefault="00A46DCA" w:rsidP="00A26D04">
      <w:pPr>
        <w:pStyle w:val="Note"/>
      </w:pPr>
      <w:r>
        <w:t>(a)</w:t>
      </w:r>
      <w:r>
        <w:tab/>
        <w:t>Net debt is the sum of deposits held, advances received and borrowings less the sum of cash, advances paid and investments, loans and placements.</w:t>
      </w:r>
    </w:p>
    <w:p w:rsidR="00A46DCA" w:rsidRDefault="00A46DCA" w:rsidP="00A26D04">
      <w:pPr>
        <w:pStyle w:val="Note"/>
      </w:pPr>
      <w:r>
        <w:t>(b)</w:t>
      </w:r>
      <w:r>
        <w:tab/>
        <w:t xml:space="preserve">Includes other benefits and provisions, payables and other liabilities less other </w:t>
      </w:r>
      <w:r w:rsidRPr="006A7C8A">
        <w:t>non</w:t>
      </w:r>
      <w:r w:rsidRPr="006A7C8A">
        <w:noBreakHyphen/>
      </w:r>
      <w:r>
        <w:t>equity financial assets.</w:t>
      </w:r>
    </w:p>
    <w:p w:rsidR="00A46DCA" w:rsidRDefault="00A46DCA" w:rsidP="00A26D04">
      <w:pPr>
        <w:pStyle w:val="Note"/>
      </w:pPr>
      <w:r>
        <w:t>(c)</w:t>
      </w:r>
      <w:r>
        <w:tab/>
        <w:t xml:space="preserve">Net financial liabilities is the sum of superannuation, borrowings and other net financial liabilities less </w:t>
      </w:r>
      <w:r w:rsidRPr="006A7C8A">
        <w:t>non</w:t>
      </w:r>
      <w:r w:rsidRPr="006A7C8A">
        <w:noBreakHyphen/>
      </w:r>
      <w:r>
        <w:t>equity financial assets.</w:t>
      </w:r>
    </w:p>
    <w:p w:rsidR="00A46DCA" w:rsidRDefault="00A46DCA" w:rsidP="00A26D04">
      <w:pPr>
        <w:pStyle w:val="Note"/>
      </w:pPr>
      <w:r>
        <w:t>(d)</w:t>
      </w:r>
      <w:r>
        <w:tab/>
        <w:t>Ratios to GSP may vary from publications year to year due to revisions made by the Australian Bureau of Statistics to its published GSP data.</w:t>
      </w:r>
    </w:p>
    <w:p w:rsidR="00A46DCA" w:rsidRDefault="00A46DCA" w:rsidP="00A26D04">
      <w:pPr>
        <w:pStyle w:val="Note"/>
      </w:pPr>
      <w:r>
        <w:t xml:space="preserve">(e) </w:t>
      </w:r>
      <w:r>
        <w:tab/>
        <w:t>The sum of NFP sector net debt plus the superannuation liability as a proportion of NFP sector total operating revenue.</w:t>
      </w:r>
    </w:p>
    <w:p w:rsidR="00A46DCA" w:rsidRDefault="00A46DCA" w:rsidP="00A26D04"/>
    <w:p w:rsidR="00A46DCA" w:rsidRDefault="00A46DCA" w:rsidP="00A26D04">
      <w:r>
        <w:t>NFP sector net debt is projected to increase to $45.9</w:t>
      </w:r>
      <w:r w:rsidRPr="006A7C8A">
        <w:t> billion</w:t>
      </w:r>
      <w:r>
        <w:t xml:space="preserve"> by 2020-21 following the Government’s substantial and ongoing investment in infrastructure projects over the forward estimates. The projected NFP sector net debt to GSP ratio will increase from 8.7</w:t>
      </w:r>
      <w:r w:rsidRPr="006A7C8A">
        <w:t> per cent</w:t>
      </w:r>
      <w:r>
        <w:t xml:space="preserve"> in </w:t>
      </w:r>
      <w:r w:rsidRPr="006A7C8A">
        <w:t>2017</w:t>
      </w:r>
      <w:r w:rsidRPr="006A7C8A">
        <w:noBreakHyphen/>
        <w:t>18</w:t>
      </w:r>
      <w:r>
        <w:t xml:space="preserve"> to 9.2</w:t>
      </w:r>
      <w:r w:rsidRPr="006A7C8A">
        <w:t> per cent</w:t>
      </w:r>
      <w:r>
        <w:t xml:space="preserve"> in 2020-21 predominantly driven by the general government sector.</w:t>
      </w:r>
    </w:p>
    <w:p w:rsidR="00A46DCA" w:rsidRDefault="00A46DCA" w:rsidP="00A26D04">
      <w:r>
        <w:t>Table 3.9 provides projections of several additional indicators of financial sustainability for the NFP sector.</w:t>
      </w:r>
    </w:p>
    <w:p w:rsidR="00A46DCA" w:rsidRDefault="00A46DCA" w:rsidP="00A26D04">
      <w:r>
        <w:lastRenderedPageBreak/>
        <w:t xml:space="preserve">The ratio of operating cash flow to revenue is a measure of the relative size of the operating result and therefore provides a measure of operating performance. This ratio remains broadly flat over the forward estimates. Improving operating cash flow surpluses over the forward estimates are supported by improving revenue leading to a relatively flat projection for this ratio, which increase from 7.2 per cent in </w:t>
      </w:r>
      <w:r w:rsidRPr="006A7C8A">
        <w:t>201</w:t>
      </w:r>
      <w:r>
        <w:t>7</w:t>
      </w:r>
      <w:r>
        <w:noBreakHyphen/>
        <w:t>18 to 8.3 per cent in 2020-21.</w:t>
      </w:r>
    </w:p>
    <w:p w:rsidR="00A46DCA" w:rsidRDefault="00A46DCA" w:rsidP="00A26D04">
      <w:r>
        <w:t>The ratio of NFP sector’s interest expense to revenue is a measure of the State’s debt service burden. This ratio is expected to be 4.0</w:t>
      </w:r>
      <w:r w:rsidRPr="006A7C8A">
        <w:t> per cent</w:t>
      </w:r>
      <w:r>
        <w:t xml:space="preserve"> in </w:t>
      </w:r>
      <w:r w:rsidRPr="006A7C8A">
        <w:t>2017</w:t>
      </w:r>
      <w:r w:rsidRPr="006A7C8A">
        <w:noBreakHyphen/>
        <w:t>18</w:t>
      </w:r>
      <w:r>
        <w:t xml:space="preserve"> and remain stable over the forward estimates. This is due to higher interest costs from rising debt levels being offset by increasing revenues. The overall debt burden is evidenced by the ratio of gross debt to revenue, which is estimated to be 70.1</w:t>
      </w:r>
      <w:r w:rsidRPr="006A7C8A">
        <w:t> per cent</w:t>
      </w:r>
      <w:r>
        <w:t xml:space="preserve"> in </w:t>
      </w:r>
      <w:r w:rsidRPr="006A7C8A">
        <w:t>2017</w:t>
      </w:r>
      <w:r w:rsidRPr="006A7C8A">
        <w:noBreakHyphen/>
        <w:t>18</w:t>
      </w:r>
      <w:r>
        <w:t xml:space="preserve">, increasing to 75.3 per </w:t>
      </w:r>
      <w:r w:rsidRPr="006A7C8A">
        <w:t>cent</w:t>
      </w:r>
      <w:r>
        <w:t xml:space="preserve"> by 2020</w:t>
      </w:r>
      <w:r>
        <w:noBreakHyphen/>
        <w:t xml:space="preserve">21. </w:t>
      </w:r>
    </w:p>
    <w:p w:rsidR="00A46DCA" w:rsidRPr="00030844" w:rsidRDefault="00A46DCA" w:rsidP="00A26D04">
      <w:pPr>
        <w:pStyle w:val="TableHeading"/>
        <w:rPr>
          <w:bCs/>
          <w:lang w:val="en-US"/>
        </w:rPr>
      </w:pPr>
      <w:r>
        <w:t>Table 3.9:</w:t>
      </w:r>
      <w:r>
        <w:tab/>
        <w:t xml:space="preserve">Indicators of financial sustainability of </w:t>
      </w:r>
      <w:r w:rsidRPr="006A7C8A">
        <w:t>non</w:t>
      </w:r>
      <w:r w:rsidRPr="006A7C8A">
        <w:noBreakHyphen/>
      </w:r>
      <w:r>
        <w:t>financial public sector</w:t>
      </w:r>
      <w:r>
        <w:tab/>
        <w:t>(per cent)</w:t>
      </w:r>
    </w:p>
    <w:tbl>
      <w:tblPr>
        <w:tblStyle w:val="DTFTable"/>
        <w:tblW w:w="7765" w:type="dxa"/>
        <w:tblInd w:w="45" w:type="dxa"/>
        <w:tblLayout w:type="fixed"/>
        <w:tblCellMar>
          <w:left w:w="45" w:type="dxa"/>
          <w:right w:w="45" w:type="dxa"/>
        </w:tblCellMar>
        <w:tblLook w:val="06A0" w:firstRow="1" w:lastRow="0" w:firstColumn="1" w:lastColumn="0" w:noHBand="1" w:noVBand="1"/>
      </w:tblPr>
      <w:tblGrid>
        <w:gridCol w:w="4365"/>
        <w:gridCol w:w="850"/>
        <w:gridCol w:w="850"/>
        <w:gridCol w:w="850"/>
        <w:gridCol w:w="850"/>
      </w:tblGrid>
      <w:tr w:rsidR="00A26D04" w:rsidRPr="00030844" w:rsidTr="007A7C8C">
        <w:trPr>
          <w:cnfStyle w:val="100000000000" w:firstRow="1" w:lastRow="0" w:firstColumn="0" w:lastColumn="0" w:oddVBand="0" w:evenVBand="0" w:oddHBand="0" w:evenHBand="0" w:firstRowFirstColumn="0" w:firstRowLastColumn="0" w:lastRowFirstColumn="0" w:lastRowLastColumn="0"/>
          <w:trHeight w:val="48"/>
        </w:trPr>
        <w:tc>
          <w:tcPr>
            <w:cnfStyle w:val="001000000000" w:firstRow="0" w:lastRow="0" w:firstColumn="1" w:lastColumn="0" w:oddVBand="0" w:evenVBand="0" w:oddHBand="0" w:evenHBand="0" w:firstRowFirstColumn="0" w:firstRowLastColumn="0" w:lastRowFirstColumn="0" w:lastRowLastColumn="0"/>
            <w:tcW w:w="4365" w:type="dxa"/>
            <w:tcBorders>
              <w:top w:val="single" w:sz="6" w:space="0" w:color="auto"/>
              <w:left w:val="single" w:sz="6" w:space="0" w:color="auto"/>
              <w:right w:val="nil"/>
            </w:tcBorders>
            <w:shd w:val="solid" w:color="000000" w:fill="auto"/>
          </w:tcPr>
          <w:p w:rsidR="00A26D04" w:rsidRPr="00030844" w:rsidRDefault="00A26D04" w:rsidP="00A26D04">
            <w:pPr>
              <w:autoSpaceDE w:val="0"/>
              <w:autoSpaceDN w:val="0"/>
              <w:adjustRightInd w:val="0"/>
              <w:rPr>
                <w:rFonts w:eastAsiaTheme="minorEastAsia" w:cs="Calibri"/>
                <w:iCs/>
                <w:color w:val="FFFFFF"/>
                <w:szCs w:val="19"/>
                <w:lang w:eastAsia="en-AU"/>
              </w:rPr>
            </w:pPr>
            <w:r w:rsidRPr="00030844">
              <w:rPr>
                <w:rFonts w:eastAsiaTheme="minorEastAsia" w:cs="Calibri"/>
                <w:iCs/>
                <w:color w:val="FFFFFF"/>
                <w:szCs w:val="19"/>
                <w:lang w:eastAsia="en-AU"/>
              </w:rPr>
              <w:t xml:space="preserve">  </w:t>
            </w:r>
          </w:p>
        </w:tc>
        <w:tc>
          <w:tcPr>
            <w:tcW w:w="850" w:type="dxa"/>
            <w:tcBorders>
              <w:top w:val="single" w:sz="6" w:space="0" w:color="auto"/>
              <w:left w:val="nil"/>
              <w:right w:val="nil"/>
            </w:tcBorders>
            <w:shd w:val="solid" w:color="000000" w:fill="auto"/>
          </w:tcPr>
          <w:p w:rsidR="00A26D04" w:rsidRPr="00030844" w:rsidRDefault="00A26D04" w:rsidP="00A26D0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9"/>
                <w:lang w:eastAsia="en-AU"/>
              </w:rPr>
            </w:pPr>
            <w:r w:rsidRPr="00030844">
              <w:rPr>
                <w:rFonts w:eastAsiaTheme="minorEastAsia" w:cs="Calibri"/>
                <w:iCs/>
                <w:color w:val="FFFFFF"/>
                <w:szCs w:val="19"/>
                <w:lang w:eastAsia="en-AU"/>
              </w:rPr>
              <w:t>2017-18</w:t>
            </w:r>
            <w:r>
              <w:rPr>
                <w:rFonts w:eastAsiaTheme="minorEastAsia" w:cs="Calibri"/>
                <w:iCs/>
                <w:color w:val="FFFFFF"/>
                <w:szCs w:val="19"/>
                <w:lang w:eastAsia="en-AU"/>
              </w:rPr>
              <w:br/>
            </w:r>
            <w:r w:rsidRPr="00030844">
              <w:rPr>
                <w:rFonts w:eastAsiaTheme="minorEastAsia" w:cs="Calibri"/>
                <w:iCs/>
                <w:color w:val="FFFFFF"/>
                <w:szCs w:val="19"/>
                <w:lang w:eastAsia="en-AU"/>
              </w:rPr>
              <w:t>revised</w:t>
            </w:r>
          </w:p>
        </w:tc>
        <w:tc>
          <w:tcPr>
            <w:tcW w:w="850" w:type="dxa"/>
            <w:tcBorders>
              <w:top w:val="single" w:sz="6" w:space="0" w:color="auto"/>
              <w:left w:val="nil"/>
              <w:right w:val="nil"/>
            </w:tcBorders>
            <w:shd w:val="solid" w:color="000000" w:fill="auto"/>
          </w:tcPr>
          <w:p w:rsidR="00A26D04" w:rsidRPr="00030844" w:rsidRDefault="00A26D04" w:rsidP="00A26D0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9"/>
                <w:lang w:eastAsia="en-AU"/>
              </w:rPr>
            </w:pPr>
            <w:r w:rsidRPr="00030844">
              <w:rPr>
                <w:rFonts w:eastAsiaTheme="minorEastAsia" w:cs="Calibri"/>
                <w:iCs/>
                <w:color w:val="FFFFFF"/>
                <w:szCs w:val="19"/>
                <w:lang w:eastAsia="en-AU"/>
              </w:rPr>
              <w:t>2018-19</w:t>
            </w:r>
            <w:r>
              <w:rPr>
                <w:rFonts w:eastAsiaTheme="minorEastAsia" w:cs="Calibri"/>
                <w:iCs/>
                <w:color w:val="FFFFFF"/>
                <w:szCs w:val="19"/>
                <w:lang w:eastAsia="en-AU"/>
              </w:rPr>
              <w:br/>
            </w:r>
            <w:r w:rsidRPr="00030844">
              <w:rPr>
                <w:rFonts w:eastAsiaTheme="minorEastAsia" w:cs="Calibri"/>
                <w:iCs/>
                <w:color w:val="FFFFFF"/>
                <w:szCs w:val="19"/>
                <w:lang w:eastAsia="en-AU"/>
              </w:rPr>
              <w:t>estimate</w:t>
            </w:r>
          </w:p>
        </w:tc>
        <w:tc>
          <w:tcPr>
            <w:tcW w:w="850" w:type="dxa"/>
            <w:tcBorders>
              <w:top w:val="single" w:sz="6" w:space="0" w:color="auto"/>
              <w:left w:val="nil"/>
              <w:right w:val="nil"/>
            </w:tcBorders>
            <w:shd w:val="solid" w:color="000000" w:fill="auto"/>
          </w:tcPr>
          <w:p w:rsidR="00A26D04" w:rsidRPr="00030844" w:rsidRDefault="00A26D04" w:rsidP="00A26D0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9"/>
                <w:lang w:eastAsia="en-AU"/>
              </w:rPr>
            </w:pPr>
            <w:r w:rsidRPr="00030844">
              <w:rPr>
                <w:rFonts w:eastAsiaTheme="minorEastAsia" w:cs="Calibri"/>
                <w:iCs/>
                <w:color w:val="FFFFFF"/>
                <w:szCs w:val="19"/>
                <w:lang w:eastAsia="en-AU"/>
              </w:rPr>
              <w:t>2019-20</w:t>
            </w:r>
            <w:r>
              <w:rPr>
                <w:rFonts w:eastAsiaTheme="minorEastAsia" w:cs="Calibri"/>
                <w:iCs/>
                <w:color w:val="FFFFFF"/>
                <w:szCs w:val="19"/>
                <w:lang w:eastAsia="en-AU"/>
              </w:rPr>
              <w:br/>
            </w:r>
            <w:r w:rsidRPr="00030844">
              <w:rPr>
                <w:rFonts w:eastAsiaTheme="minorEastAsia" w:cs="Calibri"/>
                <w:iCs/>
                <w:color w:val="FFFFFF"/>
                <w:szCs w:val="19"/>
                <w:lang w:eastAsia="en-AU"/>
              </w:rPr>
              <w:t>estimate</w:t>
            </w:r>
          </w:p>
        </w:tc>
        <w:tc>
          <w:tcPr>
            <w:tcW w:w="850" w:type="dxa"/>
            <w:tcBorders>
              <w:top w:val="single" w:sz="6" w:space="0" w:color="auto"/>
              <w:left w:val="nil"/>
              <w:right w:val="nil"/>
            </w:tcBorders>
            <w:shd w:val="solid" w:color="000000" w:fill="auto"/>
          </w:tcPr>
          <w:p w:rsidR="00A26D04" w:rsidRPr="00030844" w:rsidRDefault="00A26D04" w:rsidP="00A26D0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9"/>
                <w:lang w:eastAsia="en-AU"/>
              </w:rPr>
            </w:pPr>
            <w:r w:rsidRPr="00030844">
              <w:rPr>
                <w:rFonts w:eastAsiaTheme="minorEastAsia" w:cs="Calibri"/>
                <w:iCs/>
                <w:color w:val="FFFFFF"/>
                <w:szCs w:val="19"/>
                <w:lang w:eastAsia="en-AU"/>
              </w:rPr>
              <w:t>2020-21</w:t>
            </w:r>
            <w:r>
              <w:rPr>
                <w:rFonts w:eastAsiaTheme="minorEastAsia" w:cs="Calibri"/>
                <w:iCs/>
                <w:color w:val="FFFFFF"/>
                <w:szCs w:val="19"/>
                <w:lang w:eastAsia="en-AU"/>
              </w:rPr>
              <w:br/>
            </w:r>
            <w:r w:rsidRPr="00030844">
              <w:rPr>
                <w:rFonts w:eastAsiaTheme="minorEastAsia" w:cs="Calibri"/>
                <w:iCs/>
                <w:color w:val="FFFFFF"/>
                <w:szCs w:val="19"/>
                <w:lang w:eastAsia="en-AU"/>
              </w:rPr>
              <w:t>estimate</w:t>
            </w:r>
          </w:p>
        </w:tc>
      </w:tr>
      <w:tr w:rsidR="00A46DCA" w:rsidRPr="00030844" w:rsidTr="00A26D04">
        <w:tc>
          <w:tcPr>
            <w:cnfStyle w:val="001000000000" w:firstRow="0" w:lastRow="0" w:firstColumn="1" w:lastColumn="0" w:oddVBand="0" w:evenVBand="0" w:oddHBand="0" w:evenHBand="0" w:firstRowFirstColumn="0" w:firstRowLastColumn="0" w:lastRowFirstColumn="0" w:lastRowLastColumn="0"/>
            <w:tcW w:w="4365" w:type="dxa"/>
            <w:tcBorders>
              <w:top w:val="nil"/>
              <w:left w:val="nil"/>
              <w:bottom w:val="nil"/>
              <w:right w:val="nil"/>
            </w:tcBorders>
          </w:tcPr>
          <w:p w:rsidR="00A46DCA" w:rsidRPr="00030844" w:rsidRDefault="00A46DCA" w:rsidP="00A26D04">
            <w:pPr>
              <w:keepLines w:val="0"/>
              <w:autoSpaceDE w:val="0"/>
              <w:autoSpaceDN w:val="0"/>
              <w:adjustRightInd w:val="0"/>
              <w:rPr>
                <w:rFonts w:eastAsiaTheme="minorEastAsia" w:cs="Calibri"/>
                <w:color w:val="000000"/>
                <w:szCs w:val="19"/>
                <w:lang w:eastAsia="en-AU"/>
              </w:rPr>
            </w:pPr>
            <w:r w:rsidRPr="00030844">
              <w:rPr>
                <w:rFonts w:eastAsiaTheme="minorEastAsia" w:cs="Calibri"/>
                <w:color w:val="000000"/>
                <w:szCs w:val="19"/>
                <w:lang w:eastAsia="en-AU"/>
              </w:rPr>
              <w:t>Operating cash flow surplus to revenue</w:t>
            </w:r>
          </w:p>
        </w:tc>
        <w:tc>
          <w:tcPr>
            <w:tcW w:w="850" w:type="dxa"/>
            <w:tcBorders>
              <w:top w:val="nil"/>
              <w:left w:val="nil"/>
              <w:bottom w:val="nil"/>
              <w:right w:val="nil"/>
            </w:tcBorders>
          </w:tcPr>
          <w:p w:rsidR="00A46DCA" w:rsidRPr="00030844"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lang w:eastAsia="en-AU"/>
              </w:rPr>
            </w:pPr>
            <w:r w:rsidRPr="00030844">
              <w:rPr>
                <w:rFonts w:eastAsiaTheme="minorEastAsia" w:cs="Calibri"/>
                <w:color w:val="000000"/>
                <w:szCs w:val="19"/>
                <w:lang w:eastAsia="en-AU"/>
              </w:rPr>
              <w:t>7.2</w:t>
            </w:r>
          </w:p>
        </w:tc>
        <w:tc>
          <w:tcPr>
            <w:tcW w:w="850" w:type="dxa"/>
            <w:tcBorders>
              <w:top w:val="nil"/>
              <w:left w:val="nil"/>
              <w:bottom w:val="nil"/>
              <w:right w:val="nil"/>
            </w:tcBorders>
          </w:tcPr>
          <w:p w:rsidR="00A46DCA" w:rsidRPr="00030844"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lang w:eastAsia="en-AU"/>
              </w:rPr>
            </w:pPr>
            <w:r w:rsidRPr="00030844">
              <w:rPr>
                <w:rFonts w:eastAsiaTheme="minorEastAsia" w:cs="Calibri"/>
                <w:color w:val="000000"/>
                <w:szCs w:val="19"/>
                <w:lang w:eastAsia="en-AU"/>
              </w:rPr>
              <w:t>10.3</w:t>
            </w:r>
          </w:p>
        </w:tc>
        <w:tc>
          <w:tcPr>
            <w:tcW w:w="850" w:type="dxa"/>
            <w:tcBorders>
              <w:top w:val="nil"/>
              <w:left w:val="nil"/>
              <w:bottom w:val="nil"/>
              <w:right w:val="nil"/>
            </w:tcBorders>
          </w:tcPr>
          <w:p w:rsidR="00A46DCA" w:rsidRPr="00030844"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lang w:eastAsia="en-AU"/>
              </w:rPr>
            </w:pPr>
            <w:r w:rsidRPr="00030844">
              <w:rPr>
                <w:rFonts w:eastAsiaTheme="minorEastAsia" w:cs="Calibri"/>
                <w:color w:val="000000"/>
                <w:szCs w:val="19"/>
                <w:lang w:eastAsia="en-AU"/>
              </w:rPr>
              <w:t>7.6</w:t>
            </w:r>
          </w:p>
        </w:tc>
        <w:tc>
          <w:tcPr>
            <w:tcW w:w="850" w:type="dxa"/>
            <w:tcBorders>
              <w:top w:val="nil"/>
              <w:left w:val="nil"/>
              <w:bottom w:val="nil"/>
              <w:right w:val="nil"/>
            </w:tcBorders>
          </w:tcPr>
          <w:p w:rsidR="00A46DCA" w:rsidRPr="00030844"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lang w:eastAsia="en-AU"/>
              </w:rPr>
            </w:pPr>
            <w:r w:rsidRPr="00030844">
              <w:rPr>
                <w:rFonts w:eastAsiaTheme="minorEastAsia" w:cs="Calibri"/>
                <w:color w:val="000000"/>
                <w:szCs w:val="19"/>
                <w:lang w:eastAsia="en-AU"/>
              </w:rPr>
              <w:t>8.3</w:t>
            </w:r>
          </w:p>
        </w:tc>
      </w:tr>
      <w:tr w:rsidR="00A46DCA" w:rsidRPr="00030844" w:rsidTr="00A26D04">
        <w:tc>
          <w:tcPr>
            <w:cnfStyle w:val="001000000000" w:firstRow="0" w:lastRow="0" w:firstColumn="1" w:lastColumn="0" w:oddVBand="0" w:evenVBand="0" w:oddHBand="0" w:evenHBand="0" w:firstRowFirstColumn="0" w:firstRowLastColumn="0" w:lastRowFirstColumn="0" w:lastRowLastColumn="0"/>
            <w:tcW w:w="4365" w:type="dxa"/>
            <w:tcBorders>
              <w:top w:val="nil"/>
              <w:left w:val="nil"/>
              <w:bottom w:val="nil"/>
              <w:right w:val="nil"/>
            </w:tcBorders>
          </w:tcPr>
          <w:p w:rsidR="00A46DCA" w:rsidRPr="00030844" w:rsidRDefault="00A46DCA" w:rsidP="00A26D04">
            <w:pPr>
              <w:keepLines w:val="0"/>
              <w:autoSpaceDE w:val="0"/>
              <w:autoSpaceDN w:val="0"/>
              <w:adjustRightInd w:val="0"/>
              <w:rPr>
                <w:rFonts w:eastAsiaTheme="minorEastAsia" w:cs="Calibri"/>
                <w:color w:val="000000"/>
                <w:szCs w:val="19"/>
                <w:vertAlign w:val="superscript"/>
                <w:lang w:eastAsia="en-AU"/>
              </w:rPr>
            </w:pPr>
            <w:r w:rsidRPr="00030844">
              <w:rPr>
                <w:rFonts w:eastAsiaTheme="minorEastAsia" w:cs="Calibri"/>
                <w:color w:val="000000"/>
                <w:szCs w:val="19"/>
                <w:lang w:eastAsia="en-AU"/>
              </w:rPr>
              <w:t xml:space="preserve">Gross debt to revenue </w:t>
            </w:r>
            <w:r w:rsidRPr="00030844">
              <w:rPr>
                <w:rFonts w:eastAsiaTheme="minorEastAsia" w:cs="Calibri"/>
                <w:color w:val="000000"/>
                <w:szCs w:val="19"/>
                <w:vertAlign w:val="superscript"/>
                <w:lang w:eastAsia="en-AU"/>
              </w:rPr>
              <w:t>(a)</w:t>
            </w:r>
          </w:p>
        </w:tc>
        <w:tc>
          <w:tcPr>
            <w:tcW w:w="850" w:type="dxa"/>
            <w:tcBorders>
              <w:top w:val="nil"/>
              <w:left w:val="nil"/>
              <w:bottom w:val="nil"/>
              <w:right w:val="nil"/>
            </w:tcBorders>
          </w:tcPr>
          <w:p w:rsidR="00A46DCA" w:rsidRPr="00030844"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lang w:eastAsia="en-AU"/>
              </w:rPr>
            </w:pPr>
            <w:r w:rsidRPr="00030844">
              <w:rPr>
                <w:rFonts w:eastAsiaTheme="minorEastAsia" w:cs="Calibri"/>
                <w:color w:val="000000"/>
                <w:szCs w:val="19"/>
                <w:lang w:eastAsia="en-AU"/>
              </w:rPr>
              <w:t>70.1</w:t>
            </w:r>
          </w:p>
        </w:tc>
        <w:tc>
          <w:tcPr>
            <w:tcW w:w="850" w:type="dxa"/>
            <w:tcBorders>
              <w:top w:val="nil"/>
              <w:left w:val="nil"/>
              <w:bottom w:val="nil"/>
              <w:right w:val="nil"/>
            </w:tcBorders>
          </w:tcPr>
          <w:p w:rsidR="00A46DCA" w:rsidRPr="00030844"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lang w:eastAsia="en-AU"/>
              </w:rPr>
            </w:pPr>
            <w:r w:rsidRPr="00030844">
              <w:rPr>
                <w:rFonts w:eastAsiaTheme="minorEastAsia" w:cs="Calibri"/>
                <w:color w:val="000000"/>
                <w:szCs w:val="19"/>
                <w:lang w:eastAsia="en-AU"/>
              </w:rPr>
              <w:t>71.2</w:t>
            </w:r>
          </w:p>
        </w:tc>
        <w:tc>
          <w:tcPr>
            <w:tcW w:w="850" w:type="dxa"/>
            <w:tcBorders>
              <w:top w:val="nil"/>
              <w:left w:val="nil"/>
              <w:bottom w:val="nil"/>
              <w:right w:val="nil"/>
            </w:tcBorders>
          </w:tcPr>
          <w:p w:rsidR="00A46DCA" w:rsidRPr="00030844"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lang w:eastAsia="en-AU"/>
              </w:rPr>
            </w:pPr>
            <w:r w:rsidRPr="00030844">
              <w:rPr>
                <w:rFonts w:eastAsiaTheme="minorEastAsia" w:cs="Calibri"/>
                <w:color w:val="000000"/>
                <w:szCs w:val="19"/>
                <w:lang w:eastAsia="en-AU"/>
              </w:rPr>
              <w:t>74.8</w:t>
            </w:r>
          </w:p>
        </w:tc>
        <w:tc>
          <w:tcPr>
            <w:tcW w:w="850" w:type="dxa"/>
            <w:tcBorders>
              <w:top w:val="nil"/>
              <w:left w:val="nil"/>
              <w:bottom w:val="nil"/>
              <w:right w:val="nil"/>
            </w:tcBorders>
          </w:tcPr>
          <w:p w:rsidR="00A46DCA" w:rsidRPr="00030844"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lang w:eastAsia="en-AU"/>
              </w:rPr>
            </w:pPr>
            <w:r w:rsidRPr="00030844">
              <w:rPr>
                <w:rFonts w:eastAsiaTheme="minorEastAsia" w:cs="Calibri"/>
                <w:color w:val="000000"/>
                <w:szCs w:val="19"/>
                <w:lang w:eastAsia="en-AU"/>
              </w:rPr>
              <w:t>75.3</w:t>
            </w:r>
          </w:p>
        </w:tc>
      </w:tr>
      <w:tr w:rsidR="00A46DCA" w:rsidRPr="00030844" w:rsidTr="00A26D04">
        <w:tc>
          <w:tcPr>
            <w:cnfStyle w:val="001000000000" w:firstRow="0" w:lastRow="0" w:firstColumn="1" w:lastColumn="0" w:oddVBand="0" w:evenVBand="0" w:oddHBand="0" w:evenHBand="0" w:firstRowFirstColumn="0" w:firstRowLastColumn="0" w:lastRowFirstColumn="0" w:lastRowLastColumn="0"/>
            <w:tcW w:w="4365" w:type="dxa"/>
            <w:tcBorders>
              <w:top w:val="nil"/>
              <w:left w:val="nil"/>
              <w:bottom w:val="single" w:sz="12" w:space="0" w:color="auto"/>
              <w:right w:val="nil"/>
            </w:tcBorders>
          </w:tcPr>
          <w:p w:rsidR="00A46DCA" w:rsidRPr="00030844" w:rsidRDefault="00A46DCA" w:rsidP="00A26D04">
            <w:pPr>
              <w:keepLines w:val="0"/>
              <w:autoSpaceDE w:val="0"/>
              <w:autoSpaceDN w:val="0"/>
              <w:adjustRightInd w:val="0"/>
              <w:rPr>
                <w:rFonts w:eastAsiaTheme="minorEastAsia" w:cs="Calibri"/>
                <w:color w:val="000000"/>
                <w:szCs w:val="19"/>
                <w:lang w:eastAsia="en-AU"/>
              </w:rPr>
            </w:pPr>
            <w:r w:rsidRPr="00030844">
              <w:rPr>
                <w:rFonts w:eastAsiaTheme="minorEastAsia" w:cs="Calibri"/>
                <w:color w:val="000000"/>
                <w:szCs w:val="19"/>
                <w:lang w:eastAsia="en-AU"/>
              </w:rPr>
              <w:t>Interest expense to revenue</w:t>
            </w:r>
          </w:p>
        </w:tc>
        <w:tc>
          <w:tcPr>
            <w:tcW w:w="850" w:type="dxa"/>
            <w:tcBorders>
              <w:top w:val="nil"/>
              <w:left w:val="nil"/>
              <w:bottom w:val="single" w:sz="12" w:space="0" w:color="auto"/>
              <w:right w:val="nil"/>
            </w:tcBorders>
          </w:tcPr>
          <w:p w:rsidR="00A46DCA" w:rsidRPr="00030844"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lang w:eastAsia="en-AU"/>
              </w:rPr>
            </w:pPr>
            <w:r w:rsidRPr="00030844">
              <w:rPr>
                <w:rFonts w:eastAsiaTheme="minorEastAsia" w:cs="Calibri"/>
                <w:color w:val="000000"/>
                <w:szCs w:val="19"/>
                <w:lang w:eastAsia="en-AU"/>
              </w:rPr>
              <w:t>4.0</w:t>
            </w:r>
          </w:p>
        </w:tc>
        <w:tc>
          <w:tcPr>
            <w:tcW w:w="850" w:type="dxa"/>
            <w:tcBorders>
              <w:top w:val="nil"/>
              <w:left w:val="nil"/>
              <w:bottom w:val="single" w:sz="12" w:space="0" w:color="auto"/>
              <w:right w:val="nil"/>
            </w:tcBorders>
          </w:tcPr>
          <w:p w:rsidR="00A46DCA" w:rsidRPr="00030844"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lang w:eastAsia="en-AU"/>
              </w:rPr>
            </w:pPr>
            <w:r w:rsidRPr="00030844">
              <w:rPr>
                <w:rFonts w:eastAsiaTheme="minorEastAsia" w:cs="Calibri"/>
                <w:color w:val="000000"/>
                <w:szCs w:val="19"/>
                <w:lang w:eastAsia="en-AU"/>
              </w:rPr>
              <w:t>3.9</w:t>
            </w:r>
          </w:p>
        </w:tc>
        <w:tc>
          <w:tcPr>
            <w:tcW w:w="850" w:type="dxa"/>
            <w:tcBorders>
              <w:top w:val="nil"/>
              <w:left w:val="nil"/>
              <w:bottom w:val="single" w:sz="12" w:space="0" w:color="auto"/>
              <w:right w:val="nil"/>
            </w:tcBorders>
          </w:tcPr>
          <w:p w:rsidR="00A46DCA" w:rsidRPr="00030844"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lang w:eastAsia="en-AU"/>
              </w:rPr>
            </w:pPr>
            <w:r w:rsidRPr="00030844">
              <w:rPr>
                <w:rFonts w:eastAsiaTheme="minorEastAsia" w:cs="Calibri"/>
                <w:color w:val="000000"/>
                <w:szCs w:val="19"/>
                <w:lang w:eastAsia="en-AU"/>
              </w:rPr>
              <w:t>3.9</w:t>
            </w:r>
          </w:p>
        </w:tc>
        <w:tc>
          <w:tcPr>
            <w:tcW w:w="850" w:type="dxa"/>
            <w:tcBorders>
              <w:top w:val="nil"/>
              <w:left w:val="nil"/>
              <w:bottom w:val="single" w:sz="12" w:space="0" w:color="auto"/>
              <w:right w:val="nil"/>
            </w:tcBorders>
          </w:tcPr>
          <w:p w:rsidR="00A46DCA" w:rsidRPr="00030844"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lang w:eastAsia="en-AU"/>
              </w:rPr>
            </w:pPr>
            <w:r w:rsidRPr="00030844">
              <w:rPr>
                <w:rFonts w:eastAsiaTheme="minorEastAsia" w:cs="Calibri"/>
                <w:color w:val="000000"/>
                <w:szCs w:val="19"/>
                <w:lang w:eastAsia="en-AU"/>
              </w:rPr>
              <w:t>3.9</w:t>
            </w:r>
          </w:p>
        </w:tc>
      </w:tr>
    </w:tbl>
    <w:p w:rsidR="00A46DCA" w:rsidRDefault="00A46DCA" w:rsidP="00A26D04">
      <w:pPr>
        <w:pStyle w:val="Source"/>
      </w:pPr>
      <w:r>
        <w:t>Source: Department of Treasury and Finance</w:t>
      </w:r>
    </w:p>
    <w:p w:rsidR="00A46DCA" w:rsidRDefault="00A46DCA" w:rsidP="00A26D04">
      <w:pPr>
        <w:pStyle w:val="Note"/>
      </w:pPr>
      <w:r>
        <w:t>Note:</w:t>
      </w:r>
    </w:p>
    <w:p w:rsidR="00A46DCA" w:rsidRDefault="00A46DCA" w:rsidP="00A26D04">
      <w:pPr>
        <w:pStyle w:val="Note"/>
      </w:pPr>
      <w:r>
        <w:t>(a)</w:t>
      </w:r>
      <w:r>
        <w:tab/>
        <w:t>Gross debt includes borrowings and deposits held and advances received.</w:t>
      </w:r>
    </w:p>
    <w:p w:rsidR="00A46DCA" w:rsidRDefault="00A46DCA" w:rsidP="00A26D04"/>
    <w:p w:rsidR="00A46DCA" w:rsidRDefault="00A46DCA">
      <w:pPr>
        <w:keepLines w:val="0"/>
        <w:rPr>
          <w:rFonts w:asciiTheme="majorHAnsi" w:eastAsiaTheme="majorEastAsia" w:hAnsiTheme="majorHAnsi" w:cstheme="majorBidi"/>
          <w:b/>
          <w:bCs/>
          <w:caps/>
          <w:spacing w:val="-2"/>
          <w:sz w:val="26"/>
          <w:szCs w:val="28"/>
        </w:rPr>
      </w:pPr>
      <w:r>
        <w:br w:type="page"/>
      </w:r>
    </w:p>
    <w:p w:rsidR="00A46DCA" w:rsidRDefault="00A46DCA" w:rsidP="00A26D04">
      <w:pPr>
        <w:pStyle w:val="Heading10"/>
      </w:pPr>
      <w:bookmarkStart w:id="19" w:name="_Toc500435572"/>
      <w:r>
        <w:lastRenderedPageBreak/>
        <w:t>State of Victoria</w:t>
      </w:r>
      <w:bookmarkEnd w:id="19"/>
    </w:p>
    <w:p w:rsidR="00A46DCA" w:rsidRDefault="00A46DCA" w:rsidP="00A26D04">
      <w:r>
        <w:t xml:space="preserve">The State of Victoria financial results are obtained by consolidating the PFC sector with the NFP sector. There are two broad types of PFCs: those that provide services to the general public and businesses (statutory insurers such as Transport Accident Commission and </w:t>
      </w:r>
      <w:proofErr w:type="spellStart"/>
      <w:r>
        <w:t>WorkSafe</w:t>
      </w:r>
      <w:proofErr w:type="spellEnd"/>
      <w:r>
        <w:t xml:space="preserve"> Victoria) and those that provide financial services predominantly to other government entities (such as the Victorian Funds Management Corporation and the Treasury Corporation of Victoria).</w:t>
      </w:r>
    </w:p>
    <w:p w:rsidR="00A46DCA" w:rsidRPr="00030844" w:rsidRDefault="00A46DCA" w:rsidP="00A26D04">
      <w:pPr>
        <w:pStyle w:val="TableHeading"/>
        <w:rPr>
          <w:bCs/>
          <w:lang w:val="en-US"/>
        </w:rPr>
      </w:pPr>
      <w:r>
        <w:t xml:space="preserve">Table 3.10: </w:t>
      </w:r>
      <w:r>
        <w:tab/>
        <w:t xml:space="preserve">Summary operating statement of the State of Victoria </w:t>
      </w:r>
      <w:r w:rsidRPr="00455A9E">
        <w:rPr>
          <w:vertAlign w:val="superscript"/>
        </w:rPr>
        <w:t>(a)</w:t>
      </w:r>
      <w:r>
        <w:tab/>
        <w:t>($ million)</w:t>
      </w:r>
    </w:p>
    <w:tbl>
      <w:tblPr>
        <w:tblStyle w:val="DTFTable"/>
        <w:tblW w:w="7765" w:type="dxa"/>
        <w:tblInd w:w="45" w:type="dxa"/>
        <w:tblLayout w:type="fixed"/>
        <w:tblCellMar>
          <w:left w:w="45" w:type="dxa"/>
          <w:right w:w="45" w:type="dxa"/>
        </w:tblCellMar>
        <w:tblLook w:val="06E0" w:firstRow="1" w:lastRow="1" w:firstColumn="1" w:lastColumn="0" w:noHBand="1" w:noVBand="1"/>
      </w:tblPr>
      <w:tblGrid>
        <w:gridCol w:w="4365"/>
        <w:gridCol w:w="850"/>
        <w:gridCol w:w="850"/>
        <w:gridCol w:w="850"/>
        <w:gridCol w:w="850"/>
      </w:tblGrid>
      <w:tr w:rsidR="00A26D04" w:rsidRPr="00030844" w:rsidTr="00A26D04">
        <w:trPr>
          <w:cnfStyle w:val="100000000000" w:firstRow="1" w:lastRow="0" w:firstColumn="0" w:lastColumn="0" w:oddVBand="0" w:evenVBand="0" w:oddHBand="0" w:evenHBand="0"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4365" w:type="dxa"/>
            <w:tcBorders>
              <w:top w:val="nil"/>
              <w:left w:val="nil"/>
              <w:right w:val="nil"/>
            </w:tcBorders>
            <w:shd w:val="solid" w:color="000000" w:fill="auto"/>
          </w:tcPr>
          <w:p w:rsidR="00A26D04" w:rsidRPr="00030844" w:rsidRDefault="00A26D04" w:rsidP="00A26D04">
            <w:pPr>
              <w:autoSpaceDE w:val="0"/>
              <w:autoSpaceDN w:val="0"/>
              <w:adjustRightInd w:val="0"/>
              <w:rPr>
                <w:rFonts w:eastAsiaTheme="minorEastAsia" w:cs="Calibri"/>
                <w:iCs/>
                <w:color w:val="FFFFFF"/>
                <w:szCs w:val="19"/>
                <w:lang w:eastAsia="en-AU"/>
              </w:rPr>
            </w:pPr>
            <w:r w:rsidRPr="00030844">
              <w:rPr>
                <w:rFonts w:eastAsiaTheme="minorEastAsia" w:cs="Calibri"/>
                <w:iCs/>
                <w:color w:val="FFFFFF"/>
                <w:szCs w:val="19"/>
                <w:lang w:eastAsia="en-AU"/>
              </w:rPr>
              <w:t xml:space="preserve">  </w:t>
            </w:r>
          </w:p>
        </w:tc>
        <w:tc>
          <w:tcPr>
            <w:tcW w:w="850" w:type="dxa"/>
            <w:tcBorders>
              <w:top w:val="nil"/>
              <w:left w:val="nil"/>
              <w:right w:val="nil"/>
            </w:tcBorders>
            <w:shd w:val="solid" w:color="000000" w:fill="auto"/>
          </w:tcPr>
          <w:p w:rsidR="00A26D04" w:rsidRPr="00030844" w:rsidRDefault="00A26D04" w:rsidP="00A26D0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9"/>
                <w:lang w:eastAsia="en-AU"/>
              </w:rPr>
            </w:pPr>
            <w:r w:rsidRPr="00030844">
              <w:rPr>
                <w:rFonts w:eastAsiaTheme="minorEastAsia" w:cs="Calibri"/>
                <w:iCs/>
                <w:color w:val="FFFFFF"/>
                <w:szCs w:val="19"/>
                <w:lang w:eastAsia="en-AU"/>
              </w:rPr>
              <w:t>2017-18</w:t>
            </w:r>
            <w:r>
              <w:rPr>
                <w:rFonts w:eastAsiaTheme="minorEastAsia" w:cs="Calibri"/>
                <w:iCs/>
                <w:color w:val="FFFFFF"/>
                <w:szCs w:val="19"/>
                <w:lang w:eastAsia="en-AU"/>
              </w:rPr>
              <w:br/>
            </w:r>
            <w:r w:rsidRPr="00030844">
              <w:rPr>
                <w:rFonts w:eastAsiaTheme="minorEastAsia" w:cs="Calibri"/>
                <w:iCs/>
                <w:color w:val="FFFFFF"/>
                <w:szCs w:val="19"/>
                <w:lang w:eastAsia="en-AU"/>
              </w:rPr>
              <w:t>revised</w:t>
            </w:r>
          </w:p>
        </w:tc>
        <w:tc>
          <w:tcPr>
            <w:tcW w:w="850" w:type="dxa"/>
            <w:tcBorders>
              <w:top w:val="nil"/>
              <w:left w:val="nil"/>
              <w:right w:val="nil"/>
            </w:tcBorders>
            <w:shd w:val="solid" w:color="000000" w:fill="auto"/>
          </w:tcPr>
          <w:p w:rsidR="00A26D04" w:rsidRPr="00030844" w:rsidRDefault="00A26D04" w:rsidP="00A26D0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9"/>
                <w:lang w:eastAsia="en-AU"/>
              </w:rPr>
            </w:pPr>
            <w:r w:rsidRPr="00030844">
              <w:rPr>
                <w:rFonts w:eastAsiaTheme="minorEastAsia" w:cs="Calibri"/>
                <w:iCs/>
                <w:color w:val="FFFFFF"/>
                <w:szCs w:val="19"/>
                <w:lang w:eastAsia="en-AU"/>
              </w:rPr>
              <w:t>2018-19</w:t>
            </w:r>
            <w:r>
              <w:rPr>
                <w:rFonts w:eastAsiaTheme="minorEastAsia" w:cs="Calibri"/>
                <w:iCs/>
                <w:color w:val="FFFFFF"/>
                <w:szCs w:val="19"/>
                <w:lang w:eastAsia="en-AU"/>
              </w:rPr>
              <w:br/>
            </w:r>
            <w:r w:rsidRPr="00030844">
              <w:rPr>
                <w:rFonts w:eastAsiaTheme="minorEastAsia" w:cs="Calibri"/>
                <w:iCs/>
                <w:color w:val="FFFFFF"/>
                <w:szCs w:val="19"/>
                <w:lang w:eastAsia="en-AU"/>
              </w:rPr>
              <w:t>estimate</w:t>
            </w:r>
          </w:p>
        </w:tc>
        <w:tc>
          <w:tcPr>
            <w:tcW w:w="850" w:type="dxa"/>
            <w:tcBorders>
              <w:top w:val="nil"/>
              <w:left w:val="nil"/>
              <w:right w:val="nil"/>
            </w:tcBorders>
            <w:shd w:val="solid" w:color="000000" w:fill="auto"/>
          </w:tcPr>
          <w:p w:rsidR="00A26D04" w:rsidRPr="00030844" w:rsidRDefault="00A26D04" w:rsidP="00A26D0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9"/>
                <w:lang w:eastAsia="en-AU"/>
              </w:rPr>
            </w:pPr>
            <w:r w:rsidRPr="00030844">
              <w:rPr>
                <w:rFonts w:eastAsiaTheme="minorEastAsia" w:cs="Calibri"/>
                <w:iCs/>
                <w:color w:val="FFFFFF"/>
                <w:szCs w:val="19"/>
                <w:lang w:eastAsia="en-AU"/>
              </w:rPr>
              <w:t>2019-20</w:t>
            </w:r>
            <w:r>
              <w:rPr>
                <w:rFonts w:eastAsiaTheme="minorEastAsia" w:cs="Calibri"/>
                <w:iCs/>
                <w:color w:val="FFFFFF"/>
                <w:szCs w:val="19"/>
                <w:lang w:eastAsia="en-AU"/>
              </w:rPr>
              <w:br/>
            </w:r>
            <w:r w:rsidRPr="00030844">
              <w:rPr>
                <w:rFonts w:eastAsiaTheme="minorEastAsia" w:cs="Calibri"/>
                <w:iCs/>
                <w:color w:val="FFFFFF"/>
                <w:szCs w:val="19"/>
                <w:lang w:eastAsia="en-AU"/>
              </w:rPr>
              <w:t>estimate</w:t>
            </w:r>
          </w:p>
        </w:tc>
        <w:tc>
          <w:tcPr>
            <w:tcW w:w="850" w:type="dxa"/>
            <w:tcBorders>
              <w:top w:val="nil"/>
              <w:left w:val="nil"/>
              <w:right w:val="nil"/>
            </w:tcBorders>
            <w:shd w:val="solid" w:color="000000" w:fill="auto"/>
          </w:tcPr>
          <w:p w:rsidR="00A26D04" w:rsidRPr="00030844" w:rsidRDefault="00A26D04" w:rsidP="00A26D0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9"/>
                <w:lang w:eastAsia="en-AU"/>
              </w:rPr>
            </w:pPr>
            <w:r w:rsidRPr="00030844">
              <w:rPr>
                <w:rFonts w:eastAsiaTheme="minorEastAsia" w:cs="Calibri"/>
                <w:iCs/>
                <w:color w:val="FFFFFF"/>
                <w:szCs w:val="19"/>
                <w:lang w:eastAsia="en-AU"/>
              </w:rPr>
              <w:t>2020-21</w:t>
            </w:r>
            <w:r>
              <w:rPr>
                <w:rFonts w:eastAsiaTheme="minorEastAsia" w:cs="Calibri"/>
                <w:iCs/>
                <w:color w:val="FFFFFF"/>
                <w:szCs w:val="19"/>
                <w:lang w:eastAsia="en-AU"/>
              </w:rPr>
              <w:br/>
            </w:r>
            <w:r w:rsidRPr="00030844">
              <w:rPr>
                <w:rFonts w:eastAsiaTheme="minorEastAsia" w:cs="Calibri"/>
                <w:iCs/>
                <w:color w:val="FFFFFF"/>
                <w:szCs w:val="19"/>
                <w:lang w:eastAsia="en-AU"/>
              </w:rPr>
              <w:t>estimate</w:t>
            </w:r>
          </w:p>
        </w:tc>
      </w:tr>
      <w:tr w:rsidR="00A46DCA" w:rsidRPr="00030844" w:rsidTr="00A26D04">
        <w:tc>
          <w:tcPr>
            <w:cnfStyle w:val="001000000000" w:firstRow="0" w:lastRow="0" w:firstColumn="1" w:lastColumn="0" w:oddVBand="0" w:evenVBand="0" w:oddHBand="0" w:evenHBand="0" w:firstRowFirstColumn="0" w:firstRowLastColumn="0" w:lastRowFirstColumn="0" w:lastRowLastColumn="0"/>
            <w:tcW w:w="4365" w:type="dxa"/>
            <w:tcBorders>
              <w:top w:val="nil"/>
              <w:left w:val="nil"/>
              <w:bottom w:val="nil"/>
              <w:right w:val="nil"/>
            </w:tcBorders>
          </w:tcPr>
          <w:p w:rsidR="00A46DCA" w:rsidRPr="00030844" w:rsidRDefault="00A46DCA" w:rsidP="00A26D04">
            <w:pPr>
              <w:keepLines w:val="0"/>
              <w:autoSpaceDE w:val="0"/>
              <w:autoSpaceDN w:val="0"/>
              <w:adjustRightInd w:val="0"/>
              <w:rPr>
                <w:rFonts w:eastAsiaTheme="minorEastAsia" w:cs="Calibri"/>
                <w:b/>
                <w:bCs/>
                <w:color w:val="000000"/>
                <w:szCs w:val="19"/>
                <w:lang w:eastAsia="en-AU"/>
              </w:rPr>
            </w:pPr>
            <w:r w:rsidRPr="00030844">
              <w:rPr>
                <w:rFonts w:eastAsiaTheme="minorEastAsia" w:cs="Calibri"/>
                <w:b/>
                <w:bCs/>
                <w:color w:val="000000"/>
                <w:szCs w:val="19"/>
                <w:lang w:eastAsia="en-AU"/>
              </w:rPr>
              <w:t>Revenue</w:t>
            </w:r>
          </w:p>
        </w:tc>
        <w:tc>
          <w:tcPr>
            <w:tcW w:w="850" w:type="dxa"/>
            <w:tcBorders>
              <w:top w:val="nil"/>
              <w:left w:val="nil"/>
              <w:bottom w:val="nil"/>
              <w:right w:val="nil"/>
            </w:tcBorders>
          </w:tcPr>
          <w:p w:rsidR="00A46DCA" w:rsidRPr="00030844"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sidRPr="00030844">
              <w:rPr>
                <w:rFonts w:eastAsiaTheme="minorEastAsia" w:cs="Calibri"/>
                <w:color w:val="000000"/>
                <w:szCs w:val="19"/>
                <w:lang w:eastAsia="en-AU"/>
              </w:rPr>
              <w:t xml:space="preserve"> </w:t>
            </w:r>
          </w:p>
        </w:tc>
        <w:tc>
          <w:tcPr>
            <w:tcW w:w="850" w:type="dxa"/>
            <w:tcBorders>
              <w:top w:val="nil"/>
              <w:left w:val="nil"/>
              <w:bottom w:val="nil"/>
              <w:right w:val="nil"/>
            </w:tcBorders>
          </w:tcPr>
          <w:p w:rsidR="00A46DCA" w:rsidRPr="00030844"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lang w:eastAsia="en-AU"/>
              </w:rPr>
            </w:pPr>
            <w:r w:rsidRPr="00030844">
              <w:rPr>
                <w:rFonts w:eastAsiaTheme="minorEastAsia" w:cs="Calibri"/>
                <w:color w:val="000000"/>
                <w:szCs w:val="19"/>
                <w:lang w:eastAsia="en-AU"/>
              </w:rPr>
              <w:t xml:space="preserve"> </w:t>
            </w:r>
          </w:p>
        </w:tc>
        <w:tc>
          <w:tcPr>
            <w:tcW w:w="850" w:type="dxa"/>
            <w:tcBorders>
              <w:top w:val="nil"/>
              <w:left w:val="nil"/>
              <w:bottom w:val="nil"/>
              <w:right w:val="nil"/>
            </w:tcBorders>
          </w:tcPr>
          <w:p w:rsidR="00A46DCA" w:rsidRPr="00030844"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lang w:eastAsia="en-AU"/>
              </w:rPr>
            </w:pPr>
            <w:r w:rsidRPr="00030844">
              <w:rPr>
                <w:rFonts w:eastAsiaTheme="minorEastAsia" w:cs="Calibri"/>
                <w:color w:val="000000"/>
                <w:szCs w:val="19"/>
                <w:lang w:eastAsia="en-AU"/>
              </w:rPr>
              <w:t xml:space="preserve"> </w:t>
            </w:r>
          </w:p>
        </w:tc>
        <w:tc>
          <w:tcPr>
            <w:tcW w:w="850" w:type="dxa"/>
            <w:tcBorders>
              <w:top w:val="nil"/>
              <w:left w:val="nil"/>
              <w:bottom w:val="nil"/>
              <w:right w:val="nil"/>
            </w:tcBorders>
          </w:tcPr>
          <w:p w:rsidR="00A46DCA" w:rsidRPr="00030844"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lang w:eastAsia="en-AU"/>
              </w:rPr>
            </w:pPr>
            <w:r w:rsidRPr="00030844">
              <w:rPr>
                <w:rFonts w:eastAsiaTheme="minorEastAsia" w:cs="Calibri"/>
                <w:color w:val="000000"/>
                <w:szCs w:val="19"/>
                <w:lang w:eastAsia="en-AU"/>
              </w:rPr>
              <w:t xml:space="preserve"> </w:t>
            </w:r>
          </w:p>
        </w:tc>
      </w:tr>
      <w:tr w:rsidR="00A46DCA" w:rsidRPr="00030844" w:rsidTr="00A26D04">
        <w:tc>
          <w:tcPr>
            <w:cnfStyle w:val="001000000000" w:firstRow="0" w:lastRow="0" w:firstColumn="1" w:lastColumn="0" w:oddVBand="0" w:evenVBand="0" w:oddHBand="0" w:evenHBand="0" w:firstRowFirstColumn="0" w:firstRowLastColumn="0" w:lastRowFirstColumn="0" w:lastRowLastColumn="0"/>
            <w:tcW w:w="4365" w:type="dxa"/>
            <w:tcBorders>
              <w:top w:val="nil"/>
              <w:left w:val="nil"/>
              <w:bottom w:val="nil"/>
              <w:right w:val="nil"/>
            </w:tcBorders>
          </w:tcPr>
          <w:p w:rsidR="00A46DCA" w:rsidRPr="00030844" w:rsidRDefault="00A46DCA" w:rsidP="00A26D04">
            <w:pPr>
              <w:keepLines w:val="0"/>
              <w:autoSpaceDE w:val="0"/>
              <w:autoSpaceDN w:val="0"/>
              <w:adjustRightInd w:val="0"/>
              <w:rPr>
                <w:rFonts w:eastAsiaTheme="minorEastAsia" w:cs="Calibri"/>
                <w:color w:val="000000"/>
                <w:szCs w:val="19"/>
                <w:lang w:eastAsia="en-AU"/>
              </w:rPr>
            </w:pPr>
            <w:r w:rsidRPr="00030844">
              <w:rPr>
                <w:rFonts w:eastAsiaTheme="minorEastAsia" w:cs="Calibri"/>
                <w:color w:val="000000"/>
                <w:szCs w:val="19"/>
                <w:lang w:eastAsia="en-AU"/>
              </w:rPr>
              <w:t>Taxation revenue</w:t>
            </w:r>
          </w:p>
        </w:tc>
        <w:tc>
          <w:tcPr>
            <w:tcW w:w="850" w:type="dxa"/>
            <w:tcBorders>
              <w:top w:val="nil"/>
              <w:left w:val="nil"/>
              <w:bottom w:val="nil"/>
              <w:right w:val="nil"/>
            </w:tcBorders>
          </w:tcPr>
          <w:p w:rsidR="00A46DCA" w:rsidRPr="00030844"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lang w:eastAsia="en-AU"/>
              </w:rPr>
            </w:pPr>
            <w:r w:rsidRPr="00030844">
              <w:rPr>
                <w:rFonts w:eastAsiaTheme="minorEastAsia" w:cs="Calibri"/>
                <w:color w:val="000000"/>
                <w:szCs w:val="19"/>
                <w:lang w:eastAsia="en-AU"/>
              </w:rPr>
              <w:t>21 794</w:t>
            </w:r>
          </w:p>
        </w:tc>
        <w:tc>
          <w:tcPr>
            <w:tcW w:w="850" w:type="dxa"/>
            <w:tcBorders>
              <w:top w:val="nil"/>
              <w:left w:val="nil"/>
              <w:bottom w:val="nil"/>
              <w:right w:val="nil"/>
            </w:tcBorders>
          </w:tcPr>
          <w:p w:rsidR="00A46DCA" w:rsidRPr="00030844"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lang w:eastAsia="en-AU"/>
              </w:rPr>
            </w:pPr>
            <w:r w:rsidRPr="00030844">
              <w:rPr>
                <w:rFonts w:eastAsiaTheme="minorEastAsia" w:cs="Calibri"/>
                <w:color w:val="000000"/>
                <w:szCs w:val="19"/>
                <w:lang w:eastAsia="en-AU"/>
              </w:rPr>
              <w:t>23 349</w:t>
            </w:r>
          </w:p>
        </w:tc>
        <w:tc>
          <w:tcPr>
            <w:tcW w:w="850" w:type="dxa"/>
            <w:tcBorders>
              <w:top w:val="nil"/>
              <w:left w:val="nil"/>
              <w:bottom w:val="nil"/>
              <w:right w:val="nil"/>
            </w:tcBorders>
          </w:tcPr>
          <w:p w:rsidR="00A46DCA" w:rsidRPr="00030844"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lang w:eastAsia="en-AU"/>
              </w:rPr>
            </w:pPr>
            <w:r w:rsidRPr="00030844">
              <w:rPr>
                <w:rFonts w:eastAsiaTheme="minorEastAsia" w:cs="Calibri"/>
                <w:color w:val="000000"/>
                <w:szCs w:val="19"/>
                <w:lang w:eastAsia="en-AU"/>
              </w:rPr>
              <w:t>24 459</w:t>
            </w:r>
          </w:p>
        </w:tc>
        <w:tc>
          <w:tcPr>
            <w:tcW w:w="850" w:type="dxa"/>
            <w:tcBorders>
              <w:top w:val="nil"/>
              <w:left w:val="nil"/>
              <w:bottom w:val="nil"/>
              <w:right w:val="nil"/>
            </w:tcBorders>
          </w:tcPr>
          <w:p w:rsidR="00A46DCA" w:rsidRPr="00030844"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lang w:eastAsia="en-AU"/>
              </w:rPr>
            </w:pPr>
            <w:r w:rsidRPr="00030844">
              <w:rPr>
                <w:rFonts w:eastAsiaTheme="minorEastAsia" w:cs="Calibri"/>
                <w:color w:val="000000"/>
                <w:szCs w:val="19"/>
                <w:lang w:eastAsia="en-AU"/>
              </w:rPr>
              <w:t>25 448</w:t>
            </w:r>
          </w:p>
        </w:tc>
      </w:tr>
      <w:tr w:rsidR="00A46DCA" w:rsidRPr="00030844" w:rsidTr="00A26D04">
        <w:tc>
          <w:tcPr>
            <w:cnfStyle w:val="001000000000" w:firstRow="0" w:lastRow="0" w:firstColumn="1" w:lastColumn="0" w:oddVBand="0" w:evenVBand="0" w:oddHBand="0" w:evenHBand="0" w:firstRowFirstColumn="0" w:firstRowLastColumn="0" w:lastRowFirstColumn="0" w:lastRowLastColumn="0"/>
            <w:tcW w:w="4365" w:type="dxa"/>
            <w:tcBorders>
              <w:top w:val="nil"/>
              <w:left w:val="nil"/>
              <w:bottom w:val="nil"/>
              <w:right w:val="nil"/>
            </w:tcBorders>
          </w:tcPr>
          <w:p w:rsidR="00A46DCA" w:rsidRPr="00030844" w:rsidRDefault="00A46DCA" w:rsidP="00A26D04">
            <w:pPr>
              <w:keepLines w:val="0"/>
              <w:autoSpaceDE w:val="0"/>
              <w:autoSpaceDN w:val="0"/>
              <w:adjustRightInd w:val="0"/>
              <w:rPr>
                <w:rFonts w:eastAsiaTheme="minorEastAsia" w:cs="Calibri"/>
                <w:color w:val="000000"/>
                <w:szCs w:val="19"/>
                <w:lang w:eastAsia="en-AU"/>
              </w:rPr>
            </w:pPr>
            <w:r w:rsidRPr="00030844">
              <w:rPr>
                <w:rFonts w:eastAsiaTheme="minorEastAsia" w:cs="Calibri"/>
                <w:color w:val="000000"/>
                <w:szCs w:val="19"/>
                <w:lang w:eastAsia="en-AU"/>
              </w:rPr>
              <w:t>Dividends, income tax equivalent and interest</w:t>
            </w:r>
          </w:p>
        </w:tc>
        <w:tc>
          <w:tcPr>
            <w:tcW w:w="850" w:type="dxa"/>
            <w:tcBorders>
              <w:top w:val="nil"/>
              <w:left w:val="nil"/>
              <w:bottom w:val="nil"/>
              <w:right w:val="nil"/>
            </w:tcBorders>
          </w:tcPr>
          <w:p w:rsidR="00A46DCA" w:rsidRPr="00030844"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lang w:eastAsia="en-AU"/>
              </w:rPr>
            </w:pPr>
            <w:r w:rsidRPr="00030844">
              <w:rPr>
                <w:rFonts w:eastAsiaTheme="minorEastAsia" w:cs="Calibri"/>
                <w:color w:val="000000"/>
                <w:szCs w:val="19"/>
                <w:lang w:eastAsia="en-AU"/>
              </w:rPr>
              <w:t>2 014</w:t>
            </w:r>
          </w:p>
        </w:tc>
        <w:tc>
          <w:tcPr>
            <w:tcW w:w="850" w:type="dxa"/>
            <w:tcBorders>
              <w:top w:val="nil"/>
              <w:left w:val="nil"/>
              <w:bottom w:val="nil"/>
              <w:right w:val="nil"/>
            </w:tcBorders>
          </w:tcPr>
          <w:p w:rsidR="00A46DCA" w:rsidRPr="00030844"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lang w:eastAsia="en-AU"/>
              </w:rPr>
            </w:pPr>
            <w:r w:rsidRPr="00030844">
              <w:rPr>
                <w:rFonts w:eastAsiaTheme="minorEastAsia" w:cs="Calibri"/>
                <w:color w:val="000000"/>
                <w:szCs w:val="19"/>
                <w:lang w:eastAsia="en-AU"/>
              </w:rPr>
              <w:t>2 014</w:t>
            </w:r>
          </w:p>
        </w:tc>
        <w:tc>
          <w:tcPr>
            <w:tcW w:w="850" w:type="dxa"/>
            <w:tcBorders>
              <w:top w:val="nil"/>
              <w:left w:val="nil"/>
              <w:bottom w:val="nil"/>
              <w:right w:val="nil"/>
            </w:tcBorders>
          </w:tcPr>
          <w:p w:rsidR="00A46DCA" w:rsidRPr="00030844"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lang w:eastAsia="en-AU"/>
              </w:rPr>
            </w:pPr>
            <w:r w:rsidRPr="00030844">
              <w:rPr>
                <w:rFonts w:eastAsiaTheme="minorEastAsia" w:cs="Calibri"/>
                <w:color w:val="000000"/>
                <w:szCs w:val="19"/>
                <w:lang w:eastAsia="en-AU"/>
              </w:rPr>
              <w:t>2 178</w:t>
            </w:r>
          </w:p>
        </w:tc>
        <w:tc>
          <w:tcPr>
            <w:tcW w:w="850" w:type="dxa"/>
            <w:tcBorders>
              <w:top w:val="nil"/>
              <w:left w:val="nil"/>
              <w:bottom w:val="nil"/>
              <w:right w:val="nil"/>
            </w:tcBorders>
          </w:tcPr>
          <w:p w:rsidR="00A46DCA" w:rsidRPr="00030844"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lang w:eastAsia="en-AU"/>
              </w:rPr>
            </w:pPr>
            <w:r w:rsidRPr="00030844">
              <w:rPr>
                <w:rFonts w:eastAsiaTheme="minorEastAsia" w:cs="Calibri"/>
                <w:color w:val="000000"/>
                <w:szCs w:val="19"/>
                <w:lang w:eastAsia="en-AU"/>
              </w:rPr>
              <w:t>2 250</w:t>
            </w:r>
          </w:p>
        </w:tc>
      </w:tr>
      <w:tr w:rsidR="00A46DCA" w:rsidRPr="00030844" w:rsidTr="00A26D04">
        <w:tc>
          <w:tcPr>
            <w:cnfStyle w:val="001000000000" w:firstRow="0" w:lastRow="0" w:firstColumn="1" w:lastColumn="0" w:oddVBand="0" w:evenVBand="0" w:oddHBand="0" w:evenHBand="0" w:firstRowFirstColumn="0" w:firstRowLastColumn="0" w:lastRowFirstColumn="0" w:lastRowLastColumn="0"/>
            <w:tcW w:w="4365" w:type="dxa"/>
            <w:tcBorders>
              <w:top w:val="nil"/>
              <w:left w:val="nil"/>
              <w:bottom w:val="nil"/>
              <w:right w:val="nil"/>
            </w:tcBorders>
          </w:tcPr>
          <w:p w:rsidR="00A46DCA" w:rsidRPr="00030844" w:rsidRDefault="00A46DCA" w:rsidP="00A26D04">
            <w:pPr>
              <w:keepLines w:val="0"/>
              <w:autoSpaceDE w:val="0"/>
              <w:autoSpaceDN w:val="0"/>
              <w:adjustRightInd w:val="0"/>
              <w:rPr>
                <w:rFonts w:eastAsiaTheme="minorEastAsia" w:cs="Calibri"/>
                <w:color w:val="000000"/>
                <w:szCs w:val="19"/>
                <w:lang w:eastAsia="en-AU"/>
              </w:rPr>
            </w:pPr>
            <w:r w:rsidRPr="00030844">
              <w:rPr>
                <w:rFonts w:eastAsiaTheme="minorEastAsia" w:cs="Calibri"/>
                <w:color w:val="000000"/>
                <w:szCs w:val="19"/>
                <w:lang w:eastAsia="en-AU"/>
              </w:rPr>
              <w:t>Sales of goods and services</w:t>
            </w:r>
          </w:p>
        </w:tc>
        <w:tc>
          <w:tcPr>
            <w:tcW w:w="850" w:type="dxa"/>
            <w:tcBorders>
              <w:top w:val="nil"/>
              <w:left w:val="nil"/>
              <w:bottom w:val="nil"/>
              <w:right w:val="nil"/>
            </w:tcBorders>
          </w:tcPr>
          <w:p w:rsidR="00A46DCA" w:rsidRPr="00030844"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lang w:eastAsia="en-AU"/>
              </w:rPr>
            </w:pPr>
            <w:r w:rsidRPr="00030844">
              <w:rPr>
                <w:rFonts w:eastAsiaTheme="minorEastAsia" w:cs="Calibri"/>
                <w:color w:val="000000"/>
                <w:szCs w:val="19"/>
                <w:lang w:eastAsia="en-AU"/>
              </w:rPr>
              <w:t>15 151</w:t>
            </w:r>
          </w:p>
        </w:tc>
        <w:tc>
          <w:tcPr>
            <w:tcW w:w="850" w:type="dxa"/>
            <w:tcBorders>
              <w:top w:val="nil"/>
              <w:left w:val="nil"/>
              <w:bottom w:val="nil"/>
              <w:right w:val="nil"/>
            </w:tcBorders>
          </w:tcPr>
          <w:p w:rsidR="00A46DCA" w:rsidRPr="00030844"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lang w:eastAsia="en-AU"/>
              </w:rPr>
            </w:pPr>
            <w:r w:rsidRPr="00030844">
              <w:rPr>
                <w:rFonts w:eastAsiaTheme="minorEastAsia" w:cs="Calibri"/>
                <w:color w:val="000000"/>
                <w:szCs w:val="19"/>
                <w:lang w:eastAsia="en-AU"/>
              </w:rPr>
              <w:t>15 486</w:t>
            </w:r>
          </w:p>
        </w:tc>
        <w:tc>
          <w:tcPr>
            <w:tcW w:w="850" w:type="dxa"/>
            <w:tcBorders>
              <w:top w:val="nil"/>
              <w:left w:val="nil"/>
              <w:bottom w:val="nil"/>
              <w:right w:val="nil"/>
            </w:tcBorders>
          </w:tcPr>
          <w:p w:rsidR="00A46DCA" w:rsidRPr="00030844"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lang w:eastAsia="en-AU"/>
              </w:rPr>
            </w:pPr>
            <w:r w:rsidRPr="00030844">
              <w:rPr>
                <w:rFonts w:eastAsiaTheme="minorEastAsia" w:cs="Calibri"/>
                <w:color w:val="000000"/>
                <w:szCs w:val="19"/>
                <w:lang w:eastAsia="en-AU"/>
              </w:rPr>
              <w:t>16 150</w:t>
            </w:r>
          </w:p>
        </w:tc>
        <w:tc>
          <w:tcPr>
            <w:tcW w:w="850" w:type="dxa"/>
            <w:tcBorders>
              <w:top w:val="nil"/>
              <w:left w:val="nil"/>
              <w:bottom w:val="nil"/>
              <w:right w:val="nil"/>
            </w:tcBorders>
          </w:tcPr>
          <w:p w:rsidR="00A46DCA" w:rsidRPr="00030844"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lang w:eastAsia="en-AU"/>
              </w:rPr>
            </w:pPr>
            <w:r w:rsidRPr="00030844">
              <w:rPr>
                <w:rFonts w:eastAsiaTheme="minorEastAsia" w:cs="Calibri"/>
                <w:color w:val="000000"/>
                <w:szCs w:val="19"/>
                <w:lang w:eastAsia="en-AU"/>
              </w:rPr>
              <w:t>17 175</w:t>
            </w:r>
          </w:p>
        </w:tc>
      </w:tr>
      <w:tr w:rsidR="00A46DCA" w:rsidRPr="00030844" w:rsidTr="00A26D04">
        <w:tc>
          <w:tcPr>
            <w:cnfStyle w:val="001000000000" w:firstRow="0" w:lastRow="0" w:firstColumn="1" w:lastColumn="0" w:oddVBand="0" w:evenVBand="0" w:oddHBand="0" w:evenHBand="0" w:firstRowFirstColumn="0" w:firstRowLastColumn="0" w:lastRowFirstColumn="0" w:lastRowLastColumn="0"/>
            <w:tcW w:w="4365" w:type="dxa"/>
            <w:tcBorders>
              <w:top w:val="nil"/>
              <w:left w:val="nil"/>
              <w:bottom w:val="nil"/>
              <w:right w:val="nil"/>
            </w:tcBorders>
          </w:tcPr>
          <w:p w:rsidR="00A46DCA" w:rsidRPr="00030844" w:rsidRDefault="00A46DCA" w:rsidP="00A26D04">
            <w:pPr>
              <w:keepLines w:val="0"/>
              <w:autoSpaceDE w:val="0"/>
              <w:autoSpaceDN w:val="0"/>
              <w:adjustRightInd w:val="0"/>
              <w:rPr>
                <w:rFonts w:eastAsiaTheme="minorEastAsia" w:cs="Calibri"/>
                <w:color w:val="000000"/>
                <w:szCs w:val="19"/>
                <w:lang w:eastAsia="en-AU"/>
              </w:rPr>
            </w:pPr>
            <w:r w:rsidRPr="00030844">
              <w:rPr>
                <w:rFonts w:eastAsiaTheme="minorEastAsia" w:cs="Calibri"/>
                <w:color w:val="000000"/>
                <w:szCs w:val="19"/>
                <w:lang w:eastAsia="en-AU"/>
              </w:rPr>
              <w:t>Grant revenue</w:t>
            </w:r>
          </w:p>
        </w:tc>
        <w:tc>
          <w:tcPr>
            <w:tcW w:w="850" w:type="dxa"/>
            <w:tcBorders>
              <w:top w:val="nil"/>
              <w:left w:val="nil"/>
              <w:bottom w:val="nil"/>
              <w:right w:val="nil"/>
            </w:tcBorders>
          </w:tcPr>
          <w:p w:rsidR="00A46DCA" w:rsidRPr="00030844"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lang w:eastAsia="en-AU"/>
              </w:rPr>
            </w:pPr>
            <w:r w:rsidRPr="00030844">
              <w:rPr>
                <w:rFonts w:eastAsiaTheme="minorEastAsia" w:cs="Calibri"/>
                <w:color w:val="000000"/>
                <w:szCs w:val="19"/>
                <w:lang w:eastAsia="en-AU"/>
              </w:rPr>
              <w:t>29 429</w:t>
            </w:r>
          </w:p>
        </w:tc>
        <w:tc>
          <w:tcPr>
            <w:tcW w:w="850" w:type="dxa"/>
            <w:tcBorders>
              <w:top w:val="nil"/>
              <w:left w:val="nil"/>
              <w:bottom w:val="nil"/>
              <w:right w:val="nil"/>
            </w:tcBorders>
          </w:tcPr>
          <w:p w:rsidR="00A46DCA" w:rsidRPr="00030844"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lang w:eastAsia="en-AU"/>
              </w:rPr>
            </w:pPr>
            <w:r w:rsidRPr="00030844">
              <w:rPr>
                <w:rFonts w:eastAsiaTheme="minorEastAsia" w:cs="Calibri"/>
                <w:color w:val="000000"/>
                <w:szCs w:val="19"/>
                <w:lang w:eastAsia="en-AU"/>
              </w:rPr>
              <w:t>31 536</w:t>
            </w:r>
          </w:p>
        </w:tc>
        <w:tc>
          <w:tcPr>
            <w:tcW w:w="850" w:type="dxa"/>
            <w:tcBorders>
              <w:top w:val="nil"/>
              <w:left w:val="nil"/>
              <w:bottom w:val="nil"/>
              <w:right w:val="nil"/>
            </w:tcBorders>
          </w:tcPr>
          <w:p w:rsidR="00A46DCA" w:rsidRPr="00030844"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lang w:eastAsia="en-AU"/>
              </w:rPr>
            </w:pPr>
            <w:r w:rsidRPr="00030844">
              <w:rPr>
                <w:rFonts w:eastAsiaTheme="minorEastAsia" w:cs="Calibri"/>
                <w:color w:val="000000"/>
                <w:szCs w:val="19"/>
                <w:lang w:eastAsia="en-AU"/>
              </w:rPr>
              <w:t>31 466</w:t>
            </w:r>
          </w:p>
        </w:tc>
        <w:tc>
          <w:tcPr>
            <w:tcW w:w="850" w:type="dxa"/>
            <w:tcBorders>
              <w:top w:val="nil"/>
              <w:left w:val="nil"/>
              <w:bottom w:val="nil"/>
              <w:right w:val="nil"/>
            </w:tcBorders>
          </w:tcPr>
          <w:p w:rsidR="00A46DCA" w:rsidRPr="00030844"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lang w:eastAsia="en-AU"/>
              </w:rPr>
            </w:pPr>
            <w:r w:rsidRPr="00030844">
              <w:rPr>
                <w:rFonts w:eastAsiaTheme="minorEastAsia" w:cs="Calibri"/>
                <w:color w:val="000000"/>
                <w:szCs w:val="19"/>
                <w:lang w:eastAsia="en-AU"/>
              </w:rPr>
              <w:t>32 736</w:t>
            </w:r>
          </w:p>
        </w:tc>
      </w:tr>
      <w:tr w:rsidR="00A46DCA" w:rsidRPr="00030844" w:rsidTr="00A26D04">
        <w:tc>
          <w:tcPr>
            <w:cnfStyle w:val="001000000000" w:firstRow="0" w:lastRow="0" w:firstColumn="1" w:lastColumn="0" w:oddVBand="0" w:evenVBand="0" w:oddHBand="0" w:evenHBand="0" w:firstRowFirstColumn="0" w:firstRowLastColumn="0" w:lastRowFirstColumn="0" w:lastRowLastColumn="0"/>
            <w:tcW w:w="4365" w:type="dxa"/>
            <w:tcBorders>
              <w:top w:val="nil"/>
              <w:left w:val="nil"/>
              <w:bottom w:val="single" w:sz="6" w:space="0" w:color="auto"/>
              <w:right w:val="nil"/>
            </w:tcBorders>
          </w:tcPr>
          <w:p w:rsidR="00A46DCA" w:rsidRPr="00030844" w:rsidRDefault="00A46DCA" w:rsidP="00A26D04">
            <w:pPr>
              <w:keepLines w:val="0"/>
              <w:autoSpaceDE w:val="0"/>
              <w:autoSpaceDN w:val="0"/>
              <w:adjustRightInd w:val="0"/>
              <w:rPr>
                <w:rFonts w:eastAsiaTheme="minorEastAsia" w:cs="Calibri"/>
                <w:color w:val="000000"/>
                <w:szCs w:val="19"/>
                <w:lang w:eastAsia="en-AU"/>
              </w:rPr>
            </w:pPr>
            <w:r w:rsidRPr="00030844">
              <w:rPr>
                <w:rFonts w:eastAsiaTheme="minorEastAsia" w:cs="Calibri"/>
                <w:color w:val="000000"/>
                <w:szCs w:val="19"/>
                <w:lang w:eastAsia="en-AU"/>
              </w:rPr>
              <w:t>Other current revenue</w:t>
            </w:r>
          </w:p>
        </w:tc>
        <w:tc>
          <w:tcPr>
            <w:tcW w:w="850" w:type="dxa"/>
            <w:tcBorders>
              <w:top w:val="nil"/>
              <w:left w:val="nil"/>
              <w:bottom w:val="single" w:sz="6" w:space="0" w:color="auto"/>
              <w:right w:val="nil"/>
            </w:tcBorders>
          </w:tcPr>
          <w:p w:rsidR="00A46DCA" w:rsidRPr="00030844"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lang w:eastAsia="en-AU"/>
              </w:rPr>
            </w:pPr>
            <w:r w:rsidRPr="00030844">
              <w:rPr>
                <w:rFonts w:eastAsiaTheme="minorEastAsia" w:cs="Calibri"/>
                <w:color w:val="000000"/>
                <w:szCs w:val="19"/>
                <w:lang w:eastAsia="en-AU"/>
              </w:rPr>
              <w:t>3 206</w:t>
            </w:r>
          </w:p>
        </w:tc>
        <w:tc>
          <w:tcPr>
            <w:tcW w:w="850" w:type="dxa"/>
            <w:tcBorders>
              <w:top w:val="nil"/>
              <w:left w:val="nil"/>
              <w:bottom w:val="single" w:sz="6" w:space="0" w:color="auto"/>
              <w:right w:val="nil"/>
            </w:tcBorders>
          </w:tcPr>
          <w:p w:rsidR="00A46DCA" w:rsidRPr="00030844"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lang w:eastAsia="en-AU"/>
              </w:rPr>
            </w:pPr>
            <w:r w:rsidRPr="00030844">
              <w:rPr>
                <w:rFonts w:eastAsiaTheme="minorEastAsia" w:cs="Calibri"/>
                <w:color w:val="000000"/>
                <w:szCs w:val="19"/>
                <w:lang w:eastAsia="en-AU"/>
              </w:rPr>
              <w:t>3 291</w:t>
            </w:r>
          </w:p>
        </w:tc>
        <w:tc>
          <w:tcPr>
            <w:tcW w:w="850" w:type="dxa"/>
            <w:tcBorders>
              <w:top w:val="nil"/>
              <w:left w:val="nil"/>
              <w:bottom w:val="single" w:sz="6" w:space="0" w:color="auto"/>
              <w:right w:val="nil"/>
            </w:tcBorders>
          </w:tcPr>
          <w:p w:rsidR="00A46DCA" w:rsidRPr="00030844"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lang w:eastAsia="en-AU"/>
              </w:rPr>
            </w:pPr>
            <w:r w:rsidRPr="00030844">
              <w:rPr>
                <w:rFonts w:eastAsiaTheme="minorEastAsia" w:cs="Calibri"/>
                <w:color w:val="000000"/>
                <w:szCs w:val="19"/>
                <w:lang w:eastAsia="en-AU"/>
              </w:rPr>
              <w:t>3 240</w:t>
            </w:r>
          </w:p>
        </w:tc>
        <w:tc>
          <w:tcPr>
            <w:tcW w:w="850" w:type="dxa"/>
            <w:tcBorders>
              <w:top w:val="nil"/>
              <w:left w:val="nil"/>
              <w:bottom w:val="single" w:sz="6" w:space="0" w:color="auto"/>
              <w:right w:val="nil"/>
            </w:tcBorders>
          </w:tcPr>
          <w:p w:rsidR="00A46DCA" w:rsidRPr="00030844"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lang w:eastAsia="en-AU"/>
              </w:rPr>
            </w:pPr>
            <w:r w:rsidRPr="00030844">
              <w:rPr>
                <w:rFonts w:eastAsiaTheme="minorEastAsia" w:cs="Calibri"/>
                <w:color w:val="000000"/>
                <w:szCs w:val="19"/>
                <w:lang w:eastAsia="en-AU"/>
              </w:rPr>
              <w:t>3 302</w:t>
            </w:r>
          </w:p>
        </w:tc>
      </w:tr>
      <w:tr w:rsidR="00A46DCA" w:rsidRPr="00030844" w:rsidTr="00A26D04">
        <w:tc>
          <w:tcPr>
            <w:cnfStyle w:val="001000000000" w:firstRow="0" w:lastRow="0" w:firstColumn="1" w:lastColumn="0" w:oddVBand="0" w:evenVBand="0" w:oddHBand="0" w:evenHBand="0" w:firstRowFirstColumn="0" w:firstRowLastColumn="0" w:lastRowFirstColumn="0" w:lastRowLastColumn="0"/>
            <w:tcW w:w="4365" w:type="dxa"/>
            <w:tcBorders>
              <w:top w:val="nil"/>
              <w:left w:val="nil"/>
              <w:bottom w:val="nil"/>
              <w:right w:val="nil"/>
            </w:tcBorders>
          </w:tcPr>
          <w:p w:rsidR="00A46DCA" w:rsidRPr="00030844" w:rsidRDefault="00A46DCA" w:rsidP="00A26D04">
            <w:pPr>
              <w:keepLines w:val="0"/>
              <w:autoSpaceDE w:val="0"/>
              <w:autoSpaceDN w:val="0"/>
              <w:adjustRightInd w:val="0"/>
              <w:rPr>
                <w:rFonts w:eastAsiaTheme="minorEastAsia" w:cs="Calibri"/>
                <w:b/>
                <w:bCs/>
                <w:color w:val="000000"/>
                <w:szCs w:val="19"/>
                <w:lang w:eastAsia="en-AU"/>
              </w:rPr>
            </w:pPr>
            <w:r w:rsidRPr="00030844">
              <w:rPr>
                <w:rFonts w:eastAsiaTheme="minorEastAsia" w:cs="Calibri"/>
                <w:b/>
                <w:bCs/>
                <w:color w:val="000000"/>
                <w:szCs w:val="19"/>
                <w:lang w:eastAsia="en-AU"/>
              </w:rPr>
              <w:t>Total revenue</w:t>
            </w:r>
          </w:p>
        </w:tc>
        <w:tc>
          <w:tcPr>
            <w:tcW w:w="850" w:type="dxa"/>
            <w:tcBorders>
              <w:top w:val="nil"/>
              <w:left w:val="nil"/>
              <w:bottom w:val="nil"/>
              <w:right w:val="nil"/>
            </w:tcBorders>
          </w:tcPr>
          <w:p w:rsidR="00A46DCA" w:rsidRPr="00030844"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9"/>
                <w:lang w:eastAsia="en-AU"/>
              </w:rPr>
            </w:pPr>
            <w:r w:rsidRPr="00030844">
              <w:rPr>
                <w:rFonts w:eastAsiaTheme="minorEastAsia" w:cs="Calibri"/>
                <w:b/>
                <w:bCs/>
                <w:color w:val="000000"/>
                <w:szCs w:val="19"/>
                <w:lang w:eastAsia="en-AU"/>
              </w:rPr>
              <w:t>71 594</w:t>
            </w:r>
          </w:p>
        </w:tc>
        <w:tc>
          <w:tcPr>
            <w:tcW w:w="850" w:type="dxa"/>
            <w:tcBorders>
              <w:top w:val="nil"/>
              <w:left w:val="nil"/>
              <w:bottom w:val="nil"/>
              <w:right w:val="nil"/>
            </w:tcBorders>
          </w:tcPr>
          <w:p w:rsidR="00A46DCA" w:rsidRPr="00030844"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9"/>
                <w:lang w:eastAsia="en-AU"/>
              </w:rPr>
            </w:pPr>
            <w:r w:rsidRPr="00030844">
              <w:rPr>
                <w:rFonts w:eastAsiaTheme="minorEastAsia" w:cs="Calibri"/>
                <w:b/>
                <w:bCs/>
                <w:color w:val="000000"/>
                <w:szCs w:val="19"/>
                <w:lang w:eastAsia="en-AU"/>
              </w:rPr>
              <w:t>75 676</w:t>
            </w:r>
          </w:p>
        </w:tc>
        <w:tc>
          <w:tcPr>
            <w:tcW w:w="850" w:type="dxa"/>
            <w:tcBorders>
              <w:top w:val="nil"/>
              <w:left w:val="nil"/>
              <w:bottom w:val="nil"/>
              <w:right w:val="nil"/>
            </w:tcBorders>
          </w:tcPr>
          <w:p w:rsidR="00A46DCA" w:rsidRPr="00030844"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9"/>
                <w:lang w:eastAsia="en-AU"/>
              </w:rPr>
            </w:pPr>
            <w:r w:rsidRPr="00030844">
              <w:rPr>
                <w:rFonts w:eastAsiaTheme="minorEastAsia" w:cs="Calibri"/>
                <w:b/>
                <w:bCs/>
                <w:color w:val="000000"/>
                <w:szCs w:val="19"/>
                <w:lang w:eastAsia="en-AU"/>
              </w:rPr>
              <w:t>77 494</w:t>
            </w:r>
          </w:p>
        </w:tc>
        <w:tc>
          <w:tcPr>
            <w:tcW w:w="850" w:type="dxa"/>
            <w:tcBorders>
              <w:top w:val="nil"/>
              <w:left w:val="nil"/>
              <w:bottom w:val="nil"/>
              <w:right w:val="nil"/>
            </w:tcBorders>
          </w:tcPr>
          <w:p w:rsidR="00A46DCA" w:rsidRPr="00030844"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9"/>
                <w:lang w:eastAsia="en-AU"/>
              </w:rPr>
            </w:pPr>
            <w:r w:rsidRPr="00030844">
              <w:rPr>
                <w:rFonts w:eastAsiaTheme="minorEastAsia" w:cs="Calibri"/>
                <w:b/>
                <w:bCs/>
                <w:color w:val="000000"/>
                <w:szCs w:val="19"/>
                <w:lang w:eastAsia="en-AU"/>
              </w:rPr>
              <w:t>80 911</w:t>
            </w:r>
          </w:p>
        </w:tc>
      </w:tr>
      <w:tr w:rsidR="00A46DCA" w:rsidRPr="00030844" w:rsidTr="00A26D04">
        <w:tc>
          <w:tcPr>
            <w:cnfStyle w:val="001000000000" w:firstRow="0" w:lastRow="0" w:firstColumn="1" w:lastColumn="0" w:oddVBand="0" w:evenVBand="0" w:oddHBand="0" w:evenHBand="0" w:firstRowFirstColumn="0" w:firstRowLastColumn="0" w:lastRowFirstColumn="0" w:lastRowLastColumn="0"/>
            <w:tcW w:w="4365" w:type="dxa"/>
            <w:tcBorders>
              <w:top w:val="nil"/>
              <w:left w:val="nil"/>
              <w:bottom w:val="nil"/>
              <w:right w:val="nil"/>
            </w:tcBorders>
          </w:tcPr>
          <w:p w:rsidR="00A46DCA" w:rsidRPr="00030844" w:rsidRDefault="00A46DCA" w:rsidP="00A26D04">
            <w:pPr>
              <w:keepLines w:val="0"/>
              <w:autoSpaceDE w:val="0"/>
              <w:autoSpaceDN w:val="0"/>
              <w:adjustRightInd w:val="0"/>
              <w:rPr>
                <w:rFonts w:eastAsiaTheme="minorEastAsia" w:cs="Calibri"/>
                <w:i/>
                <w:iCs/>
                <w:color w:val="000000"/>
                <w:szCs w:val="19"/>
                <w:vertAlign w:val="superscript"/>
                <w:lang w:eastAsia="en-AU"/>
              </w:rPr>
            </w:pPr>
            <w:r w:rsidRPr="00030844">
              <w:rPr>
                <w:rFonts w:eastAsiaTheme="minorEastAsia" w:cs="Calibri"/>
                <w:i/>
                <w:iCs/>
                <w:color w:val="000000"/>
                <w:szCs w:val="19"/>
                <w:lang w:eastAsia="en-AU"/>
              </w:rPr>
              <w:t xml:space="preserve">% change </w:t>
            </w:r>
            <w:r w:rsidRPr="00030844">
              <w:rPr>
                <w:rFonts w:eastAsiaTheme="minorEastAsia" w:cs="Calibri"/>
                <w:i/>
                <w:iCs/>
                <w:color w:val="000000"/>
                <w:szCs w:val="19"/>
                <w:vertAlign w:val="superscript"/>
                <w:lang w:eastAsia="en-AU"/>
              </w:rPr>
              <w:t>(b)</w:t>
            </w:r>
          </w:p>
        </w:tc>
        <w:tc>
          <w:tcPr>
            <w:tcW w:w="850" w:type="dxa"/>
            <w:tcBorders>
              <w:top w:val="nil"/>
              <w:left w:val="nil"/>
              <w:bottom w:val="nil"/>
              <w:right w:val="nil"/>
            </w:tcBorders>
          </w:tcPr>
          <w:p w:rsidR="00A46DCA" w:rsidRPr="00030844"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sidRPr="00030844">
              <w:rPr>
                <w:rFonts w:eastAsiaTheme="minorEastAsia" w:cs="Calibri"/>
                <w:color w:val="000000"/>
                <w:szCs w:val="19"/>
                <w:lang w:eastAsia="en-AU"/>
              </w:rPr>
              <w:t>5.2</w:t>
            </w:r>
          </w:p>
        </w:tc>
        <w:tc>
          <w:tcPr>
            <w:tcW w:w="850" w:type="dxa"/>
            <w:tcBorders>
              <w:top w:val="nil"/>
              <w:left w:val="nil"/>
              <w:bottom w:val="nil"/>
              <w:right w:val="nil"/>
            </w:tcBorders>
          </w:tcPr>
          <w:p w:rsidR="00A46DCA" w:rsidRPr="00030844"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lang w:eastAsia="en-AU"/>
              </w:rPr>
            </w:pPr>
            <w:r w:rsidRPr="00030844">
              <w:rPr>
                <w:rFonts w:eastAsiaTheme="minorEastAsia" w:cs="Calibri"/>
                <w:color w:val="000000"/>
                <w:szCs w:val="19"/>
                <w:lang w:eastAsia="en-AU"/>
              </w:rPr>
              <w:t>5.7</w:t>
            </w:r>
          </w:p>
        </w:tc>
        <w:tc>
          <w:tcPr>
            <w:tcW w:w="850" w:type="dxa"/>
            <w:tcBorders>
              <w:top w:val="nil"/>
              <w:left w:val="nil"/>
              <w:bottom w:val="nil"/>
              <w:right w:val="nil"/>
            </w:tcBorders>
          </w:tcPr>
          <w:p w:rsidR="00A46DCA" w:rsidRPr="00030844"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lang w:eastAsia="en-AU"/>
              </w:rPr>
            </w:pPr>
            <w:r w:rsidRPr="00030844">
              <w:rPr>
                <w:rFonts w:eastAsiaTheme="minorEastAsia" w:cs="Calibri"/>
                <w:color w:val="000000"/>
                <w:szCs w:val="19"/>
                <w:lang w:eastAsia="en-AU"/>
              </w:rPr>
              <w:t>2.4</w:t>
            </w:r>
          </w:p>
        </w:tc>
        <w:tc>
          <w:tcPr>
            <w:tcW w:w="850" w:type="dxa"/>
            <w:tcBorders>
              <w:top w:val="nil"/>
              <w:left w:val="nil"/>
              <w:bottom w:val="nil"/>
              <w:right w:val="nil"/>
            </w:tcBorders>
          </w:tcPr>
          <w:p w:rsidR="00A46DCA" w:rsidRPr="00030844"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lang w:eastAsia="en-AU"/>
              </w:rPr>
            </w:pPr>
            <w:r w:rsidRPr="00030844">
              <w:rPr>
                <w:rFonts w:eastAsiaTheme="minorEastAsia" w:cs="Calibri"/>
                <w:color w:val="000000"/>
                <w:szCs w:val="19"/>
                <w:lang w:eastAsia="en-AU"/>
              </w:rPr>
              <w:t>4.4</w:t>
            </w:r>
          </w:p>
        </w:tc>
      </w:tr>
      <w:tr w:rsidR="00A46DCA" w:rsidRPr="00030844" w:rsidTr="00A26D04">
        <w:tc>
          <w:tcPr>
            <w:cnfStyle w:val="001000000000" w:firstRow="0" w:lastRow="0" w:firstColumn="1" w:lastColumn="0" w:oddVBand="0" w:evenVBand="0" w:oddHBand="0" w:evenHBand="0" w:firstRowFirstColumn="0" w:firstRowLastColumn="0" w:lastRowFirstColumn="0" w:lastRowLastColumn="0"/>
            <w:tcW w:w="4365" w:type="dxa"/>
            <w:tcBorders>
              <w:top w:val="nil"/>
              <w:left w:val="nil"/>
              <w:bottom w:val="nil"/>
              <w:right w:val="nil"/>
            </w:tcBorders>
          </w:tcPr>
          <w:p w:rsidR="00A46DCA" w:rsidRPr="00030844" w:rsidRDefault="00A46DCA" w:rsidP="00A26D04">
            <w:pPr>
              <w:keepLines w:val="0"/>
              <w:autoSpaceDE w:val="0"/>
              <w:autoSpaceDN w:val="0"/>
              <w:adjustRightInd w:val="0"/>
              <w:rPr>
                <w:rFonts w:eastAsiaTheme="minorEastAsia" w:cs="Calibri"/>
                <w:b/>
                <w:bCs/>
                <w:color w:val="000000"/>
                <w:szCs w:val="19"/>
                <w:lang w:eastAsia="en-AU"/>
              </w:rPr>
            </w:pPr>
            <w:r w:rsidRPr="00030844">
              <w:rPr>
                <w:rFonts w:eastAsiaTheme="minorEastAsia" w:cs="Calibri"/>
                <w:b/>
                <w:bCs/>
                <w:color w:val="000000"/>
                <w:szCs w:val="19"/>
                <w:lang w:eastAsia="en-AU"/>
              </w:rPr>
              <w:t>Expenses</w:t>
            </w:r>
          </w:p>
        </w:tc>
        <w:tc>
          <w:tcPr>
            <w:tcW w:w="850" w:type="dxa"/>
            <w:tcBorders>
              <w:top w:val="nil"/>
              <w:left w:val="nil"/>
              <w:bottom w:val="nil"/>
              <w:right w:val="nil"/>
            </w:tcBorders>
          </w:tcPr>
          <w:p w:rsidR="00A46DCA" w:rsidRPr="00030844"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sidRPr="00030844">
              <w:rPr>
                <w:rFonts w:eastAsiaTheme="minorEastAsia" w:cs="Calibri"/>
                <w:color w:val="000000"/>
                <w:szCs w:val="19"/>
                <w:lang w:eastAsia="en-AU"/>
              </w:rPr>
              <w:t xml:space="preserve"> </w:t>
            </w:r>
          </w:p>
        </w:tc>
        <w:tc>
          <w:tcPr>
            <w:tcW w:w="850" w:type="dxa"/>
            <w:tcBorders>
              <w:top w:val="nil"/>
              <w:left w:val="nil"/>
              <w:bottom w:val="nil"/>
              <w:right w:val="nil"/>
            </w:tcBorders>
          </w:tcPr>
          <w:p w:rsidR="00A46DCA" w:rsidRPr="00030844"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lang w:eastAsia="en-AU"/>
              </w:rPr>
            </w:pPr>
            <w:r w:rsidRPr="00030844">
              <w:rPr>
                <w:rFonts w:eastAsiaTheme="minorEastAsia" w:cs="Calibri"/>
                <w:color w:val="000000"/>
                <w:szCs w:val="19"/>
                <w:lang w:eastAsia="en-AU"/>
              </w:rPr>
              <w:t xml:space="preserve"> </w:t>
            </w:r>
          </w:p>
        </w:tc>
        <w:tc>
          <w:tcPr>
            <w:tcW w:w="850" w:type="dxa"/>
            <w:tcBorders>
              <w:top w:val="nil"/>
              <w:left w:val="nil"/>
              <w:bottom w:val="nil"/>
              <w:right w:val="nil"/>
            </w:tcBorders>
          </w:tcPr>
          <w:p w:rsidR="00A46DCA" w:rsidRPr="00030844"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lang w:eastAsia="en-AU"/>
              </w:rPr>
            </w:pPr>
            <w:r w:rsidRPr="00030844">
              <w:rPr>
                <w:rFonts w:eastAsiaTheme="minorEastAsia" w:cs="Calibri"/>
                <w:color w:val="000000"/>
                <w:szCs w:val="19"/>
                <w:lang w:eastAsia="en-AU"/>
              </w:rPr>
              <w:t xml:space="preserve"> </w:t>
            </w:r>
          </w:p>
        </w:tc>
        <w:tc>
          <w:tcPr>
            <w:tcW w:w="850" w:type="dxa"/>
            <w:tcBorders>
              <w:top w:val="nil"/>
              <w:left w:val="nil"/>
              <w:bottom w:val="nil"/>
              <w:right w:val="nil"/>
            </w:tcBorders>
          </w:tcPr>
          <w:p w:rsidR="00A46DCA" w:rsidRPr="00030844"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lang w:eastAsia="en-AU"/>
              </w:rPr>
            </w:pPr>
            <w:r w:rsidRPr="00030844">
              <w:rPr>
                <w:rFonts w:eastAsiaTheme="minorEastAsia" w:cs="Calibri"/>
                <w:color w:val="000000"/>
                <w:szCs w:val="19"/>
                <w:lang w:eastAsia="en-AU"/>
              </w:rPr>
              <w:t xml:space="preserve"> </w:t>
            </w:r>
          </w:p>
        </w:tc>
      </w:tr>
      <w:tr w:rsidR="00A46DCA" w:rsidRPr="00030844" w:rsidTr="00A26D04">
        <w:tc>
          <w:tcPr>
            <w:cnfStyle w:val="001000000000" w:firstRow="0" w:lastRow="0" w:firstColumn="1" w:lastColumn="0" w:oddVBand="0" w:evenVBand="0" w:oddHBand="0" w:evenHBand="0" w:firstRowFirstColumn="0" w:firstRowLastColumn="0" w:lastRowFirstColumn="0" w:lastRowLastColumn="0"/>
            <w:tcW w:w="4365" w:type="dxa"/>
            <w:tcBorders>
              <w:top w:val="nil"/>
              <w:left w:val="nil"/>
              <w:bottom w:val="nil"/>
              <w:right w:val="nil"/>
            </w:tcBorders>
          </w:tcPr>
          <w:p w:rsidR="00A46DCA" w:rsidRPr="00030844" w:rsidRDefault="00A46DCA" w:rsidP="00A26D04">
            <w:pPr>
              <w:keepLines w:val="0"/>
              <w:autoSpaceDE w:val="0"/>
              <w:autoSpaceDN w:val="0"/>
              <w:adjustRightInd w:val="0"/>
              <w:rPr>
                <w:rFonts w:eastAsiaTheme="minorEastAsia" w:cs="Calibri"/>
                <w:color w:val="000000"/>
                <w:szCs w:val="19"/>
                <w:lang w:eastAsia="en-AU"/>
              </w:rPr>
            </w:pPr>
            <w:r w:rsidRPr="00030844">
              <w:rPr>
                <w:rFonts w:eastAsiaTheme="minorEastAsia" w:cs="Calibri"/>
                <w:color w:val="000000"/>
                <w:szCs w:val="19"/>
                <w:lang w:eastAsia="en-AU"/>
              </w:rPr>
              <w:t>Employee expenses</w:t>
            </w:r>
          </w:p>
        </w:tc>
        <w:tc>
          <w:tcPr>
            <w:tcW w:w="850" w:type="dxa"/>
            <w:tcBorders>
              <w:top w:val="nil"/>
              <w:left w:val="nil"/>
              <w:bottom w:val="nil"/>
              <w:right w:val="nil"/>
            </w:tcBorders>
          </w:tcPr>
          <w:p w:rsidR="00A46DCA" w:rsidRPr="00030844"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lang w:eastAsia="en-AU"/>
              </w:rPr>
            </w:pPr>
            <w:r w:rsidRPr="00030844">
              <w:rPr>
                <w:rFonts w:eastAsiaTheme="minorEastAsia" w:cs="Calibri"/>
                <w:color w:val="000000"/>
                <w:szCs w:val="19"/>
                <w:lang w:eastAsia="en-AU"/>
              </w:rPr>
              <w:t>24 272</w:t>
            </w:r>
          </w:p>
        </w:tc>
        <w:tc>
          <w:tcPr>
            <w:tcW w:w="850" w:type="dxa"/>
            <w:tcBorders>
              <w:top w:val="nil"/>
              <w:left w:val="nil"/>
              <w:bottom w:val="nil"/>
              <w:right w:val="nil"/>
            </w:tcBorders>
          </w:tcPr>
          <w:p w:rsidR="00A46DCA" w:rsidRPr="00030844"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lang w:eastAsia="en-AU"/>
              </w:rPr>
            </w:pPr>
            <w:r w:rsidRPr="00030844">
              <w:rPr>
                <w:rFonts w:eastAsiaTheme="minorEastAsia" w:cs="Calibri"/>
                <w:color w:val="000000"/>
                <w:szCs w:val="19"/>
                <w:lang w:eastAsia="en-AU"/>
              </w:rPr>
              <w:t>25 795</w:t>
            </w:r>
          </w:p>
        </w:tc>
        <w:tc>
          <w:tcPr>
            <w:tcW w:w="850" w:type="dxa"/>
            <w:tcBorders>
              <w:top w:val="nil"/>
              <w:left w:val="nil"/>
              <w:bottom w:val="nil"/>
              <w:right w:val="nil"/>
            </w:tcBorders>
          </w:tcPr>
          <w:p w:rsidR="00A46DCA" w:rsidRPr="00030844"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lang w:eastAsia="en-AU"/>
              </w:rPr>
            </w:pPr>
            <w:r w:rsidRPr="00030844">
              <w:rPr>
                <w:rFonts w:eastAsiaTheme="minorEastAsia" w:cs="Calibri"/>
                <w:color w:val="000000"/>
                <w:szCs w:val="19"/>
                <w:lang w:eastAsia="en-AU"/>
              </w:rPr>
              <w:t>26 328</w:t>
            </w:r>
          </w:p>
        </w:tc>
        <w:tc>
          <w:tcPr>
            <w:tcW w:w="850" w:type="dxa"/>
            <w:tcBorders>
              <w:top w:val="nil"/>
              <w:left w:val="nil"/>
              <w:bottom w:val="nil"/>
              <w:right w:val="nil"/>
            </w:tcBorders>
          </w:tcPr>
          <w:p w:rsidR="00A46DCA" w:rsidRPr="00030844"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lang w:eastAsia="en-AU"/>
              </w:rPr>
            </w:pPr>
            <w:r w:rsidRPr="00030844">
              <w:rPr>
                <w:rFonts w:eastAsiaTheme="minorEastAsia" w:cs="Calibri"/>
                <w:color w:val="000000"/>
                <w:szCs w:val="19"/>
                <w:lang w:eastAsia="en-AU"/>
              </w:rPr>
              <w:t>27 154</w:t>
            </w:r>
          </w:p>
        </w:tc>
      </w:tr>
      <w:tr w:rsidR="00A46DCA" w:rsidRPr="00030844" w:rsidTr="00A26D04">
        <w:tc>
          <w:tcPr>
            <w:cnfStyle w:val="001000000000" w:firstRow="0" w:lastRow="0" w:firstColumn="1" w:lastColumn="0" w:oddVBand="0" w:evenVBand="0" w:oddHBand="0" w:evenHBand="0" w:firstRowFirstColumn="0" w:firstRowLastColumn="0" w:lastRowFirstColumn="0" w:lastRowLastColumn="0"/>
            <w:tcW w:w="4365" w:type="dxa"/>
            <w:tcBorders>
              <w:top w:val="nil"/>
              <w:left w:val="nil"/>
              <w:bottom w:val="nil"/>
              <w:right w:val="nil"/>
            </w:tcBorders>
          </w:tcPr>
          <w:p w:rsidR="00A46DCA" w:rsidRPr="00030844" w:rsidRDefault="00A46DCA" w:rsidP="00A26D04">
            <w:pPr>
              <w:keepLines w:val="0"/>
              <w:autoSpaceDE w:val="0"/>
              <w:autoSpaceDN w:val="0"/>
              <w:adjustRightInd w:val="0"/>
              <w:rPr>
                <w:rFonts w:eastAsiaTheme="minorEastAsia" w:cs="Calibri"/>
                <w:color w:val="000000"/>
                <w:szCs w:val="19"/>
                <w:vertAlign w:val="superscript"/>
                <w:lang w:eastAsia="en-AU"/>
              </w:rPr>
            </w:pPr>
            <w:r w:rsidRPr="00030844">
              <w:rPr>
                <w:rFonts w:eastAsiaTheme="minorEastAsia" w:cs="Calibri"/>
                <w:color w:val="000000"/>
                <w:szCs w:val="19"/>
                <w:lang w:eastAsia="en-AU"/>
              </w:rPr>
              <w:t xml:space="preserve">Superannuation </w:t>
            </w:r>
            <w:r w:rsidRPr="00030844">
              <w:rPr>
                <w:rFonts w:eastAsiaTheme="minorEastAsia" w:cs="Calibri"/>
                <w:color w:val="000000"/>
                <w:szCs w:val="19"/>
                <w:vertAlign w:val="superscript"/>
                <w:lang w:eastAsia="en-AU"/>
              </w:rPr>
              <w:t>(c)</w:t>
            </w:r>
          </w:p>
        </w:tc>
        <w:tc>
          <w:tcPr>
            <w:tcW w:w="850" w:type="dxa"/>
            <w:tcBorders>
              <w:top w:val="nil"/>
              <w:left w:val="nil"/>
              <w:bottom w:val="nil"/>
              <w:right w:val="nil"/>
            </w:tcBorders>
          </w:tcPr>
          <w:p w:rsidR="00A46DCA" w:rsidRPr="00030844"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lang w:eastAsia="en-AU"/>
              </w:rPr>
            </w:pPr>
            <w:r w:rsidRPr="00030844">
              <w:rPr>
                <w:rFonts w:eastAsiaTheme="minorEastAsia" w:cs="Calibri"/>
                <w:color w:val="000000"/>
                <w:szCs w:val="19"/>
                <w:lang w:eastAsia="en-AU"/>
              </w:rPr>
              <w:t>3 355</w:t>
            </w:r>
          </w:p>
        </w:tc>
        <w:tc>
          <w:tcPr>
            <w:tcW w:w="850" w:type="dxa"/>
            <w:tcBorders>
              <w:top w:val="nil"/>
              <w:left w:val="nil"/>
              <w:bottom w:val="nil"/>
              <w:right w:val="nil"/>
            </w:tcBorders>
          </w:tcPr>
          <w:p w:rsidR="00A46DCA" w:rsidRPr="00030844"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lang w:eastAsia="en-AU"/>
              </w:rPr>
            </w:pPr>
            <w:r w:rsidRPr="00030844">
              <w:rPr>
                <w:rFonts w:eastAsiaTheme="minorEastAsia" w:cs="Calibri"/>
                <w:color w:val="000000"/>
                <w:szCs w:val="19"/>
                <w:lang w:eastAsia="en-AU"/>
              </w:rPr>
              <w:t>3 349</w:t>
            </w:r>
          </w:p>
        </w:tc>
        <w:tc>
          <w:tcPr>
            <w:tcW w:w="850" w:type="dxa"/>
            <w:tcBorders>
              <w:top w:val="nil"/>
              <w:left w:val="nil"/>
              <w:bottom w:val="nil"/>
              <w:right w:val="nil"/>
            </w:tcBorders>
          </w:tcPr>
          <w:p w:rsidR="00A46DCA" w:rsidRPr="00030844"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lang w:eastAsia="en-AU"/>
              </w:rPr>
            </w:pPr>
            <w:r w:rsidRPr="00030844">
              <w:rPr>
                <w:rFonts w:eastAsiaTheme="minorEastAsia" w:cs="Calibri"/>
                <w:color w:val="000000"/>
                <w:szCs w:val="19"/>
                <w:lang w:eastAsia="en-AU"/>
              </w:rPr>
              <w:t>3 387</w:t>
            </w:r>
          </w:p>
        </w:tc>
        <w:tc>
          <w:tcPr>
            <w:tcW w:w="850" w:type="dxa"/>
            <w:tcBorders>
              <w:top w:val="nil"/>
              <w:left w:val="nil"/>
              <w:bottom w:val="nil"/>
              <w:right w:val="nil"/>
            </w:tcBorders>
          </w:tcPr>
          <w:p w:rsidR="00A46DCA" w:rsidRPr="00030844"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lang w:eastAsia="en-AU"/>
              </w:rPr>
            </w:pPr>
            <w:r w:rsidRPr="00030844">
              <w:rPr>
                <w:rFonts w:eastAsiaTheme="minorEastAsia" w:cs="Calibri"/>
                <w:color w:val="000000"/>
                <w:szCs w:val="19"/>
                <w:lang w:eastAsia="en-AU"/>
              </w:rPr>
              <w:t>3 404</w:t>
            </w:r>
          </w:p>
        </w:tc>
      </w:tr>
      <w:tr w:rsidR="00A46DCA" w:rsidRPr="00030844" w:rsidTr="00A26D04">
        <w:tc>
          <w:tcPr>
            <w:cnfStyle w:val="001000000000" w:firstRow="0" w:lastRow="0" w:firstColumn="1" w:lastColumn="0" w:oddVBand="0" w:evenVBand="0" w:oddHBand="0" w:evenHBand="0" w:firstRowFirstColumn="0" w:firstRowLastColumn="0" w:lastRowFirstColumn="0" w:lastRowLastColumn="0"/>
            <w:tcW w:w="4365" w:type="dxa"/>
            <w:tcBorders>
              <w:top w:val="nil"/>
              <w:left w:val="nil"/>
              <w:bottom w:val="nil"/>
              <w:right w:val="nil"/>
            </w:tcBorders>
          </w:tcPr>
          <w:p w:rsidR="00A46DCA" w:rsidRPr="00030844" w:rsidRDefault="00A46DCA" w:rsidP="00A26D04">
            <w:pPr>
              <w:keepLines w:val="0"/>
              <w:autoSpaceDE w:val="0"/>
              <w:autoSpaceDN w:val="0"/>
              <w:adjustRightInd w:val="0"/>
              <w:rPr>
                <w:rFonts w:eastAsiaTheme="minorEastAsia" w:cs="Calibri"/>
                <w:color w:val="000000"/>
                <w:szCs w:val="19"/>
                <w:lang w:eastAsia="en-AU"/>
              </w:rPr>
            </w:pPr>
            <w:r w:rsidRPr="00030844">
              <w:rPr>
                <w:rFonts w:eastAsiaTheme="minorEastAsia" w:cs="Calibri"/>
                <w:color w:val="000000"/>
                <w:szCs w:val="19"/>
                <w:lang w:eastAsia="en-AU"/>
              </w:rPr>
              <w:t xml:space="preserve">Depreciation </w:t>
            </w:r>
          </w:p>
        </w:tc>
        <w:tc>
          <w:tcPr>
            <w:tcW w:w="850" w:type="dxa"/>
            <w:tcBorders>
              <w:top w:val="nil"/>
              <w:left w:val="nil"/>
              <w:bottom w:val="nil"/>
              <w:right w:val="nil"/>
            </w:tcBorders>
          </w:tcPr>
          <w:p w:rsidR="00A46DCA" w:rsidRPr="00030844"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lang w:eastAsia="en-AU"/>
              </w:rPr>
            </w:pPr>
            <w:r w:rsidRPr="00030844">
              <w:rPr>
                <w:rFonts w:eastAsiaTheme="minorEastAsia" w:cs="Calibri"/>
                <w:color w:val="000000"/>
                <w:szCs w:val="19"/>
                <w:lang w:eastAsia="en-AU"/>
              </w:rPr>
              <w:t>5 056</w:t>
            </w:r>
          </w:p>
        </w:tc>
        <w:tc>
          <w:tcPr>
            <w:tcW w:w="850" w:type="dxa"/>
            <w:tcBorders>
              <w:top w:val="nil"/>
              <w:left w:val="nil"/>
              <w:bottom w:val="nil"/>
              <w:right w:val="nil"/>
            </w:tcBorders>
          </w:tcPr>
          <w:p w:rsidR="00A46DCA" w:rsidRPr="00030844"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lang w:eastAsia="en-AU"/>
              </w:rPr>
            </w:pPr>
            <w:r w:rsidRPr="00030844">
              <w:rPr>
                <w:rFonts w:eastAsiaTheme="minorEastAsia" w:cs="Calibri"/>
                <w:color w:val="000000"/>
                <w:szCs w:val="19"/>
                <w:lang w:eastAsia="en-AU"/>
              </w:rPr>
              <w:t>5 331</w:t>
            </w:r>
          </w:p>
        </w:tc>
        <w:tc>
          <w:tcPr>
            <w:tcW w:w="850" w:type="dxa"/>
            <w:tcBorders>
              <w:top w:val="nil"/>
              <w:left w:val="nil"/>
              <w:bottom w:val="nil"/>
              <w:right w:val="nil"/>
            </w:tcBorders>
          </w:tcPr>
          <w:p w:rsidR="00A46DCA" w:rsidRPr="00030844"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lang w:eastAsia="en-AU"/>
              </w:rPr>
            </w:pPr>
            <w:r w:rsidRPr="00030844">
              <w:rPr>
                <w:rFonts w:eastAsiaTheme="minorEastAsia" w:cs="Calibri"/>
                <w:color w:val="000000"/>
                <w:szCs w:val="19"/>
                <w:lang w:eastAsia="en-AU"/>
              </w:rPr>
              <w:t>5 689</w:t>
            </w:r>
          </w:p>
        </w:tc>
        <w:tc>
          <w:tcPr>
            <w:tcW w:w="850" w:type="dxa"/>
            <w:tcBorders>
              <w:top w:val="nil"/>
              <w:left w:val="nil"/>
              <w:bottom w:val="nil"/>
              <w:right w:val="nil"/>
            </w:tcBorders>
          </w:tcPr>
          <w:p w:rsidR="00A46DCA" w:rsidRPr="00030844"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lang w:eastAsia="en-AU"/>
              </w:rPr>
            </w:pPr>
            <w:r w:rsidRPr="00030844">
              <w:rPr>
                <w:rFonts w:eastAsiaTheme="minorEastAsia" w:cs="Calibri"/>
                <w:color w:val="000000"/>
                <w:szCs w:val="19"/>
                <w:lang w:eastAsia="en-AU"/>
              </w:rPr>
              <w:t>6 142</w:t>
            </w:r>
          </w:p>
        </w:tc>
      </w:tr>
      <w:tr w:rsidR="00A46DCA" w:rsidRPr="00030844" w:rsidTr="00A26D04">
        <w:tc>
          <w:tcPr>
            <w:cnfStyle w:val="001000000000" w:firstRow="0" w:lastRow="0" w:firstColumn="1" w:lastColumn="0" w:oddVBand="0" w:evenVBand="0" w:oddHBand="0" w:evenHBand="0" w:firstRowFirstColumn="0" w:firstRowLastColumn="0" w:lastRowFirstColumn="0" w:lastRowLastColumn="0"/>
            <w:tcW w:w="4365" w:type="dxa"/>
            <w:tcBorders>
              <w:top w:val="nil"/>
              <w:left w:val="nil"/>
              <w:bottom w:val="nil"/>
              <w:right w:val="nil"/>
            </w:tcBorders>
          </w:tcPr>
          <w:p w:rsidR="00A46DCA" w:rsidRPr="00030844" w:rsidRDefault="00A46DCA" w:rsidP="00A26D04">
            <w:pPr>
              <w:keepLines w:val="0"/>
              <w:autoSpaceDE w:val="0"/>
              <w:autoSpaceDN w:val="0"/>
              <w:adjustRightInd w:val="0"/>
              <w:rPr>
                <w:rFonts w:eastAsiaTheme="minorEastAsia" w:cs="Calibri"/>
                <w:color w:val="000000"/>
                <w:szCs w:val="19"/>
                <w:lang w:eastAsia="en-AU"/>
              </w:rPr>
            </w:pPr>
            <w:r w:rsidRPr="00030844">
              <w:rPr>
                <w:rFonts w:eastAsiaTheme="minorEastAsia" w:cs="Calibri"/>
                <w:color w:val="000000"/>
                <w:szCs w:val="19"/>
                <w:lang w:eastAsia="en-AU"/>
              </w:rPr>
              <w:t>Interest expense</w:t>
            </w:r>
          </w:p>
        </w:tc>
        <w:tc>
          <w:tcPr>
            <w:tcW w:w="850" w:type="dxa"/>
            <w:tcBorders>
              <w:top w:val="nil"/>
              <w:left w:val="nil"/>
              <w:bottom w:val="nil"/>
              <w:right w:val="nil"/>
            </w:tcBorders>
          </w:tcPr>
          <w:p w:rsidR="00A46DCA" w:rsidRPr="00030844"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lang w:eastAsia="en-AU"/>
              </w:rPr>
            </w:pPr>
            <w:r w:rsidRPr="00030844">
              <w:rPr>
                <w:rFonts w:eastAsiaTheme="minorEastAsia" w:cs="Calibri"/>
                <w:color w:val="000000"/>
                <w:szCs w:val="19"/>
                <w:lang w:eastAsia="en-AU"/>
              </w:rPr>
              <w:t>2 722</w:t>
            </w:r>
          </w:p>
        </w:tc>
        <w:tc>
          <w:tcPr>
            <w:tcW w:w="850" w:type="dxa"/>
            <w:tcBorders>
              <w:top w:val="nil"/>
              <w:left w:val="nil"/>
              <w:bottom w:val="nil"/>
              <w:right w:val="nil"/>
            </w:tcBorders>
          </w:tcPr>
          <w:p w:rsidR="00A46DCA" w:rsidRPr="00030844"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lang w:eastAsia="en-AU"/>
              </w:rPr>
            </w:pPr>
            <w:r w:rsidRPr="00030844">
              <w:rPr>
                <w:rFonts w:eastAsiaTheme="minorEastAsia" w:cs="Calibri"/>
                <w:color w:val="000000"/>
                <w:szCs w:val="19"/>
                <w:lang w:eastAsia="en-AU"/>
              </w:rPr>
              <w:t>2 754</w:t>
            </w:r>
          </w:p>
        </w:tc>
        <w:tc>
          <w:tcPr>
            <w:tcW w:w="850" w:type="dxa"/>
            <w:tcBorders>
              <w:top w:val="nil"/>
              <w:left w:val="nil"/>
              <w:bottom w:val="nil"/>
              <w:right w:val="nil"/>
            </w:tcBorders>
          </w:tcPr>
          <w:p w:rsidR="00A46DCA" w:rsidRPr="00030844"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lang w:eastAsia="en-AU"/>
              </w:rPr>
            </w:pPr>
            <w:r w:rsidRPr="00030844">
              <w:rPr>
                <w:rFonts w:eastAsiaTheme="minorEastAsia" w:cs="Calibri"/>
                <w:color w:val="000000"/>
                <w:szCs w:val="19"/>
                <w:lang w:eastAsia="en-AU"/>
              </w:rPr>
              <w:t>2 813</w:t>
            </w:r>
          </w:p>
        </w:tc>
        <w:tc>
          <w:tcPr>
            <w:tcW w:w="850" w:type="dxa"/>
            <w:tcBorders>
              <w:top w:val="nil"/>
              <w:left w:val="nil"/>
              <w:bottom w:val="nil"/>
              <w:right w:val="nil"/>
            </w:tcBorders>
          </w:tcPr>
          <w:p w:rsidR="00A46DCA" w:rsidRPr="00030844"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lang w:eastAsia="en-AU"/>
              </w:rPr>
            </w:pPr>
            <w:r w:rsidRPr="00030844">
              <w:rPr>
                <w:rFonts w:eastAsiaTheme="minorEastAsia" w:cs="Calibri"/>
                <w:color w:val="000000"/>
                <w:szCs w:val="19"/>
                <w:lang w:eastAsia="en-AU"/>
              </w:rPr>
              <w:t>2 942</w:t>
            </w:r>
          </w:p>
        </w:tc>
      </w:tr>
      <w:tr w:rsidR="00A46DCA" w:rsidRPr="00030844" w:rsidTr="00A26D04">
        <w:tc>
          <w:tcPr>
            <w:cnfStyle w:val="001000000000" w:firstRow="0" w:lastRow="0" w:firstColumn="1" w:lastColumn="0" w:oddVBand="0" w:evenVBand="0" w:oddHBand="0" w:evenHBand="0" w:firstRowFirstColumn="0" w:firstRowLastColumn="0" w:lastRowFirstColumn="0" w:lastRowLastColumn="0"/>
            <w:tcW w:w="4365" w:type="dxa"/>
            <w:tcBorders>
              <w:top w:val="nil"/>
              <w:left w:val="nil"/>
              <w:bottom w:val="nil"/>
              <w:right w:val="nil"/>
            </w:tcBorders>
          </w:tcPr>
          <w:p w:rsidR="00A46DCA" w:rsidRPr="00030844" w:rsidRDefault="00A46DCA" w:rsidP="00A26D04">
            <w:pPr>
              <w:keepLines w:val="0"/>
              <w:autoSpaceDE w:val="0"/>
              <w:autoSpaceDN w:val="0"/>
              <w:adjustRightInd w:val="0"/>
              <w:rPr>
                <w:rFonts w:eastAsiaTheme="minorEastAsia" w:cs="Calibri"/>
                <w:color w:val="000000"/>
                <w:szCs w:val="19"/>
                <w:lang w:eastAsia="en-AU"/>
              </w:rPr>
            </w:pPr>
            <w:r w:rsidRPr="00030844">
              <w:rPr>
                <w:rFonts w:eastAsiaTheme="minorEastAsia" w:cs="Calibri"/>
                <w:color w:val="000000"/>
                <w:szCs w:val="19"/>
                <w:lang w:eastAsia="en-AU"/>
              </w:rPr>
              <w:t>Grant expense</w:t>
            </w:r>
          </w:p>
        </w:tc>
        <w:tc>
          <w:tcPr>
            <w:tcW w:w="850" w:type="dxa"/>
            <w:tcBorders>
              <w:top w:val="nil"/>
              <w:left w:val="nil"/>
              <w:bottom w:val="nil"/>
              <w:right w:val="nil"/>
            </w:tcBorders>
          </w:tcPr>
          <w:p w:rsidR="00A46DCA" w:rsidRPr="00030844"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lang w:eastAsia="en-AU"/>
              </w:rPr>
            </w:pPr>
            <w:r w:rsidRPr="00030844">
              <w:rPr>
                <w:rFonts w:eastAsiaTheme="minorEastAsia" w:cs="Calibri"/>
                <w:color w:val="000000"/>
                <w:szCs w:val="19"/>
                <w:lang w:eastAsia="en-AU"/>
              </w:rPr>
              <w:t>7 505</w:t>
            </w:r>
          </w:p>
        </w:tc>
        <w:tc>
          <w:tcPr>
            <w:tcW w:w="850" w:type="dxa"/>
            <w:tcBorders>
              <w:top w:val="nil"/>
              <w:left w:val="nil"/>
              <w:bottom w:val="nil"/>
              <w:right w:val="nil"/>
            </w:tcBorders>
          </w:tcPr>
          <w:p w:rsidR="00A46DCA" w:rsidRPr="00030844"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lang w:eastAsia="en-AU"/>
              </w:rPr>
            </w:pPr>
            <w:r w:rsidRPr="00030844">
              <w:rPr>
                <w:rFonts w:eastAsiaTheme="minorEastAsia" w:cs="Calibri"/>
                <w:color w:val="000000"/>
                <w:szCs w:val="19"/>
                <w:lang w:eastAsia="en-AU"/>
              </w:rPr>
              <w:t>9 064</w:t>
            </w:r>
          </w:p>
        </w:tc>
        <w:tc>
          <w:tcPr>
            <w:tcW w:w="850" w:type="dxa"/>
            <w:tcBorders>
              <w:top w:val="nil"/>
              <w:left w:val="nil"/>
              <w:bottom w:val="nil"/>
              <w:right w:val="nil"/>
            </w:tcBorders>
          </w:tcPr>
          <w:p w:rsidR="00A46DCA" w:rsidRPr="00030844"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lang w:eastAsia="en-AU"/>
              </w:rPr>
            </w:pPr>
            <w:r w:rsidRPr="00030844">
              <w:rPr>
                <w:rFonts w:eastAsiaTheme="minorEastAsia" w:cs="Calibri"/>
                <w:color w:val="000000"/>
                <w:szCs w:val="19"/>
                <w:lang w:eastAsia="en-AU"/>
              </w:rPr>
              <w:t>10 151</w:t>
            </w:r>
          </w:p>
        </w:tc>
        <w:tc>
          <w:tcPr>
            <w:tcW w:w="850" w:type="dxa"/>
            <w:tcBorders>
              <w:top w:val="nil"/>
              <w:left w:val="nil"/>
              <w:bottom w:val="nil"/>
              <w:right w:val="nil"/>
            </w:tcBorders>
          </w:tcPr>
          <w:p w:rsidR="00A46DCA" w:rsidRPr="00030844"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lang w:eastAsia="en-AU"/>
              </w:rPr>
            </w:pPr>
            <w:r w:rsidRPr="00030844">
              <w:rPr>
                <w:rFonts w:eastAsiaTheme="minorEastAsia" w:cs="Calibri"/>
                <w:color w:val="000000"/>
                <w:szCs w:val="19"/>
                <w:lang w:eastAsia="en-AU"/>
              </w:rPr>
              <w:t>10 084</w:t>
            </w:r>
          </w:p>
        </w:tc>
      </w:tr>
      <w:tr w:rsidR="00A46DCA" w:rsidRPr="00030844" w:rsidTr="00A26D04">
        <w:tc>
          <w:tcPr>
            <w:cnfStyle w:val="001000000000" w:firstRow="0" w:lastRow="0" w:firstColumn="1" w:lastColumn="0" w:oddVBand="0" w:evenVBand="0" w:oddHBand="0" w:evenHBand="0" w:firstRowFirstColumn="0" w:firstRowLastColumn="0" w:lastRowFirstColumn="0" w:lastRowLastColumn="0"/>
            <w:tcW w:w="4365" w:type="dxa"/>
            <w:tcBorders>
              <w:top w:val="nil"/>
              <w:left w:val="nil"/>
              <w:bottom w:val="single" w:sz="6" w:space="0" w:color="auto"/>
              <w:right w:val="nil"/>
            </w:tcBorders>
          </w:tcPr>
          <w:p w:rsidR="00A46DCA" w:rsidRPr="00030844" w:rsidRDefault="00A46DCA" w:rsidP="00A26D04">
            <w:pPr>
              <w:keepLines w:val="0"/>
              <w:autoSpaceDE w:val="0"/>
              <w:autoSpaceDN w:val="0"/>
              <w:adjustRightInd w:val="0"/>
              <w:rPr>
                <w:rFonts w:eastAsiaTheme="minorEastAsia" w:cs="Calibri"/>
                <w:color w:val="000000"/>
                <w:szCs w:val="19"/>
                <w:lang w:eastAsia="en-AU"/>
              </w:rPr>
            </w:pPr>
            <w:r w:rsidRPr="00030844">
              <w:rPr>
                <w:rFonts w:eastAsiaTheme="minorEastAsia" w:cs="Calibri"/>
                <w:color w:val="000000"/>
                <w:szCs w:val="19"/>
                <w:lang w:eastAsia="en-AU"/>
              </w:rPr>
              <w:t>Other operating expenses</w:t>
            </w:r>
          </w:p>
        </w:tc>
        <w:tc>
          <w:tcPr>
            <w:tcW w:w="850" w:type="dxa"/>
            <w:tcBorders>
              <w:top w:val="nil"/>
              <w:left w:val="nil"/>
              <w:bottom w:val="single" w:sz="6" w:space="0" w:color="auto"/>
              <w:right w:val="nil"/>
            </w:tcBorders>
          </w:tcPr>
          <w:p w:rsidR="00A46DCA" w:rsidRPr="00030844"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lang w:eastAsia="en-AU"/>
              </w:rPr>
            </w:pPr>
            <w:r w:rsidRPr="00030844">
              <w:rPr>
                <w:rFonts w:eastAsiaTheme="minorEastAsia" w:cs="Calibri"/>
                <w:color w:val="000000"/>
                <w:szCs w:val="19"/>
                <w:lang w:eastAsia="en-AU"/>
              </w:rPr>
              <w:t>30 203</w:t>
            </w:r>
          </w:p>
        </w:tc>
        <w:tc>
          <w:tcPr>
            <w:tcW w:w="850" w:type="dxa"/>
            <w:tcBorders>
              <w:top w:val="nil"/>
              <w:left w:val="nil"/>
              <w:bottom w:val="single" w:sz="6" w:space="0" w:color="auto"/>
              <w:right w:val="nil"/>
            </w:tcBorders>
          </w:tcPr>
          <w:p w:rsidR="00A46DCA" w:rsidRPr="00030844"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lang w:eastAsia="en-AU"/>
              </w:rPr>
            </w:pPr>
            <w:r w:rsidRPr="00030844">
              <w:rPr>
                <w:rFonts w:eastAsiaTheme="minorEastAsia" w:cs="Calibri"/>
                <w:color w:val="000000"/>
                <w:szCs w:val="19"/>
                <w:lang w:eastAsia="en-AU"/>
              </w:rPr>
              <w:t>29 859</w:t>
            </w:r>
          </w:p>
        </w:tc>
        <w:tc>
          <w:tcPr>
            <w:tcW w:w="850" w:type="dxa"/>
            <w:tcBorders>
              <w:top w:val="nil"/>
              <w:left w:val="nil"/>
              <w:bottom w:val="single" w:sz="6" w:space="0" w:color="auto"/>
              <w:right w:val="nil"/>
            </w:tcBorders>
          </w:tcPr>
          <w:p w:rsidR="00A46DCA" w:rsidRPr="00030844"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lang w:eastAsia="en-AU"/>
              </w:rPr>
            </w:pPr>
            <w:r w:rsidRPr="00030844">
              <w:rPr>
                <w:rFonts w:eastAsiaTheme="minorEastAsia" w:cs="Calibri"/>
                <w:color w:val="000000"/>
                <w:szCs w:val="19"/>
                <w:lang w:eastAsia="en-AU"/>
              </w:rPr>
              <w:t>29 587</w:t>
            </w:r>
          </w:p>
        </w:tc>
        <w:tc>
          <w:tcPr>
            <w:tcW w:w="850" w:type="dxa"/>
            <w:tcBorders>
              <w:top w:val="nil"/>
              <w:left w:val="nil"/>
              <w:bottom w:val="single" w:sz="6" w:space="0" w:color="auto"/>
              <w:right w:val="nil"/>
            </w:tcBorders>
          </w:tcPr>
          <w:p w:rsidR="00A46DCA" w:rsidRPr="00030844"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lang w:eastAsia="en-AU"/>
              </w:rPr>
            </w:pPr>
            <w:r w:rsidRPr="00030844">
              <w:rPr>
                <w:rFonts w:eastAsiaTheme="minorEastAsia" w:cs="Calibri"/>
                <w:color w:val="000000"/>
                <w:szCs w:val="19"/>
                <w:lang w:eastAsia="en-AU"/>
              </w:rPr>
              <w:t>31 198</w:t>
            </w:r>
          </w:p>
        </w:tc>
      </w:tr>
      <w:tr w:rsidR="00A46DCA" w:rsidRPr="00030844" w:rsidTr="00A26D04">
        <w:tc>
          <w:tcPr>
            <w:cnfStyle w:val="001000000000" w:firstRow="0" w:lastRow="0" w:firstColumn="1" w:lastColumn="0" w:oddVBand="0" w:evenVBand="0" w:oddHBand="0" w:evenHBand="0" w:firstRowFirstColumn="0" w:firstRowLastColumn="0" w:lastRowFirstColumn="0" w:lastRowLastColumn="0"/>
            <w:tcW w:w="4365" w:type="dxa"/>
            <w:tcBorders>
              <w:top w:val="nil"/>
              <w:left w:val="nil"/>
              <w:bottom w:val="nil"/>
              <w:right w:val="nil"/>
            </w:tcBorders>
          </w:tcPr>
          <w:p w:rsidR="00A46DCA" w:rsidRPr="00030844" w:rsidRDefault="00A46DCA" w:rsidP="00A26D04">
            <w:pPr>
              <w:keepLines w:val="0"/>
              <w:autoSpaceDE w:val="0"/>
              <w:autoSpaceDN w:val="0"/>
              <w:adjustRightInd w:val="0"/>
              <w:rPr>
                <w:rFonts w:eastAsiaTheme="minorEastAsia" w:cs="Calibri"/>
                <w:b/>
                <w:bCs/>
                <w:color w:val="000000"/>
                <w:szCs w:val="19"/>
                <w:lang w:eastAsia="en-AU"/>
              </w:rPr>
            </w:pPr>
            <w:r w:rsidRPr="00030844">
              <w:rPr>
                <w:rFonts w:eastAsiaTheme="minorEastAsia" w:cs="Calibri"/>
                <w:b/>
                <w:bCs/>
                <w:color w:val="000000"/>
                <w:szCs w:val="19"/>
                <w:lang w:eastAsia="en-AU"/>
              </w:rPr>
              <w:t>Total expenses</w:t>
            </w:r>
          </w:p>
        </w:tc>
        <w:tc>
          <w:tcPr>
            <w:tcW w:w="850" w:type="dxa"/>
            <w:tcBorders>
              <w:top w:val="nil"/>
              <w:left w:val="nil"/>
              <w:bottom w:val="nil"/>
              <w:right w:val="nil"/>
            </w:tcBorders>
          </w:tcPr>
          <w:p w:rsidR="00A46DCA" w:rsidRPr="00030844"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9"/>
                <w:lang w:eastAsia="en-AU"/>
              </w:rPr>
            </w:pPr>
            <w:r w:rsidRPr="00030844">
              <w:rPr>
                <w:rFonts w:eastAsiaTheme="minorEastAsia" w:cs="Calibri"/>
                <w:b/>
                <w:bCs/>
                <w:color w:val="000000"/>
                <w:szCs w:val="19"/>
                <w:lang w:eastAsia="en-AU"/>
              </w:rPr>
              <w:t>73 112</w:t>
            </w:r>
          </w:p>
        </w:tc>
        <w:tc>
          <w:tcPr>
            <w:tcW w:w="850" w:type="dxa"/>
            <w:tcBorders>
              <w:top w:val="nil"/>
              <w:left w:val="nil"/>
              <w:bottom w:val="nil"/>
              <w:right w:val="nil"/>
            </w:tcBorders>
          </w:tcPr>
          <w:p w:rsidR="00A46DCA" w:rsidRPr="00030844"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9"/>
                <w:lang w:eastAsia="en-AU"/>
              </w:rPr>
            </w:pPr>
            <w:r w:rsidRPr="00030844">
              <w:rPr>
                <w:rFonts w:eastAsiaTheme="minorEastAsia" w:cs="Calibri"/>
                <w:b/>
                <w:bCs/>
                <w:color w:val="000000"/>
                <w:szCs w:val="19"/>
                <w:lang w:eastAsia="en-AU"/>
              </w:rPr>
              <w:t>76 152</w:t>
            </w:r>
          </w:p>
        </w:tc>
        <w:tc>
          <w:tcPr>
            <w:tcW w:w="850" w:type="dxa"/>
            <w:tcBorders>
              <w:top w:val="nil"/>
              <w:left w:val="nil"/>
              <w:bottom w:val="nil"/>
              <w:right w:val="nil"/>
            </w:tcBorders>
          </w:tcPr>
          <w:p w:rsidR="00A46DCA" w:rsidRPr="00030844"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9"/>
                <w:lang w:eastAsia="en-AU"/>
              </w:rPr>
            </w:pPr>
            <w:r w:rsidRPr="00030844">
              <w:rPr>
                <w:rFonts w:eastAsiaTheme="minorEastAsia" w:cs="Calibri"/>
                <w:b/>
                <w:bCs/>
                <w:color w:val="000000"/>
                <w:szCs w:val="19"/>
                <w:lang w:eastAsia="en-AU"/>
              </w:rPr>
              <w:t>77 955</w:t>
            </w:r>
          </w:p>
        </w:tc>
        <w:tc>
          <w:tcPr>
            <w:tcW w:w="850" w:type="dxa"/>
            <w:tcBorders>
              <w:top w:val="nil"/>
              <w:left w:val="nil"/>
              <w:bottom w:val="nil"/>
              <w:right w:val="nil"/>
            </w:tcBorders>
          </w:tcPr>
          <w:p w:rsidR="00A46DCA" w:rsidRPr="00030844"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9"/>
                <w:lang w:eastAsia="en-AU"/>
              </w:rPr>
            </w:pPr>
            <w:r w:rsidRPr="00030844">
              <w:rPr>
                <w:rFonts w:eastAsiaTheme="minorEastAsia" w:cs="Calibri"/>
                <w:b/>
                <w:bCs/>
                <w:color w:val="000000"/>
                <w:szCs w:val="19"/>
                <w:lang w:eastAsia="en-AU"/>
              </w:rPr>
              <w:t>80 924</w:t>
            </w:r>
          </w:p>
        </w:tc>
      </w:tr>
      <w:tr w:rsidR="00A46DCA" w:rsidRPr="00030844" w:rsidTr="00A26D04">
        <w:tc>
          <w:tcPr>
            <w:cnfStyle w:val="001000000000" w:firstRow="0" w:lastRow="0" w:firstColumn="1" w:lastColumn="0" w:oddVBand="0" w:evenVBand="0" w:oddHBand="0" w:evenHBand="0" w:firstRowFirstColumn="0" w:firstRowLastColumn="0" w:lastRowFirstColumn="0" w:lastRowLastColumn="0"/>
            <w:tcW w:w="4365" w:type="dxa"/>
            <w:tcBorders>
              <w:top w:val="nil"/>
              <w:left w:val="nil"/>
              <w:bottom w:val="single" w:sz="6" w:space="0" w:color="auto"/>
              <w:right w:val="nil"/>
            </w:tcBorders>
          </w:tcPr>
          <w:p w:rsidR="00A46DCA" w:rsidRPr="00030844" w:rsidRDefault="00A46DCA" w:rsidP="00A26D04">
            <w:pPr>
              <w:keepLines w:val="0"/>
              <w:autoSpaceDE w:val="0"/>
              <w:autoSpaceDN w:val="0"/>
              <w:adjustRightInd w:val="0"/>
              <w:rPr>
                <w:rFonts w:eastAsiaTheme="minorEastAsia" w:cs="Calibri"/>
                <w:i/>
                <w:iCs/>
                <w:color w:val="000000"/>
                <w:szCs w:val="19"/>
                <w:lang w:eastAsia="en-AU"/>
              </w:rPr>
            </w:pPr>
            <w:r w:rsidRPr="00030844">
              <w:rPr>
                <w:rFonts w:eastAsiaTheme="minorEastAsia" w:cs="Calibri"/>
                <w:i/>
                <w:iCs/>
                <w:color w:val="000000"/>
                <w:szCs w:val="19"/>
                <w:lang w:eastAsia="en-AU"/>
              </w:rPr>
              <w:t>% change</w:t>
            </w:r>
          </w:p>
        </w:tc>
        <w:tc>
          <w:tcPr>
            <w:tcW w:w="850" w:type="dxa"/>
            <w:tcBorders>
              <w:top w:val="nil"/>
              <w:left w:val="nil"/>
              <w:bottom w:val="single" w:sz="6" w:space="0" w:color="auto"/>
              <w:right w:val="nil"/>
            </w:tcBorders>
          </w:tcPr>
          <w:p w:rsidR="00A46DCA" w:rsidRPr="00030844"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sidRPr="00030844">
              <w:rPr>
                <w:rFonts w:eastAsiaTheme="minorEastAsia" w:cs="Calibri"/>
                <w:color w:val="000000"/>
                <w:szCs w:val="19"/>
                <w:lang w:eastAsia="en-AU"/>
              </w:rPr>
              <w:t>7.4</w:t>
            </w:r>
          </w:p>
        </w:tc>
        <w:tc>
          <w:tcPr>
            <w:tcW w:w="850" w:type="dxa"/>
            <w:tcBorders>
              <w:top w:val="nil"/>
              <w:left w:val="nil"/>
              <w:bottom w:val="single" w:sz="6" w:space="0" w:color="auto"/>
              <w:right w:val="nil"/>
            </w:tcBorders>
          </w:tcPr>
          <w:p w:rsidR="00A46DCA" w:rsidRPr="00030844"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lang w:eastAsia="en-AU"/>
              </w:rPr>
            </w:pPr>
            <w:r w:rsidRPr="00030844">
              <w:rPr>
                <w:rFonts w:eastAsiaTheme="minorEastAsia" w:cs="Calibri"/>
                <w:color w:val="000000"/>
                <w:szCs w:val="19"/>
                <w:lang w:eastAsia="en-AU"/>
              </w:rPr>
              <w:t>4.2</w:t>
            </w:r>
          </w:p>
        </w:tc>
        <w:tc>
          <w:tcPr>
            <w:tcW w:w="850" w:type="dxa"/>
            <w:tcBorders>
              <w:top w:val="nil"/>
              <w:left w:val="nil"/>
              <w:bottom w:val="single" w:sz="6" w:space="0" w:color="auto"/>
              <w:right w:val="nil"/>
            </w:tcBorders>
          </w:tcPr>
          <w:p w:rsidR="00A46DCA" w:rsidRPr="00030844"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lang w:eastAsia="en-AU"/>
              </w:rPr>
            </w:pPr>
            <w:r w:rsidRPr="00030844">
              <w:rPr>
                <w:rFonts w:eastAsiaTheme="minorEastAsia" w:cs="Calibri"/>
                <w:color w:val="000000"/>
                <w:szCs w:val="19"/>
                <w:lang w:eastAsia="en-AU"/>
              </w:rPr>
              <w:t>2.4</w:t>
            </w:r>
          </w:p>
        </w:tc>
        <w:tc>
          <w:tcPr>
            <w:tcW w:w="850" w:type="dxa"/>
            <w:tcBorders>
              <w:top w:val="nil"/>
              <w:left w:val="nil"/>
              <w:bottom w:val="single" w:sz="6" w:space="0" w:color="auto"/>
              <w:right w:val="nil"/>
            </w:tcBorders>
          </w:tcPr>
          <w:p w:rsidR="00A46DCA" w:rsidRPr="00030844"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lang w:eastAsia="en-AU"/>
              </w:rPr>
            </w:pPr>
            <w:r w:rsidRPr="00030844">
              <w:rPr>
                <w:rFonts w:eastAsiaTheme="minorEastAsia" w:cs="Calibri"/>
                <w:color w:val="000000"/>
                <w:szCs w:val="19"/>
                <w:lang w:eastAsia="en-AU"/>
              </w:rPr>
              <w:t>3.8</w:t>
            </w:r>
          </w:p>
        </w:tc>
      </w:tr>
      <w:tr w:rsidR="00A46DCA" w:rsidRPr="00030844" w:rsidTr="00A26D04">
        <w:tc>
          <w:tcPr>
            <w:cnfStyle w:val="001000000000" w:firstRow="0" w:lastRow="0" w:firstColumn="1" w:lastColumn="0" w:oddVBand="0" w:evenVBand="0" w:oddHBand="0" w:evenHBand="0" w:firstRowFirstColumn="0" w:firstRowLastColumn="0" w:lastRowFirstColumn="0" w:lastRowLastColumn="0"/>
            <w:tcW w:w="4365" w:type="dxa"/>
            <w:tcBorders>
              <w:top w:val="nil"/>
              <w:left w:val="nil"/>
              <w:bottom w:val="single" w:sz="6" w:space="0" w:color="auto"/>
              <w:right w:val="nil"/>
            </w:tcBorders>
          </w:tcPr>
          <w:p w:rsidR="00A46DCA" w:rsidRPr="00030844" w:rsidRDefault="00A46DCA" w:rsidP="00A26D04">
            <w:pPr>
              <w:keepLines w:val="0"/>
              <w:autoSpaceDE w:val="0"/>
              <w:autoSpaceDN w:val="0"/>
              <w:adjustRightInd w:val="0"/>
              <w:rPr>
                <w:rFonts w:eastAsiaTheme="minorEastAsia" w:cs="Calibri"/>
                <w:b/>
                <w:bCs/>
                <w:color w:val="000000"/>
                <w:szCs w:val="19"/>
                <w:lang w:eastAsia="en-AU"/>
              </w:rPr>
            </w:pPr>
            <w:r w:rsidRPr="00030844">
              <w:rPr>
                <w:rFonts w:eastAsiaTheme="minorEastAsia" w:cs="Calibri"/>
                <w:b/>
                <w:bCs/>
                <w:color w:val="000000"/>
                <w:szCs w:val="19"/>
                <w:lang w:eastAsia="en-AU"/>
              </w:rPr>
              <w:t>Net result from transactions</w:t>
            </w:r>
          </w:p>
        </w:tc>
        <w:tc>
          <w:tcPr>
            <w:tcW w:w="850" w:type="dxa"/>
            <w:tcBorders>
              <w:top w:val="nil"/>
              <w:left w:val="nil"/>
              <w:bottom w:val="single" w:sz="6" w:space="0" w:color="auto"/>
              <w:right w:val="nil"/>
            </w:tcBorders>
          </w:tcPr>
          <w:p w:rsidR="00A46DCA" w:rsidRPr="00030844" w:rsidRDefault="00996E49"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b/>
              </w:rPr>
            </w:pPr>
            <w:r>
              <w:rPr>
                <w:rFonts w:eastAsiaTheme="minorEastAsia" w:cs="Calibri"/>
                <w:b/>
                <w:bCs/>
                <w:color w:val="000000"/>
                <w:szCs w:val="19"/>
                <w:lang w:eastAsia="en-AU"/>
              </w:rPr>
              <w:t>(1 518)</w:t>
            </w:r>
          </w:p>
        </w:tc>
        <w:tc>
          <w:tcPr>
            <w:tcW w:w="850" w:type="dxa"/>
            <w:tcBorders>
              <w:top w:val="nil"/>
              <w:left w:val="nil"/>
              <w:bottom w:val="single" w:sz="6" w:space="0" w:color="auto"/>
              <w:right w:val="nil"/>
            </w:tcBorders>
          </w:tcPr>
          <w:p w:rsidR="00A46DCA" w:rsidRPr="00030844" w:rsidRDefault="00996E49"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b/>
              </w:rPr>
            </w:pPr>
            <w:r>
              <w:rPr>
                <w:rFonts w:eastAsiaTheme="minorEastAsia" w:cs="Calibri"/>
                <w:b/>
                <w:bCs/>
                <w:color w:val="000000"/>
                <w:szCs w:val="19"/>
                <w:lang w:eastAsia="en-AU"/>
              </w:rPr>
              <w:t>(476)</w:t>
            </w:r>
          </w:p>
        </w:tc>
        <w:tc>
          <w:tcPr>
            <w:tcW w:w="850" w:type="dxa"/>
            <w:tcBorders>
              <w:top w:val="nil"/>
              <w:left w:val="nil"/>
              <w:bottom w:val="single" w:sz="6" w:space="0" w:color="auto"/>
              <w:right w:val="nil"/>
            </w:tcBorders>
          </w:tcPr>
          <w:p w:rsidR="00A46DCA" w:rsidRPr="00030844" w:rsidRDefault="00996E49"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b/>
              </w:rPr>
            </w:pPr>
            <w:r>
              <w:rPr>
                <w:rFonts w:eastAsiaTheme="minorEastAsia" w:cs="Calibri"/>
                <w:b/>
                <w:bCs/>
                <w:color w:val="000000"/>
                <w:szCs w:val="19"/>
                <w:lang w:eastAsia="en-AU"/>
              </w:rPr>
              <w:t>(461)</w:t>
            </w:r>
          </w:p>
        </w:tc>
        <w:tc>
          <w:tcPr>
            <w:tcW w:w="850" w:type="dxa"/>
            <w:tcBorders>
              <w:top w:val="nil"/>
              <w:left w:val="nil"/>
              <w:bottom w:val="single" w:sz="6" w:space="0" w:color="auto"/>
              <w:right w:val="nil"/>
            </w:tcBorders>
          </w:tcPr>
          <w:p w:rsidR="00A46DCA" w:rsidRPr="00030844" w:rsidRDefault="00996E49"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b/>
              </w:rPr>
            </w:pPr>
            <w:r>
              <w:rPr>
                <w:rFonts w:eastAsiaTheme="minorEastAsia" w:cs="Calibri"/>
                <w:b/>
                <w:bCs/>
                <w:color w:val="000000"/>
                <w:szCs w:val="19"/>
                <w:lang w:eastAsia="en-AU"/>
              </w:rPr>
              <w:t>(14)</w:t>
            </w:r>
          </w:p>
        </w:tc>
      </w:tr>
      <w:tr w:rsidR="00A46DCA" w:rsidRPr="00030844" w:rsidTr="00A26D04">
        <w:tc>
          <w:tcPr>
            <w:cnfStyle w:val="001000000000" w:firstRow="0" w:lastRow="0" w:firstColumn="1" w:lastColumn="0" w:oddVBand="0" w:evenVBand="0" w:oddHBand="0" w:evenHBand="0" w:firstRowFirstColumn="0" w:firstRowLastColumn="0" w:lastRowFirstColumn="0" w:lastRowLastColumn="0"/>
            <w:tcW w:w="4365" w:type="dxa"/>
            <w:tcBorders>
              <w:top w:val="single" w:sz="6" w:space="0" w:color="auto"/>
              <w:left w:val="nil"/>
              <w:bottom w:val="single" w:sz="6" w:space="0" w:color="auto"/>
              <w:right w:val="nil"/>
            </w:tcBorders>
          </w:tcPr>
          <w:p w:rsidR="00A46DCA" w:rsidRPr="00030844" w:rsidRDefault="00A46DCA" w:rsidP="00A26D04">
            <w:pPr>
              <w:keepLines w:val="0"/>
              <w:autoSpaceDE w:val="0"/>
              <w:autoSpaceDN w:val="0"/>
              <w:adjustRightInd w:val="0"/>
              <w:rPr>
                <w:rFonts w:eastAsiaTheme="minorEastAsia" w:cs="Calibri"/>
                <w:b/>
                <w:bCs/>
                <w:color w:val="000000"/>
                <w:szCs w:val="19"/>
                <w:lang w:eastAsia="en-AU"/>
              </w:rPr>
            </w:pPr>
            <w:r w:rsidRPr="00030844">
              <w:rPr>
                <w:rFonts w:eastAsiaTheme="minorEastAsia" w:cs="Calibri"/>
                <w:b/>
                <w:bCs/>
                <w:color w:val="000000"/>
                <w:szCs w:val="19"/>
                <w:lang w:eastAsia="en-AU"/>
              </w:rPr>
              <w:t>Total other economic flows included in net result</w:t>
            </w:r>
          </w:p>
        </w:tc>
        <w:tc>
          <w:tcPr>
            <w:tcW w:w="850" w:type="dxa"/>
            <w:tcBorders>
              <w:top w:val="single" w:sz="6" w:space="0" w:color="auto"/>
              <w:left w:val="nil"/>
              <w:bottom w:val="single" w:sz="6" w:space="0" w:color="auto"/>
              <w:right w:val="nil"/>
            </w:tcBorders>
          </w:tcPr>
          <w:p w:rsidR="00A46DCA" w:rsidRPr="00030844"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9"/>
                <w:lang w:eastAsia="en-AU"/>
              </w:rPr>
            </w:pPr>
            <w:r w:rsidRPr="00030844">
              <w:rPr>
                <w:rFonts w:eastAsiaTheme="minorEastAsia" w:cs="Calibri"/>
                <w:b/>
                <w:bCs/>
                <w:color w:val="000000"/>
                <w:szCs w:val="19"/>
                <w:lang w:eastAsia="en-AU"/>
              </w:rPr>
              <w:t>2 373</w:t>
            </w:r>
          </w:p>
        </w:tc>
        <w:tc>
          <w:tcPr>
            <w:tcW w:w="850" w:type="dxa"/>
            <w:tcBorders>
              <w:top w:val="single" w:sz="6" w:space="0" w:color="auto"/>
              <w:left w:val="nil"/>
              <w:bottom w:val="single" w:sz="6" w:space="0" w:color="auto"/>
              <w:right w:val="nil"/>
            </w:tcBorders>
          </w:tcPr>
          <w:p w:rsidR="00A46DCA" w:rsidRPr="00030844"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9"/>
                <w:lang w:eastAsia="en-AU"/>
              </w:rPr>
            </w:pPr>
            <w:r w:rsidRPr="00030844">
              <w:rPr>
                <w:rFonts w:eastAsiaTheme="minorEastAsia" w:cs="Calibri"/>
                <w:b/>
                <w:bCs/>
                <w:color w:val="000000"/>
                <w:szCs w:val="19"/>
                <w:lang w:eastAsia="en-AU"/>
              </w:rPr>
              <w:t>1 595</w:t>
            </w:r>
          </w:p>
        </w:tc>
        <w:tc>
          <w:tcPr>
            <w:tcW w:w="850" w:type="dxa"/>
            <w:tcBorders>
              <w:top w:val="single" w:sz="6" w:space="0" w:color="auto"/>
              <w:left w:val="nil"/>
              <w:bottom w:val="single" w:sz="6" w:space="0" w:color="auto"/>
              <w:right w:val="nil"/>
            </w:tcBorders>
          </w:tcPr>
          <w:p w:rsidR="00A46DCA" w:rsidRPr="00030844"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9"/>
                <w:lang w:eastAsia="en-AU"/>
              </w:rPr>
            </w:pPr>
            <w:r w:rsidRPr="00030844">
              <w:rPr>
                <w:rFonts w:eastAsiaTheme="minorEastAsia" w:cs="Calibri"/>
                <w:b/>
                <w:bCs/>
                <w:color w:val="000000"/>
                <w:szCs w:val="19"/>
                <w:lang w:eastAsia="en-AU"/>
              </w:rPr>
              <w:t>1 552</w:t>
            </w:r>
          </w:p>
        </w:tc>
        <w:tc>
          <w:tcPr>
            <w:tcW w:w="850" w:type="dxa"/>
            <w:tcBorders>
              <w:top w:val="single" w:sz="6" w:space="0" w:color="auto"/>
              <w:left w:val="nil"/>
              <w:bottom w:val="single" w:sz="6" w:space="0" w:color="auto"/>
              <w:right w:val="nil"/>
            </w:tcBorders>
          </w:tcPr>
          <w:p w:rsidR="00A46DCA" w:rsidRPr="00030844"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9"/>
                <w:lang w:eastAsia="en-AU"/>
              </w:rPr>
            </w:pPr>
            <w:r w:rsidRPr="00030844">
              <w:rPr>
                <w:rFonts w:eastAsiaTheme="minorEastAsia" w:cs="Calibri"/>
                <w:b/>
                <w:bCs/>
                <w:color w:val="000000"/>
                <w:szCs w:val="19"/>
                <w:lang w:eastAsia="en-AU"/>
              </w:rPr>
              <w:t>1 348</w:t>
            </w:r>
          </w:p>
        </w:tc>
      </w:tr>
      <w:tr w:rsidR="00A46DCA" w:rsidRPr="00030844" w:rsidTr="00A26D04">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5" w:type="dxa"/>
            <w:tcBorders>
              <w:top w:val="single" w:sz="6" w:space="0" w:color="auto"/>
              <w:bottom w:val="single" w:sz="12" w:space="0" w:color="auto"/>
            </w:tcBorders>
          </w:tcPr>
          <w:p w:rsidR="00A46DCA" w:rsidRPr="00030844" w:rsidRDefault="00A46DCA" w:rsidP="00A26D04">
            <w:pPr>
              <w:keepLines w:val="0"/>
              <w:autoSpaceDE w:val="0"/>
              <w:autoSpaceDN w:val="0"/>
              <w:adjustRightInd w:val="0"/>
              <w:rPr>
                <w:rFonts w:eastAsiaTheme="minorEastAsia" w:cs="Calibri"/>
                <w:bCs/>
                <w:color w:val="000000"/>
                <w:szCs w:val="19"/>
                <w:lang w:eastAsia="en-AU"/>
              </w:rPr>
            </w:pPr>
            <w:r w:rsidRPr="00030844">
              <w:rPr>
                <w:rFonts w:eastAsiaTheme="minorEastAsia" w:cs="Calibri"/>
                <w:bCs/>
                <w:color w:val="000000"/>
                <w:szCs w:val="19"/>
                <w:lang w:eastAsia="en-AU"/>
              </w:rPr>
              <w:t>Net result</w:t>
            </w:r>
          </w:p>
        </w:tc>
        <w:tc>
          <w:tcPr>
            <w:tcW w:w="850" w:type="dxa"/>
            <w:tcBorders>
              <w:top w:val="single" w:sz="6" w:space="0" w:color="auto"/>
              <w:bottom w:val="single" w:sz="12" w:space="0" w:color="auto"/>
            </w:tcBorders>
          </w:tcPr>
          <w:p w:rsidR="00A46DCA" w:rsidRPr="00030844" w:rsidRDefault="00996E49" w:rsidP="00A26D0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9"/>
                <w:lang w:eastAsia="en-AU"/>
              </w:rPr>
            </w:pPr>
            <w:r>
              <w:rPr>
                <w:rFonts w:eastAsiaTheme="minorEastAsia" w:cs="Calibri"/>
                <w:bCs/>
                <w:color w:val="000000"/>
                <w:szCs w:val="19"/>
                <w:lang w:eastAsia="en-AU"/>
              </w:rPr>
              <w:t>854</w:t>
            </w:r>
          </w:p>
        </w:tc>
        <w:tc>
          <w:tcPr>
            <w:tcW w:w="850" w:type="dxa"/>
            <w:tcBorders>
              <w:top w:val="single" w:sz="6" w:space="0" w:color="auto"/>
              <w:bottom w:val="single" w:sz="12" w:space="0" w:color="auto"/>
            </w:tcBorders>
          </w:tcPr>
          <w:p w:rsidR="00A46DCA" w:rsidRPr="00030844" w:rsidRDefault="00A46DCA" w:rsidP="00A26D0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pPr>
            <w:r w:rsidRPr="00030844">
              <w:rPr>
                <w:rFonts w:eastAsiaTheme="minorEastAsia" w:cs="Calibri"/>
                <w:bCs/>
                <w:color w:val="000000"/>
                <w:szCs w:val="19"/>
                <w:lang w:eastAsia="en-AU"/>
              </w:rPr>
              <w:t>1 119</w:t>
            </w:r>
          </w:p>
        </w:tc>
        <w:tc>
          <w:tcPr>
            <w:tcW w:w="850" w:type="dxa"/>
            <w:tcBorders>
              <w:top w:val="single" w:sz="6" w:space="0" w:color="auto"/>
              <w:bottom w:val="single" w:sz="12" w:space="0" w:color="auto"/>
            </w:tcBorders>
          </w:tcPr>
          <w:p w:rsidR="00A46DCA" w:rsidRPr="00030844" w:rsidRDefault="00A46DCA" w:rsidP="00A26D0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9"/>
                <w:lang w:eastAsia="en-AU"/>
              </w:rPr>
            </w:pPr>
            <w:r w:rsidRPr="00030844">
              <w:rPr>
                <w:rFonts w:eastAsiaTheme="minorEastAsia" w:cs="Calibri"/>
                <w:bCs/>
                <w:color w:val="000000"/>
                <w:szCs w:val="19"/>
                <w:lang w:eastAsia="en-AU"/>
              </w:rPr>
              <w:t>1 091</w:t>
            </w:r>
          </w:p>
        </w:tc>
        <w:tc>
          <w:tcPr>
            <w:tcW w:w="850" w:type="dxa"/>
            <w:tcBorders>
              <w:top w:val="single" w:sz="6" w:space="0" w:color="auto"/>
              <w:bottom w:val="single" w:sz="12" w:space="0" w:color="auto"/>
            </w:tcBorders>
          </w:tcPr>
          <w:p w:rsidR="00A46DCA" w:rsidRPr="00030844" w:rsidRDefault="00A46DCA" w:rsidP="00A26D0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9"/>
                <w:lang w:eastAsia="en-AU"/>
              </w:rPr>
            </w:pPr>
            <w:r w:rsidRPr="00030844">
              <w:rPr>
                <w:rFonts w:eastAsiaTheme="minorEastAsia" w:cs="Calibri"/>
                <w:bCs/>
                <w:color w:val="000000"/>
                <w:szCs w:val="19"/>
                <w:lang w:eastAsia="en-AU"/>
              </w:rPr>
              <w:t>1 334</w:t>
            </w:r>
          </w:p>
        </w:tc>
      </w:tr>
    </w:tbl>
    <w:p w:rsidR="00A46DCA" w:rsidRDefault="00A46DCA" w:rsidP="00A26D04">
      <w:pPr>
        <w:pStyle w:val="Source"/>
      </w:pPr>
      <w:r>
        <w:t>Source: Department of Treasury and Finance</w:t>
      </w:r>
    </w:p>
    <w:p w:rsidR="00A46DCA" w:rsidRDefault="00A46DCA" w:rsidP="00A26D04">
      <w:pPr>
        <w:pStyle w:val="Note"/>
      </w:pPr>
      <w:r>
        <w:t>Notes:</w:t>
      </w:r>
    </w:p>
    <w:p w:rsidR="00A46DCA" w:rsidRDefault="00A46DCA" w:rsidP="00A26D04">
      <w:pPr>
        <w:pStyle w:val="Note"/>
      </w:pPr>
      <w:r>
        <w:t>(a)</w:t>
      </w:r>
      <w:r>
        <w:tab/>
        <w:t xml:space="preserve">This is a summary operating statement. The comprehensive operating statement is presented in Chapter 5 </w:t>
      </w:r>
      <w:r w:rsidRPr="00E377F9">
        <w:rPr>
          <w:i w:val="0"/>
        </w:rPr>
        <w:t>Supplementary uniform presentation framework tables</w:t>
      </w:r>
      <w:r>
        <w:t xml:space="preserve">. Figures in this table are subject to rounding to the nearest dollar and may not add up to totals. </w:t>
      </w:r>
    </w:p>
    <w:p w:rsidR="00A46DCA" w:rsidRPr="006E61F2" w:rsidRDefault="00A46DCA" w:rsidP="00A26D04">
      <w:pPr>
        <w:pStyle w:val="Note"/>
      </w:pPr>
      <w:r>
        <w:t>(b)</w:t>
      </w:r>
      <w:r>
        <w:tab/>
      </w:r>
      <w:r w:rsidRPr="00EC1614">
        <w:t>The 2017</w:t>
      </w:r>
      <w:r w:rsidRPr="00EC1614">
        <w:noBreakHyphen/>
        <w:t>18 revised per cent change refers to 2016</w:t>
      </w:r>
      <w:r w:rsidRPr="00EC1614">
        <w:noBreakHyphen/>
        <w:t>17 actual figures, adjusted to remove the one-off receipt of revenue associated with the upfront payment of the Port Licence Fee.</w:t>
      </w:r>
    </w:p>
    <w:p w:rsidR="00A46DCA" w:rsidRDefault="00A46DCA" w:rsidP="00A26D04">
      <w:pPr>
        <w:pStyle w:val="Note"/>
      </w:pPr>
      <w:r>
        <w:t>(c)</w:t>
      </w:r>
      <w:r>
        <w:tab/>
        <w:t>Comprises superannuation interest expense and other superannuation expenses.</w:t>
      </w:r>
    </w:p>
    <w:p w:rsidR="00A46DCA" w:rsidRDefault="00A46DCA" w:rsidP="00A26D04"/>
    <w:p w:rsidR="00A46DCA" w:rsidRDefault="00A46DCA" w:rsidP="00A26D04">
      <w:r>
        <w:t>Table 3.10 shows that the net result from transactions for the State in 2017-18 is projected to be a deficit of $1.5</w:t>
      </w:r>
      <w:r w:rsidRPr="006A7C8A">
        <w:t> </w:t>
      </w:r>
      <w:r>
        <w:t>b</w:t>
      </w:r>
      <w:r w:rsidRPr="006A7C8A">
        <w:t>illion</w:t>
      </w:r>
      <w:r>
        <w:t>, decreasing to a deficit of $14</w:t>
      </w:r>
      <w:r w:rsidRPr="006A7C8A">
        <w:t> million</w:t>
      </w:r>
      <w:r>
        <w:t xml:space="preserve"> by 2020-21. </w:t>
      </w:r>
    </w:p>
    <w:p w:rsidR="00A46DCA" w:rsidRDefault="00A46DCA" w:rsidP="00A26D04">
      <w:r>
        <w:t xml:space="preserve">The State’s insurers contribute substantially to the projected deficits because a significant portion of investment returns used to fund future claims costs is reported under other economic flows. </w:t>
      </w:r>
    </w:p>
    <w:p w:rsidR="00A46DCA" w:rsidRDefault="00A46DCA" w:rsidP="00A26D04">
      <w:r>
        <w:lastRenderedPageBreak/>
        <w:t>Consequently, the net result is a more meaningful measure of the expected operating position of the PFC sector and the State as it includes this substantial projected investment income.</w:t>
      </w:r>
      <w:r w:rsidRPr="00CD44DE">
        <w:t xml:space="preserve"> </w:t>
      </w:r>
      <w:r>
        <w:t>The net result at State level is a surplus of $854</w:t>
      </w:r>
      <w:r w:rsidRPr="006A7C8A">
        <w:t> </w:t>
      </w:r>
      <w:r>
        <w:t>m</w:t>
      </w:r>
      <w:r w:rsidRPr="006A7C8A">
        <w:t>illion</w:t>
      </w:r>
      <w:r>
        <w:t xml:space="preserve"> in </w:t>
      </w:r>
      <w:r w:rsidRPr="006A7C8A">
        <w:t>2017</w:t>
      </w:r>
      <w:r w:rsidRPr="006A7C8A">
        <w:noBreakHyphen/>
        <w:t>18</w:t>
      </w:r>
      <w:r>
        <w:t xml:space="preserve"> improving to $1.3</w:t>
      </w:r>
      <w:r w:rsidRPr="006A7C8A">
        <w:t> billion</w:t>
      </w:r>
      <w:r>
        <w:t xml:space="preserve"> by 2020-21.</w:t>
      </w:r>
    </w:p>
    <w:p w:rsidR="00A46DCA" w:rsidRDefault="00A46DCA" w:rsidP="00A26D04">
      <w:r>
        <w:t>Table 3.11 highlights the State’s financial position over the forward estimates. Total liabilities are projected to increase to $142</w:t>
      </w:r>
      <w:r w:rsidRPr="006A7C8A">
        <w:t> billion</w:t>
      </w:r>
      <w:r>
        <w:t xml:space="preserve"> by 2020-21. Offsetting this are financial assets and non-financial assets. Financial assets are projected to increase to $58 billion in line with the assumed growth in investments returns. N</w:t>
      </w:r>
      <w:r w:rsidRPr="006A7C8A">
        <w:t>on</w:t>
      </w:r>
      <w:r w:rsidRPr="006A7C8A">
        <w:noBreakHyphen/>
      </w:r>
      <w:r>
        <w:t>financial assets are projected to increase by $29 billion to $283 billion, primarily from the Government’s infrastructure program and revaluation of fixed assets. As a result, the State’s net assets are forecast to increase from $179</w:t>
      </w:r>
      <w:r w:rsidRPr="006A7C8A">
        <w:t> billion</w:t>
      </w:r>
      <w:r>
        <w:t xml:space="preserve"> in </w:t>
      </w:r>
      <w:r w:rsidRPr="006A7C8A">
        <w:t>2017</w:t>
      </w:r>
      <w:r w:rsidRPr="006A7C8A">
        <w:noBreakHyphen/>
        <w:t>18</w:t>
      </w:r>
      <w:r>
        <w:t xml:space="preserve"> to $199</w:t>
      </w:r>
      <w:r w:rsidRPr="006A7C8A">
        <w:t> billion</w:t>
      </w:r>
      <w:r>
        <w:t xml:space="preserve"> in 2020</w:t>
      </w:r>
      <w:r>
        <w:noBreakHyphen/>
        <w:t>21.</w:t>
      </w:r>
    </w:p>
    <w:p w:rsidR="00A46DCA" w:rsidRPr="00233D2F" w:rsidRDefault="00A46DCA" w:rsidP="00A26D04">
      <w:pPr>
        <w:pStyle w:val="TableHeading"/>
        <w:rPr>
          <w:bCs/>
          <w:lang w:val="en-US"/>
        </w:rPr>
      </w:pPr>
      <w:r>
        <w:t xml:space="preserve">Table 3.11: </w:t>
      </w:r>
      <w:r>
        <w:tab/>
        <w:t xml:space="preserve">Summary balance sheet for the State of Victoria </w:t>
      </w:r>
      <w:r w:rsidRPr="006A7C8A">
        <w:rPr>
          <w:vertAlign w:val="superscript"/>
        </w:rPr>
        <w:t>(a)</w:t>
      </w:r>
      <w:r>
        <w:tab/>
        <w:t>($ b</w:t>
      </w:r>
      <w:r w:rsidRPr="00455A9E">
        <w:t>illion)</w:t>
      </w:r>
    </w:p>
    <w:tbl>
      <w:tblPr>
        <w:tblStyle w:val="DTFTable"/>
        <w:tblW w:w="7765" w:type="dxa"/>
        <w:tblInd w:w="45" w:type="dxa"/>
        <w:tblLayout w:type="fixed"/>
        <w:tblCellMar>
          <w:left w:w="45" w:type="dxa"/>
          <w:right w:w="45" w:type="dxa"/>
        </w:tblCellMar>
        <w:tblLook w:val="06A0" w:firstRow="1" w:lastRow="0" w:firstColumn="1" w:lastColumn="0" w:noHBand="1" w:noVBand="1"/>
      </w:tblPr>
      <w:tblGrid>
        <w:gridCol w:w="4365"/>
        <w:gridCol w:w="850"/>
        <w:gridCol w:w="850"/>
        <w:gridCol w:w="850"/>
        <w:gridCol w:w="850"/>
      </w:tblGrid>
      <w:tr w:rsidR="00A26D04" w:rsidRPr="00233D2F" w:rsidTr="00A26D04">
        <w:trPr>
          <w:cnfStyle w:val="100000000000" w:firstRow="1" w:lastRow="0" w:firstColumn="0" w:lastColumn="0" w:oddVBand="0" w:evenVBand="0" w:oddHBand="0" w:evenHBand="0"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4365" w:type="dxa"/>
            <w:tcBorders>
              <w:top w:val="nil"/>
              <w:left w:val="nil"/>
              <w:right w:val="nil"/>
            </w:tcBorders>
            <w:shd w:val="solid" w:color="000000" w:fill="auto"/>
          </w:tcPr>
          <w:p w:rsidR="00A26D04" w:rsidRPr="00233D2F" w:rsidRDefault="00A26D04" w:rsidP="00A26D04">
            <w:pPr>
              <w:autoSpaceDE w:val="0"/>
              <w:autoSpaceDN w:val="0"/>
              <w:adjustRightInd w:val="0"/>
              <w:rPr>
                <w:rFonts w:eastAsiaTheme="minorEastAsia" w:cs="Calibri"/>
                <w:iCs/>
                <w:color w:val="FFFFFF"/>
                <w:szCs w:val="19"/>
                <w:lang w:eastAsia="en-AU"/>
              </w:rPr>
            </w:pPr>
            <w:r w:rsidRPr="00233D2F">
              <w:rPr>
                <w:rFonts w:eastAsiaTheme="minorEastAsia" w:cs="Calibri"/>
                <w:iCs/>
                <w:color w:val="FFFFFF"/>
                <w:szCs w:val="19"/>
                <w:lang w:eastAsia="en-AU"/>
              </w:rPr>
              <w:t xml:space="preserve">  </w:t>
            </w:r>
          </w:p>
        </w:tc>
        <w:tc>
          <w:tcPr>
            <w:tcW w:w="850" w:type="dxa"/>
            <w:tcBorders>
              <w:top w:val="nil"/>
              <w:left w:val="nil"/>
              <w:right w:val="nil"/>
            </w:tcBorders>
            <w:shd w:val="solid" w:color="000000" w:fill="auto"/>
          </w:tcPr>
          <w:p w:rsidR="00A26D04" w:rsidRPr="00233D2F" w:rsidRDefault="00A26D04" w:rsidP="00A26D0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9"/>
                <w:lang w:eastAsia="en-AU"/>
              </w:rPr>
            </w:pPr>
            <w:r w:rsidRPr="00233D2F">
              <w:rPr>
                <w:rFonts w:eastAsiaTheme="minorEastAsia" w:cs="Calibri"/>
                <w:iCs/>
                <w:color w:val="FFFFFF"/>
                <w:szCs w:val="19"/>
                <w:lang w:eastAsia="en-AU"/>
              </w:rPr>
              <w:t>2017-18</w:t>
            </w:r>
            <w:r>
              <w:rPr>
                <w:rFonts w:eastAsiaTheme="minorEastAsia" w:cs="Calibri"/>
                <w:iCs/>
                <w:color w:val="FFFFFF"/>
                <w:szCs w:val="19"/>
                <w:lang w:eastAsia="en-AU"/>
              </w:rPr>
              <w:br/>
            </w:r>
            <w:r w:rsidRPr="00233D2F">
              <w:rPr>
                <w:rFonts w:eastAsiaTheme="minorEastAsia" w:cs="Calibri"/>
                <w:iCs/>
                <w:color w:val="FFFFFF"/>
                <w:szCs w:val="19"/>
                <w:lang w:eastAsia="en-AU"/>
              </w:rPr>
              <w:t>revised</w:t>
            </w:r>
          </w:p>
        </w:tc>
        <w:tc>
          <w:tcPr>
            <w:tcW w:w="850" w:type="dxa"/>
            <w:tcBorders>
              <w:top w:val="nil"/>
              <w:left w:val="nil"/>
              <w:right w:val="nil"/>
            </w:tcBorders>
            <w:shd w:val="solid" w:color="000000" w:fill="auto"/>
          </w:tcPr>
          <w:p w:rsidR="00A26D04" w:rsidRPr="00233D2F" w:rsidRDefault="00A26D04" w:rsidP="00A26D0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9"/>
                <w:lang w:eastAsia="en-AU"/>
              </w:rPr>
            </w:pPr>
            <w:r w:rsidRPr="00233D2F">
              <w:rPr>
                <w:rFonts w:eastAsiaTheme="minorEastAsia" w:cs="Calibri"/>
                <w:iCs/>
                <w:color w:val="FFFFFF"/>
                <w:szCs w:val="19"/>
                <w:lang w:eastAsia="en-AU"/>
              </w:rPr>
              <w:t>2018-19</w:t>
            </w:r>
            <w:r>
              <w:rPr>
                <w:rFonts w:eastAsiaTheme="minorEastAsia" w:cs="Calibri"/>
                <w:iCs/>
                <w:color w:val="FFFFFF"/>
                <w:szCs w:val="19"/>
                <w:lang w:eastAsia="en-AU"/>
              </w:rPr>
              <w:br/>
            </w:r>
            <w:r w:rsidRPr="00233D2F">
              <w:rPr>
                <w:rFonts w:eastAsiaTheme="minorEastAsia" w:cs="Calibri"/>
                <w:iCs/>
                <w:color w:val="FFFFFF"/>
                <w:szCs w:val="19"/>
                <w:lang w:eastAsia="en-AU"/>
              </w:rPr>
              <w:t>estimate</w:t>
            </w:r>
          </w:p>
        </w:tc>
        <w:tc>
          <w:tcPr>
            <w:tcW w:w="850" w:type="dxa"/>
            <w:tcBorders>
              <w:top w:val="nil"/>
              <w:left w:val="nil"/>
              <w:right w:val="nil"/>
            </w:tcBorders>
            <w:shd w:val="solid" w:color="000000" w:fill="auto"/>
          </w:tcPr>
          <w:p w:rsidR="00A26D04" w:rsidRPr="00233D2F" w:rsidRDefault="00A26D04" w:rsidP="00A26D0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9"/>
                <w:lang w:eastAsia="en-AU"/>
              </w:rPr>
            </w:pPr>
            <w:r w:rsidRPr="00233D2F">
              <w:rPr>
                <w:rFonts w:eastAsiaTheme="minorEastAsia" w:cs="Calibri"/>
                <w:iCs/>
                <w:color w:val="FFFFFF"/>
                <w:szCs w:val="19"/>
                <w:lang w:eastAsia="en-AU"/>
              </w:rPr>
              <w:t>2019-20</w:t>
            </w:r>
            <w:r>
              <w:rPr>
                <w:rFonts w:eastAsiaTheme="minorEastAsia" w:cs="Calibri"/>
                <w:iCs/>
                <w:color w:val="FFFFFF"/>
                <w:szCs w:val="19"/>
                <w:lang w:eastAsia="en-AU"/>
              </w:rPr>
              <w:br/>
            </w:r>
            <w:r w:rsidRPr="00233D2F">
              <w:rPr>
                <w:rFonts w:eastAsiaTheme="minorEastAsia" w:cs="Calibri"/>
                <w:iCs/>
                <w:color w:val="FFFFFF"/>
                <w:szCs w:val="19"/>
                <w:lang w:eastAsia="en-AU"/>
              </w:rPr>
              <w:t>estimate</w:t>
            </w:r>
          </w:p>
        </w:tc>
        <w:tc>
          <w:tcPr>
            <w:tcW w:w="850" w:type="dxa"/>
            <w:tcBorders>
              <w:top w:val="nil"/>
              <w:left w:val="nil"/>
              <w:right w:val="nil"/>
            </w:tcBorders>
            <w:shd w:val="solid" w:color="000000" w:fill="auto"/>
          </w:tcPr>
          <w:p w:rsidR="00A26D04" w:rsidRPr="00233D2F" w:rsidRDefault="00A26D04" w:rsidP="00A26D0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9"/>
                <w:lang w:eastAsia="en-AU"/>
              </w:rPr>
            </w:pPr>
            <w:r w:rsidRPr="00233D2F">
              <w:rPr>
                <w:rFonts w:eastAsiaTheme="minorEastAsia" w:cs="Calibri"/>
                <w:iCs/>
                <w:color w:val="FFFFFF"/>
                <w:szCs w:val="19"/>
                <w:lang w:eastAsia="en-AU"/>
              </w:rPr>
              <w:t>2020-21</w:t>
            </w:r>
            <w:r>
              <w:rPr>
                <w:rFonts w:eastAsiaTheme="minorEastAsia" w:cs="Calibri"/>
                <w:iCs/>
                <w:color w:val="FFFFFF"/>
                <w:szCs w:val="19"/>
                <w:lang w:eastAsia="en-AU"/>
              </w:rPr>
              <w:br/>
            </w:r>
            <w:r w:rsidRPr="00233D2F">
              <w:rPr>
                <w:rFonts w:eastAsiaTheme="minorEastAsia" w:cs="Calibri"/>
                <w:iCs/>
                <w:color w:val="FFFFFF"/>
                <w:szCs w:val="19"/>
                <w:lang w:eastAsia="en-AU"/>
              </w:rPr>
              <w:t>estimate</w:t>
            </w:r>
          </w:p>
        </w:tc>
      </w:tr>
      <w:tr w:rsidR="00A46DCA" w:rsidRPr="00233D2F" w:rsidTr="00A26D04">
        <w:tc>
          <w:tcPr>
            <w:cnfStyle w:val="001000000000" w:firstRow="0" w:lastRow="0" w:firstColumn="1" w:lastColumn="0" w:oddVBand="0" w:evenVBand="0" w:oddHBand="0" w:evenHBand="0" w:firstRowFirstColumn="0" w:firstRowLastColumn="0" w:lastRowFirstColumn="0" w:lastRowLastColumn="0"/>
            <w:tcW w:w="4365" w:type="dxa"/>
            <w:tcBorders>
              <w:top w:val="nil"/>
              <w:left w:val="nil"/>
              <w:bottom w:val="nil"/>
              <w:right w:val="nil"/>
            </w:tcBorders>
          </w:tcPr>
          <w:p w:rsidR="00A46DCA" w:rsidRPr="00233D2F" w:rsidRDefault="00A46DCA" w:rsidP="00A26D04">
            <w:pPr>
              <w:keepLines w:val="0"/>
              <w:autoSpaceDE w:val="0"/>
              <w:autoSpaceDN w:val="0"/>
              <w:adjustRightInd w:val="0"/>
              <w:rPr>
                <w:rFonts w:eastAsiaTheme="minorEastAsia" w:cs="Calibri"/>
                <w:b/>
                <w:bCs/>
                <w:color w:val="000000"/>
                <w:szCs w:val="19"/>
                <w:lang w:eastAsia="en-AU"/>
              </w:rPr>
            </w:pPr>
            <w:r w:rsidRPr="00233D2F">
              <w:rPr>
                <w:rFonts w:eastAsiaTheme="minorEastAsia" w:cs="Calibri"/>
                <w:b/>
                <w:bCs/>
                <w:color w:val="000000"/>
                <w:szCs w:val="19"/>
                <w:lang w:eastAsia="en-AU"/>
              </w:rPr>
              <w:t>Assets</w:t>
            </w:r>
          </w:p>
        </w:tc>
        <w:tc>
          <w:tcPr>
            <w:tcW w:w="850" w:type="dxa"/>
            <w:tcBorders>
              <w:top w:val="nil"/>
              <w:left w:val="nil"/>
              <w:bottom w:val="nil"/>
              <w:right w:val="nil"/>
            </w:tcBorders>
          </w:tcPr>
          <w:p w:rsidR="00A46DCA" w:rsidRPr="00233D2F"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lang w:eastAsia="en-AU"/>
              </w:rPr>
            </w:pPr>
            <w:r w:rsidRPr="00233D2F">
              <w:rPr>
                <w:rFonts w:eastAsiaTheme="minorEastAsia" w:cs="Calibri"/>
                <w:color w:val="000000"/>
                <w:szCs w:val="19"/>
                <w:lang w:eastAsia="en-AU"/>
              </w:rPr>
              <w:t xml:space="preserve"> </w:t>
            </w:r>
          </w:p>
        </w:tc>
        <w:tc>
          <w:tcPr>
            <w:tcW w:w="850" w:type="dxa"/>
            <w:tcBorders>
              <w:top w:val="nil"/>
              <w:left w:val="nil"/>
              <w:bottom w:val="nil"/>
              <w:right w:val="nil"/>
            </w:tcBorders>
          </w:tcPr>
          <w:p w:rsidR="00A46DCA" w:rsidRPr="00233D2F"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lang w:eastAsia="en-AU"/>
              </w:rPr>
            </w:pPr>
            <w:r w:rsidRPr="00233D2F">
              <w:rPr>
                <w:rFonts w:eastAsiaTheme="minorEastAsia" w:cs="Calibri"/>
                <w:color w:val="000000"/>
                <w:szCs w:val="19"/>
                <w:lang w:eastAsia="en-AU"/>
              </w:rPr>
              <w:t xml:space="preserve"> </w:t>
            </w:r>
          </w:p>
        </w:tc>
        <w:tc>
          <w:tcPr>
            <w:tcW w:w="850" w:type="dxa"/>
            <w:tcBorders>
              <w:top w:val="nil"/>
              <w:left w:val="nil"/>
              <w:bottom w:val="nil"/>
              <w:right w:val="nil"/>
            </w:tcBorders>
          </w:tcPr>
          <w:p w:rsidR="00A46DCA" w:rsidRPr="00233D2F"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lang w:eastAsia="en-AU"/>
              </w:rPr>
            </w:pPr>
            <w:r w:rsidRPr="00233D2F">
              <w:rPr>
                <w:rFonts w:eastAsiaTheme="minorEastAsia" w:cs="Calibri"/>
                <w:color w:val="000000"/>
                <w:szCs w:val="19"/>
                <w:lang w:eastAsia="en-AU"/>
              </w:rPr>
              <w:t xml:space="preserve"> </w:t>
            </w:r>
          </w:p>
        </w:tc>
        <w:tc>
          <w:tcPr>
            <w:tcW w:w="850" w:type="dxa"/>
            <w:tcBorders>
              <w:top w:val="nil"/>
              <w:left w:val="nil"/>
              <w:bottom w:val="nil"/>
              <w:right w:val="nil"/>
            </w:tcBorders>
          </w:tcPr>
          <w:p w:rsidR="00A46DCA" w:rsidRPr="00233D2F"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lang w:eastAsia="en-AU"/>
              </w:rPr>
            </w:pPr>
            <w:r w:rsidRPr="00233D2F">
              <w:rPr>
                <w:rFonts w:eastAsiaTheme="minorEastAsia" w:cs="Calibri"/>
                <w:color w:val="000000"/>
                <w:szCs w:val="19"/>
                <w:lang w:eastAsia="en-AU"/>
              </w:rPr>
              <w:t xml:space="preserve"> </w:t>
            </w:r>
          </w:p>
        </w:tc>
      </w:tr>
      <w:tr w:rsidR="00A46DCA" w:rsidRPr="00233D2F" w:rsidTr="00A26D04">
        <w:tc>
          <w:tcPr>
            <w:cnfStyle w:val="001000000000" w:firstRow="0" w:lastRow="0" w:firstColumn="1" w:lastColumn="0" w:oddVBand="0" w:evenVBand="0" w:oddHBand="0" w:evenHBand="0" w:firstRowFirstColumn="0" w:firstRowLastColumn="0" w:lastRowFirstColumn="0" w:lastRowLastColumn="0"/>
            <w:tcW w:w="4365" w:type="dxa"/>
            <w:tcBorders>
              <w:top w:val="nil"/>
              <w:left w:val="nil"/>
              <w:bottom w:val="nil"/>
              <w:right w:val="nil"/>
            </w:tcBorders>
          </w:tcPr>
          <w:p w:rsidR="00A46DCA" w:rsidRPr="00233D2F" w:rsidRDefault="00A46DCA" w:rsidP="00A26D04">
            <w:pPr>
              <w:keepLines w:val="0"/>
              <w:autoSpaceDE w:val="0"/>
              <w:autoSpaceDN w:val="0"/>
              <w:adjustRightInd w:val="0"/>
              <w:rPr>
                <w:rFonts w:eastAsiaTheme="minorEastAsia" w:cs="Calibri"/>
                <w:color w:val="000000"/>
                <w:szCs w:val="19"/>
                <w:lang w:eastAsia="en-AU"/>
              </w:rPr>
            </w:pPr>
            <w:r w:rsidRPr="00233D2F">
              <w:rPr>
                <w:rFonts w:eastAsiaTheme="minorEastAsia" w:cs="Calibri"/>
                <w:color w:val="000000"/>
                <w:szCs w:val="19"/>
                <w:lang w:eastAsia="en-AU"/>
              </w:rPr>
              <w:t>Total financial assets</w:t>
            </w:r>
          </w:p>
        </w:tc>
        <w:tc>
          <w:tcPr>
            <w:tcW w:w="850" w:type="dxa"/>
            <w:tcBorders>
              <w:top w:val="nil"/>
              <w:left w:val="nil"/>
              <w:bottom w:val="nil"/>
              <w:right w:val="nil"/>
            </w:tcBorders>
          </w:tcPr>
          <w:p w:rsidR="00A46DCA" w:rsidRPr="00233D2F" w:rsidRDefault="00996E49"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color w:val="000000"/>
                <w:szCs w:val="19"/>
                <w:lang w:eastAsia="en-AU"/>
              </w:rPr>
              <w:t>55</w:t>
            </w:r>
          </w:p>
        </w:tc>
        <w:tc>
          <w:tcPr>
            <w:tcW w:w="850" w:type="dxa"/>
            <w:tcBorders>
              <w:top w:val="nil"/>
              <w:left w:val="nil"/>
              <w:bottom w:val="nil"/>
              <w:right w:val="nil"/>
            </w:tcBorders>
          </w:tcPr>
          <w:p w:rsidR="00A46DCA" w:rsidRPr="00233D2F" w:rsidRDefault="00996E49"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color w:val="000000"/>
                <w:szCs w:val="19"/>
                <w:lang w:eastAsia="en-AU"/>
              </w:rPr>
              <w:t>55</w:t>
            </w:r>
          </w:p>
        </w:tc>
        <w:tc>
          <w:tcPr>
            <w:tcW w:w="850" w:type="dxa"/>
            <w:tcBorders>
              <w:top w:val="nil"/>
              <w:left w:val="nil"/>
              <w:bottom w:val="nil"/>
              <w:right w:val="nil"/>
            </w:tcBorders>
          </w:tcPr>
          <w:p w:rsidR="00A46DCA" w:rsidRPr="00233D2F" w:rsidRDefault="00996E49"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color w:val="000000"/>
                <w:szCs w:val="19"/>
                <w:lang w:eastAsia="en-AU"/>
              </w:rPr>
              <w:t>57</w:t>
            </w:r>
          </w:p>
        </w:tc>
        <w:tc>
          <w:tcPr>
            <w:tcW w:w="850" w:type="dxa"/>
            <w:tcBorders>
              <w:top w:val="nil"/>
              <w:left w:val="nil"/>
              <w:bottom w:val="nil"/>
              <w:right w:val="nil"/>
            </w:tcBorders>
          </w:tcPr>
          <w:p w:rsidR="00A46DCA" w:rsidRPr="00233D2F" w:rsidRDefault="00996E49"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color w:val="000000"/>
                <w:szCs w:val="19"/>
                <w:lang w:eastAsia="en-AU"/>
              </w:rPr>
              <w:t>58</w:t>
            </w:r>
          </w:p>
        </w:tc>
      </w:tr>
      <w:tr w:rsidR="00A46DCA" w:rsidRPr="00233D2F" w:rsidTr="00A26D04">
        <w:tc>
          <w:tcPr>
            <w:cnfStyle w:val="001000000000" w:firstRow="0" w:lastRow="0" w:firstColumn="1" w:lastColumn="0" w:oddVBand="0" w:evenVBand="0" w:oddHBand="0" w:evenHBand="0" w:firstRowFirstColumn="0" w:firstRowLastColumn="0" w:lastRowFirstColumn="0" w:lastRowLastColumn="0"/>
            <w:tcW w:w="4365" w:type="dxa"/>
            <w:tcBorders>
              <w:top w:val="nil"/>
              <w:left w:val="nil"/>
              <w:bottom w:val="single" w:sz="6" w:space="0" w:color="auto"/>
              <w:right w:val="nil"/>
            </w:tcBorders>
          </w:tcPr>
          <w:p w:rsidR="00A46DCA" w:rsidRPr="00233D2F" w:rsidRDefault="00A46DCA" w:rsidP="00A26D04">
            <w:pPr>
              <w:keepLines w:val="0"/>
              <w:autoSpaceDE w:val="0"/>
              <w:autoSpaceDN w:val="0"/>
              <w:adjustRightInd w:val="0"/>
              <w:rPr>
                <w:rFonts w:eastAsiaTheme="minorEastAsia" w:cs="Calibri"/>
                <w:color w:val="000000"/>
                <w:szCs w:val="19"/>
                <w:lang w:eastAsia="en-AU"/>
              </w:rPr>
            </w:pPr>
            <w:r w:rsidRPr="00233D2F">
              <w:rPr>
                <w:rFonts w:eastAsiaTheme="minorEastAsia" w:cs="Calibri"/>
                <w:color w:val="000000"/>
                <w:szCs w:val="19"/>
                <w:lang w:eastAsia="en-AU"/>
              </w:rPr>
              <w:t>Total non-financial assets</w:t>
            </w:r>
          </w:p>
        </w:tc>
        <w:tc>
          <w:tcPr>
            <w:tcW w:w="850" w:type="dxa"/>
            <w:tcBorders>
              <w:top w:val="nil"/>
              <w:left w:val="nil"/>
              <w:bottom w:val="single" w:sz="6" w:space="0" w:color="auto"/>
              <w:right w:val="nil"/>
            </w:tcBorders>
          </w:tcPr>
          <w:p w:rsidR="00A46DCA" w:rsidRPr="00233D2F" w:rsidRDefault="00996E49"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color w:val="000000"/>
                <w:szCs w:val="19"/>
                <w:lang w:eastAsia="en-AU"/>
              </w:rPr>
              <w:t>254</w:t>
            </w:r>
          </w:p>
        </w:tc>
        <w:tc>
          <w:tcPr>
            <w:tcW w:w="850" w:type="dxa"/>
            <w:tcBorders>
              <w:top w:val="nil"/>
              <w:left w:val="nil"/>
              <w:bottom w:val="single" w:sz="6" w:space="0" w:color="auto"/>
              <w:right w:val="nil"/>
            </w:tcBorders>
          </w:tcPr>
          <w:p w:rsidR="00A46DCA" w:rsidRPr="00233D2F" w:rsidRDefault="00996E49"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color w:val="000000"/>
                <w:szCs w:val="19"/>
                <w:lang w:eastAsia="en-AU"/>
              </w:rPr>
              <w:t>262</w:t>
            </w:r>
          </w:p>
        </w:tc>
        <w:tc>
          <w:tcPr>
            <w:tcW w:w="850" w:type="dxa"/>
            <w:tcBorders>
              <w:top w:val="nil"/>
              <w:left w:val="nil"/>
              <w:bottom w:val="single" w:sz="6" w:space="0" w:color="auto"/>
              <w:right w:val="nil"/>
            </w:tcBorders>
          </w:tcPr>
          <w:p w:rsidR="00A46DCA" w:rsidRPr="00233D2F" w:rsidRDefault="00996E49"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color w:val="000000"/>
                <w:szCs w:val="19"/>
                <w:lang w:eastAsia="en-AU"/>
              </w:rPr>
              <w:t>277</w:t>
            </w:r>
          </w:p>
        </w:tc>
        <w:tc>
          <w:tcPr>
            <w:tcW w:w="850" w:type="dxa"/>
            <w:tcBorders>
              <w:top w:val="nil"/>
              <w:left w:val="nil"/>
              <w:bottom w:val="single" w:sz="6" w:space="0" w:color="auto"/>
              <w:right w:val="nil"/>
            </w:tcBorders>
          </w:tcPr>
          <w:p w:rsidR="00A46DCA" w:rsidRPr="00233D2F" w:rsidRDefault="00996E49"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color w:val="000000"/>
                <w:szCs w:val="19"/>
                <w:lang w:eastAsia="en-AU"/>
              </w:rPr>
              <w:t>283</w:t>
            </w:r>
          </w:p>
        </w:tc>
      </w:tr>
      <w:tr w:rsidR="00A46DCA" w:rsidRPr="00233D2F" w:rsidTr="00A26D04">
        <w:tc>
          <w:tcPr>
            <w:cnfStyle w:val="001000000000" w:firstRow="0" w:lastRow="0" w:firstColumn="1" w:lastColumn="0" w:oddVBand="0" w:evenVBand="0" w:oddHBand="0" w:evenHBand="0" w:firstRowFirstColumn="0" w:firstRowLastColumn="0" w:lastRowFirstColumn="0" w:lastRowLastColumn="0"/>
            <w:tcW w:w="4365" w:type="dxa"/>
            <w:tcBorders>
              <w:top w:val="nil"/>
              <w:left w:val="nil"/>
              <w:bottom w:val="nil"/>
              <w:right w:val="nil"/>
            </w:tcBorders>
          </w:tcPr>
          <w:p w:rsidR="00A46DCA" w:rsidRPr="00233D2F" w:rsidRDefault="00A46DCA" w:rsidP="00A26D04">
            <w:pPr>
              <w:keepLines w:val="0"/>
              <w:autoSpaceDE w:val="0"/>
              <w:autoSpaceDN w:val="0"/>
              <w:adjustRightInd w:val="0"/>
              <w:rPr>
                <w:rFonts w:eastAsiaTheme="minorEastAsia" w:cs="Calibri"/>
                <w:b/>
                <w:bCs/>
                <w:color w:val="000000"/>
                <w:szCs w:val="19"/>
                <w:lang w:eastAsia="en-AU"/>
              </w:rPr>
            </w:pPr>
            <w:r w:rsidRPr="00233D2F">
              <w:rPr>
                <w:rFonts w:eastAsiaTheme="minorEastAsia" w:cs="Calibri"/>
                <w:b/>
                <w:bCs/>
                <w:color w:val="000000"/>
                <w:szCs w:val="19"/>
                <w:lang w:eastAsia="en-AU"/>
              </w:rPr>
              <w:t>Total assets</w:t>
            </w:r>
          </w:p>
        </w:tc>
        <w:tc>
          <w:tcPr>
            <w:tcW w:w="850" w:type="dxa"/>
            <w:tcBorders>
              <w:top w:val="nil"/>
              <w:left w:val="nil"/>
              <w:bottom w:val="nil"/>
              <w:right w:val="nil"/>
            </w:tcBorders>
          </w:tcPr>
          <w:p w:rsidR="00A46DCA" w:rsidRPr="00233D2F" w:rsidRDefault="00996E49"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b/>
                <w:bCs/>
                <w:color w:val="000000"/>
                <w:szCs w:val="19"/>
                <w:lang w:eastAsia="en-AU"/>
              </w:rPr>
              <w:t>308</w:t>
            </w:r>
          </w:p>
        </w:tc>
        <w:tc>
          <w:tcPr>
            <w:tcW w:w="850" w:type="dxa"/>
            <w:tcBorders>
              <w:top w:val="nil"/>
              <w:left w:val="nil"/>
              <w:bottom w:val="nil"/>
              <w:right w:val="nil"/>
            </w:tcBorders>
          </w:tcPr>
          <w:p w:rsidR="00A46DCA" w:rsidRPr="00233D2F" w:rsidRDefault="00996E49"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b/>
                <w:bCs/>
                <w:color w:val="000000"/>
                <w:szCs w:val="19"/>
                <w:lang w:eastAsia="en-AU"/>
              </w:rPr>
              <w:t>317</w:t>
            </w:r>
          </w:p>
        </w:tc>
        <w:tc>
          <w:tcPr>
            <w:tcW w:w="850" w:type="dxa"/>
            <w:tcBorders>
              <w:top w:val="nil"/>
              <w:left w:val="nil"/>
              <w:bottom w:val="nil"/>
              <w:right w:val="nil"/>
            </w:tcBorders>
          </w:tcPr>
          <w:p w:rsidR="00A46DCA" w:rsidRPr="00233D2F" w:rsidRDefault="00996E49"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b/>
                <w:bCs/>
                <w:color w:val="000000"/>
                <w:szCs w:val="19"/>
                <w:lang w:eastAsia="en-AU"/>
              </w:rPr>
              <w:t>333</w:t>
            </w:r>
          </w:p>
        </w:tc>
        <w:tc>
          <w:tcPr>
            <w:tcW w:w="850" w:type="dxa"/>
            <w:tcBorders>
              <w:top w:val="nil"/>
              <w:left w:val="nil"/>
              <w:bottom w:val="nil"/>
              <w:right w:val="nil"/>
            </w:tcBorders>
          </w:tcPr>
          <w:p w:rsidR="00A46DCA" w:rsidRPr="00233D2F" w:rsidRDefault="00996E49"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b/>
                <w:bCs/>
                <w:color w:val="000000"/>
                <w:szCs w:val="19"/>
                <w:lang w:eastAsia="en-AU"/>
              </w:rPr>
              <w:t>341</w:t>
            </w:r>
          </w:p>
        </w:tc>
      </w:tr>
      <w:tr w:rsidR="00A46DCA" w:rsidRPr="00233D2F" w:rsidTr="00A26D04">
        <w:tc>
          <w:tcPr>
            <w:cnfStyle w:val="001000000000" w:firstRow="0" w:lastRow="0" w:firstColumn="1" w:lastColumn="0" w:oddVBand="0" w:evenVBand="0" w:oddHBand="0" w:evenHBand="0" w:firstRowFirstColumn="0" w:firstRowLastColumn="0" w:lastRowFirstColumn="0" w:lastRowLastColumn="0"/>
            <w:tcW w:w="4365" w:type="dxa"/>
            <w:tcBorders>
              <w:top w:val="nil"/>
              <w:left w:val="nil"/>
              <w:bottom w:val="nil"/>
              <w:right w:val="nil"/>
            </w:tcBorders>
          </w:tcPr>
          <w:p w:rsidR="00A46DCA" w:rsidRPr="00233D2F" w:rsidRDefault="00A46DCA" w:rsidP="00A26D04">
            <w:pPr>
              <w:keepLines w:val="0"/>
              <w:autoSpaceDE w:val="0"/>
              <w:autoSpaceDN w:val="0"/>
              <w:adjustRightInd w:val="0"/>
              <w:rPr>
                <w:rFonts w:eastAsiaTheme="minorEastAsia" w:cs="Calibri"/>
                <w:b/>
                <w:bCs/>
                <w:color w:val="000000"/>
                <w:szCs w:val="19"/>
                <w:lang w:eastAsia="en-AU"/>
              </w:rPr>
            </w:pPr>
            <w:r w:rsidRPr="00233D2F">
              <w:rPr>
                <w:rFonts w:eastAsiaTheme="minorEastAsia" w:cs="Calibri"/>
                <w:b/>
                <w:bCs/>
                <w:color w:val="000000"/>
                <w:szCs w:val="19"/>
                <w:lang w:eastAsia="en-AU"/>
              </w:rPr>
              <w:t>Liabilities</w:t>
            </w:r>
          </w:p>
        </w:tc>
        <w:tc>
          <w:tcPr>
            <w:tcW w:w="850" w:type="dxa"/>
            <w:tcBorders>
              <w:top w:val="nil"/>
              <w:left w:val="nil"/>
              <w:bottom w:val="nil"/>
              <w:right w:val="nil"/>
            </w:tcBorders>
          </w:tcPr>
          <w:p w:rsidR="00A46DCA" w:rsidRPr="00233D2F"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lang w:eastAsia="en-AU"/>
              </w:rPr>
            </w:pPr>
            <w:r w:rsidRPr="00233D2F">
              <w:rPr>
                <w:rFonts w:eastAsiaTheme="minorEastAsia" w:cs="Calibri"/>
                <w:color w:val="000000"/>
                <w:szCs w:val="19"/>
                <w:lang w:eastAsia="en-AU"/>
              </w:rPr>
              <w:t xml:space="preserve"> </w:t>
            </w:r>
          </w:p>
        </w:tc>
        <w:tc>
          <w:tcPr>
            <w:tcW w:w="850" w:type="dxa"/>
            <w:tcBorders>
              <w:top w:val="nil"/>
              <w:left w:val="nil"/>
              <w:bottom w:val="nil"/>
              <w:right w:val="nil"/>
            </w:tcBorders>
          </w:tcPr>
          <w:p w:rsidR="00A46DCA" w:rsidRPr="00233D2F"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lang w:eastAsia="en-AU"/>
              </w:rPr>
            </w:pPr>
            <w:r w:rsidRPr="00233D2F">
              <w:rPr>
                <w:rFonts w:eastAsiaTheme="minorEastAsia" w:cs="Calibri"/>
                <w:color w:val="000000"/>
                <w:szCs w:val="19"/>
                <w:lang w:eastAsia="en-AU"/>
              </w:rPr>
              <w:t xml:space="preserve"> </w:t>
            </w:r>
          </w:p>
        </w:tc>
        <w:tc>
          <w:tcPr>
            <w:tcW w:w="850" w:type="dxa"/>
            <w:tcBorders>
              <w:top w:val="nil"/>
              <w:left w:val="nil"/>
              <w:bottom w:val="nil"/>
              <w:right w:val="nil"/>
            </w:tcBorders>
          </w:tcPr>
          <w:p w:rsidR="00A46DCA" w:rsidRPr="00233D2F"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lang w:eastAsia="en-AU"/>
              </w:rPr>
            </w:pPr>
            <w:r w:rsidRPr="00233D2F">
              <w:rPr>
                <w:rFonts w:eastAsiaTheme="minorEastAsia" w:cs="Calibri"/>
                <w:color w:val="000000"/>
                <w:szCs w:val="19"/>
                <w:lang w:eastAsia="en-AU"/>
              </w:rPr>
              <w:t xml:space="preserve"> </w:t>
            </w:r>
          </w:p>
        </w:tc>
        <w:tc>
          <w:tcPr>
            <w:tcW w:w="850" w:type="dxa"/>
            <w:tcBorders>
              <w:top w:val="nil"/>
              <w:left w:val="nil"/>
              <w:bottom w:val="nil"/>
              <w:right w:val="nil"/>
            </w:tcBorders>
          </w:tcPr>
          <w:p w:rsidR="00A46DCA" w:rsidRPr="00233D2F"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lang w:eastAsia="en-AU"/>
              </w:rPr>
            </w:pPr>
            <w:r w:rsidRPr="00233D2F">
              <w:rPr>
                <w:rFonts w:eastAsiaTheme="minorEastAsia" w:cs="Calibri"/>
                <w:color w:val="000000"/>
                <w:szCs w:val="19"/>
                <w:lang w:eastAsia="en-AU"/>
              </w:rPr>
              <w:t xml:space="preserve"> </w:t>
            </w:r>
          </w:p>
        </w:tc>
      </w:tr>
      <w:tr w:rsidR="00A46DCA" w:rsidRPr="00233D2F" w:rsidTr="00A26D04">
        <w:tc>
          <w:tcPr>
            <w:cnfStyle w:val="001000000000" w:firstRow="0" w:lastRow="0" w:firstColumn="1" w:lastColumn="0" w:oddVBand="0" w:evenVBand="0" w:oddHBand="0" w:evenHBand="0" w:firstRowFirstColumn="0" w:firstRowLastColumn="0" w:lastRowFirstColumn="0" w:lastRowLastColumn="0"/>
            <w:tcW w:w="4365" w:type="dxa"/>
            <w:tcBorders>
              <w:top w:val="nil"/>
              <w:left w:val="nil"/>
              <w:bottom w:val="nil"/>
              <w:right w:val="nil"/>
            </w:tcBorders>
          </w:tcPr>
          <w:p w:rsidR="00A46DCA" w:rsidRPr="00233D2F" w:rsidRDefault="00A46DCA" w:rsidP="00A26D04">
            <w:pPr>
              <w:keepLines w:val="0"/>
              <w:autoSpaceDE w:val="0"/>
              <w:autoSpaceDN w:val="0"/>
              <w:adjustRightInd w:val="0"/>
              <w:rPr>
                <w:rFonts w:eastAsiaTheme="minorEastAsia" w:cs="Calibri"/>
                <w:color w:val="000000"/>
                <w:szCs w:val="19"/>
                <w:lang w:eastAsia="en-AU"/>
              </w:rPr>
            </w:pPr>
            <w:r w:rsidRPr="00233D2F">
              <w:rPr>
                <w:rFonts w:eastAsiaTheme="minorEastAsia" w:cs="Calibri"/>
                <w:color w:val="000000"/>
                <w:szCs w:val="19"/>
                <w:lang w:eastAsia="en-AU"/>
              </w:rPr>
              <w:t>Superannuation</w:t>
            </w:r>
          </w:p>
        </w:tc>
        <w:tc>
          <w:tcPr>
            <w:tcW w:w="850" w:type="dxa"/>
            <w:tcBorders>
              <w:top w:val="nil"/>
              <w:left w:val="nil"/>
              <w:bottom w:val="nil"/>
              <w:right w:val="nil"/>
            </w:tcBorders>
          </w:tcPr>
          <w:p w:rsidR="00A46DCA" w:rsidRPr="00233D2F" w:rsidRDefault="00996E49"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color w:val="000000"/>
                <w:szCs w:val="19"/>
                <w:lang w:eastAsia="en-AU"/>
              </w:rPr>
              <w:t>23</w:t>
            </w:r>
          </w:p>
        </w:tc>
        <w:tc>
          <w:tcPr>
            <w:tcW w:w="850" w:type="dxa"/>
            <w:tcBorders>
              <w:top w:val="nil"/>
              <w:left w:val="nil"/>
              <w:bottom w:val="nil"/>
              <w:right w:val="nil"/>
            </w:tcBorders>
          </w:tcPr>
          <w:p w:rsidR="00A46DCA" w:rsidRPr="00233D2F" w:rsidRDefault="00996E49"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color w:val="000000"/>
                <w:szCs w:val="19"/>
                <w:lang w:eastAsia="en-AU"/>
              </w:rPr>
              <w:t>22</w:t>
            </w:r>
          </w:p>
        </w:tc>
        <w:tc>
          <w:tcPr>
            <w:tcW w:w="850" w:type="dxa"/>
            <w:tcBorders>
              <w:top w:val="nil"/>
              <w:left w:val="nil"/>
              <w:bottom w:val="nil"/>
              <w:right w:val="nil"/>
            </w:tcBorders>
          </w:tcPr>
          <w:p w:rsidR="00A46DCA" w:rsidRPr="00233D2F" w:rsidRDefault="00996E49"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color w:val="000000"/>
                <w:szCs w:val="19"/>
                <w:lang w:eastAsia="en-AU"/>
              </w:rPr>
              <w:t>21</w:t>
            </w:r>
          </w:p>
        </w:tc>
        <w:tc>
          <w:tcPr>
            <w:tcW w:w="850" w:type="dxa"/>
            <w:tcBorders>
              <w:top w:val="nil"/>
              <w:left w:val="nil"/>
              <w:bottom w:val="nil"/>
              <w:right w:val="nil"/>
            </w:tcBorders>
          </w:tcPr>
          <w:p w:rsidR="00A46DCA" w:rsidRPr="00233D2F" w:rsidRDefault="00996E49"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color w:val="000000"/>
                <w:szCs w:val="19"/>
                <w:lang w:eastAsia="en-AU"/>
              </w:rPr>
              <w:t>20</w:t>
            </w:r>
          </w:p>
        </w:tc>
      </w:tr>
      <w:tr w:rsidR="00A46DCA" w:rsidRPr="00233D2F" w:rsidTr="00A26D04">
        <w:tc>
          <w:tcPr>
            <w:cnfStyle w:val="001000000000" w:firstRow="0" w:lastRow="0" w:firstColumn="1" w:lastColumn="0" w:oddVBand="0" w:evenVBand="0" w:oddHBand="0" w:evenHBand="0" w:firstRowFirstColumn="0" w:firstRowLastColumn="0" w:lastRowFirstColumn="0" w:lastRowLastColumn="0"/>
            <w:tcW w:w="4365" w:type="dxa"/>
            <w:tcBorders>
              <w:top w:val="nil"/>
              <w:left w:val="nil"/>
              <w:bottom w:val="nil"/>
              <w:right w:val="nil"/>
            </w:tcBorders>
          </w:tcPr>
          <w:p w:rsidR="00A46DCA" w:rsidRPr="00233D2F" w:rsidRDefault="00A46DCA" w:rsidP="00A26D04">
            <w:pPr>
              <w:keepLines w:val="0"/>
              <w:autoSpaceDE w:val="0"/>
              <w:autoSpaceDN w:val="0"/>
              <w:adjustRightInd w:val="0"/>
              <w:rPr>
                <w:rFonts w:eastAsiaTheme="minorEastAsia" w:cs="Calibri"/>
                <w:color w:val="000000"/>
                <w:szCs w:val="19"/>
                <w:lang w:eastAsia="en-AU"/>
              </w:rPr>
            </w:pPr>
            <w:r w:rsidRPr="00233D2F">
              <w:rPr>
                <w:rFonts w:eastAsiaTheme="minorEastAsia" w:cs="Calibri"/>
                <w:color w:val="000000"/>
                <w:szCs w:val="19"/>
                <w:lang w:eastAsia="en-AU"/>
              </w:rPr>
              <w:t>Borrowings</w:t>
            </w:r>
          </w:p>
        </w:tc>
        <w:tc>
          <w:tcPr>
            <w:tcW w:w="850" w:type="dxa"/>
            <w:tcBorders>
              <w:top w:val="nil"/>
              <w:left w:val="nil"/>
              <w:bottom w:val="nil"/>
              <w:right w:val="nil"/>
            </w:tcBorders>
          </w:tcPr>
          <w:p w:rsidR="00A46DCA" w:rsidRPr="00233D2F" w:rsidRDefault="00996E49"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color w:val="000000"/>
                <w:szCs w:val="19"/>
                <w:lang w:eastAsia="en-AU"/>
              </w:rPr>
              <w:t>51</w:t>
            </w:r>
          </w:p>
        </w:tc>
        <w:tc>
          <w:tcPr>
            <w:tcW w:w="850" w:type="dxa"/>
            <w:tcBorders>
              <w:top w:val="nil"/>
              <w:left w:val="nil"/>
              <w:bottom w:val="nil"/>
              <w:right w:val="nil"/>
            </w:tcBorders>
          </w:tcPr>
          <w:p w:rsidR="00A46DCA" w:rsidRPr="00233D2F" w:rsidRDefault="00996E49"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color w:val="000000"/>
                <w:szCs w:val="19"/>
                <w:lang w:eastAsia="en-AU"/>
              </w:rPr>
              <w:t>53</w:t>
            </w:r>
          </w:p>
        </w:tc>
        <w:tc>
          <w:tcPr>
            <w:tcW w:w="850" w:type="dxa"/>
            <w:tcBorders>
              <w:top w:val="nil"/>
              <w:left w:val="nil"/>
              <w:bottom w:val="nil"/>
              <w:right w:val="nil"/>
            </w:tcBorders>
          </w:tcPr>
          <w:p w:rsidR="00A46DCA" w:rsidRPr="00233D2F" w:rsidRDefault="00996E49"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color w:val="000000"/>
                <w:szCs w:val="19"/>
                <w:lang w:eastAsia="en-AU"/>
              </w:rPr>
              <w:t>56</w:t>
            </w:r>
          </w:p>
        </w:tc>
        <w:tc>
          <w:tcPr>
            <w:tcW w:w="850" w:type="dxa"/>
            <w:tcBorders>
              <w:top w:val="nil"/>
              <w:left w:val="nil"/>
              <w:bottom w:val="nil"/>
              <w:right w:val="nil"/>
            </w:tcBorders>
          </w:tcPr>
          <w:p w:rsidR="00A46DCA" w:rsidRPr="00233D2F" w:rsidRDefault="00996E49"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color w:val="000000"/>
                <w:szCs w:val="19"/>
                <w:lang w:eastAsia="en-AU"/>
              </w:rPr>
              <w:t>59</w:t>
            </w:r>
          </w:p>
        </w:tc>
      </w:tr>
      <w:tr w:rsidR="00A46DCA" w:rsidRPr="00233D2F" w:rsidTr="00A26D04">
        <w:tc>
          <w:tcPr>
            <w:cnfStyle w:val="001000000000" w:firstRow="0" w:lastRow="0" w:firstColumn="1" w:lastColumn="0" w:oddVBand="0" w:evenVBand="0" w:oddHBand="0" w:evenHBand="0" w:firstRowFirstColumn="0" w:firstRowLastColumn="0" w:lastRowFirstColumn="0" w:lastRowLastColumn="0"/>
            <w:tcW w:w="4365" w:type="dxa"/>
            <w:tcBorders>
              <w:top w:val="nil"/>
              <w:left w:val="nil"/>
              <w:bottom w:val="nil"/>
              <w:right w:val="nil"/>
            </w:tcBorders>
          </w:tcPr>
          <w:p w:rsidR="00A46DCA" w:rsidRPr="00233D2F" w:rsidRDefault="00A46DCA" w:rsidP="00A26D04">
            <w:pPr>
              <w:keepLines w:val="0"/>
              <w:autoSpaceDE w:val="0"/>
              <w:autoSpaceDN w:val="0"/>
              <w:adjustRightInd w:val="0"/>
              <w:rPr>
                <w:rFonts w:eastAsiaTheme="minorEastAsia" w:cs="Calibri"/>
                <w:color w:val="000000"/>
                <w:szCs w:val="19"/>
                <w:lang w:eastAsia="en-AU"/>
              </w:rPr>
            </w:pPr>
            <w:r w:rsidRPr="00233D2F">
              <w:rPr>
                <w:rFonts w:eastAsiaTheme="minorEastAsia" w:cs="Calibri"/>
                <w:color w:val="000000"/>
                <w:szCs w:val="19"/>
                <w:lang w:eastAsia="en-AU"/>
              </w:rPr>
              <w:t>Deposits held and advances received</w:t>
            </w:r>
          </w:p>
        </w:tc>
        <w:tc>
          <w:tcPr>
            <w:tcW w:w="850" w:type="dxa"/>
            <w:tcBorders>
              <w:top w:val="nil"/>
              <w:left w:val="nil"/>
              <w:bottom w:val="nil"/>
              <w:right w:val="nil"/>
            </w:tcBorders>
          </w:tcPr>
          <w:p w:rsidR="00A46DCA" w:rsidRPr="00233D2F" w:rsidRDefault="00996E49"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color w:val="000000"/>
                <w:szCs w:val="19"/>
                <w:lang w:eastAsia="en-AU"/>
              </w:rPr>
              <w:t>2</w:t>
            </w:r>
          </w:p>
        </w:tc>
        <w:tc>
          <w:tcPr>
            <w:tcW w:w="850" w:type="dxa"/>
            <w:tcBorders>
              <w:top w:val="nil"/>
              <w:left w:val="nil"/>
              <w:bottom w:val="nil"/>
              <w:right w:val="nil"/>
            </w:tcBorders>
          </w:tcPr>
          <w:p w:rsidR="00A46DCA" w:rsidRPr="00233D2F" w:rsidRDefault="00996E49"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color w:val="000000"/>
                <w:szCs w:val="19"/>
                <w:lang w:eastAsia="en-AU"/>
              </w:rPr>
              <w:t>2</w:t>
            </w:r>
          </w:p>
        </w:tc>
        <w:tc>
          <w:tcPr>
            <w:tcW w:w="850" w:type="dxa"/>
            <w:tcBorders>
              <w:top w:val="nil"/>
              <w:left w:val="nil"/>
              <w:bottom w:val="nil"/>
              <w:right w:val="nil"/>
            </w:tcBorders>
          </w:tcPr>
          <w:p w:rsidR="00A46DCA" w:rsidRPr="00233D2F" w:rsidRDefault="00996E49"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color w:val="000000"/>
                <w:szCs w:val="19"/>
                <w:lang w:eastAsia="en-AU"/>
              </w:rPr>
              <w:t>2</w:t>
            </w:r>
          </w:p>
        </w:tc>
        <w:tc>
          <w:tcPr>
            <w:tcW w:w="850" w:type="dxa"/>
            <w:tcBorders>
              <w:top w:val="nil"/>
              <w:left w:val="nil"/>
              <w:bottom w:val="nil"/>
              <w:right w:val="nil"/>
            </w:tcBorders>
          </w:tcPr>
          <w:p w:rsidR="00A46DCA" w:rsidRPr="00233D2F" w:rsidRDefault="00996E49"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color w:val="000000"/>
                <w:szCs w:val="19"/>
                <w:lang w:eastAsia="en-AU"/>
              </w:rPr>
              <w:t>2</w:t>
            </w:r>
          </w:p>
        </w:tc>
      </w:tr>
      <w:tr w:rsidR="00A46DCA" w:rsidRPr="00233D2F" w:rsidTr="00A26D04">
        <w:tc>
          <w:tcPr>
            <w:cnfStyle w:val="001000000000" w:firstRow="0" w:lastRow="0" w:firstColumn="1" w:lastColumn="0" w:oddVBand="0" w:evenVBand="0" w:oddHBand="0" w:evenHBand="0" w:firstRowFirstColumn="0" w:firstRowLastColumn="0" w:lastRowFirstColumn="0" w:lastRowLastColumn="0"/>
            <w:tcW w:w="4365" w:type="dxa"/>
            <w:tcBorders>
              <w:top w:val="nil"/>
              <w:left w:val="nil"/>
              <w:bottom w:val="single" w:sz="6" w:space="0" w:color="auto"/>
              <w:right w:val="nil"/>
            </w:tcBorders>
          </w:tcPr>
          <w:p w:rsidR="00A46DCA" w:rsidRPr="00233D2F" w:rsidRDefault="00A46DCA" w:rsidP="00A26D04">
            <w:pPr>
              <w:keepLines w:val="0"/>
              <w:autoSpaceDE w:val="0"/>
              <w:autoSpaceDN w:val="0"/>
              <w:adjustRightInd w:val="0"/>
              <w:rPr>
                <w:rFonts w:eastAsiaTheme="minorEastAsia" w:cs="Calibri"/>
                <w:color w:val="000000"/>
                <w:szCs w:val="19"/>
                <w:lang w:eastAsia="en-AU"/>
              </w:rPr>
            </w:pPr>
            <w:r w:rsidRPr="00233D2F">
              <w:rPr>
                <w:rFonts w:eastAsiaTheme="minorEastAsia" w:cs="Calibri"/>
                <w:color w:val="000000"/>
                <w:szCs w:val="19"/>
                <w:lang w:eastAsia="en-AU"/>
              </w:rPr>
              <w:t>Other liabilities</w:t>
            </w:r>
          </w:p>
        </w:tc>
        <w:tc>
          <w:tcPr>
            <w:tcW w:w="850" w:type="dxa"/>
            <w:tcBorders>
              <w:top w:val="nil"/>
              <w:left w:val="nil"/>
              <w:bottom w:val="single" w:sz="6" w:space="0" w:color="auto"/>
              <w:right w:val="nil"/>
            </w:tcBorders>
          </w:tcPr>
          <w:p w:rsidR="00A46DCA" w:rsidRPr="00233D2F" w:rsidRDefault="00996E49"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color w:val="000000"/>
                <w:szCs w:val="19"/>
                <w:lang w:eastAsia="en-AU"/>
              </w:rPr>
              <w:t>54</w:t>
            </w:r>
          </w:p>
        </w:tc>
        <w:tc>
          <w:tcPr>
            <w:tcW w:w="850" w:type="dxa"/>
            <w:tcBorders>
              <w:top w:val="nil"/>
              <w:left w:val="nil"/>
              <w:bottom w:val="single" w:sz="6" w:space="0" w:color="auto"/>
              <w:right w:val="nil"/>
            </w:tcBorders>
          </w:tcPr>
          <w:p w:rsidR="00A46DCA" w:rsidRPr="00233D2F" w:rsidRDefault="00996E49"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color w:val="000000"/>
                <w:szCs w:val="19"/>
                <w:lang w:eastAsia="en-AU"/>
              </w:rPr>
              <w:t>58</w:t>
            </w:r>
          </w:p>
        </w:tc>
        <w:tc>
          <w:tcPr>
            <w:tcW w:w="850" w:type="dxa"/>
            <w:tcBorders>
              <w:top w:val="nil"/>
              <w:left w:val="nil"/>
              <w:bottom w:val="single" w:sz="6" w:space="0" w:color="auto"/>
              <w:right w:val="nil"/>
            </w:tcBorders>
          </w:tcPr>
          <w:p w:rsidR="00A46DCA" w:rsidRPr="00233D2F" w:rsidRDefault="00996E49"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color w:val="000000"/>
                <w:szCs w:val="19"/>
                <w:lang w:eastAsia="en-AU"/>
              </w:rPr>
              <w:t>60</w:t>
            </w:r>
          </w:p>
        </w:tc>
        <w:tc>
          <w:tcPr>
            <w:tcW w:w="850" w:type="dxa"/>
            <w:tcBorders>
              <w:top w:val="nil"/>
              <w:left w:val="nil"/>
              <w:bottom w:val="single" w:sz="6" w:space="0" w:color="auto"/>
              <w:right w:val="nil"/>
            </w:tcBorders>
          </w:tcPr>
          <w:p w:rsidR="00A46DCA" w:rsidRPr="00233D2F" w:rsidRDefault="00996E49"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color w:val="000000"/>
                <w:szCs w:val="19"/>
                <w:lang w:eastAsia="en-AU"/>
              </w:rPr>
              <w:t>61</w:t>
            </w:r>
          </w:p>
        </w:tc>
      </w:tr>
      <w:tr w:rsidR="00A46DCA" w:rsidRPr="00233D2F" w:rsidTr="00A26D04">
        <w:tc>
          <w:tcPr>
            <w:cnfStyle w:val="001000000000" w:firstRow="0" w:lastRow="0" w:firstColumn="1" w:lastColumn="0" w:oddVBand="0" w:evenVBand="0" w:oddHBand="0" w:evenHBand="0" w:firstRowFirstColumn="0" w:firstRowLastColumn="0" w:lastRowFirstColumn="0" w:lastRowLastColumn="0"/>
            <w:tcW w:w="4365" w:type="dxa"/>
            <w:tcBorders>
              <w:top w:val="single" w:sz="6" w:space="0" w:color="auto"/>
              <w:left w:val="nil"/>
              <w:bottom w:val="single" w:sz="6" w:space="0" w:color="auto"/>
              <w:right w:val="nil"/>
            </w:tcBorders>
          </w:tcPr>
          <w:p w:rsidR="00A46DCA" w:rsidRPr="00233D2F" w:rsidRDefault="00A46DCA" w:rsidP="00A26D04">
            <w:pPr>
              <w:keepLines w:val="0"/>
              <w:autoSpaceDE w:val="0"/>
              <w:autoSpaceDN w:val="0"/>
              <w:adjustRightInd w:val="0"/>
              <w:rPr>
                <w:rFonts w:eastAsiaTheme="minorEastAsia" w:cs="Calibri"/>
                <w:b/>
                <w:bCs/>
                <w:color w:val="000000"/>
                <w:szCs w:val="19"/>
                <w:lang w:eastAsia="en-AU"/>
              </w:rPr>
            </w:pPr>
            <w:r w:rsidRPr="00233D2F">
              <w:rPr>
                <w:rFonts w:eastAsiaTheme="minorEastAsia" w:cs="Calibri"/>
                <w:b/>
                <w:bCs/>
                <w:color w:val="000000"/>
                <w:szCs w:val="19"/>
                <w:lang w:eastAsia="en-AU"/>
              </w:rPr>
              <w:t>Total liabilities</w:t>
            </w:r>
          </w:p>
        </w:tc>
        <w:tc>
          <w:tcPr>
            <w:tcW w:w="850" w:type="dxa"/>
            <w:tcBorders>
              <w:top w:val="single" w:sz="6" w:space="0" w:color="auto"/>
              <w:left w:val="nil"/>
              <w:bottom w:val="single" w:sz="6" w:space="0" w:color="auto"/>
              <w:right w:val="nil"/>
            </w:tcBorders>
          </w:tcPr>
          <w:p w:rsidR="00A46DCA" w:rsidRPr="00233D2F" w:rsidRDefault="00996E49"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b/>
                <w:bCs/>
                <w:color w:val="000000"/>
                <w:szCs w:val="19"/>
                <w:lang w:eastAsia="en-AU"/>
              </w:rPr>
              <w:t>130</w:t>
            </w:r>
          </w:p>
        </w:tc>
        <w:tc>
          <w:tcPr>
            <w:tcW w:w="850" w:type="dxa"/>
            <w:tcBorders>
              <w:top w:val="single" w:sz="6" w:space="0" w:color="auto"/>
              <w:left w:val="nil"/>
              <w:bottom w:val="single" w:sz="6" w:space="0" w:color="auto"/>
              <w:right w:val="nil"/>
            </w:tcBorders>
          </w:tcPr>
          <w:p w:rsidR="00A46DCA" w:rsidRPr="00233D2F" w:rsidRDefault="00996E49"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b/>
                <w:bCs/>
                <w:color w:val="000000"/>
                <w:szCs w:val="19"/>
                <w:lang w:eastAsia="en-AU"/>
              </w:rPr>
              <w:t>134</w:t>
            </w:r>
          </w:p>
        </w:tc>
        <w:tc>
          <w:tcPr>
            <w:tcW w:w="850" w:type="dxa"/>
            <w:tcBorders>
              <w:top w:val="single" w:sz="6" w:space="0" w:color="auto"/>
              <w:left w:val="nil"/>
              <w:bottom w:val="single" w:sz="6" w:space="0" w:color="auto"/>
              <w:right w:val="nil"/>
            </w:tcBorders>
          </w:tcPr>
          <w:p w:rsidR="00A46DCA" w:rsidRPr="00233D2F" w:rsidRDefault="00996E49"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b/>
                <w:bCs/>
                <w:color w:val="000000"/>
                <w:szCs w:val="19"/>
                <w:lang w:eastAsia="en-AU"/>
              </w:rPr>
              <w:t>139</w:t>
            </w:r>
          </w:p>
        </w:tc>
        <w:tc>
          <w:tcPr>
            <w:tcW w:w="850" w:type="dxa"/>
            <w:tcBorders>
              <w:top w:val="single" w:sz="6" w:space="0" w:color="auto"/>
              <w:left w:val="nil"/>
              <w:bottom w:val="single" w:sz="6" w:space="0" w:color="auto"/>
              <w:right w:val="nil"/>
            </w:tcBorders>
          </w:tcPr>
          <w:p w:rsidR="00A46DCA" w:rsidRPr="00233D2F" w:rsidRDefault="00996E49"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b/>
                <w:bCs/>
                <w:color w:val="000000"/>
                <w:szCs w:val="19"/>
                <w:lang w:eastAsia="en-AU"/>
              </w:rPr>
              <w:t>142</w:t>
            </w:r>
          </w:p>
        </w:tc>
      </w:tr>
      <w:tr w:rsidR="00A46DCA" w:rsidRPr="00233D2F" w:rsidTr="00A26D04">
        <w:tc>
          <w:tcPr>
            <w:cnfStyle w:val="001000000000" w:firstRow="0" w:lastRow="0" w:firstColumn="1" w:lastColumn="0" w:oddVBand="0" w:evenVBand="0" w:oddHBand="0" w:evenHBand="0" w:firstRowFirstColumn="0" w:firstRowLastColumn="0" w:lastRowFirstColumn="0" w:lastRowLastColumn="0"/>
            <w:tcW w:w="4365" w:type="dxa"/>
            <w:tcBorders>
              <w:top w:val="nil"/>
              <w:left w:val="nil"/>
              <w:bottom w:val="single" w:sz="12" w:space="0" w:color="auto"/>
              <w:right w:val="nil"/>
            </w:tcBorders>
          </w:tcPr>
          <w:p w:rsidR="00A46DCA" w:rsidRPr="00233D2F" w:rsidRDefault="00A46DCA" w:rsidP="00A26D04">
            <w:pPr>
              <w:keepLines w:val="0"/>
              <w:autoSpaceDE w:val="0"/>
              <w:autoSpaceDN w:val="0"/>
              <w:adjustRightInd w:val="0"/>
              <w:rPr>
                <w:rFonts w:eastAsiaTheme="minorEastAsia" w:cs="Calibri"/>
                <w:b/>
                <w:bCs/>
                <w:color w:val="000000"/>
                <w:szCs w:val="19"/>
                <w:lang w:eastAsia="en-AU"/>
              </w:rPr>
            </w:pPr>
            <w:r w:rsidRPr="00233D2F">
              <w:rPr>
                <w:rFonts w:eastAsiaTheme="minorEastAsia" w:cs="Calibri"/>
                <w:b/>
                <w:bCs/>
                <w:color w:val="000000"/>
                <w:szCs w:val="19"/>
                <w:lang w:eastAsia="en-AU"/>
              </w:rPr>
              <w:t>Net assets</w:t>
            </w:r>
          </w:p>
        </w:tc>
        <w:tc>
          <w:tcPr>
            <w:tcW w:w="850" w:type="dxa"/>
            <w:tcBorders>
              <w:top w:val="nil"/>
              <w:left w:val="nil"/>
              <w:bottom w:val="single" w:sz="12" w:space="0" w:color="auto"/>
              <w:right w:val="nil"/>
            </w:tcBorders>
          </w:tcPr>
          <w:p w:rsidR="00A46DCA" w:rsidRPr="00233D2F" w:rsidRDefault="00996E49"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bCs/>
                <w:color w:val="000000"/>
                <w:szCs w:val="19"/>
                <w:lang w:eastAsia="en-AU"/>
              </w:rPr>
              <w:t>179</w:t>
            </w:r>
          </w:p>
        </w:tc>
        <w:tc>
          <w:tcPr>
            <w:tcW w:w="850" w:type="dxa"/>
            <w:tcBorders>
              <w:top w:val="nil"/>
              <w:left w:val="nil"/>
              <w:bottom w:val="single" w:sz="12" w:space="0" w:color="auto"/>
              <w:right w:val="nil"/>
            </w:tcBorders>
          </w:tcPr>
          <w:p w:rsidR="00A46DCA" w:rsidRPr="00233D2F" w:rsidRDefault="00996E49"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bCs/>
                <w:color w:val="000000"/>
                <w:szCs w:val="19"/>
                <w:lang w:eastAsia="en-AU"/>
              </w:rPr>
              <w:t>183</w:t>
            </w:r>
          </w:p>
        </w:tc>
        <w:tc>
          <w:tcPr>
            <w:tcW w:w="850" w:type="dxa"/>
            <w:tcBorders>
              <w:top w:val="nil"/>
              <w:left w:val="nil"/>
              <w:bottom w:val="single" w:sz="12" w:space="0" w:color="auto"/>
              <w:right w:val="nil"/>
            </w:tcBorders>
          </w:tcPr>
          <w:p w:rsidR="00A46DCA" w:rsidRPr="00233D2F" w:rsidRDefault="00996E49"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bCs/>
                <w:color w:val="000000"/>
                <w:szCs w:val="19"/>
                <w:lang w:eastAsia="en-AU"/>
              </w:rPr>
              <w:t>194</w:t>
            </w:r>
          </w:p>
        </w:tc>
        <w:tc>
          <w:tcPr>
            <w:tcW w:w="850" w:type="dxa"/>
            <w:tcBorders>
              <w:top w:val="nil"/>
              <w:left w:val="nil"/>
              <w:bottom w:val="single" w:sz="12" w:space="0" w:color="auto"/>
              <w:right w:val="nil"/>
            </w:tcBorders>
          </w:tcPr>
          <w:p w:rsidR="00A46DCA" w:rsidRPr="00233D2F" w:rsidRDefault="00996E49"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bCs/>
                <w:color w:val="000000"/>
                <w:szCs w:val="19"/>
                <w:lang w:eastAsia="en-AU"/>
              </w:rPr>
              <w:t>199</w:t>
            </w:r>
          </w:p>
        </w:tc>
      </w:tr>
    </w:tbl>
    <w:p w:rsidR="00A46DCA" w:rsidRDefault="00A46DCA" w:rsidP="00A26D04">
      <w:pPr>
        <w:pStyle w:val="Source"/>
      </w:pPr>
      <w:r>
        <w:t>Source: Department of Treasury and Finance</w:t>
      </w:r>
    </w:p>
    <w:p w:rsidR="00A46DCA" w:rsidRDefault="00A46DCA" w:rsidP="00A26D04">
      <w:pPr>
        <w:pStyle w:val="Note"/>
      </w:pPr>
      <w:r>
        <w:t>Note:</w:t>
      </w:r>
    </w:p>
    <w:p w:rsidR="00A46DCA" w:rsidRDefault="00A46DCA" w:rsidP="00A26D04">
      <w:pPr>
        <w:pStyle w:val="Note"/>
      </w:pPr>
      <w:r>
        <w:t>(a)</w:t>
      </w:r>
      <w:r>
        <w:tab/>
        <w:t xml:space="preserve">This is a summary balance sheet. The comprehensive balance sheet is presented in Chapter 5 </w:t>
      </w:r>
      <w:r w:rsidRPr="00E377F9">
        <w:rPr>
          <w:i w:val="0"/>
        </w:rPr>
        <w:t>Supplementary uniform presentation framework tables</w:t>
      </w:r>
      <w:r>
        <w:t>. Figures in this table are subject to rounding to the nearest billion and may not add up to totals.</w:t>
      </w:r>
    </w:p>
    <w:p w:rsidR="00A46DCA" w:rsidRPr="006A7C8A" w:rsidRDefault="00A46DCA" w:rsidP="00A26D04"/>
    <w:p w:rsidR="00A46DCA" w:rsidRDefault="00A46DCA" w:rsidP="00A26D04"/>
    <w:p w:rsidR="00A46DCA" w:rsidRDefault="00A46DCA" w:rsidP="00480C94">
      <w:pPr>
        <w:sectPr w:rsidR="00A46DCA" w:rsidSect="00A26D04">
          <w:footerReference w:type="even" r:id="rId43"/>
          <w:footerReference w:type="default" r:id="rId44"/>
          <w:footerReference w:type="first" r:id="rId45"/>
          <w:type w:val="continuous"/>
          <w:pgSz w:w="9979" w:h="14175" w:code="34"/>
          <w:pgMar w:top="851" w:right="1134" w:bottom="851" w:left="1134" w:header="624" w:footer="567" w:gutter="0"/>
          <w:cols w:sep="1" w:space="567"/>
          <w:docGrid w:linePitch="360"/>
        </w:sectPr>
      </w:pPr>
    </w:p>
    <w:p w:rsidR="00A46DCA" w:rsidRPr="002E2498" w:rsidRDefault="00A46DCA" w:rsidP="002E2498">
      <w:pPr>
        <w:pStyle w:val="Chapterheading"/>
      </w:pPr>
      <w:bookmarkStart w:id="21" w:name="_Toc500435573"/>
      <w:r w:rsidRPr="002E2498">
        <w:lastRenderedPageBreak/>
        <w:t xml:space="preserve">Chapter 4 – Estimated </w:t>
      </w:r>
      <w:r w:rsidR="00FB563F">
        <w:t>F</w:t>
      </w:r>
      <w:r w:rsidRPr="002E2498">
        <w:t xml:space="preserve">inancial </w:t>
      </w:r>
      <w:r w:rsidR="00FB563F">
        <w:t>S</w:t>
      </w:r>
      <w:r w:rsidRPr="002E2498">
        <w:t>tatement</w:t>
      </w:r>
      <w:r w:rsidR="00FB563F">
        <w:t>s</w:t>
      </w:r>
      <w:r w:rsidRPr="002E2498">
        <w:t xml:space="preserve"> and notes</w:t>
      </w:r>
      <w:bookmarkEnd w:id="21"/>
    </w:p>
    <w:p w:rsidR="00A46DCA" w:rsidRDefault="00A46DCA" w:rsidP="00A26D04">
      <w:pPr>
        <w:pStyle w:val="Heading10"/>
      </w:pPr>
      <w:bookmarkStart w:id="22" w:name="_Toc500435574"/>
      <w:r>
        <w:t xml:space="preserve">Estimated general government sector </w:t>
      </w:r>
      <w:r>
        <w:br/>
        <w:t>comprehensive operating statement</w:t>
      </w:r>
      <w:bookmarkEnd w:id="22"/>
    </w:p>
    <w:p w:rsidR="00A46DCA" w:rsidRPr="00AC137D" w:rsidRDefault="00A46DCA" w:rsidP="00A26D04">
      <w:pPr>
        <w:pStyle w:val="TableHeading"/>
        <w:rPr>
          <w:bCs/>
          <w:lang w:val="en-US"/>
        </w:rPr>
      </w:pPr>
      <w:r w:rsidRPr="00504EB3">
        <w:t>For the financial year ended 30 June</w:t>
      </w:r>
      <w:r w:rsidRPr="00504EB3">
        <w:tab/>
        <w:t>($ million)</w:t>
      </w:r>
    </w:p>
    <w:tbl>
      <w:tblPr>
        <w:tblStyle w:val="DTFTable"/>
        <w:tblW w:w="7769" w:type="dxa"/>
        <w:tblInd w:w="45" w:type="dxa"/>
        <w:tblLayout w:type="fixed"/>
        <w:tblCellMar>
          <w:left w:w="45" w:type="dxa"/>
          <w:right w:w="45" w:type="dxa"/>
        </w:tblCellMar>
        <w:tblLook w:val="06E0" w:firstRow="1" w:lastRow="1" w:firstColumn="1" w:lastColumn="0" w:noHBand="1" w:noVBand="1"/>
      </w:tblPr>
      <w:tblGrid>
        <w:gridCol w:w="3402"/>
        <w:gridCol w:w="567"/>
        <w:gridCol w:w="760"/>
        <w:gridCol w:w="760"/>
        <w:gridCol w:w="760"/>
        <w:gridCol w:w="760"/>
        <w:gridCol w:w="760"/>
      </w:tblGrid>
      <w:tr w:rsidR="00A26D04" w:rsidRPr="00AC137D" w:rsidTr="00996E49">
        <w:trPr>
          <w:cnfStyle w:val="100000000000" w:firstRow="1" w:lastRow="0" w:firstColumn="0" w:lastColumn="0" w:oddVBand="0" w:evenVBand="0" w:oddHBand="0" w:evenHBand="0" w:firstRowFirstColumn="0" w:firstRowLastColumn="0" w:lastRowFirstColumn="0" w:lastRowLastColumn="0"/>
          <w:trHeight w:val="66"/>
          <w:tblHeader/>
        </w:trPr>
        <w:tc>
          <w:tcPr>
            <w:cnfStyle w:val="001000000000" w:firstRow="0" w:lastRow="0" w:firstColumn="1" w:lastColumn="0" w:oddVBand="0" w:evenVBand="0" w:oddHBand="0" w:evenHBand="0" w:firstRowFirstColumn="0" w:firstRowLastColumn="0" w:lastRowFirstColumn="0" w:lastRowLastColumn="0"/>
            <w:tcW w:w="3402" w:type="dxa"/>
            <w:tcBorders>
              <w:top w:val="nil"/>
              <w:left w:val="nil"/>
              <w:right w:val="nil"/>
            </w:tcBorders>
            <w:shd w:val="solid" w:color="000000" w:fill="auto"/>
          </w:tcPr>
          <w:p w:rsidR="00A26D04" w:rsidRPr="00AC137D" w:rsidRDefault="00A26D04" w:rsidP="00A26D04">
            <w:pPr>
              <w:autoSpaceDE w:val="0"/>
              <w:autoSpaceDN w:val="0"/>
              <w:adjustRightInd w:val="0"/>
              <w:rPr>
                <w:rFonts w:eastAsiaTheme="minorEastAsia" w:cs="Calibri"/>
                <w:iCs/>
                <w:color w:val="FFFFFF"/>
                <w:lang w:eastAsia="en-AU"/>
              </w:rPr>
            </w:pPr>
          </w:p>
        </w:tc>
        <w:tc>
          <w:tcPr>
            <w:tcW w:w="567" w:type="dxa"/>
            <w:tcBorders>
              <w:top w:val="nil"/>
              <w:left w:val="nil"/>
              <w:right w:val="nil"/>
            </w:tcBorders>
            <w:shd w:val="solid" w:color="000000" w:fill="auto"/>
          </w:tcPr>
          <w:p w:rsidR="00A26D04" w:rsidRPr="00AC137D" w:rsidRDefault="00A26D04" w:rsidP="00A26D04">
            <w:pPr>
              <w:keepLines w:val="0"/>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lang w:eastAsia="en-AU"/>
              </w:rPr>
            </w:pPr>
            <w:r w:rsidRPr="00AC137D">
              <w:rPr>
                <w:rFonts w:eastAsiaTheme="minorEastAsia" w:cs="Calibri"/>
                <w:iCs/>
                <w:color w:val="FFFFFF"/>
                <w:szCs w:val="16"/>
                <w:lang w:eastAsia="en-AU"/>
              </w:rPr>
              <w:t>Notes</w:t>
            </w:r>
          </w:p>
        </w:tc>
        <w:tc>
          <w:tcPr>
            <w:tcW w:w="760" w:type="dxa"/>
            <w:tcBorders>
              <w:top w:val="nil"/>
              <w:left w:val="nil"/>
              <w:right w:val="nil"/>
            </w:tcBorders>
            <w:shd w:val="solid" w:color="000000" w:fill="auto"/>
          </w:tcPr>
          <w:p w:rsidR="00A26D04" w:rsidRPr="00AC137D" w:rsidRDefault="00A26D04" w:rsidP="00A26D0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AC137D">
              <w:rPr>
                <w:rFonts w:eastAsiaTheme="minorEastAsia" w:cs="Calibri"/>
                <w:iCs/>
                <w:color w:val="FFFFFF"/>
                <w:szCs w:val="16"/>
                <w:lang w:eastAsia="en-AU"/>
              </w:rPr>
              <w:t>2017-18</w:t>
            </w:r>
            <w:r>
              <w:rPr>
                <w:rFonts w:eastAsiaTheme="minorEastAsia" w:cs="Calibri"/>
                <w:iCs/>
                <w:color w:val="FFFFFF"/>
                <w:szCs w:val="16"/>
                <w:lang w:eastAsia="en-AU"/>
              </w:rPr>
              <w:br/>
            </w:r>
            <w:r w:rsidRPr="00AC137D">
              <w:rPr>
                <w:rFonts w:eastAsiaTheme="minorEastAsia" w:cs="Calibri"/>
                <w:iCs/>
                <w:color w:val="FFFFFF"/>
                <w:szCs w:val="16"/>
                <w:lang w:eastAsia="en-AU"/>
              </w:rPr>
              <w:t>budget</w:t>
            </w:r>
          </w:p>
        </w:tc>
        <w:tc>
          <w:tcPr>
            <w:tcW w:w="760" w:type="dxa"/>
            <w:tcBorders>
              <w:top w:val="nil"/>
              <w:left w:val="nil"/>
              <w:right w:val="nil"/>
            </w:tcBorders>
            <w:shd w:val="solid" w:color="000000" w:fill="auto"/>
          </w:tcPr>
          <w:p w:rsidR="00A26D04" w:rsidRPr="00AC137D" w:rsidRDefault="00A26D04" w:rsidP="00A26D0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AC137D">
              <w:rPr>
                <w:rFonts w:eastAsiaTheme="minorEastAsia" w:cs="Calibri"/>
                <w:iCs/>
                <w:color w:val="FFFFFF"/>
                <w:szCs w:val="16"/>
                <w:lang w:eastAsia="en-AU"/>
              </w:rPr>
              <w:t>2017-18</w:t>
            </w:r>
            <w:r>
              <w:rPr>
                <w:rFonts w:eastAsiaTheme="minorEastAsia" w:cs="Calibri"/>
                <w:iCs/>
                <w:color w:val="FFFFFF"/>
                <w:szCs w:val="16"/>
                <w:lang w:eastAsia="en-AU"/>
              </w:rPr>
              <w:br/>
            </w:r>
            <w:r w:rsidRPr="00AC137D">
              <w:rPr>
                <w:rFonts w:eastAsiaTheme="minorEastAsia" w:cs="Calibri"/>
                <w:iCs/>
                <w:color w:val="FFFFFF"/>
                <w:szCs w:val="16"/>
                <w:lang w:eastAsia="en-AU"/>
              </w:rPr>
              <w:t>revised</w:t>
            </w:r>
          </w:p>
        </w:tc>
        <w:tc>
          <w:tcPr>
            <w:tcW w:w="760" w:type="dxa"/>
            <w:tcBorders>
              <w:top w:val="nil"/>
              <w:left w:val="nil"/>
              <w:right w:val="nil"/>
            </w:tcBorders>
            <w:shd w:val="solid" w:color="000000" w:fill="auto"/>
          </w:tcPr>
          <w:p w:rsidR="00A26D04" w:rsidRPr="00AC137D" w:rsidRDefault="00A26D04" w:rsidP="00A26D0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AC137D">
              <w:rPr>
                <w:rFonts w:eastAsiaTheme="minorEastAsia" w:cs="Calibri"/>
                <w:iCs/>
                <w:color w:val="FFFFFF"/>
                <w:szCs w:val="16"/>
                <w:lang w:eastAsia="en-AU"/>
              </w:rPr>
              <w:t>2018-19</w:t>
            </w:r>
            <w:r>
              <w:rPr>
                <w:rFonts w:eastAsiaTheme="minorEastAsia" w:cs="Calibri"/>
                <w:iCs/>
                <w:color w:val="FFFFFF"/>
                <w:szCs w:val="16"/>
                <w:lang w:eastAsia="en-AU"/>
              </w:rPr>
              <w:br/>
            </w:r>
            <w:r w:rsidRPr="00AC137D">
              <w:rPr>
                <w:rFonts w:eastAsiaTheme="minorEastAsia" w:cs="Calibri"/>
                <w:iCs/>
                <w:color w:val="FFFFFF"/>
                <w:szCs w:val="16"/>
                <w:lang w:eastAsia="en-AU"/>
              </w:rPr>
              <w:t>estimate</w:t>
            </w:r>
          </w:p>
        </w:tc>
        <w:tc>
          <w:tcPr>
            <w:tcW w:w="760" w:type="dxa"/>
            <w:tcBorders>
              <w:top w:val="nil"/>
              <w:left w:val="nil"/>
              <w:right w:val="nil"/>
            </w:tcBorders>
            <w:shd w:val="solid" w:color="000000" w:fill="auto"/>
          </w:tcPr>
          <w:p w:rsidR="00A26D04" w:rsidRPr="00AC137D" w:rsidRDefault="00A26D04" w:rsidP="00A26D0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AC137D">
              <w:rPr>
                <w:rFonts w:eastAsiaTheme="minorEastAsia" w:cs="Calibri"/>
                <w:iCs/>
                <w:color w:val="FFFFFF"/>
                <w:szCs w:val="16"/>
                <w:lang w:eastAsia="en-AU"/>
              </w:rPr>
              <w:t>2019-20</w:t>
            </w:r>
            <w:r>
              <w:rPr>
                <w:rFonts w:eastAsiaTheme="minorEastAsia" w:cs="Calibri"/>
                <w:iCs/>
                <w:color w:val="FFFFFF"/>
                <w:szCs w:val="16"/>
                <w:lang w:eastAsia="en-AU"/>
              </w:rPr>
              <w:br/>
            </w:r>
            <w:r w:rsidRPr="00AC137D">
              <w:rPr>
                <w:rFonts w:eastAsiaTheme="minorEastAsia" w:cs="Calibri"/>
                <w:iCs/>
                <w:color w:val="FFFFFF"/>
                <w:szCs w:val="16"/>
                <w:lang w:eastAsia="en-AU"/>
              </w:rPr>
              <w:t>estimate</w:t>
            </w:r>
          </w:p>
        </w:tc>
        <w:tc>
          <w:tcPr>
            <w:tcW w:w="760" w:type="dxa"/>
            <w:tcBorders>
              <w:top w:val="nil"/>
              <w:left w:val="nil"/>
              <w:right w:val="nil"/>
            </w:tcBorders>
            <w:shd w:val="solid" w:color="000000" w:fill="auto"/>
          </w:tcPr>
          <w:p w:rsidR="00A26D04" w:rsidRPr="00AC137D" w:rsidRDefault="00A26D04" w:rsidP="00A26D0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AC137D">
              <w:rPr>
                <w:rFonts w:eastAsiaTheme="minorEastAsia" w:cs="Calibri"/>
                <w:iCs/>
                <w:color w:val="FFFFFF"/>
                <w:szCs w:val="16"/>
                <w:lang w:eastAsia="en-AU"/>
              </w:rPr>
              <w:t>2020-21</w:t>
            </w:r>
            <w:r>
              <w:rPr>
                <w:rFonts w:eastAsiaTheme="minorEastAsia" w:cs="Calibri"/>
                <w:iCs/>
                <w:color w:val="FFFFFF"/>
                <w:szCs w:val="16"/>
                <w:lang w:eastAsia="en-AU"/>
              </w:rPr>
              <w:br/>
            </w:r>
            <w:r w:rsidRPr="00AC137D">
              <w:rPr>
                <w:rFonts w:eastAsiaTheme="minorEastAsia" w:cs="Calibri"/>
                <w:iCs/>
                <w:color w:val="FFFFFF"/>
                <w:szCs w:val="16"/>
                <w:lang w:eastAsia="en-AU"/>
              </w:rPr>
              <w:t>estimate</w:t>
            </w:r>
          </w:p>
        </w:tc>
      </w:tr>
      <w:tr w:rsidR="00A46DCA" w:rsidRPr="00AC137D" w:rsidTr="00A26D04">
        <w:tc>
          <w:tcPr>
            <w:cnfStyle w:val="001000000000" w:firstRow="0" w:lastRow="0" w:firstColumn="1" w:lastColumn="0" w:oddVBand="0" w:evenVBand="0" w:oddHBand="0" w:evenHBand="0" w:firstRowFirstColumn="0" w:firstRowLastColumn="0" w:lastRowFirstColumn="0" w:lastRowLastColumn="0"/>
            <w:tcW w:w="3402" w:type="dxa"/>
            <w:tcBorders>
              <w:top w:val="nil"/>
              <w:left w:val="nil"/>
              <w:bottom w:val="nil"/>
              <w:right w:val="nil"/>
            </w:tcBorders>
          </w:tcPr>
          <w:p w:rsidR="00A46DCA" w:rsidRPr="00AC137D" w:rsidRDefault="00A46DCA" w:rsidP="00A26D04">
            <w:pPr>
              <w:keepLines w:val="0"/>
              <w:autoSpaceDE w:val="0"/>
              <w:autoSpaceDN w:val="0"/>
              <w:adjustRightInd w:val="0"/>
              <w:rPr>
                <w:rFonts w:eastAsiaTheme="minorEastAsia" w:cs="Calibri"/>
                <w:b/>
                <w:bCs/>
                <w:color w:val="000000"/>
                <w:szCs w:val="16"/>
                <w:lang w:eastAsia="en-AU"/>
              </w:rPr>
            </w:pPr>
            <w:r w:rsidRPr="00AC137D">
              <w:rPr>
                <w:rFonts w:eastAsiaTheme="minorEastAsia" w:cs="Calibri"/>
                <w:b/>
                <w:bCs/>
                <w:color w:val="000000"/>
                <w:szCs w:val="16"/>
                <w:lang w:eastAsia="en-AU"/>
              </w:rPr>
              <w:t>Revenue from transactions</w:t>
            </w:r>
          </w:p>
        </w:tc>
        <w:tc>
          <w:tcPr>
            <w:tcW w:w="567" w:type="dxa"/>
            <w:tcBorders>
              <w:top w:val="nil"/>
              <w:left w:val="nil"/>
              <w:bottom w:val="nil"/>
              <w:right w:val="nil"/>
            </w:tcBorders>
          </w:tcPr>
          <w:p w:rsidR="00A46DCA" w:rsidRPr="00AC137D" w:rsidRDefault="00A46DCA" w:rsidP="00A26D04">
            <w:pPr>
              <w:keepLines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bCs/>
                <w:color w:val="000000"/>
                <w:lang w:eastAsia="en-AU"/>
              </w:rPr>
            </w:pPr>
            <w:r w:rsidRPr="00AC137D">
              <w:rPr>
                <w:rFonts w:eastAsiaTheme="minorEastAsia" w:cs="Calibri"/>
                <w:bCs/>
                <w:color w:val="000000"/>
                <w:lang w:eastAsia="en-AU"/>
              </w:rPr>
              <w:t xml:space="preserve"> </w:t>
            </w:r>
          </w:p>
        </w:tc>
        <w:tc>
          <w:tcPr>
            <w:tcW w:w="76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AC137D">
              <w:rPr>
                <w:rFonts w:eastAsiaTheme="minorEastAsia" w:cs="Calibri"/>
                <w:b/>
                <w:bCs/>
                <w:color w:val="000000"/>
                <w:lang w:eastAsia="en-AU"/>
              </w:rPr>
              <w:t xml:space="preserve"> </w:t>
            </w:r>
          </w:p>
        </w:tc>
        <w:tc>
          <w:tcPr>
            <w:tcW w:w="76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AC137D">
              <w:rPr>
                <w:rFonts w:eastAsiaTheme="minorEastAsia" w:cs="Calibri"/>
                <w:b/>
                <w:bCs/>
                <w:color w:val="000000"/>
                <w:lang w:eastAsia="en-AU"/>
              </w:rPr>
              <w:t xml:space="preserve"> </w:t>
            </w:r>
          </w:p>
        </w:tc>
        <w:tc>
          <w:tcPr>
            <w:tcW w:w="76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AC137D">
              <w:rPr>
                <w:rFonts w:eastAsiaTheme="minorEastAsia" w:cs="Calibri"/>
                <w:b/>
                <w:bCs/>
                <w:color w:val="000000"/>
                <w:lang w:eastAsia="en-AU"/>
              </w:rPr>
              <w:t xml:space="preserve"> </w:t>
            </w:r>
          </w:p>
        </w:tc>
        <w:tc>
          <w:tcPr>
            <w:tcW w:w="76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AC137D">
              <w:rPr>
                <w:rFonts w:eastAsiaTheme="minorEastAsia" w:cs="Calibri"/>
                <w:b/>
                <w:bCs/>
                <w:color w:val="000000"/>
                <w:lang w:eastAsia="en-AU"/>
              </w:rPr>
              <w:t xml:space="preserve"> </w:t>
            </w:r>
          </w:p>
        </w:tc>
        <w:tc>
          <w:tcPr>
            <w:tcW w:w="76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AC137D">
              <w:rPr>
                <w:rFonts w:eastAsiaTheme="minorEastAsia" w:cs="Calibri"/>
                <w:b/>
                <w:bCs/>
                <w:color w:val="000000"/>
                <w:lang w:eastAsia="en-AU"/>
              </w:rPr>
              <w:t xml:space="preserve"> </w:t>
            </w:r>
          </w:p>
        </w:tc>
      </w:tr>
      <w:tr w:rsidR="00A46DCA" w:rsidRPr="00AC137D" w:rsidTr="00A26D04">
        <w:tc>
          <w:tcPr>
            <w:cnfStyle w:val="001000000000" w:firstRow="0" w:lastRow="0" w:firstColumn="1" w:lastColumn="0" w:oddVBand="0" w:evenVBand="0" w:oddHBand="0" w:evenHBand="0" w:firstRowFirstColumn="0" w:firstRowLastColumn="0" w:lastRowFirstColumn="0" w:lastRowLastColumn="0"/>
            <w:tcW w:w="3402" w:type="dxa"/>
            <w:tcBorders>
              <w:top w:val="nil"/>
              <w:left w:val="nil"/>
              <w:bottom w:val="nil"/>
              <w:right w:val="nil"/>
            </w:tcBorders>
          </w:tcPr>
          <w:p w:rsidR="00A46DCA" w:rsidRPr="00AC137D" w:rsidRDefault="00A46DCA" w:rsidP="00A26D04">
            <w:pPr>
              <w:keepLines w:val="0"/>
              <w:autoSpaceDE w:val="0"/>
              <w:autoSpaceDN w:val="0"/>
              <w:adjustRightInd w:val="0"/>
              <w:rPr>
                <w:rFonts w:eastAsiaTheme="minorEastAsia" w:cs="Calibri"/>
                <w:color w:val="000000"/>
                <w:szCs w:val="16"/>
                <w:lang w:eastAsia="en-AU"/>
              </w:rPr>
            </w:pPr>
            <w:r w:rsidRPr="00AC137D">
              <w:rPr>
                <w:rFonts w:eastAsiaTheme="minorEastAsia" w:cs="Calibri"/>
                <w:color w:val="000000"/>
                <w:szCs w:val="16"/>
                <w:lang w:eastAsia="en-AU"/>
              </w:rPr>
              <w:t>Taxation revenue</w:t>
            </w:r>
          </w:p>
        </w:tc>
        <w:tc>
          <w:tcPr>
            <w:tcW w:w="567" w:type="dxa"/>
            <w:tcBorders>
              <w:top w:val="nil"/>
              <w:left w:val="nil"/>
              <w:bottom w:val="nil"/>
              <w:right w:val="nil"/>
            </w:tcBorders>
          </w:tcPr>
          <w:p w:rsidR="00A46DCA" w:rsidRPr="00AC137D" w:rsidRDefault="00A46DCA" w:rsidP="00A26D04">
            <w:pPr>
              <w:keepLines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AC137D">
              <w:rPr>
                <w:rFonts w:eastAsiaTheme="minorEastAsia" w:cs="Arial"/>
                <w:color w:val="000000"/>
                <w:szCs w:val="18"/>
                <w:lang w:eastAsia="en-AU"/>
              </w:rPr>
              <w:t>4.2.1</w:t>
            </w:r>
          </w:p>
        </w:tc>
        <w:tc>
          <w:tcPr>
            <w:tcW w:w="76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AC137D">
              <w:rPr>
                <w:rFonts w:eastAsiaTheme="minorEastAsia" w:cs="Arial"/>
                <w:color w:val="000000"/>
                <w:szCs w:val="18"/>
                <w:lang w:eastAsia="en-AU"/>
              </w:rPr>
              <w:t>21 827</w:t>
            </w:r>
          </w:p>
        </w:tc>
        <w:tc>
          <w:tcPr>
            <w:tcW w:w="76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AC137D">
              <w:rPr>
                <w:rFonts w:eastAsiaTheme="minorEastAsia" w:cs="Arial"/>
                <w:color w:val="000000"/>
                <w:szCs w:val="18"/>
                <w:lang w:eastAsia="en-AU"/>
              </w:rPr>
              <w:t>22 175</w:t>
            </w:r>
          </w:p>
        </w:tc>
        <w:tc>
          <w:tcPr>
            <w:tcW w:w="76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AC137D">
              <w:rPr>
                <w:rFonts w:eastAsiaTheme="minorEastAsia" w:cs="Arial"/>
                <w:color w:val="000000"/>
                <w:szCs w:val="18"/>
                <w:lang w:eastAsia="en-AU"/>
              </w:rPr>
              <w:t>23 804</w:t>
            </w:r>
          </w:p>
        </w:tc>
        <w:tc>
          <w:tcPr>
            <w:tcW w:w="76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AC137D">
              <w:rPr>
                <w:rFonts w:eastAsiaTheme="minorEastAsia" w:cs="Arial"/>
                <w:color w:val="000000"/>
                <w:szCs w:val="18"/>
                <w:lang w:eastAsia="en-AU"/>
              </w:rPr>
              <w:t>24 935</w:t>
            </w:r>
          </w:p>
        </w:tc>
        <w:tc>
          <w:tcPr>
            <w:tcW w:w="76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AC137D">
              <w:rPr>
                <w:rFonts w:eastAsiaTheme="minorEastAsia" w:cs="Arial"/>
                <w:color w:val="000000"/>
                <w:szCs w:val="18"/>
                <w:lang w:eastAsia="en-AU"/>
              </w:rPr>
              <w:t>25 787</w:t>
            </w:r>
          </w:p>
        </w:tc>
      </w:tr>
      <w:tr w:rsidR="00A46DCA" w:rsidRPr="00AC137D" w:rsidTr="00A26D04">
        <w:tc>
          <w:tcPr>
            <w:cnfStyle w:val="001000000000" w:firstRow="0" w:lastRow="0" w:firstColumn="1" w:lastColumn="0" w:oddVBand="0" w:evenVBand="0" w:oddHBand="0" w:evenHBand="0" w:firstRowFirstColumn="0" w:firstRowLastColumn="0" w:lastRowFirstColumn="0" w:lastRowLastColumn="0"/>
            <w:tcW w:w="3402" w:type="dxa"/>
            <w:tcBorders>
              <w:top w:val="nil"/>
              <w:left w:val="nil"/>
              <w:bottom w:val="nil"/>
              <w:right w:val="nil"/>
            </w:tcBorders>
          </w:tcPr>
          <w:p w:rsidR="00A46DCA" w:rsidRPr="00AC137D" w:rsidRDefault="00A46DCA" w:rsidP="00A26D04">
            <w:pPr>
              <w:keepLines w:val="0"/>
              <w:autoSpaceDE w:val="0"/>
              <w:autoSpaceDN w:val="0"/>
              <w:adjustRightInd w:val="0"/>
              <w:rPr>
                <w:rFonts w:eastAsiaTheme="minorEastAsia" w:cs="Calibri"/>
                <w:color w:val="000000"/>
                <w:szCs w:val="16"/>
                <w:lang w:eastAsia="en-AU"/>
              </w:rPr>
            </w:pPr>
            <w:r w:rsidRPr="00AC137D">
              <w:rPr>
                <w:rFonts w:eastAsiaTheme="minorEastAsia" w:cs="Calibri"/>
                <w:color w:val="000000"/>
                <w:szCs w:val="16"/>
                <w:lang w:eastAsia="en-AU"/>
              </w:rPr>
              <w:t>Interest revenue</w:t>
            </w:r>
          </w:p>
        </w:tc>
        <w:tc>
          <w:tcPr>
            <w:tcW w:w="567" w:type="dxa"/>
            <w:tcBorders>
              <w:top w:val="nil"/>
              <w:left w:val="nil"/>
              <w:bottom w:val="nil"/>
              <w:right w:val="nil"/>
            </w:tcBorders>
          </w:tcPr>
          <w:p w:rsidR="00A46DCA" w:rsidRPr="00AC137D" w:rsidRDefault="00A46DCA" w:rsidP="00A26D04">
            <w:pPr>
              <w:keepLines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AC137D">
              <w:rPr>
                <w:rFonts w:eastAsiaTheme="minorEastAsia" w:cs="Calibri"/>
                <w:color w:val="000000"/>
                <w:lang w:eastAsia="en-AU"/>
              </w:rPr>
              <w:t xml:space="preserve"> </w:t>
            </w:r>
          </w:p>
        </w:tc>
        <w:tc>
          <w:tcPr>
            <w:tcW w:w="76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899</w:t>
            </w:r>
          </w:p>
        </w:tc>
        <w:tc>
          <w:tcPr>
            <w:tcW w:w="76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906</w:t>
            </w:r>
          </w:p>
        </w:tc>
        <w:tc>
          <w:tcPr>
            <w:tcW w:w="76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876</w:t>
            </w:r>
          </w:p>
        </w:tc>
        <w:tc>
          <w:tcPr>
            <w:tcW w:w="76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873</w:t>
            </w:r>
          </w:p>
        </w:tc>
        <w:tc>
          <w:tcPr>
            <w:tcW w:w="76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843</w:t>
            </w:r>
          </w:p>
        </w:tc>
      </w:tr>
      <w:tr w:rsidR="00A46DCA" w:rsidRPr="00AC137D" w:rsidTr="00A26D04">
        <w:tc>
          <w:tcPr>
            <w:cnfStyle w:val="001000000000" w:firstRow="0" w:lastRow="0" w:firstColumn="1" w:lastColumn="0" w:oddVBand="0" w:evenVBand="0" w:oddHBand="0" w:evenHBand="0" w:firstRowFirstColumn="0" w:firstRowLastColumn="0" w:lastRowFirstColumn="0" w:lastRowLastColumn="0"/>
            <w:tcW w:w="3402" w:type="dxa"/>
            <w:tcBorders>
              <w:top w:val="nil"/>
              <w:left w:val="nil"/>
              <w:bottom w:val="nil"/>
              <w:right w:val="nil"/>
            </w:tcBorders>
          </w:tcPr>
          <w:p w:rsidR="00A46DCA" w:rsidRPr="00AC137D" w:rsidRDefault="00A46DCA" w:rsidP="00A26D04">
            <w:pPr>
              <w:keepLines w:val="0"/>
              <w:autoSpaceDE w:val="0"/>
              <w:autoSpaceDN w:val="0"/>
              <w:adjustRightInd w:val="0"/>
              <w:rPr>
                <w:rFonts w:eastAsiaTheme="minorEastAsia" w:cs="Calibri"/>
                <w:color w:val="000000"/>
                <w:szCs w:val="16"/>
                <w:lang w:eastAsia="en-AU"/>
              </w:rPr>
            </w:pPr>
            <w:r w:rsidRPr="00AC137D">
              <w:rPr>
                <w:rFonts w:eastAsiaTheme="minorEastAsia" w:cs="Calibri"/>
                <w:color w:val="000000"/>
                <w:szCs w:val="16"/>
                <w:lang w:eastAsia="en-AU"/>
              </w:rPr>
              <w:t>Dividends, income tax equivalent and rate equivalent revenue</w:t>
            </w:r>
          </w:p>
        </w:tc>
        <w:tc>
          <w:tcPr>
            <w:tcW w:w="567" w:type="dxa"/>
            <w:tcBorders>
              <w:top w:val="nil"/>
              <w:left w:val="nil"/>
              <w:bottom w:val="nil"/>
              <w:right w:val="nil"/>
            </w:tcBorders>
          </w:tcPr>
          <w:p w:rsidR="00A46DCA" w:rsidRPr="00AC137D" w:rsidRDefault="00A46DCA" w:rsidP="00A26D04">
            <w:pPr>
              <w:keepLines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AC137D">
              <w:rPr>
                <w:rFonts w:eastAsiaTheme="minorEastAsia" w:cs="Arial"/>
                <w:color w:val="000000"/>
                <w:szCs w:val="18"/>
                <w:lang w:eastAsia="en-AU"/>
              </w:rPr>
              <w:t>4.2.2</w:t>
            </w:r>
          </w:p>
        </w:tc>
        <w:tc>
          <w:tcPr>
            <w:tcW w:w="76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AC137D">
              <w:rPr>
                <w:rFonts w:eastAsiaTheme="minorEastAsia" w:cs="Arial"/>
                <w:color w:val="000000"/>
                <w:szCs w:val="18"/>
                <w:lang w:eastAsia="en-AU"/>
              </w:rPr>
              <w:t>1 171</w:t>
            </w:r>
          </w:p>
        </w:tc>
        <w:tc>
          <w:tcPr>
            <w:tcW w:w="76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AC137D">
              <w:rPr>
                <w:rFonts w:eastAsiaTheme="minorEastAsia" w:cs="Arial"/>
                <w:color w:val="000000"/>
                <w:szCs w:val="18"/>
                <w:lang w:eastAsia="en-AU"/>
              </w:rPr>
              <w:t>1 269</w:t>
            </w:r>
          </w:p>
        </w:tc>
        <w:tc>
          <w:tcPr>
            <w:tcW w:w="76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592</w:t>
            </w:r>
          </w:p>
        </w:tc>
        <w:tc>
          <w:tcPr>
            <w:tcW w:w="76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460</w:t>
            </w:r>
          </w:p>
        </w:tc>
        <w:tc>
          <w:tcPr>
            <w:tcW w:w="76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619</w:t>
            </w:r>
          </w:p>
        </w:tc>
      </w:tr>
      <w:tr w:rsidR="00A46DCA" w:rsidRPr="00AC137D" w:rsidTr="00A26D04">
        <w:tc>
          <w:tcPr>
            <w:cnfStyle w:val="001000000000" w:firstRow="0" w:lastRow="0" w:firstColumn="1" w:lastColumn="0" w:oddVBand="0" w:evenVBand="0" w:oddHBand="0" w:evenHBand="0" w:firstRowFirstColumn="0" w:firstRowLastColumn="0" w:lastRowFirstColumn="0" w:lastRowLastColumn="0"/>
            <w:tcW w:w="3402" w:type="dxa"/>
            <w:tcBorders>
              <w:top w:val="nil"/>
              <w:left w:val="nil"/>
              <w:bottom w:val="nil"/>
              <w:right w:val="nil"/>
            </w:tcBorders>
          </w:tcPr>
          <w:p w:rsidR="00A46DCA" w:rsidRPr="00AC137D" w:rsidRDefault="00A46DCA" w:rsidP="00A26D04">
            <w:pPr>
              <w:keepLines w:val="0"/>
              <w:autoSpaceDE w:val="0"/>
              <w:autoSpaceDN w:val="0"/>
              <w:adjustRightInd w:val="0"/>
              <w:rPr>
                <w:rFonts w:eastAsiaTheme="minorEastAsia" w:cs="Calibri"/>
                <w:color w:val="000000"/>
                <w:szCs w:val="16"/>
                <w:lang w:eastAsia="en-AU"/>
              </w:rPr>
            </w:pPr>
            <w:r w:rsidRPr="00AC137D">
              <w:rPr>
                <w:rFonts w:eastAsiaTheme="minorEastAsia" w:cs="Calibri"/>
                <w:color w:val="000000"/>
                <w:szCs w:val="16"/>
                <w:lang w:eastAsia="en-AU"/>
              </w:rPr>
              <w:t>Sales of goods and services</w:t>
            </w:r>
          </w:p>
        </w:tc>
        <w:tc>
          <w:tcPr>
            <w:tcW w:w="567" w:type="dxa"/>
            <w:tcBorders>
              <w:top w:val="nil"/>
              <w:left w:val="nil"/>
              <w:bottom w:val="nil"/>
              <w:right w:val="nil"/>
            </w:tcBorders>
          </w:tcPr>
          <w:p w:rsidR="00A46DCA" w:rsidRPr="00AC137D" w:rsidRDefault="00A46DCA" w:rsidP="00A26D04">
            <w:pPr>
              <w:keepLines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AC137D">
              <w:rPr>
                <w:rFonts w:eastAsiaTheme="minorEastAsia" w:cs="Arial"/>
                <w:color w:val="000000"/>
                <w:szCs w:val="18"/>
                <w:lang w:eastAsia="en-AU"/>
              </w:rPr>
              <w:t>4.2.3</w:t>
            </w:r>
          </w:p>
        </w:tc>
        <w:tc>
          <w:tcPr>
            <w:tcW w:w="76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AC137D">
              <w:rPr>
                <w:rFonts w:eastAsiaTheme="minorEastAsia" w:cs="Arial"/>
                <w:color w:val="000000"/>
                <w:szCs w:val="18"/>
                <w:lang w:eastAsia="en-AU"/>
              </w:rPr>
              <w:t>7 187</w:t>
            </w:r>
          </w:p>
        </w:tc>
        <w:tc>
          <w:tcPr>
            <w:tcW w:w="76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AC137D">
              <w:rPr>
                <w:rFonts w:eastAsiaTheme="minorEastAsia" w:cs="Arial"/>
                <w:color w:val="000000"/>
                <w:szCs w:val="18"/>
                <w:lang w:eastAsia="en-AU"/>
              </w:rPr>
              <w:t>7 261</w:t>
            </w:r>
          </w:p>
        </w:tc>
        <w:tc>
          <w:tcPr>
            <w:tcW w:w="76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AC137D">
              <w:rPr>
                <w:rFonts w:eastAsiaTheme="minorEastAsia" w:cs="Arial"/>
                <w:color w:val="000000"/>
                <w:szCs w:val="18"/>
                <w:lang w:eastAsia="en-AU"/>
              </w:rPr>
              <w:t>7 630</w:t>
            </w:r>
          </w:p>
        </w:tc>
        <w:tc>
          <w:tcPr>
            <w:tcW w:w="76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AC137D">
              <w:rPr>
                <w:rFonts w:eastAsiaTheme="minorEastAsia" w:cs="Arial"/>
                <w:color w:val="000000"/>
                <w:szCs w:val="18"/>
                <w:lang w:eastAsia="en-AU"/>
              </w:rPr>
              <w:t>8 046</w:t>
            </w:r>
          </w:p>
        </w:tc>
        <w:tc>
          <w:tcPr>
            <w:tcW w:w="76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AC137D">
              <w:rPr>
                <w:rFonts w:eastAsiaTheme="minorEastAsia" w:cs="Arial"/>
                <w:color w:val="000000"/>
                <w:szCs w:val="18"/>
                <w:lang w:eastAsia="en-AU"/>
              </w:rPr>
              <w:t>8 312</w:t>
            </w:r>
          </w:p>
        </w:tc>
      </w:tr>
      <w:tr w:rsidR="00A46DCA" w:rsidRPr="00AC137D" w:rsidTr="00A26D04">
        <w:tc>
          <w:tcPr>
            <w:cnfStyle w:val="001000000000" w:firstRow="0" w:lastRow="0" w:firstColumn="1" w:lastColumn="0" w:oddVBand="0" w:evenVBand="0" w:oddHBand="0" w:evenHBand="0" w:firstRowFirstColumn="0" w:firstRowLastColumn="0" w:lastRowFirstColumn="0" w:lastRowLastColumn="0"/>
            <w:tcW w:w="3402" w:type="dxa"/>
            <w:tcBorders>
              <w:top w:val="nil"/>
              <w:left w:val="nil"/>
              <w:bottom w:val="nil"/>
              <w:right w:val="nil"/>
            </w:tcBorders>
          </w:tcPr>
          <w:p w:rsidR="00A46DCA" w:rsidRPr="00AC137D" w:rsidRDefault="00A46DCA" w:rsidP="00A26D04">
            <w:pPr>
              <w:keepLines w:val="0"/>
              <w:autoSpaceDE w:val="0"/>
              <w:autoSpaceDN w:val="0"/>
              <w:adjustRightInd w:val="0"/>
              <w:rPr>
                <w:rFonts w:eastAsiaTheme="minorEastAsia" w:cs="Calibri"/>
                <w:color w:val="000000"/>
                <w:szCs w:val="16"/>
                <w:lang w:eastAsia="en-AU"/>
              </w:rPr>
            </w:pPr>
            <w:r w:rsidRPr="00AC137D">
              <w:rPr>
                <w:rFonts w:eastAsiaTheme="minorEastAsia" w:cs="Calibri"/>
                <w:color w:val="000000"/>
                <w:szCs w:val="16"/>
                <w:lang w:eastAsia="en-AU"/>
              </w:rPr>
              <w:t>Grant revenue</w:t>
            </w:r>
          </w:p>
        </w:tc>
        <w:tc>
          <w:tcPr>
            <w:tcW w:w="567" w:type="dxa"/>
            <w:tcBorders>
              <w:top w:val="nil"/>
              <w:left w:val="nil"/>
              <w:bottom w:val="nil"/>
              <w:right w:val="nil"/>
            </w:tcBorders>
          </w:tcPr>
          <w:p w:rsidR="00A46DCA" w:rsidRPr="00AC137D" w:rsidRDefault="00A46DCA" w:rsidP="00A26D04">
            <w:pPr>
              <w:keepLines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AC137D">
              <w:rPr>
                <w:rFonts w:eastAsiaTheme="minorEastAsia" w:cs="Arial"/>
                <w:color w:val="000000"/>
                <w:szCs w:val="18"/>
                <w:lang w:eastAsia="en-AU"/>
              </w:rPr>
              <w:t>4.2.4</w:t>
            </w:r>
          </w:p>
        </w:tc>
        <w:tc>
          <w:tcPr>
            <w:tcW w:w="76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AC137D">
              <w:rPr>
                <w:rFonts w:eastAsiaTheme="minorEastAsia" w:cs="Arial"/>
                <w:color w:val="000000"/>
                <w:szCs w:val="18"/>
                <w:lang w:eastAsia="en-AU"/>
              </w:rPr>
              <w:t>29 818</w:t>
            </w:r>
          </w:p>
        </w:tc>
        <w:tc>
          <w:tcPr>
            <w:tcW w:w="76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AC137D">
              <w:rPr>
                <w:rFonts w:eastAsiaTheme="minorEastAsia" w:cs="Arial"/>
                <w:color w:val="000000"/>
                <w:szCs w:val="18"/>
                <w:lang w:eastAsia="en-AU"/>
              </w:rPr>
              <w:t>30 221</w:t>
            </w:r>
          </w:p>
        </w:tc>
        <w:tc>
          <w:tcPr>
            <w:tcW w:w="76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AC137D">
              <w:rPr>
                <w:rFonts w:eastAsiaTheme="minorEastAsia" w:cs="Arial"/>
                <w:color w:val="000000"/>
                <w:szCs w:val="18"/>
                <w:lang w:eastAsia="en-AU"/>
              </w:rPr>
              <w:t>32 216</w:t>
            </w:r>
          </w:p>
        </w:tc>
        <w:tc>
          <w:tcPr>
            <w:tcW w:w="76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AC137D">
              <w:rPr>
                <w:rFonts w:eastAsiaTheme="minorEastAsia" w:cs="Arial"/>
                <w:color w:val="000000"/>
                <w:szCs w:val="18"/>
                <w:lang w:eastAsia="en-AU"/>
              </w:rPr>
              <w:t>32 190</w:t>
            </w:r>
          </w:p>
        </w:tc>
        <w:tc>
          <w:tcPr>
            <w:tcW w:w="76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AC137D">
              <w:rPr>
                <w:rFonts w:eastAsiaTheme="minorEastAsia" w:cs="Arial"/>
                <w:color w:val="000000"/>
                <w:szCs w:val="18"/>
                <w:lang w:eastAsia="en-AU"/>
              </w:rPr>
              <w:t>33 413</w:t>
            </w:r>
          </w:p>
        </w:tc>
      </w:tr>
      <w:tr w:rsidR="00A46DCA" w:rsidRPr="00AC137D" w:rsidTr="00A26D04">
        <w:tc>
          <w:tcPr>
            <w:cnfStyle w:val="001000000000" w:firstRow="0" w:lastRow="0" w:firstColumn="1" w:lastColumn="0" w:oddVBand="0" w:evenVBand="0" w:oddHBand="0" w:evenHBand="0" w:firstRowFirstColumn="0" w:firstRowLastColumn="0" w:lastRowFirstColumn="0" w:lastRowLastColumn="0"/>
            <w:tcW w:w="3402" w:type="dxa"/>
            <w:tcBorders>
              <w:top w:val="nil"/>
              <w:left w:val="nil"/>
              <w:bottom w:val="single" w:sz="6" w:space="0" w:color="000000"/>
              <w:right w:val="nil"/>
            </w:tcBorders>
          </w:tcPr>
          <w:p w:rsidR="00A46DCA" w:rsidRPr="00AC137D" w:rsidRDefault="00A46DCA" w:rsidP="00A26D04">
            <w:pPr>
              <w:keepLines w:val="0"/>
              <w:autoSpaceDE w:val="0"/>
              <w:autoSpaceDN w:val="0"/>
              <w:adjustRightInd w:val="0"/>
              <w:rPr>
                <w:rFonts w:eastAsiaTheme="minorEastAsia" w:cs="Calibri"/>
                <w:color w:val="000000"/>
                <w:szCs w:val="16"/>
                <w:lang w:eastAsia="en-AU"/>
              </w:rPr>
            </w:pPr>
            <w:r w:rsidRPr="00AC137D">
              <w:rPr>
                <w:rFonts w:eastAsiaTheme="minorEastAsia" w:cs="Calibri"/>
                <w:color w:val="000000"/>
                <w:szCs w:val="16"/>
                <w:lang w:eastAsia="en-AU"/>
              </w:rPr>
              <w:t>Other revenue</w:t>
            </w:r>
          </w:p>
        </w:tc>
        <w:tc>
          <w:tcPr>
            <w:tcW w:w="567" w:type="dxa"/>
            <w:tcBorders>
              <w:top w:val="nil"/>
              <w:left w:val="nil"/>
              <w:bottom w:val="single" w:sz="6" w:space="0" w:color="000000"/>
              <w:right w:val="nil"/>
            </w:tcBorders>
          </w:tcPr>
          <w:p w:rsidR="00A46DCA" w:rsidRPr="00AC137D" w:rsidRDefault="00A46DCA" w:rsidP="00A26D04">
            <w:pPr>
              <w:keepLines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AC137D">
              <w:rPr>
                <w:rFonts w:eastAsiaTheme="minorEastAsia" w:cs="Arial"/>
                <w:color w:val="000000"/>
                <w:szCs w:val="18"/>
                <w:lang w:eastAsia="en-AU"/>
              </w:rPr>
              <w:t>4.2.5</w:t>
            </w:r>
          </w:p>
        </w:tc>
        <w:tc>
          <w:tcPr>
            <w:tcW w:w="760" w:type="dxa"/>
            <w:tcBorders>
              <w:top w:val="nil"/>
              <w:left w:val="nil"/>
              <w:bottom w:val="single" w:sz="6" w:space="0" w:color="000000"/>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AC137D">
              <w:rPr>
                <w:rFonts w:eastAsiaTheme="minorEastAsia" w:cs="Arial"/>
                <w:color w:val="000000"/>
                <w:szCs w:val="18"/>
                <w:lang w:eastAsia="en-AU"/>
              </w:rPr>
              <w:t>2 502</w:t>
            </w:r>
          </w:p>
        </w:tc>
        <w:tc>
          <w:tcPr>
            <w:tcW w:w="760" w:type="dxa"/>
            <w:tcBorders>
              <w:top w:val="nil"/>
              <w:left w:val="nil"/>
              <w:bottom w:val="single" w:sz="6" w:space="0" w:color="000000"/>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AC137D">
              <w:rPr>
                <w:rFonts w:eastAsiaTheme="minorEastAsia" w:cs="Arial"/>
                <w:color w:val="000000"/>
                <w:szCs w:val="18"/>
                <w:lang w:eastAsia="en-AU"/>
              </w:rPr>
              <w:t>2 554</w:t>
            </w:r>
          </w:p>
        </w:tc>
        <w:tc>
          <w:tcPr>
            <w:tcW w:w="760" w:type="dxa"/>
            <w:tcBorders>
              <w:top w:val="nil"/>
              <w:left w:val="nil"/>
              <w:bottom w:val="single" w:sz="6" w:space="0" w:color="000000"/>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AC137D">
              <w:rPr>
                <w:rFonts w:eastAsiaTheme="minorEastAsia" w:cs="Arial"/>
                <w:color w:val="000000"/>
                <w:szCs w:val="18"/>
                <w:lang w:eastAsia="en-AU"/>
              </w:rPr>
              <w:t>2 687</w:t>
            </w:r>
          </w:p>
        </w:tc>
        <w:tc>
          <w:tcPr>
            <w:tcW w:w="760" w:type="dxa"/>
            <w:tcBorders>
              <w:top w:val="nil"/>
              <w:left w:val="nil"/>
              <w:bottom w:val="single" w:sz="6" w:space="0" w:color="000000"/>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AC137D">
              <w:rPr>
                <w:rFonts w:eastAsiaTheme="minorEastAsia" w:cs="Arial"/>
                <w:color w:val="000000"/>
                <w:szCs w:val="18"/>
                <w:lang w:eastAsia="en-AU"/>
              </w:rPr>
              <w:t>2 629</w:t>
            </w:r>
          </w:p>
        </w:tc>
        <w:tc>
          <w:tcPr>
            <w:tcW w:w="760" w:type="dxa"/>
            <w:tcBorders>
              <w:top w:val="nil"/>
              <w:left w:val="nil"/>
              <w:bottom w:val="single" w:sz="6" w:space="0" w:color="000000"/>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AC137D">
              <w:rPr>
                <w:rFonts w:eastAsiaTheme="minorEastAsia" w:cs="Arial"/>
                <w:color w:val="000000"/>
                <w:szCs w:val="18"/>
                <w:lang w:eastAsia="en-AU"/>
              </w:rPr>
              <w:t>2 688</w:t>
            </w:r>
          </w:p>
        </w:tc>
      </w:tr>
      <w:tr w:rsidR="00A46DCA" w:rsidRPr="00AC137D" w:rsidTr="00A26D04">
        <w:tc>
          <w:tcPr>
            <w:cnfStyle w:val="001000000000" w:firstRow="0" w:lastRow="0" w:firstColumn="1" w:lastColumn="0" w:oddVBand="0" w:evenVBand="0" w:oddHBand="0" w:evenHBand="0" w:firstRowFirstColumn="0" w:firstRowLastColumn="0" w:lastRowFirstColumn="0" w:lastRowLastColumn="0"/>
            <w:tcW w:w="3402" w:type="dxa"/>
            <w:tcBorders>
              <w:top w:val="nil"/>
              <w:left w:val="nil"/>
              <w:bottom w:val="nil"/>
              <w:right w:val="nil"/>
            </w:tcBorders>
          </w:tcPr>
          <w:p w:rsidR="00A46DCA" w:rsidRPr="00AC137D" w:rsidRDefault="00A46DCA" w:rsidP="00A26D04">
            <w:pPr>
              <w:keepLines w:val="0"/>
              <w:autoSpaceDE w:val="0"/>
              <w:autoSpaceDN w:val="0"/>
              <w:adjustRightInd w:val="0"/>
              <w:rPr>
                <w:rFonts w:eastAsiaTheme="minorEastAsia" w:cs="Calibri"/>
                <w:b/>
                <w:bCs/>
                <w:color w:val="000000"/>
                <w:szCs w:val="16"/>
                <w:lang w:eastAsia="en-AU"/>
              </w:rPr>
            </w:pPr>
            <w:r w:rsidRPr="00AC137D">
              <w:rPr>
                <w:rFonts w:eastAsiaTheme="minorEastAsia" w:cs="Calibri"/>
                <w:b/>
                <w:bCs/>
                <w:color w:val="000000"/>
                <w:szCs w:val="16"/>
                <w:lang w:eastAsia="en-AU"/>
              </w:rPr>
              <w:t>Total revenue from transactions</w:t>
            </w:r>
          </w:p>
        </w:tc>
        <w:tc>
          <w:tcPr>
            <w:tcW w:w="567" w:type="dxa"/>
            <w:tcBorders>
              <w:top w:val="nil"/>
              <w:left w:val="nil"/>
              <w:bottom w:val="nil"/>
              <w:right w:val="nil"/>
            </w:tcBorders>
          </w:tcPr>
          <w:p w:rsidR="00A46DCA" w:rsidRPr="00AC137D" w:rsidRDefault="00A46DCA" w:rsidP="00A26D04">
            <w:pPr>
              <w:keepLines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bCs/>
                <w:color w:val="000000"/>
                <w:lang w:eastAsia="en-AU"/>
              </w:rPr>
            </w:pPr>
            <w:r w:rsidRPr="00AC137D">
              <w:rPr>
                <w:rFonts w:eastAsiaTheme="minorEastAsia" w:cs="Calibri"/>
                <w:bCs/>
                <w:color w:val="000000"/>
                <w:lang w:eastAsia="en-AU"/>
              </w:rPr>
              <w:t xml:space="preserve"> </w:t>
            </w:r>
          </w:p>
        </w:tc>
        <w:tc>
          <w:tcPr>
            <w:tcW w:w="76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sidRPr="00AC137D">
              <w:rPr>
                <w:rFonts w:eastAsiaTheme="minorEastAsia" w:cs="Arial"/>
                <w:b/>
                <w:bCs/>
                <w:color w:val="000000"/>
                <w:szCs w:val="18"/>
                <w:lang w:eastAsia="en-AU"/>
              </w:rPr>
              <w:t>63 405</w:t>
            </w:r>
          </w:p>
        </w:tc>
        <w:tc>
          <w:tcPr>
            <w:tcW w:w="76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sidRPr="00AC137D">
              <w:rPr>
                <w:rFonts w:eastAsiaTheme="minorEastAsia" w:cs="Arial"/>
                <w:b/>
                <w:bCs/>
                <w:color w:val="000000"/>
                <w:szCs w:val="18"/>
                <w:lang w:eastAsia="en-AU"/>
              </w:rPr>
              <w:t>64 386</w:t>
            </w:r>
          </w:p>
        </w:tc>
        <w:tc>
          <w:tcPr>
            <w:tcW w:w="76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sidRPr="00AC137D">
              <w:rPr>
                <w:rFonts w:eastAsiaTheme="minorEastAsia" w:cs="Arial"/>
                <w:b/>
                <w:bCs/>
                <w:color w:val="000000"/>
                <w:szCs w:val="18"/>
                <w:lang w:eastAsia="en-AU"/>
              </w:rPr>
              <w:t>67 804</w:t>
            </w:r>
          </w:p>
        </w:tc>
        <w:tc>
          <w:tcPr>
            <w:tcW w:w="76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sidRPr="00AC137D">
              <w:rPr>
                <w:rFonts w:eastAsiaTheme="minorEastAsia" w:cs="Arial"/>
                <w:b/>
                <w:bCs/>
                <w:color w:val="000000"/>
                <w:szCs w:val="18"/>
                <w:lang w:eastAsia="en-AU"/>
              </w:rPr>
              <w:t>69 134</w:t>
            </w:r>
          </w:p>
        </w:tc>
        <w:tc>
          <w:tcPr>
            <w:tcW w:w="76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sidRPr="00AC137D">
              <w:rPr>
                <w:rFonts w:eastAsiaTheme="minorEastAsia" w:cs="Arial"/>
                <w:b/>
                <w:bCs/>
                <w:color w:val="000000"/>
                <w:szCs w:val="18"/>
                <w:lang w:eastAsia="en-AU"/>
              </w:rPr>
              <w:t>71 662</w:t>
            </w:r>
          </w:p>
        </w:tc>
      </w:tr>
      <w:tr w:rsidR="00A46DCA" w:rsidRPr="00AC137D" w:rsidTr="00A26D04">
        <w:tc>
          <w:tcPr>
            <w:cnfStyle w:val="001000000000" w:firstRow="0" w:lastRow="0" w:firstColumn="1" w:lastColumn="0" w:oddVBand="0" w:evenVBand="0" w:oddHBand="0" w:evenHBand="0" w:firstRowFirstColumn="0" w:firstRowLastColumn="0" w:lastRowFirstColumn="0" w:lastRowLastColumn="0"/>
            <w:tcW w:w="3402" w:type="dxa"/>
            <w:tcBorders>
              <w:top w:val="nil"/>
              <w:left w:val="nil"/>
              <w:bottom w:val="nil"/>
              <w:right w:val="nil"/>
            </w:tcBorders>
          </w:tcPr>
          <w:p w:rsidR="00A46DCA" w:rsidRPr="00AC137D" w:rsidRDefault="00A46DCA" w:rsidP="00A26D04">
            <w:pPr>
              <w:keepLines w:val="0"/>
              <w:autoSpaceDE w:val="0"/>
              <w:autoSpaceDN w:val="0"/>
              <w:adjustRightInd w:val="0"/>
              <w:rPr>
                <w:rFonts w:eastAsiaTheme="minorEastAsia" w:cs="Calibri"/>
                <w:b/>
                <w:bCs/>
                <w:color w:val="000000"/>
                <w:szCs w:val="16"/>
                <w:lang w:eastAsia="en-AU"/>
              </w:rPr>
            </w:pPr>
            <w:r w:rsidRPr="00AC137D">
              <w:rPr>
                <w:rFonts w:eastAsiaTheme="minorEastAsia" w:cs="Calibri"/>
                <w:b/>
                <w:bCs/>
                <w:color w:val="000000"/>
                <w:szCs w:val="16"/>
                <w:lang w:eastAsia="en-AU"/>
              </w:rPr>
              <w:t>Expenses from transactions</w:t>
            </w:r>
          </w:p>
        </w:tc>
        <w:tc>
          <w:tcPr>
            <w:tcW w:w="567" w:type="dxa"/>
            <w:tcBorders>
              <w:top w:val="nil"/>
              <w:left w:val="nil"/>
              <w:bottom w:val="nil"/>
              <w:right w:val="nil"/>
            </w:tcBorders>
          </w:tcPr>
          <w:p w:rsidR="00A46DCA" w:rsidRPr="00AC137D" w:rsidRDefault="00A46DCA" w:rsidP="00A26D04">
            <w:pPr>
              <w:keepLines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bCs/>
                <w:color w:val="000000"/>
                <w:lang w:eastAsia="en-AU"/>
              </w:rPr>
            </w:pPr>
            <w:r w:rsidRPr="00AC137D">
              <w:rPr>
                <w:rFonts w:eastAsiaTheme="minorEastAsia" w:cs="Calibri"/>
                <w:bCs/>
                <w:color w:val="000000"/>
                <w:lang w:eastAsia="en-AU"/>
              </w:rPr>
              <w:t xml:space="preserve"> </w:t>
            </w:r>
          </w:p>
        </w:tc>
        <w:tc>
          <w:tcPr>
            <w:tcW w:w="76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AC137D">
              <w:rPr>
                <w:rFonts w:eastAsiaTheme="minorEastAsia" w:cs="Calibri"/>
                <w:b/>
                <w:bCs/>
                <w:color w:val="000000"/>
                <w:lang w:eastAsia="en-AU"/>
              </w:rPr>
              <w:t xml:space="preserve"> </w:t>
            </w:r>
          </w:p>
        </w:tc>
        <w:tc>
          <w:tcPr>
            <w:tcW w:w="76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AC137D">
              <w:rPr>
                <w:rFonts w:eastAsiaTheme="minorEastAsia" w:cs="Calibri"/>
                <w:b/>
                <w:bCs/>
                <w:color w:val="000000"/>
                <w:lang w:eastAsia="en-AU"/>
              </w:rPr>
              <w:t xml:space="preserve"> </w:t>
            </w:r>
          </w:p>
        </w:tc>
        <w:tc>
          <w:tcPr>
            <w:tcW w:w="76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AC137D">
              <w:rPr>
                <w:rFonts w:eastAsiaTheme="minorEastAsia" w:cs="Calibri"/>
                <w:b/>
                <w:bCs/>
                <w:color w:val="000000"/>
                <w:lang w:eastAsia="en-AU"/>
              </w:rPr>
              <w:t xml:space="preserve"> </w:t>
            </w:r>
          </w:p>
        </w:tc>
        <w:tc>
          <w:tcPr>
            <w:tcW w:w="76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AC137D">
              <w:rPr>
                <w:rFonts w:eastAsiaTheme="minorEastAsia" w:cs="Calibri"/>
                <w:b/>
                <w:bCs/>
                <w:color w:val="000000"/>
                <w:lang w:eastAsia="en-AU"/>
              </w:rPr>
              <w:t xml:space="preserve"> </w:t>
            </w:r>
          </w:p>
        </w:tc>
        <w:tc>
          <w:tcPr>
            <w:tcW w:w="76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AC137D">
              <w:rPr>
                <w:rFonts w:eastAsiaTheme="minorEastAsia" w:cs="Calibri"/>
                <w:b/>
                <w:bCs/>
                <w:color w:val="000000"/>
                <w:lang w:eastAsia="en-AU"/>
              </w:rPr>
              <w:t xml:space="preserve"> </w:t>
            </w:r>
          </w:p>
        </w:tc>
      </w:tr>
      <w:tr w:rsidR="00A46DCA" w:rsidRPr="00AC137D" w:rsidTr="00A26D04">
        <w:tc>
          <w:tcPr>
            <w:cnfStyle w:val="001000000000" w:firstRow="0" w:lastRow="0" w:firstColumn="1" w:lastColumn="0" w:oddVBand="0" w:evenVBand="0" w:oddHBand="0" w:evenHBand="0" w:firstRowFirstColumn="0" w:firstRowLastColumn="0" w:lastRowFirstColumn="0" w:lastRowLastColumn="0"/>
            <w:tcW w:w="3402" w:type="dxa"/>
            <w:tcBorders>
              <w:top w:val="nil"/>
              <w:left w:val="nil"/>
              <w:bottom w:val="nil"/>
              <w:right w:val="nil"/>
            </w:tcBorders>
          </w:tcPr>
          <w:p w:rsidR="00A46DCA" w:rsidRPr="00AC137D" w:rsidRDefault="00A46DCA" w:rsidP="00A26D04">
            <w:pPr>
              <w:keepLines w:val="0"/>
              <w:autoSpaceDE w:val="0"/>
              <w:autoSpaceDN w:val="0"/>
              <w:adjustRightInd w:val="0"/>
              <w:rPr>
                <w:rFonts w:eastAsiaTheme="minorEastAsia" w:cs="Calibri"/>
                <w:color w:val="000000"/>
                <w:szCs w:val="16"/>
                <w:lang w:eastAsia="en-AU"/>
              </w:rPr>
            </w:pPr>
            <w:r w:rsidRPr="00AC137D">
              <w:rPr>
                <w:rFonts w:eastAsiaTheme="minorEastAsia" w:cs="Calibri"/>
                <w:color w:val="000000"/>
                <w:szCs w:val="16"/>
                <w:lang w:eastAsia="en-AU"/>
              </w:rPr>
              <w:t>Employee expenses</w:t>
            </w:r>
          </w:p>
        </w:tc>
        <w:tc>
          <w:tcPr>
            <w:tcW w:w="567" w:type="dxa"/>
            <w:tcBorders>
              <w:top w:val="nil"/>
              <w:left w:val="nil"/>
              <w:bottom w:val="nil"/>
              <w:right w:val="nil"/>
            </w:tcBorders>
          </w:tcPr>
          <w:p w:rsidR="00A46DCA" w:rsidRPr="00AC137D" w:rsidRDefault="00A46DCA" w:rsidP="00A26D04">
            <w:pPr>
              <w:keepLines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AC137D">
              <w:rPr>
                <w:rFonts w:eastAsiaTheme="minorEastAsia" w:cs="Calibri"/>
                <w:color w:val="000000"/>
                <w:lang w:eastAsia="en-AU"/>
              </w:rPr>
              <w:t xml:space="preserve"> </w:t>
            </w:r>
          </w:p>
        </w:tc>
        <w:tc>
          <w:tcPr>
            <w:tcW w:w="76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AC137D">
              <w:rPr>
                <w:rFonts w:eastAsiaTheme="minorEastAsia" w:cs="Arial"/>
                <w:color w:val="000000"/>
                <w:szCs w:val="18"/>
                <w:lang w:eastAsia="en-AU"/>
              </w:rPr>
              <w:t>23 011</w:t>
            </w:r>
          </w:p>
        </w:tc>
        <w:tc>
          <w:tcPr>
            <w:tcW w:w="76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AC137D">
              <w:rPr>
                <w:rFonts w:eastAsiaTheme="minorEastAsia" w:cs="Arial"/>
                <w:color w:val="000000"/>
                <w:szCs w:val="18"/>
                <w:lang w:eastAsia="en-AU"/>
              </w:rPr>
              <w:t>23 094</w:t>
            </w:r>
          </w:p>
        </w:tc>
        <w:tc>
          <w:tcPr>
            <w:tcW w:w="76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AC137D">
              <w:rPr>
                <w:rFonts w:eastAsiaTheme="minorEastAsia" w:cs="Arial"/>
                <w:color w:val="000000"/>
                <w:szCs w:val="18"/>
                <w:lang w:eastAsia="en-AU"/>
              </w:rPr>
              <w:t>24 593</w:t>
            </w:r>
          </w:p>
        </w:tc>
        <w:tc>
          <w:tcPr>
            <w:tcW w:w="76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AC137D">
              <w:rPr>
                <w:rFonts w:eastAsiaTheme="minorEastAsia" w:cs="Arial"/>
                <w:color w:val="000000"/>
                <w:szCs w:val="18"/>
                <w:lang w:eastAsia="en-AU"/>
              </w:rPr>
              <w:t>25 116</w:t>
            </w:r>
          </w:p>
        </w:tc>
        <w:tc>
          <w:tcPr>
            <w:tcW w:w="76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AC137D">
              <w:rPr>
                <w:rFonts w:eastAsiaTheme="minorEastAsia" w:cs="Arial"/>
                <w:color w:val="000000"/>
                <w:szCs w:val="18"/>
                <w:lang w:eastAsia="en-AU"/>
              </w:rPr>
              <w:t>25 907</w:t>
            </w:r>
          </w:p>
        </w:tc>
      </w:tr>
      <w:tr w:rsidR="00A46DCA" w:rsidRPr="00AC137D" w:rsidTr="00A26D04">
        <w:tc>
          <w:tcPr>
            <w:cnfStyle w:val="001000000000" w:firstRow="0" w:lastRow="0" w:firstColumn="1" w:lastColumn="0" w:oddVBand="0" w:evenVBand="0" w:oddHBand="0" w:evenHBand="0" w:firstRowFirstColumn="0" w:firstRowLastColumn="0" w:lastRowFirstColumn="0" w:lastRowLastColumn="0"/>
            <w:tcW w:w="3402" w:type="dxa"/>
            <w:tcBorders>
              <w:top w:val="nil"/>
              <w:left w:val="nil"/>
              <w:bottom w:val="nil"/>
              <w:right w:val="nil"/>
            </w:tcBorders>
          </w:tcPr>
          <w:p w:rsidR="00A46DCA" w:rsidRPr="00AC137D" w:rsidRDefault="00A46DCA" w:rsidP="00A26D04">
            <w:pPr>
              <w:keepLines w:val="0"/>
              <w:autoSpaceDE w:val="0"/>
              <w:autoSpaceDN w:val="0"/>
              <w:adjustRightInd w:val="0"/>
              <w:rPr>
                <w:rFonts w:eastAsiaTheme="minorEastAsia" w:cs="Calibri"/>
                <w:color w:val="000000"/>
                <w:szCs w:val="16"/>
                <w:lang w:eastAsia="en-AU"/>
              </w:rPr>
            </w:pPr>
            <w:r w:rsidRPr="00AC137D">
              <w:rPr>
                <w:rFonts w:eastAsiaTheme="minorEastAsia" w:cs="Calibri"/>
                <w:color w:val="000000"/>
                <w:szCs w:val="16"/>
                <w:lang w:eastAsia="en-AU"/>
              </w:rPr>
              <w:t>Net superannuation interest expense</w:t>
            </w:r>
          </w:p>
        </w:tc>
        <w:tc>
          <w:tcPr>
            <w:tcW w:w="567" w:type="dxa"/>
            <w:tcBorders>
              <w:top w:val="nil"/>
              <w:left w:val="nil"/>
              <w:bottom w:val="nil"/>
              <w:right w:val="nil"/>
            </w:tcBorders>
          </w:tcPr>
          <w:p w:rsidR="00A46DCA" w:rsidRPr="00AC137D" w:rsidRDefault="00A46DCA" w:rsidP="00A26D04">
            <w:pPr>
              <w:keepLines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AC137D">
              <w:rPr>
                <w:rFonts w:eastAsiaTheme="minorEastAsia" w:cs="Arial"/>
                <w:color w:val="000000"/>
                <w:szCs w:val="18"/>
                <w:lang w:eastAsia="en-AU"/>
              </w:rPr>
              <w:t>4.3.2</w:t>
            </w:r>
          </w:p>
        </w:tc>
        <w:tc>
          <w:tcPr>
            <w:tcW w:w="76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761</w:t>
            </w:r>
          </w:p>
        </w:tc>
        <w:tc>
          <w:tcPr>
            <w:tcW w:w="76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714</w:t>
            </w:r>
          </w:p>
        </w:tc>
        <w:tc>
          <w:tcPr>
            <w:tcW w:w="76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699</w:t>
            </w:r>
          </w:p>
        </w:tc>
        <w:tc>
          <w:tcPr>
            <w:tcW w:w="76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670</w:t>
            </w:r>
          </w:p>
        </w:tc>
        <w:tc>
          <w:tcPr>
            <w:tcW w:w="76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639</w:t>
            </w:r>
          </w:p>
        </w:tc>
      </w:tr>
      <w:tr w:rsidR="00A46DCA" w:rsidRPr="00AC137D" w:rsidTr="00A26D04">
        <w:tc>
          <w:tcPr>
            <w:cnfStyle w:val="001000000000" w:firstRow="0" w:lastRow="0" w:firstColumn="1" w:lastColumn="0" w:oddVBand="0" w:evenVBand="0" w:oddHBand="0" w:evenHBand="0" w:firstRowFirstColumn="0" w:firstRowLastColumn="0" w:lastRowFirstColumn="0" w:lastRowLastColumn="0"/>
            <w:tcW w:w="3402" w:type="dxa"/>
            <w:tcBorders>
              <w:top w:val="nil"/>
              <w:left w:val="nil"/>
              <w:bottom w:val="nil"/>
              <w:right w:val="nil"/>
            </w:tcBorders>
          </w:tcPr>
          <w:p w:rsidR="00A46DCA" w:rsidRPr="00AC137D" w:rsidRDefault="00A46DCA" w:rsidP="00A26D04">
            <w:pPr>
              <w:keepLines w:val="0"/>
              <w:autoSpaceDE w:val="0"/>
              <w:autoSpaceDN w:val="0"/>
              <w:adjustRightInd w:val="0"/>
              <w:rPr>
                <w:rFonts w:eastAsiaTheme="minorEastAsia" w:cs="Calibri"/>
                <w:color w:val="000000"/>
                <w:szCs w:val="16"/>
                <w:lang w:eastAsia="en-AU"/>
              </w:rPr>
            </w:pPr>
            <w:r w:rsidRPr="00AC137D">
              <w:rPr>
                <w:rFonts w:eastAsiaTheme="minorEastAsia" w:cs="Calibri"/>
                <w:color w:val="000000"/>
                <w:szCs w:val="16"/>
                <w:lang w:eastAsia="en-AU"/>
              </w:rPr>
              <w:t>Other superannuation</w:t>
            </w:r>
          </w:p>
        </w:tc>
        <w:tc>
          <w:tcPr>
            <w:tcW w:w="567" w:type="dxa"/>
            <w:tcBorders>
              <w:top w:val="nil"/>
              <w:left w:val="nil"/>
              <w:bottom w:val="nil"/>
              <w:right w:val="nil"/>
            </w:tcBorders>
          </w:tcPr>
          <w:p w:rsidR="00A46DCA" w:rsidRPr="00AC137D" w:rsidRDefault="00A46DCA" w:rsidP="00A26D04">
            <w:pPr>
              <w:keepLines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AC137D">
              <w:rPr>
                <w:rFonts w:eastAsiaTheme="minorEastAsia" w:cs="Arial"/>
                <w:color w:val="000000"/>
                <w:szCs w:val="18"/>
                <w:lang w:eastAsia="en-AU"/>
              </w:rPr>
              <w:t>4.3.2</w:t>
            </w:r>
          </w:p>
        </w:tc>
        <w:tc>
          <w:tcPr>
            <w:tcW w:w="76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AC137D">
              <w:rPr>
                <w:rFonts w:eastAsiaTheme="minorEastAsia" w:cs="Arial"/>
                <w:color w:val="000000"/>
                <w:szCs w:val="18"/>
                <w:lang w:eastAsia="en-AU"/>
              </w:rPr>
              <w:t>2 347</w:t>
            </w:r>
          </w:p>
        </w:tc>
        <w:tc>
          <w:tcPr>
            <w:tcW w:w="76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AC137D">
              <w:rPr>
                <w:rFonts w:eastAsiaTheme="minorEastAsia" w:cs="Arial"/>
                <w:color w:val="000000"/>
                <w:szCs w:val="18"/>
                <w:lang w:eastAsia="en-AU"/>
              </w:rPr>
              <w:t>2 495</w:t>
            </w:r>
          </w:p>
        </w:tc>
        <w:tc>
          <w:tcPr>
            <w:tcW w:w="76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AC137D">
              <w:rPr>
                <w:rFonts w:eastAsiaTheme="minorEastAsia" w:cs="Arial"/>
                <w:color w:val="000000"/>
                <w:szCs w:val="18"/>
                <w:lang w:eastAsia="en-AU"/>
              </w:rPr>
              <w:t>2 503</w:t>
            </w:r>
          </w:p>
        </w:tc>
        <w:tc>
          <w:tcPr>
            <w:tcW w:w="76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AC137D">
              <w:rPr>
                <w:rFonts w:eastAsiaTheme="minorEastAsia" w:cs="Arial"/>
                <w:color w:val="000000"/>
                <w:szCs w:val="18"/>
                <w:lang w:eastAsia="en-AU"/>
              </w:rPr>
              <w:t>2 566</w:t>
            </w:r>
          </w:p>
        </w:tc>
        <w:tc>
          <w:tcPr>
            <w:tcW w:w="76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AC137D">
              <w:rPr>
                <w:rFonts w:eastAsiaTheme="minorEastAsia" w:cs="Arial"/>
                <w:color w:val="000000"/>
                <w:szCs w:val="18"/>
                <w:lang w:eastAsia="en-AU"/>
              </w:rPr>
              <w:t>2 612</w:t>
            </w:r>
          </w:p>
        </w:tc>
      </w:tr>
      <w:tr w:rsidR="00A46DCA" w:rsidRPr="00AC137D" w:rsidTr="00A26D04">
        <w:tc>
          <w:tcPr>
            <w:cnfStyle w:val="001000000000" w:firstRow="0" w:lastRow="0" w:firstColumn="1" w:lastColumn="0" w:oddVBand="0" w:evenVBand="0" w:oddHBand="0" w:evenHBand="0" w:firstRowFirstColumn="0" w:firstRowLastColumn="0" w:lastRowFirstColumn="0" w:lastRowLastColumn="0"/>
            <w:tcW w:w="3402" w:type="dxa"/>
            <w:tcBorders>
              <w:top w:val="nil"/>
              <w:left w:val="nil"/>
              <w:bottom w:val="nil"/>
              <w:right w:val="nil"/>
            </w:tcBorders>
          </w:tcPr>
          <w:p w:rsidR="00A46DCA" w:rsidRPr="00AC137D" w:rsidRDefault="00A46DCA" w:rsidP="00A26D04">
            <w:pPr>
              <w:keepLines w:val="0"/>
              <w:autoSpaceDE w:val="0"/>
              <w:autoSpaceDN w:val="0"/>
              <w:adjustRightInd w:val="0"/>
              <w:rPr>
                <w:rFonts w:eastAsiaTheme="minorEastAsia" w:cs="Calibri"/>
                <w:color w:val="000000"/>
                <w:szCs w:val="16"/>
                <w:lang w:eastAsia="en-AU"/>
              </w:rPr>
            </w:pPr>
            <w:r w:rsidRPr="00AC137D">
              <w:rPr>
                <w:rFonts w:eastAsiaTheme="minorEastAsia" w:cs="Calibri"/>
                <w:color w:val="000000"/>
                <w:szCs w:val="16"/>
                <w:lang w:eastAsia="en-AU"/>
              </w:rPr>
              <w:t>Depreciation</w:t>
            </w:r>
          </w:p>
        </w:tc>
        <w:tc>
          <w:tcPr>
            <w:tcW w:w="567" w:type="dxa"/>
            <w:tcBorders>
              <w:top w:val="nil"/>
              <w:left w:val="nil"/>
              <w:bottom w:val="nil"/>
              <w:right w:val="nil"/>
            </w:tcBorders>
          </w:tcPr>
          <w:p w:rsidR="00A46DCA" w:rsidRPr="00AC137D" w:rsidRDefault="00A46DCA" w:rsidP="00A26D04">
            <w:pPr>
              <w:keepLines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AC137D">
              <w:rPr>
                <w:rFonts w:eastAsiaTheme="minorEastAsia" w:cs="Arial"/>
                <w:color w:val="000000"/>
                <w:szCs w:val="18"/>
                <w:lang w:eastAsia="en-AU"/>
              </w:rPr>
              <w:t>4.4.2</w:t>
            </w:r>
          </w:p>
        </w:tc>
        <w:tc>
          <w:tcPr>
            <w:tcW w:w="76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AC137D">
              <w:rPr>
                <w:rFonts w:eastAsiaTheme="minorEastAsia" w:cs="Arial"/>
                <w:color w:val="000000"/>
                <w:szCs w:val="18"/>
                <w:lang w:eastAsia="en-AU"/>
              </w:rPr>
              <w:t>2 788</w:t>
            </w:r>
          </w:p>
        </w:tc>
        <w:tc>
          <w:tcPr>
            <w:tcW w:w="76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AC137D">
              <w:rPr>
                <w:rFonts w:eastAsiaTheme="minorEastAsia" w:cs="Arial"/>
                <w:color w:val="000000"/>
                <w:szCs w:val="18"/>
                <w:lang w:eastAsia="en-AU"/>
              </w:rPr>
              <w:t>2 734</w:t>
            </w:r>
          </w:p>
        </w:tc>
        <w:tc>
          <w:tcPr>
            <w:tcW w:w="76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AC137D">
              <w:rPr>
                <w:rFonts w:eastAsiaTheme="minorEastAsia" w:cs="Arial"/>
                <w:color w:val="000000"/>
                <w:szCs w:val="18"/>
                <w:lang w:eastAsia="en-AU"/>
              </w:rPr>
              <w:t>2 960</w:t>
            </w:r>
          </w:p>
        </w:tc>
        <w:tc>
          <w:tcPr>
            <w:tcW w:w="76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AC137D">
              <w:rPr>
                <w:rFonts w:eastAsiaTheme="minorEastAsia" w:cs="Arial"/>
                <w:color w:val="000000"/>
                <w:szCs w:val="18"/>
                <w:lang w:eastAsia="en-AU"/>
              </w:rPr>
              <w:t>3 222</w:t>
            </w:r>
          </w:p>
        </w:tc>
        <w:tc>
          <w:tcPr>
            <w:tcW w:w="76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AC137D">
              <w:rPr>
                <w:rFonts w:eastAsiaTheme="minorEastAsia" w:cs="Arial"/>
                <w:color w:val="000000"/>
                <w:szCs w:val="18"/>
                <w:lang w:eastAsia="en-AU"/>
              </w:rPr>
              <w:t>3 542</w:t>
            </w:r>
          </w:p>
        </w:tc>
      </w:tr>
      <w:tr w:rsidR="00A46DCA" w:rsidRPr="00AC137D" w:rsidTr="00A26D04">
        <w:tc>
          <w:tcPr>
            <w:cnfStyle w:val="001000000000" w:firstRow="0" w:lastRow="0" w:firstColumn="1" w:lastColumn="0" w:oddVBand="0" w:evenVBand="0" w:oddHBand="0" w:evenHBand="0" w:firstRowFirstColumn="0" w:firstRowLastColumn="0" w:lastRowFirstColumn="0" w:lastRowLastColumn="0"/>
            <w:tcW w:w="3402" w:type="dxa"/>
            <w:tcBorders>
              <w:top w:val="nil"/>
              <w:left w:val="nil"/>
              <w:bottom w:val="nil"/>
              <w:right w:val="nil"/>
            </w:tcBorders>
          </w:tcPr>
          <w:p w:rsidR="00A46DCA" w:rsidRPr="00AC137D" w:rsidRDefault="00A46DCA" w:rsidP="00A26D04">
            <w:pPr>
              <w:keepLines w:val="0"/>
              <w:autoSpaceDE w:val="0"/>
              <w:autoSpaceDN w:val="0"/>
              <w:adjustRightInd w:val="0"/>
              <w:rPr>
                <w:rFonts w:eastAsiaTheme="minorEastAsia" w:cs="Calibri"/>
                <w:color w:val="000000"/>
                <w:szCs w:val="16"/>
                <w:lang w:eastAsia="en-AU"/>
              </w:rPr>
            </w:pPr>
            <w:r w:rsidRPr="00AC137D">
              <w:rPr>
                <w:rFonts w:eastAsiaTheme="minorEastAsia" w:cs="Calibri"/>
                <w:color w:val="000000"/>
                <w:szCs w:val="16"/>
                <w:lang w:eastAsia="en-AU"/>
              </w:rPr>
              <w:t>Interest expense</w:t>
            </w:r>
          </w:p>
        </w:tc>
        <w:tc>
          <w:tcPr>
            <w:tcW w:w="567" w:type="dxa"/>
            <w:tcBorders>
              <w:top w:val="nil"/>
              <w:left w:val="nil"/>
              <w:bottom w:val="nil"/>
              <w:right w:val="nil"/>
            </w:tcBorders>
          </w:tcPr>
          <w:p w:rsidR="00A46DCA" w:rsidRPr="00AC137D" w:rsidRDefault="00A46DCA" w:rsidP="00A26D04">
            <w:pPr>
              <w:keepLines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AC137D">
              <w:rPr>
                <w:rFonts w:eastAsiaTheme="minorEastAsia" w:cs="Arial"/>
                <w:color w:val="000000"/>
                <w:szCs w:val="18"/>
                <w:lang w:eastAsia="en-AU"/>
              </w:rPr>
              <w:t>4.5.3</w:t>
            </w:r>
          </w:p>
        </w:tc>
        <w:tc>
          <w:tcPr>
            <w:tcW w:w="76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AC137D">
              <w:rPr>
                <w:rFonts w:eastAsiaTheme="minorEastAsia" w:cs="Arial"/>
                <w:color w:val="000000"/>
                <w:szCs w:val="18"/>
                <w:lang w:eastAsia="en-AU"/>
              </w:rPr>
              <w:t>2 181</w:t>
            </w:r>
          </w:p>
        </w:tc>
        <w:tc>
          <w:tcPr>
            <w:tcW w:w="76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AC137D">
              <w:rPr>
                <w:rFonts w:eastAsiaTheme="minorEastAsia" w:cs="Arial"/>
                <w:color w:val="000000"/>
                <w:szCs w:val="18"/>
                <w:lang w:eastAsia="en-AU"/>
              </w:rPr>
              <w:t>2 286</w:t>
            </w:r>
          </w:p>
        </w:tc>
        <w:tc>
          <w:tcPr>
            <w:tcW w:w="76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AC137D">
              <w:rPr>
                <w:rFonts w:eastAsiaTheme="minorEastAsia" w:cs="Arial"/>
                <w:color w:val="000000"/>
                <w:szCs w:val="18"/>
                <w:lang w:eastAsia="en-AU"/>
              </w:rPr>
              <w:t>2 282</w:t>
            </w:r>
          </w:p>
        </w:tc>
        <w:tc>
          <w:tcPr>
            <w:tcW w:w="76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AC137D">
              <w:rPr>
                <w:rFonts w:eastAsiaTheme="minorEastAsia" w:cs="Arial"/>
                <w:color w:val="000000"/>
                <w:szCs w:val="18"/>
                <w:lang w:eastAsia="en-AU"/>
              </w:rPr>
              <w:t>2 304</w:t>
            </w:r>
          </w:p>
        </w:tc>
        <w:tc>
          <w:tcPr>
            <w:tcW w:w="76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AC137D">
              <w:rPr>
                <w:rFonts w:eastAsiaTheme="minorEastAsia" w:cs="Arial"/>
                <w:color w:val="000000"/>
                <w:szCs w:val="18"/>
                <w:lang w:eastAsia="en-AU"/>
              </w:rPr>
              <w:t>2 373</w:t>
            </w:r>
          </w:p>
        </w:tc>
      </w:tr>
      <w:tr w:rsidR="00A46DCA" w:rsidRPr="00AC137D" w:rsidTr="00A26D04">
        <w:tc>
          <w:tcPr>
            <w:cnfStyle w:val="001000000000" w:firstRow="0" w:lastRow="0" w:firstColumn="1" w:lastColumn="0" w:oddVBand="0" w:evenVBand="0" w:oddHBand="0" w:evenHBand="0" w:firstRowFirstColumn="0" w:firstRowLastColumn="0" w:lastRowFirstColumn="0" w:lastRowLastColumn="0"/>
            <w:tcW w:w="3402" w:type="dxa"/>
            <w:tcBorders>
              <w:top w:val="nil"/>
              <w:left w:val="nil"/>
              <w:bottom w:val="nil"/>
              <w:right w:val="nil"/>
            </w:tcBorders>
          </w:tcPr>
          <w:p w:rsidR="00A46DCA" w:rsidRPr="00AC137D" w:rsidRDefault="00A46DCA" w:rsidP="00A26D04">
            <w:pPr>
              <w:keepLines w:val="0"/>
              <w:autoSpaceDE w:val="0"/>
              <w:autoSpaceDN w:val="0"/>
              <w:adjustRightInd w:val="0"/>
              <w:rPr>
                <w:rFonts w:eastAsiaTheme="minorEastAsia" w:cs="Calibri"/>
                <w:color w:val="000000"/>
                <w:szCs w:val="16"/>
                <w:lang w:eastAsia="en-AU"/>
              </w:rPr>
            </w:pPr>
            <w:r w:rsidRPr="00AC137D">
              <w:rPr>
                <w:rFonts w:eastAsiaTheme="minorEastAsia" w:cs="Calibri"/>
                <w:color w:val="000000"/>
                <w:szCs w:val="16"/>
                <w:lang w:eastAsia="en-AU"/>
              </w:rPr>
              <w:t>Grant expense</w:t>
            </w:r>
          </w:p>
        </w:tc>
        <w:tc>
          <w:tcPr>
            <w:tcW w:w="567" w:type="dxa"/>
            <w:tcBorders>
              <w:top w:val="nil"/>
              <w:left w:val="nil"/>
              <w:bottom w:val="nil"/>
              <w:right w:val="nil"/>
            </w:tcBorders>
          </w:tcPr>
          <w:p w:rsidR="00A46DCA" w:rsidRPr="00AC137D" w:rsidRDefault="00A46DCA" w:rsidP="00A26D04">
            <w:pPr>
              <w:keepLines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AC137D">
              <w:rPr>
                <w:rFonts w:eastAsiaTheme="minorEastAsia" w:cs="Arial"/>
                <w:color w:val="000000"/>
                <w:szCs w:val="18"/>
                <w:lang w:eastAsia="en-AU"/>
              </w:rPr>
              <w:t>4.3.3</w:t>
            </w:r>
          </w:p>
        </w:tc>
        <w:tc>
          <w:tcPr>
            <w:tcW w:w="76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AC137D">
              <w:rPr>
                <w:rFonts w:eastAsiaTheme="minorEastAsia" w:cs="Arial"/>
                <w:color w:val="000000"/>
                <w:szCs w:val="18"/>
                <w:lang w:eastAsia="en-AU"/>
              </w:rPr>
              <w:t>11 333</w:t>
            </w:r>
          </w:p>
        </w:tc>
        <w:tc>
          <w:tcPr>
            <w:tcW w:w="76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AC137D">
              <w:rPr>
                <w:rFonts w:eastAsiaTheme="minorEastAsia" w:cs="Arial"/>
                <w:color w:val="000000"/>
                <w:szCs w:val="18"/>
                <w:lang w:eastAsia="en-AU"/>
              </w:rPr>
              <w:t>10 792</w:t>
            </w:r>
          </w:p>
        </w:tc>
        <w:tc>
          <w:tcPr>
            <w:tcW w:w="76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AC137D">
              <w:rPr>
                <w:rFonts w:eastAsiaTheme="minorEastAsia" w:cs="Arial"/>
                <w:color w:val="000000"/>
                <w:szCs w:val="18"/>
                <w:lang w:eastAsia="en-AU"/>
              </w:rPr>
              <w:t>12 317</w:t>
            </w:r>
          </w:p>
        </w:tc>
        <w:tc>
          <w:tcPr>
            <w:tcW w:w="76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AC137D">
              <w:rPr>
                <w:rFonts w:eastAsiaTheme="minorEastAsia" w:cs="Arial"/>
                <w:color w:val="000000"/>
                <w:szCs w:val="18"/>
                <w:lang w:eastAsia="en-AU"/>
              </w:rPr>
              <w:t>13 558</w:t>
            </w:r>
          </w:p>
        </w:tc>
        <w:tc>
          <w:tcPr>
            <w:tcW w:w="76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AC137D">
              <w:rPr>
                <w:rFonts w:eastAsiaTheme="minorEastAsia" w:cs="Arial"/>
                <w:color w:val="000000"/>
                <w:szCs w:val="18"/>
                <w:lang w:eastAsia="en-AU"/>
              </w:rPr>
              <w:t>13 507</w:t>
            </w:r>
          </w:p>
        </w:tc>
      </w:tr>
      <w:tr w:rsidR="00A46DCA" w:rsidRPr="00AC137D" w:rsidTr="00A26D04">
        <w:tc>
          <w:tcPr>
            <w:cnfStyle w:val="001000000000" w:firstRow="0" w:lastRow="0" w:firstColumn="1" w:lastColumn="0" w:oddVBand="0" w:evenVBand="0" w:oddHBand="0" w:evenHBand="0" w:firstRowFirstColumn="0" w:firstRowLastColumn="0" w:lastRowFirstColumn="0" w:lastRowLastColumn="0"/>
            <w:tcW w:w="3402" w:type="dxa"/>
            <w:tcBorders>
              <w:top w:val="nil"/>
              <w:left w:val="nil"/>
              <w:bottom w:val="nil"/>
              <w:right w:val="nil"/>
            </w:tcBorders>
          </w:tcPr>
          <w:p w:rsidR="00A46DCA" w:rsidRPr="00AC137D" w:rsidRDefault="00A46DCA" w:rsidP="00A26D04">
            <w:pPr>
              <w:keepLines w:val="0"/>
              <w:autoSpaceDE w:val="0"/>
              <w:autoSpaceDN w:val="0"/>
              <w:adjustRightInd w:val="0"/>
              <w:rPr>
                <w:rFonts w:eastAsiaTheme="minorEastAsia" w:cs="Calibri"/>
                <w:color w:val="000000"/>
                <w:szCs w:val="16"/>
                <w:lang w:eastAsia="en-AU"/>
              </w:rPr>
            </w:pPr>
            <w:r w:rsidRPr="00AC137D">
              <w:rPr>
                <w:rFonts w:eastAsiaTheme="minorEastAsia" w:cs="Calibri"/>
                <w:color w:val="000000"/>
                <w:szCs w:val="16"/>
                <w:lang w:eastAsia="en-AU"/>
              </w:rPr>
              <w:t>Other operating expenses</w:t>
            </w:r>
          </w:p>
        </w:tc>
        <w:tc>
          <w:tcPr>
            <w:tcW w:w="567" w:type="dxa"/>
            <w:tcBorders>
              <w:top w:val="nil"/>
              <w:left w:val="nil"/>
              <w:bottom w:val="nil"/>
              <w:right w:val="nil"/>
            </w:tcBorders>
          </w:tcPr>
          <w:p w:rsidR="00A46DCA" w:rsidRPr="00AC137D" w:rsidRDefault="00A46DCA" w:rsidP="00A26D04">
            <w:pPr>
              <w:keepLines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AC137D">
              <w:rPr>
                <w:rFonts w:eastAsiaTheme="minorEastAsia" w:cs="Arial"/>
                <w:color w:val="000000"/>
                <w:szCs w:val="18"/>
                <w:lang w:eastAsia="en-AU"/>
              </w:rPr>
              <w:t>4.3.4</w:t>
            </w:r>
          </w:p>
        </w:tc>
        <w:tc>
          <w:tcPr>
            <w:tcW w:w="76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AC137D">
              <w:rPr>
                <w:rFonts w:eastAsiaTheme="minorEastAsia" w:cs="Arial"/>
                <w:color w:val="000000"/>
                <w:szCs w:val="18"/>
                <w:lang w:eastAsia="en-AU"/>
              </w:rPr>
              <w:t>19 830</w:t>
            </w:r>
          </w:p>
        </w:tc>
        <w:tc>
          <w:tcPr>
            <w:tcW w:w="76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AC137D">
              <w:rPr>
                <w:rFonts w:eastAsiaTheme="minorEastAsia" w:cs="Arial"/>
                <w:color w:val="000000"/>
                <w:szCs w:val="18"/>
                <w:lang w:eastAsia="en-AU"/>
              </w:rPr>
              <w:t>20 558</w:t>
            </w:r>
          </w:p>
        </w:tc>
        <w:tc>
          <w:tcPr>
            <w:tcW w:w="76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AC137D">
              <w:rPr>
                <w:rFonts w:eastAsiaTheme="minorEastAsia" w:cs="Arial"/>
                <w:color w:val="000000"/>
                <w:szCs w:val="18"/>
                <w:lang w:eastAsia="en-AU"/>
              </w:rPr>
              <w:t>20 333</w:t>
            </w:r>
          </w:p>
        </w:tc>
        <w:tc>
          <w:tcPr>
            <w:tcW w:w="76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AC137D">
              <w:rPr>
                <w:rFonts w:eastAsiaTheme="minorEastAsia" w:cs="Arial"/>
                <w:color w:val="000000"/>
                <w:szCs w:val="18"/>
                <w:lang w:eastAsia="en-AU"/>
              </w:rPr>
              <w:t>19 711</w:t>
            </w:r>
          </w:p>
        </w:tc>
        <w:tc>
          <w:tcPr>
            <w:tcW w:w="76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AC137D">
              <w:rPr>
                <w:rFonts w:eastAsiaTheme="minorEastAsia" w:cs="Arial"/>
                <w:color w:val="000000"/>
                <w:szCs w:val="18"/>
                <w:lang w:eastAsia="en-AU"/>
              </w:rPr>
              <w:t>20 442</w:t>
            </w:r>
          </w:p>
        </w:tc>
      </w:tr>
      <w:tr w:rsidR="00A46DCA" w:rsidRPr="00AC137D" w:rsidTr="00A26D04">
        <w:tc>
          <w:tcPr>
            <w:cnfStyle w:val="001000000000" w:firstRow="0" w:lastRow="0" w:firstColumn="1" w:lastColumn="0" w:oddVBand="0" w:evenVBand="0" w:oddHBand="0" w:evenHBand="0" w:firstRowFirstColumn="0" w:firstRowLastColumn="0" w:lastRowFirstColumn="0" w:lastRowLastColumn="0"/>
            <w:tcW w:w="3402" w:type="dxa"/>
            <w:tcBorders>
              <w:top w:val="single" w:sz="6" w:space="0" w:color="000000"/>
              <w:left w:val="nil"/>
              <w:bottom w:val="nil"/>
              <w:right w:val="nil"/>
            </w:tcBorders>
          </w:tcPr>
          <w:p w:rsidR="00A46DCA" w:rsidRPr="00AC137D" w:rsidRDefault="00A46DCA" w:rsidP="00A26D04">
            <w:pPr>
              <w:keepLines w:val="0"/>
              <w:autoSpaceDE w:val="0"/>
              <w:autoSpaceDN w:val="0"/>
              <w:adjustRightInd w:val="0"/>
              <w:rPr>
                <w:rFonts w:eastAsiaTheme="minorEastAsia" w:cs="Calibri"/>
                <w:b/>
                <w:bCs/>
                <w:color w:val="000000"/>
                <w:szCs w:val="16"/>
                <w:lang w:eastAsia="en-AU"/>
              </w:rPr>
            </w:pPr>
            <w:r w:rsidRPr="00AC137D">
              <w:rPr>
                <w:rFonts w:eastAsiaTheme="minorEastAsia" w:cs="Calibri"/>
                <w:b/>
                <w:bCs/>
                <w:color w:val="000000"/>
                <w:szCs w:val="16"/>
                <w:lang w:eastAsia="en-AU"/>
              </w:rPr>
              <w:t>Total expenses from transactions</w:t>
            </w:r>
          </w:p>
        </w:tc>
        <w:tc>
          <w:tcPr>
            <w:tcW w:w="567" w:type="dxa"/>
            <w:tcBorders>
              <w:top w:val="single" w:sz="6" w:space="0" w:color="000000"/>
              <w:left w:val="nil"/>
              <w:bottom w:val="nil"/>
              <w:right w:val="nil"/>
            </w:tcBorders>
          </w:tcPr>
          <w:p w:rsidR="00A46DCA" w:rsidRPr="00AC137D" w:rsidRDefault="00A46DCA" w:rsidP="00A26D04">
            <w:pPr>
              <w:keepLines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Arial"/>
                <w:bCs/>
                <w:color w:val="000000"/>
                <w:szCs w:val="18"/>
                <w:lang w:eastAsia="en-AU"/>
              </w:rPr>
            </w:pPr>
            <w:r w:rsidRPr="00AC137D">
              <w:rPr>
                <w:rFonts w:eastAsiaTheme="minorEastAsia" w:cs="Arial"/>
                <w:bCs/>
                <w:color w:val="000000"/>
                <w:szCs w:val="18"/>
                <w:lang w:eastAsia="en-AU"/>
              </w:rPr>
              <w:t>4.3.5</w:t>
            </w:r>
          </w:p>
        </w:tc>
        <w:tc>
          <w:tcPr>
            <w:tcW w:w="760" w:type="dxa"/>
            <w:tcBorders>
              <w:top w:val="single" w:sz="6" w:space="0" w:color="000000"/>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sidRPr="00AC137D">
              <w:rPr>
                <w:rFonts w:eastAsiaTheme="minorEastAsia" w:cs="Arial"/>
                <w:b/>
                <w:bCs/>
                <w:color w:val="000000"/>
                <w:szCs w:val="18"/>
                <w:lang w:eastAsia="en-AU"/>
              </w:rPr>
              <w:t>62 252</w:t>
            </w:r>
          </w:p>
        </w:tc>
        <w:tc>
          <w:tcPr>
            <w:tcW w:w="760" w:type="dxa"/>
            <w:tcBorders>
              <w:top w:val="single" w:sz="6" w:space="0" w:color="000000"/>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sidRPr="00AC137D">
              <w:rPr>
                <w:rFonts w:eastAsiaTheme="minorEastAsia" w:cs="Arial"/>
                <w:b/>
                <w:bCs/>
                <w:color w:val="000000"/>
                <w:szCs w:val="18"/>
                <w:lang w:eastAsia="en-AU"/>
              </w:rPr>
              <w:t>62 673</w:t>
            </w:r>
          </w:p>
        </w:tc>
        <w:tc>
          <w:tcPr>
            <w:tcW w:w="760" w:type="dxa"/>
            <w:tcBorders>
              <w:top w:val="single" w:sz="6" w:space="0" w:color="000000"/>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sidRPr="00AC137D">
              <w:rPr>
                <w:rFonts w:eastAsiaTheme="minorEastAsia" w:cs="Arial"/>
                <w:b/>
                <w:bCs/>
                <w:color w:val="000000"/>
                <w:szCs w:val="18"/>
                <w:lang w:eastAsia="en-AU"/>
              </w:rPr>
              <w:t>65 688</w:t>
            </w:r>
          </w:p>
        </w:tc>
        <w:tc>
          <w:tcPr>
            <w:tcW w:w="760" w:type="dxa"/>
            <w:tcBorders>
              <w:top w:val="single" w:sz="6" w:space="0" w:color="000000"/>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sidRPr="00AC137D">
              <w:rPr>
                <w:rFonts w:eastAsiaTheme="minorEastAsia" w:cs="Arial"/>
                <w:b/>
                <w:bCs/>
                <w:color w:val="000000"/>
                <w:szCs w:val="18"/>
                <w:lang w:eastAsia="en-AU"/>
              </w:rPr>
              <w:t>67 147</w:t>
            </w:r>
          </w:p>
        </w:tc>
        <w:tc>
          <w:tcPr>
            <w:tcW w:w="760" w:type="dxa"/>
            <w:tcBorders>
              <w:top w:val="single" w:sz="6" w:space="0" w:color="000000"/>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sidRPr="00AC137D">
              <w:rPr>
                <w:rFonts w:eastAsiaTheme="minorEastAsia" w:cs="Arial"/>
                <w:b/>
                <w:bCs/>
                <w:color w:val="000000"/>
                <w:szCs w:val="18"/>
                <w:lang w:eastAsia="en-AU"/>
              </w:rPr>
              <w:t>69 021</w:t>
            </w:r>
          </w:p>
        </w:tc>
      </w:tr>
      <w:tr w:rsidR="00A46DCA" w:rsidRPr="00AC137D" w:rsidTr="00A26D04">
        <w:tc>
          <w:tcPr>
            <w:cnfStyle w:val="001000000000" w:firstRow="0" w:lastRow="0" w:firstColumn="1" w:lastColumn="0" w:oddVBand="0" w:evenVBand="0" w:oddHBand="0" w:evenHBand="0" w:firstRowFirstColumn="0" w:firstRowLastColumn="0" w:lastRowFirstColumn="0" w:lastRowLastColumn="0"/>
            <w:tcW w:w="3402" w:type="dxa"/>
            <w:tcBorders>
              <w:top w:val="single" w:sz="6" w:space="0" w:color="000000"/>
              <w:left w:val="nil"/>
              <w:bottom w:val="single" w:sz="12" w:space="0" w:color="000000"/>
              <w:right w:val="nil"/>
            </w:tcBorders>
          </w:tcPr>
          <w:p w:rsidR="00A46DCA" w:rsidRPr="00AC137D" w:rsidRDefault="00A46DCA" w:rsidP="00A26D04">
            <w:pPr>
              <w:keepLines w:val="0"/>
              <w:autoSpaceDE w:val="0"/>
              <w:autoSpaceDN w:val="0"/>
              <w:adjustRightInd w:val="0"/>
              <w:rPr>
                <w:rFonts w:eastAsiaTheme="minorEastAsia" w:cs="Calibri"/>
                <w:b/>
                <w:bCs/>
                <w:color w:val="000000"/>
                <w:szCs w:val="16"/>
                <w:lang w:eastAsia="en-AU"/>
              </w:rPr>
            </w:pPr>
            <w:r w:rsidRPr="00AC137D">
              <w:rPr>
                <w:rFonts w:eastAsiaTheme="minorEastAsia" w:cs="Calibri"/>
                <w:b/>
                <w:bCs/>
                <w:color w:val="000000"/>
                <w:szCs w:val="16"/>
                <w:lang w:eastAsia="en-AU"/>
              </w:rPr>
              <w:t xml:space="preserve">Net result from transactions – </w:t>
            </w:r>
            <w:r>
              <w:rPr>
                <w:rFonts w:eastAsiaTheme="minorEastAsia" w:cs="Calibri"/>
                <w:b/>
                <w:bCs/>
                <w:color w:val="000000"/>
                <w:szCs w:val="16"/>
                <w:lang w:eastAsia="en-AU"/>
              </w:rPr>
              <w:br/>
            </w:r>
            <w:r w:rsidRPr="00AC137D">
              <w:rPr>
                <w:rFonts w:eastAsiaTheme="minorEastAsia" w:cs="Calibri"/>
                <w:b/>
                <w:bCs/>
                <w:color w:val="000000"/>
                <w:szCs w:val="16"/>
                <w:lang w:eastAsia="en-AU"/>
              </w:rPr>
              <w:t>net operating balance</w:t>
            </w:r>
          </w:p>
        </w:tc>
        <w:tc>
          <w:tcPr>
            <w:tcW w:w="567" w:type="dxa"/>
            <w:tcBorders>
              <w:top w:val="single" w:sz="6" w:space="0" w:color="000000"/>
              <w:left w:val="nil"/>
              <w:bottom w:val="single" w:sz="12" w:space="0" w:color="000000"/>
              <w:right w:val="nil"/>
            </w:tcBorders>
          </w:tcPr>
          <w:p w:rsidR="00A46DCA" w:rsidRPr="00AC137D" w:rsidRDefault="00A46DCA" w:rsidP="00A26D04">
            <w:pPr>
              <w:keepLines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bCs/>
                <w:color w:val="000000"/>
                <w:lang w:eastAsia="en-AU"/>
              </w:rPr>
            </w:pPr>
            <w:r w:rsidRPr="00AC137D">
              <w:rPr>
                <w:rFonts w:eastAsiaTheme="minorEastAsia" w:cs="Calibri"/>
                <w:bCs/>
                <w:color w:val="000000"/>
                <w:lang w:eastAsia="en-AU"/>
              </w:rPr>
              <w:t xml:space="preserve"> </w:t>
            </w:r>
          </w:p>
        </w:tc>
        <w:tc>
          <w:tcPr>
            <w:tcW w:w="760" w:type="dxa"/>
            <w:tcBorders>
              <w:top w:val="single" w:sz="6" w:space="0" w:color="000000"/>
              <w:left w:val="nil"/>
              <w:bottom w:val="single" w:sz="12" w:space="0" w:color="000000"/>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sidRPr="00AC137D">
              <w:rPr>
                <w:rFonts w:eastAsiaTheme="minorEastAsia" w:cs="Arial"/>
                <w:b/>
                <w:bCs/>
                <w:color w:val="000000"/>
                <w:szCs w:val="18"/>
                <w:lang w:eastAsia="en-AU"/>
              </w:rPr>
              <w:t>1 153</w:t>
            </w:r>
          </w:p>
        </w:tc>
        <w:tc>
          <w:tcPr>
            <w:tcW w:w="760" w:type="dxa"/>
            <w:tcBorders>
              <w:top w:val="single" w:sz="6" w:space="0" w:color="000000"/>
              <w:left w:val="nil"/>
              <w:bottom w:val="single" w:sz="12" w:space="0" w:color="000000"/>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sidRPr="00AC137D">
              <w:rPr>
                <w:rFonts w:eastAsiaTheme="minorEastAsia" w:cs="Arial"/>
                <w:b/>
                <w:bCs/>
                <w:color w:val="000000"/>
                <w:szCs w:val="18"/>
                <w:lang w:eastAsia="en-AU"/>
              </w:rPr>
              <w:t>1 713</w:t>
            </w:r>
          </w:p>
        </w:tc>
        <w:tc>
          <w:tcPr>
            <w:tcW w:w="760" w:type="dxa"/>
            <w:tcBorders>
              <w:top w:val="single" w:sz="6" w:space="0" w:color="000000"/>
              <w:left w:val="nil"/>
              <w:bottom w:val="single" w:sz="12" w:space="0" w:color="000000"/>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sidRPr="00AC137D">
              <w:rPr>
                <w:rFonts w:eastAsiaTheme="minorEastAsia" w:cs="Arial"/>
                <w:b/>
                <w:bCs/>
                <w:color w:val="000000"/>
                <w:szCs w:val="18"/>
                <w:lang w:eastAsia="en-AU"/>
              </w:rPr>
              <w:t>2 117</w:t>
            </w:r>
          </w:p>
        </w:tc>
        <w:tc>
          <w:tcPr>
            <w:tcW w:w="760" w:type="dxa"/>
            <w:tcBorders>
              <w:top w:val="single" w:sz="6" w:space="0" w:color="000000"/>
              <w:left w:val="nil"/>
              <w:bottom w:val="single" w:sz="12" w:space="0" w:color="000000"/>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sidRPr="00AC137D">
              <w:rPr>
                <w:rFonts w:eastAsiaTheme="minorEastAsia" w:cs="Arial"/>
                <w:b/>
                <w:bCs/>
                <w:color w:val="000000"/>
                <w:szCs w:val="18"/>
                <w:lang w:eastAsia="en-AU"/>
              </w:rPr>
              <w:t>1 987</w:t>
            </w:r>
          </w:p>
        </w:tc>
        <w:tc>
          <w:tcPr>
            <w:tcW w:w="760" w:type="dxa"/>
            <w:tcBorders>
              <w:top w:val="single" w:sz="6" w:space="0" w:color="000000"/>
              <w:left w:val="nil"/>
              <w:bottom w:val="single" w:sz="12" w:space="0" w:color="000000"/>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sidRPr="00AC137D">
              <w:rPr>
                <w:rFonts w:eastAsiaTheme="minorEastAsia" w:cs="Arial"/>
                <w:b/>
                <w:bCs/>
                <w:color w:val="000000"/>
                <w:szCs w:val="18"/>
                <w:lang w:eastAsia="en-AU"/>
              </w:rPr>
              <w:t>2 641</w:t>
            </w:r>
          </w:p>
        </w:tc>
      </w:tr>
      <w:tr w:rsidR="00A46DCA" w:rsidRPr="00AC137D" w:rsidTr="00A26D04">
        <w:tc>
          <w:tcPr>
            <w:cnfStyle w:val="001000000000" w:firstRow="0" w:lastRow="0" w:firstColumn="1" w:lastColumn="0" w:oddVBand="0" w:evenVBand="0" w:oddHBand="0" w:evenHBand="0" w:firstRowFirstColumn="0" w:firstRowLastColumn="0" w:lastRowFirstColumn="0" w:lastRowLastColumn="0"/>
            <w:tcW w:w="7769" w:type="dxa"/>
            <w:gridSpan w:val="7"/>
            <w:tcBorders>
              <w:top w:val="nil"/>
              <w:left w:val="nil"/>
              <w:bottom w:val="nil"/>
              <w:right w:val="nil"/>
            </w:tcBorders>
          </w:tcPr>
          <w:p w:rsidR="00A46DCA" w:rsidRPr="00AC137D" w:rsidRDefault="00A46DCA" w:rsidP="00A26D04">
            <w:pPr>
              <w:keepLines w:val="0"/>
              <w:autoSpaceDE w:val="0"/>
              <w:autoSpaceDN w:val="0"/>
              <w:adjustRightInd w:val="0"/>
              <w:rPr>
                <w:rFonts w:eastAsiaTheme="minorEastAsia" w:cs="Calibri"/>
                <w:b/>
                <w:bCs/>
                <w:color w:val="000000"/>
                <w:lang w:eastAsia="en-AU"/>
              </w:rPr>
            </w:pPr>
            <w:r w:rsidRPr="00AC137D">
              <w:rPr>
                <w:rFonts w:eastAsiaTheme="minorEastAsia" w:cs="Calibri"/>
                <w:b/>
                <w:bCs/>
                <w:color w:val="000000"/>
                <w:szCs w:val="16"/>
                <w:lang w:eastAsia="en-AU"/>
              </w:rPr>
              <w:t>Other economic flows included in net result</w:t>
            </w:r>
          </w:p>
        </w:tc>
      </w:tr>
      <w:tr w:rsidR="00A46DCA" w:rsidRPr="00AC137D" w:rsidTr="00A26D04">
        <w:tc>
          <w:tcPr>
            <w:cnfStyle w:val="001000000000" w:firstRow="0" w:lastRow="0" w:firstColumn="1" w:lastColumn="0" w:oddVBand="0" w:evenVBand="0" w:oddHBand="0" w:evenHBand="0" w:firstRowFirstColumn="0" w:firstRowLastColumn="0" w:lastRowFirstColumn="0" w:lastRowLastColumn="0"/>
            <w:tcW w:w="3402" w:type="dxa"/>
            <w:tcBorders>
              <w:top w:val="nil"/>
              <w:left w:val="nil"/>
              <w:bottom w:val="nil"/>
              <w:right w:val="nil"/>
            </w:tcBorders>
          </w:tcPr>
          <w:p w:rsidR="00A46DCA" w:rsidRPr="00AC137D" w:rsidRDefault="00A46DCA" w:rsidP="00A26D04">
            <w:pPr>
              <w:keepLines w:val="0"/>
              <w:autoSpaceDE w:val="0"/>
              <w:autoSpaceDN w:val="0"/>
              <w:adjustRightInd w:val="0"/>
              <w:rPr>
                <w:rFonts w:eastAsiaTheme="minorEastAsia" w:cs="Calibri"/>
                <w:color w:val="000000"/>
                <w:szCs w:val="16"/>
                <w:lang w:eastAsia="en-AU"/>
              </w:rPr>
            </w:pPr>
            <w:r w:rsidRPr="00AC137D">
              <w:rPr>
                <w:rFonts w:eastAsiaTheme="minorEastAsia" w:cs="Calibri"/>
                <w:color w:val="000000"/>
                <w:szCs w:val="16"/>
                <w:lang w:eastAsia="en-AU"/>
              </w:rPr>
              <w:t xml:space="preserve">Net gain/(loss) on disposal of </w:t>
            </w:r>
            <w:r>
              <w:rPr>
                <w:rFonts w:eastAsiaTheme="minorEastAsia" w:cs="Calibri"/>
                <w:color w:val="000000"/>
                <w:szCs w:val="16"/>
                <w:lang w:eastAsia="en-AU"/>
              </w:rPr>
              <w:br/>
            </w:r>
            <w:r w:rsidRPr="00AC137D">
              <w:rPr>
                <w:rFonts w:eastAsiaTheme="minorEastAsia" w:cs="Calibri"/>
                <w:color w:val="000000"/>
                <w:szCs w:val="16"/>
                <w:lang w:eastAsia="en-AU"/>
              </w:rPr>
              <w:t>non-financial assets</w:t>
            </w:r>
          </w:p>
        </w:tc>
        <w:tc>
          <w:tcPr>
            <w:tcW w:w="567" w:type="dxa"/>
            <w:tcBorders>
              <w:top w:val="nil"/>
              <w:left w:val="nil"/>
              <w:bottom w:val="nil"/>
              <w:right w:val="nil"/>
            </w:tcBorders>
          </w:tcPr>
          <w:p w:rsidR="00A46DCA" w:rsidRPr="00AC137D" w:rsidRDefault="00A46DCA" w:rsidP="00A26D04">
            <w:pPr>
              <w:keepLines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AC137D">
              <w:rPr>
                <w:rFonts w:eastAsiaTheme="minorEastAsia" w:cs="Calibri"/>
                <w:color w:val="000000"/>
                <w:lang w:eastAsia="en-AU"/>
              </w:rPr>
              <w:t xml:space="preserve"> </w:t>
            </w:r>
          </w:p>
        </w:tc>
        <w:tc>
          <w:tcPr>
            <w:tcW w:w="76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82</w:t>
            </w:r>
          </w:p>
        </w:tc>
        <w:tc>
          <w:tcPr>
            <w:tcW w:w="76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94</w:t>
            </w:r>
          </w:p>
        </w:tc>
        <w:tc>
          <w:tcPr>
            <w:tcW w:w="76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212</w:t>
            </w:r>
          </w:p>
        </w:tc>
        <w:tc>
          <w:tcPr>
            <w:tcW w:w="76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98</w:t>
            </w:r>
          </w:p>
        </w:tc>
        <w:tc>
          <w:tcPr>
            <w:tcW w:w="76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98</w:t>
            </w:r>
          </w:p>
        </w:tc>
      </w:tr>
      <w:tr w:rsidR="00A46DCA" w:rsidRPr="00AC137D" w:rsidTr="00A26D04">
        <w:tc>
          <w:tcPr>
            <w:cnfStyle w:val="001000000000" w:firstRow="0" w:lastRow="0" w:firstColumn="1" w:lastColumn="0" w:oddVBand="0" w:evenVBand="0" w:oddHBand="0" w:evenHBand="0" w:firstRowFirstColumn="0" w:firstRowLastColumn="0" w:lastRowFirstColumn="0" w:lastRowLastColumn="0"/>
            <w:tcW w:w="3402" w:type="dxa"/>
            <w:tcBorders>
              <w:top w:val="nil"/>
              <w:left w:val="nil"/>
              <w:bottom w:val="nil"/>
              <w:right w:val="nil"/>
            </w:tcBorders>
          </w:tcPr>
          <w:p w:rsidR="00A46DCA" w:rsidRPr="00AC137D" w:rsidRDefault="00A46DCA" w:rsidP="00A26D04">
            <w:pPr>
              <w:keepLines w:val="0"/>
              <w:autoSpaceDE w:val="0"/>
              <w:autoSpaceDN w:val="0"/>
              <w:adjustRightInd w:val="0"/>
              <w:rPr>
                <w:rFonts w:eastAsiaTheme="minorEastAsia" w:cs="Calibri"/>
                <w:color w:val="000000"/>
                <w:szCs w:val="16"/>
                <w:lang w:eastAsia="en-AU"/>
              </w:rPr>
            </w:pPr>
            <w:r w:rsidRPr="00AC137D">
              <w:rPr>
                <w:rFonts w:eastAsiaTheme="minorEastAsia" w:cs="Calibri"/>
                <w:color w:val="000000"/>
                <w:szCs w:val="16"/>
                <w:lang w:eastAsia="en-AU"/>
              </w:rPr>
              <w:t>Net gain/(loss) on financial assets or liabilities at fair value</w:t>
            </w:r>
          </w:p>
        </w:tc>
        <w:tc>
          <w:tcPr>
            <w:tcW w:w="567" w:type="dxa"/>
            <w:tcBorders>
              <w:top w:val="nil"/>
              <w:left w:val="nil"/>
              <w:bottom w:val="nil"/>
              <w:right w:val="nil"/>
            </w:tcBorders>
          </w:tcPr>
          <w:p w:rsidR="00A46DCA" w:rsidRPr="00AC137D" w:rsidRDefault="00A46DCA" w:rsidP="00A26D04">
            <w:pPr>
              <w:keepLines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AC137D">
              <w:rPr>
                <w:rFonts w:eastAsiaTheme="minorEastAsia" w:cs="Calibri"/>
                <w:color w:val="000000"/>
                <w:lang w:eastAsia="en-AU"/>
              </w:rPr>
              <w:t xml:space="preserve"> </w:t>
            </w:r>
          </w:p>
        </w:tc>
        <w:tc>
          <w:tcPr>
            <w:tcW w:w="76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22</w:t>
            </w:r>
          </w:p>
        </w:tc>
        <w:tc>
          <w:tcPr>
            <w:tcW w:w="76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23</w:t>
            </w:r>
          </w:p>
        </w:tc>
        <w:tc>
          <w:tcPr>
            <w:tcW w:w="76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24</w:t>
            </w:r>
          </w:p>
        </w:tc>
        <w:tc>
          <w:tcPr>
            <w:tcW w:w="76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21</w:t>
            </w:r>
          </w:p>
        </w:tc>
        <w:tc>
          <w:tcPr>
            <w:tcW w:w="76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26</w:t>
            </w:r>
          </w:p>
        </w:tc>
      </w:tr>
      <w:tr w:rsidR="00A46DCA" w:rsidRPr="00AC137D" w:rsidTr="00A26D04">
        <w:tc>
          <w:tcPr>
            <w:cnfStyle w:val="001000000000" w:firstRow="0" w:lastRow="0" w:firstColumn="1" w:lastColumn="0" w:oddVBand="0" w:evenVBand="0" w:oddHBand="0" w:evenHBand="0" w:firstRowFirstColumn="0" w:firstRowLastColumn="0" w:lastRowFirstColumn="0" w:lastRowLastColumn="0"/>
            <w:tcW w:w="3402" w:type="dxa"/>
            <w:tcBorders>
              <w:top w:val="nil"/>
              <w:left w:val="nil"/>
              <w:bottom w:val="nil"/>
              <w:right w:val="nil"/>
            </w:tcBorders>
          </w:tcPr>
          <w:p w:rsidR="00A46DCA" w:rsidRPr="00AC137D" w:rsidRDefault="00A46DCA" w:rsidP="00A26D04">
            <w:pPr>
              <w:keepLines w:val="0"/>
              <w:autoSpaceDE w:val="0"/>
              <w:autoSpaceDN w:val="0"/>
              <w:adjustRightInd w:val="0"/>
              <w:rPr>
                <w:rFonts w:eastAsiaTheme="minorEastAsia" w:cs="Calibri"/>
                <w:color w:val="000000"/>
                <w:szCs w:val="16"/>
                <w:lang w:eastAsia="en-AU"/>
              </w:rPr>
            </w:pPr>
            <w:r w:rsidRPr="00AC137D">
              <w:rPr>
                <w:rFonts w:eastAsiaTheme="minorEastAsia" w:cs="Calibri"/>
                <w:color w:val="000000"/>
                <w:szCs w:val="16"/>
                <w:lang w:eastAsia="en-AU"/>
              </w:rPr>
              <w:t>Other gains/(losses) from other economic flows</w:t>
            </w:r>
          </w:p>
        </w:tc>
        <w:tc>
          <w:tcPr>
            <w:tcW w:w="567" w:type="dxa"/>
            <w:tcBorders>
              <w:top w:val="nil"/>
              <w:left w:val="nil"/>
              <w:bottom w:val="nil"/>
              <w:right w:val="nil"/>
            </w:tcBorders>
          </w:tcPr>
          <w:p w:rsidR="00A46DCA" w:rsidRPr="00AC137D" w:rsidRDefault="00A46DCA" w:rsidP="00A26D04">
            <w:pPr>
              <w:keepLines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AC137D">
              <w:rPr>
                <w:rFonts w:eastAsiaTheme="minorEastAsia" w:cs="Arial"/>
                <w:color w:val="000000"/>
                <w:szCs w:val="18"/>
                <w:lang w:eastAsia="en-AU"/>
              </w:rPr>
              <w:t>4.7.1</w:t>
            </w:r>
          </w:p>
        </w:tc>
        <w:tc>
          <w:tcPr>
            <w:tcW w:w="76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(370)</w:t>
            </w:r>
          </w:p>
        </w:tc>
        <w:tc>
          <w:tcPr>
            <w:tcW w:w="76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(370)</w:t>
            </w:r>
          </w:p>
        </w:tc>
        <w:tc>
          <w:tcPr>
            <w:tcW w:w="76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(377)</w:t>
            </w:r>
          </w:p>
        </w:tc>
        <w:tc>
          <w:tcPr>
            <w:tcW w:w="76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(383)</w:t>
            </w:r>
          </w:p>
        </w:tc>
        <w:tc>
          <w:tcPr>
            <w:tcW w:w="76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(391)</w:t>
            </w:r>
          </w:p>
        </w:tc>
      </w:tr>
      <w:tr w:rsidR="00A46DCA" w:rsidRPr="00AC137D" w:rsidTr="007A7C8C">
        <w:tc>
          <w:tcPr>
            <w:cnfStyle w:val="001000000000" w:firstRow="0" w:lastRow="0" w:firstColumn="1" w:lastColumn="0" w:oddVBand="0" w:evenVBand="0" w:oddHBand="0" w:evenHBand="0" w:firstRowFirstColumn="0" w:firstRowLastColumn="0" w:lastRowFirstColumn="0" w:lastRowLastColumn="0"/>
            <w:tcW w:w="3402" w:type="dxa"/>
            <w:tcBorders>
              <w:top w:val="single" w:sz="6" w:space="0" w:color="000000"/>
              <w:left w:val="nil"/>
              <w:bottom w:val="single" w:sz="6" w:space="0" w:color="000000"/>
              <w:right w:val="nil"/>
            </w:tcBorders>
          </w:tcPr>
          <w:p w:rsidR="00A46DCA" w:rsidRPr="00AC137D" w:rsidRDefault="00A46DCA" w:rsidP="00A26D04">
            <w:pPr>
              <w:keepLines w:val="0"/>
              <w:autoSpaceDE w:val="0"/>
              <w:autoSpaceDN w:val="0"/>
              <w:adjustRightInd w:val="0"/>
              <w:rPr>
                <w:rFonts w:eastAsiaTheme="minorEastAsia" w:cs="Calibri"/>
                <w:b/>
                <w:bCs/>
                <w:color w:val="000000"/>
                <w:szCs w:val="16"/>
                <w:lang w:eastAsia="en-AU"/>
              </w:rPr>
            </w:pPr>
            <w:r w:rsidRPr="00AC137D">
              <w:rPr>
                <w:rFonts w:eastAsiaTheme="minorEastAsia" w:cs="Calibri"/>
                <w:b/>
                <w:bCs/>
                <w:color w:val="000000"/>
                <w:szCs w:val="16"/>
                <w:lang w:eastAsia="en-AU"/>
              </w:rPr>
              <w:t>Total other economic flows included in net result</w:t>
            </w:r>
          </w:p>
        </w:tc>
        <w:tc>
          <w:tcPr>
            <w:tcW w:w="567" w:type="dxa"/>
            <w:tcBorders>
              <w:top w:val="single" w:sz="6" w:space="0" w:color="000000"/>
              <w:left w:val="nil"/>
              <w:bottom w:val="single" w:sz="6" w:space="0" w:color="000000"/>
              <w:right w:val="nil"/>
            </w:tcBorders>
          </w:tcPr>
          <w:p w:rsidR="00A46DCA" w:rsidRPr="00AC137D" w:rsidRDefault="00A46DCA" w:rsidP="00A26D04">
            <w:pPr>
              <w:keepLines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bCs/>
                <w:color w:val="000000"/>
                <w:lang w:eastAsia="en-AU"/>
              </w:rPr>
            </w:pPr>
            <w:r w:rsidRPr="00AC137D">
              <w:rPr>
                <w:rFonts w:eastAsiaTheme="minorEastAsia" w:cs="Calibri"/>
                <w:bCs/>
                <w:color w:val="000000"/>
                <w:lang w:eastAsia="en-AU"/>
              </w:rPr>
              <w:t xml:space="preserve"> </w:t>
            </w:r>
          </w:p>
        </w:tc>
        <w:tc>
          <w:tcPr>
            <w:tcW w:w="760" w:type="dxa"/>
            <w:tcBorders>
              <w:top w:val="single" w:sz="6" w:space="0" w:color="000000"/>
              <w:left w:val="nil"/>
              <w:bottom w:val="single" w:sz="6" w:space="0" w:color="000000"/>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Pr>
                <w:rFonts w:eastAsiaTheme="minorEastAsia" w:cs="Arial"/>
                <w:b/>
                <w:bCs/>
                <w:color w:val="000000"/>
                <w:szCs w:val="18"/>
                <w:lang w:eastAsia="en-AU"/>
              </w:rPr>
              <w:t>(266)</w:t>
            </w:r>
          </w:p>
        </w:tc>
        <w:tc>
          <w:tcPr>
            <w:tcW w:w="760" w:type="dxa"/>
            <w:tcBorders>
              <w:top w:val="single" w:sz="6" w:space="0" w:color="000000"/>
              <w:left w:val="nil"/>
              <w:bottom w:val="single" w:sz="6" w:space="0" w:color="000000"/>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Pr>
                <w:rFonts w:eastAsiaTheme="minorEastAsia" w:cs="Arial"/>
                <w:b/>
                <w:bCs/>
                <w:color w:val="000000"/>
                <w:szCs w:val="18"/>
                <w:lang w:eastAsia="en-AU"/>
              </w:rPr>
              <w:t>(253)</w:t>
            </w:r>
          </w:p>
        </w:tc>
        <w:tc>
          <w:tcPr>
            <w:tcW w:w="760" w:type="dxa"/>
            <w:tcBorders>
              <w:top w:val="single" w:sz="6" w:space="0" w:color="000000"/>
              <w:left w:val="nil"/>
              <w:bottom w:val="single" w:sz="6" w:space="0" w:color="000000"/>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Pr>
                <w:rFonts w:eastAsiaTheme="minorEastAsia" w:cs="Arial"/>
                <w:b/>
                <w:bCs/>
                <w:color w:val="000000"/>
                <w:szCs w:val="18"/>
                <w:lang w:eastAsia="en-AU"/>
              </w:rPr>
              <w:t>(140)</w:t>
            </w:r>
          </w:p>
        </w:tc>
        <w:tc>
          <w:tcPr>
            <w:tcW w:w="760" w:type="dxa"/>
            <w:tcBorders>
              <w:top w:val="single" w:sz="6" w:space="0" w:color="000000"/>
              <w:left w:val="nil"/>
              <w:bottom w:val="single" w:sz="6" w:space="0" w:color="000000"/>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Pr>
                <w:rFonts w:eastAsiaTheme="minorEastAsia" w:cs="Arial"/>
                <w:b/>
                <w:bCs/>
                <w:color w:val="000000"/>
                <w:szCs w:val="18"/>
                <w:lang w:eastAsia="en-AU"/>
              </w:rPr>
              <w:t>(265)</w:t>
            </w:r>
          </w:p>
        </w:tc>
        <w:tc>
          <w:tcPr>
            <w:tcW w:w="760" w:type="dxa"/>
            <w:tcBorders>
              <w:top w:val="single" w:sz="6" w:space="0" w:color="000000"/>
              <w:left w:val="nil"/>
              <w:bottom w:val="single" w:sz="6" w:space="0" w:color="000000"/>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Pr>
                <w:rFonts w:eastAsiaTheme="minorEastAsia" w:cs="Arial"/>
                <w:b/>
                <w:bCs/>
                <w:color w:val="000000"/>
                <w:szCs w:val="18"/>
                <w:lang w:eastAsia="en-AU"/>
              </w:rPr>
              <w:t>(267)</w:t>
            </w:r>
          </w:p>
        </w:tc>
      </w:tr>
      <w:tr w:rsidR="00A46DCA" w:rsidRPr="00AC137D" w:rsidTr="007A7C8C">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tcBorders>
              <w:top w:val="single" w:sz="6" w:space="0" w:color="000000"/>
              <w:bottom w:val="single" w:sz="6" w:space="0" w:color="000000"/>
            </w:tcBorders>
          </w:tcPr>
          <w:p w:rsidR="00A46DCA" w:rsidRPr="00AC137D" w:rsidRDefault="00A46DCA" w:rsidP="00A26D04">
            <w:pPr>
              <w:keepLines w:val="0"/>
              <w:autoSpaceDE w:val="0"/>
              <w:autoSpaceDN w:val="0"/>
              <w:adjustRightInd w:val="0"/>
              <w:rPr>
                <w:rFonts w:eastAsiaTheme="minorEastAsia" w:cs="Calibri"/>
                <w:b w:val="0"/>
                <w:bCs/>
                <w:color w:val="000000"/>
                <w:szCs w:val="16"/>
                <w:lang w:eastAsia="en-AU"/>
              </w:rPr>
            </w:pPr>
            <w:r w:rsidRPr="00AC137D">
              <w:rPr>
                <w:rFonts w:eastAsiaTheme="minorEastAsia" w:cs="Calibri"/>
                <w:b w:val="0"/>
                <w:bCs/>
                <w:color w:val="000000"/>
                <w:szCs w:val="16"/>
                <w:lang w:eastAsia="en-AU"/>
              </w:rPr>
              <w:t>Net result</w:t>
            </w:r>
          </w:p>
        </w:tc>
        <w:tc>
          <w:tcPr>
            <w:tcW w:w="567" w:type="dxa"/>
            <w:tcBorders>
              <w:top w:val="single" w:sz="6" w:space="0" w:color="000000"/>
              <w:bottom w:val="single" w:sz="6" w:space="0" w:color="000000"/>
            </w:tcBorders>
          </w:tcPr>
          <w:p w:rsidR="00A46DCA" w:rsidRPr="00AC137D" w:rsidRDefault="00A46DCA" w:rsidP="00A26D04">
            <w:pPr>
              <w:keepLines w:val="0"/>
              <w:autoSpaceDE w:val="0"/>
              <w:autoSpaceDN w:val="0"/>
              <w:adjustRightInd w:val="0"/>
              <w:jc w:val="center"/>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lang w:eastAsia="en-AU"/>
              </w:rPr>
            </w:pPr>
            <w:r w:rsidRPr="00AC137D">
              <w:rPr>
                <w:rFonts w:eastAsiaTheme="minorEastAsia" w:cs="Calibri"/>
                <w:bCs/>
                <w:color w:val="000000"/>
                <w:lang w:eastAsia="en-AU"/>
              </w:rPr>
              <w:t xml:space="preserve"> </w:t>
            </w:r>
          </w:p>
        </w:tc>
        <w:tc>
          <w:tcPr>
            <w:tcW w:w="760" w:type="dxa"/>
            <w:tcBorders>
              <w:top w:val="single" w:sz="6" w:space="0" w:color="000000"/>
              <w:bottom w:val="single" w:sz="6" w:space="0" w:color="000000"/>
            </w:tcBorders>
          </w:tcPr>
          <w:p w:rsidR="00A46DCA" w:rsidRPr="00AC137D" w:rsidRDefault="00A46DCA" w:rsidP="00A26D0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Arial"/>
                <w:b w:val="0"/>
                <w:bCs/>
                <w:color w:val="000000"/>
                <w:szCs w:val="18"/>
                <w:lang w:eastAsia="en-AU"/>
              </w:rPr>
            </w:pPr>
            <w:r>
              <w:rPr>
                <w:rFonts w:eastAsiaTheme="minorEastAsia" w:cs="Arial"/>
                <w:b w:val="0"/>
                <w:bCs/>
                <w:color w:val="000000"/>
                <w:szCs w:val="18"/>
                <w:lang w:eastAsia="en-AU"/>
              </w:rPr>
              <w:t>887</w:t>
            </w:r>
          </w:p>
        </w:tc>
        <w:tc>
          <w:tcPr>
            <w:tcW w:w="760" w:type="dxa"/>
            <w:tcBorders>
              <w:top w:val="single" w:sz="6" w:space="0" w:color="000000"/>
              <w:bottom w:val="single" w:sz="6" w:space="0" w:color="000000"/>
            </w:tcBorders>
          </w:tcPr>
          <w:p w:rsidR="00A46DCA" w:rsidRPr="00AC137D" w:rsidRDefault="00A46DCA" w:rsidP="00A26D0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Arial"/>
                <w:b w:val="0"/>
                <w:bCs/>
                <w:color w:val="000000"/>
                <w:szCs w:val="18"/>
                <w:lang w:eastAsia="en-AU"/>
              </w:rPr>
            </w:pPr>
            <w:r w:rsidRPr="00AC137D">
              <w:rPr>
                <w:rFonts w:eastAsiaTheme="minorEastAsia" w:cs="Arial"/>
                <w:b w:val="0"/>
                <w:bCs/>
                <w:color w:val="000000"/>
                <w:szCs w:val="18"/>
                <w:lang w:eastAsia="en-AU"/>
              </w:rPr>
              <w:t>1 460</w:t>
            </w:r>
          </w:p>
        </w:tc>
        <w:tc>
          <w:tcPr>
            <w:tcW w:w="760" w:type="dxa"/>
            <w:tcBorders>
              <w:top w:val="single" w:sz="6" w:space="0" w:color="000000"/>
              <w:bottom w:val="single" w:sz="6" w:space="0" w:color="000000"/>
            </w:tcBorders>
          </w:tcPr>
          <w:p w:rsidR="00A46DCA" w:rsidRPr="00AC137D" w:rsidRDefault="00A46DCA" w:rsidP="00A26D0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Arial"/>
                <w:b w:val="0"/>
                <w:bCs/>
                <w:color w:val="000000"/>
                <w:szCs w:val="18"/>
                <w:lang w:eastAsia="en-AU"/>
              </w:rPr>
            </w:pPr>
            <w:r w:rsidRPr="00AC137D">
              <w:rPr>
                <w:rFonts w:eastAsiaTheme="minorEastAsia" w:cs="Arial"/>
                <w:b w:val="0"/>
                <w:bCs/>
                <w:color w:val="000000"/>
                <w:szCs w:val="18"/>
                <w:lang w:eastAsia="en-AU"/>
              </w:rPr>
              <w:t>1 977</w:t>
            </w:r>
          </w:p>
        </w:tc>
        <w:tc>
          <w:tcPr>
            <w:tcW w:w="760" w:type="dxa"/>
            <w:tcBorders>
              <w:top w:val="single" w:sz="6" w:space="0" w:color="000000"/>
              <w:bottom w:val="single" w:sz="6" w:space="0" w:color="000000"/>
            </w:tcBorders>
          </w:tcPr>
          <w:p w:rsidR="00A46DCA" w:rsidRPr="00AC137D" w:rsidRDefault="00A46DCA" w:rsidP="00A26D0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Arial"/>
                <w:b w:val="0"/>
                <w:bCs/>
                <w:color w:val="000000"/>
                <w:szCs w:val="18"/>
                <w:lang w:eastAsia="en-AU"/>
              </w:rPr>
            </w:pPr>
            <w:r w:rsidRPr="00AC137D">
              <w:rPr>
                <w:rFonts w:eastAsiaTheme="minorEastAsia" w:cs="Arial"/>
                <w:b w:val="0"/>
                <w:bCs/>
                <w:color w:val="000000"/>
                <w:szCs w:val="18"/>
                <w:lang w:eastAsia="en-AU"/>
              </w:rPr>
              <w:t>1 722</w:t>
            </w:r>
          </w:p>
        </w:tc>
        <w:tc>
          <w:tcPr>
            <w:tcW w:w="760" w:type="dxa"/>
            <w:tcBorders>
              <w:top w:val="single" w:sz="6" w:space="0" w:color="000000"/>
              <w:bottom w:val="single" w:sz="6" w:space="0" w:color="000000"/>
            </w:tcBorders>
          </w:tcPr>
          <w:p w:rsidR="00A46DCA" w:rsidRPr="00AC137D" w:rsidRDefault="00A46DCA" w:rsidP="00A26D0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Arial"/>
                <w:b w:val="0"/>
                <w:bCs/>
                <w:color w:val="000000"/>
                <w:szCs w:val="18"/>
                <w:lang w:eastAsia="en-AU"/>
              </w:rPr>
            </w:pPr>
            <w:r w:rsidRPr="00AC137D">
              <w:rPr>
                <w:rFonts w:eastAsiaTheme="minorEastAsia" w:cs="Arial"/>
                <w:b w:val="0"/>
                <w:bCs/>
                <w:color w:val="000000"/>
                <w:szCs w:val="18"/>
                <w:lang w:eastAsia="en-AU"/>
              </w:rPr>
              <w:t>2 374</w:t>
            </w:r>
          </w:p>
        </w:tc>
      </w:tr>
    </w:tbl>
    <w:p w:rsidR="002677DA" w:rsidRDefault="002677DA"/>
    <w:p w:rsidR="002677DA" w:rsidRDefault="002677DA" w:rsidP="002677DA">
      <w:pPr>
        <w:pStyle w:val="Heading10"/>
      </w:pPr>
      <w:r>
        <w:lastRenderedPageBreak/>
        <w:t xml:space="preserve">Estimated general government sector </w:t>
      </w:r>
      <w:r>
        <w:br/>
        <w:t xml:space="preserve">comprehensive operating statement </w:t>
      </w:r>
      <w:r w:rsidRPr="002677DA">
        <w:rPr>
          <w:i/>
          <w:caps w:val="0"/>
          <w:sz w:val="22"/>
        </w:rPr>
        <w:t>(continued)</w:t>
      </w:r>
    </w:p>
    <w:p w:rsidR="002677DA" w:rsidRPr="00AC137D" w:rsidRDefault="002677DA" w:rsidP="002677DA">
      <w:pPr>
        <w:pStyle w:val="TableHeading"/>
        <w:rPr>
          <w:bCs/>
          <w:lang w:val="en-US"/>
        </w:rPr>
      </w:pPr>
      <w:r w:rsidRPr="00504EB3">
        <w:t>For the financial year ended 30 June</w:t>
      </w:r>
      <w:r w:rsidRPr="00504EB3">
        <w:tab/>
        <w:t>($ million)</w:t>
      </w:r>
    </w:p>
    <w:tbl>
      <w:tblPr>
        <w:tblStyle w:val="DTFTable"/>
        <w:tblW w:w="7769" w:type="dxa"/>
        <w:tblInd w:w="45" w:type="dxa"/>
        <w:tblLayout w:type="fixed"/>
        <w:tblCellMar>
          <w:left w:w="45" w:type="dxa"/>
          <w:right w:w="45" w:type="dxa"/>
        </w:tblCellMar>
        <w:tblLook w:val="06E0" w:firstRow="1" w:lastRow="1" w:firstColumn="1" w:lastColumn="0" w:noHBand="1" w:noVBand="1"/>
      </w:tblPr>
      <w:tblGrid>
        <w:gridCol w:w="3402"/>
        <w:gridCol w:w="567"/>
        <w:gridCol w:w="760"/>
        <w:gridCol w:w="760"/>
        <w:gridCol w:w="760"/>
        <w:gridCol w:w="760"/>
        <w:gridCol w:w="760"/>
      </w:tblGrid>
      <w:tr w:rsidR="002677DA" w:rsidRPr="00AC137D" w:rsidTr="004906A4">
        <w:trPr>
          <w:cnfStyle w:val="100000000000" w:firstRow="1" w:lastRow="0" w:firstColumn="0" w:lastColumn="0" w:oddVBand="0" w:evenVBand="0" w:oddHBand="0" w:evenHBand="0" w:firstRowFirstColumn="0" w:firstRowLastColumn="0" w:lastRowFirstColumn="0" w:lastRowLastColumn="0"/>
          <w:trHeight w:val="66"/>
          <w:tblHeader/>
        </w:trPr>
        <w:tc>
          <w:tcPr>
            <w:cnfStyle w:val="001000000000" w:firstRow="0" w:lastRow="0" w:firstColumn="1" w:lastColumn="0" w:oddVBand="0" w:evenVBand="0" w:oddHBand="0" w:evenHBand="0" w:firstRowFirstColumn="0" w:firstRowLastColumn="0" w:lastRowFirstColumn="0" w:lastRowLastColumn="0"/>
            <w:tcW w:w="3402" w:type="dxa"/>
            <w:tcBorders>
              <w:top w:val="nil"/>
              <w:left w:val="nil"/>
              <w:right w:val="nil"/>
            </w:tcBorders>
            <w:shd w:val="solid" w:color="000000" w:fill="auto"/>
          </w:tcPr>
          <w:p w:rsidR="002677DA" w:rsidRPr="00AC137D" w:rsidRDefault="002677DA" w:rsidP="004906A4">
            <w:pPr>
              <w:autoSpaceDE w:val="0"/>
              <w:autoSpaceDN w:val="0"/>
              <w:adjustRightInd w:val="0"/>
              <w:rPr>
                <w:rFonts w:eastAsiaTheme="minorEastAsia" w:cs="Calibri"/>
                <w:iCs/>
                <w:color w:val="FFFFFF"/>
                <w:lang w:eastAsia="en-AU"/>
              </w:rPr>
            </w:pPr>
          </w:p>
        </w:tc>
        <w:tc>
          <w:tcPr>
            <w:tcW w:w="567" w:type="dxa"/>
            <w:tcBorders>
              <w:top w:val="nil"/>
              <w:left w:val="nil"/>
              <w:right w:val="nil"/>
            </w:tcBorders>
            <w:shd w:val="solid" w:color="000000" w:fill="auto"/>
          </w:tcPr>
          <w:p w:rsidR="002677DA" w:rsidRPr="00AC137D" w:rsidRDefault="002677DA" w:rsidP="004906A4">
            <w:pPr>
              <w:keepLines w:val="0"/>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lang w:eastAsia="en-AU"/>
              </w:rPr>
            </w:pPr>
            <w:r w:rsidRPr="00AC137D">
              <w:rPr>
                <w:rFonts w:eastAsiaTheme="minorEastAsia" w:cs="Calibri"/>
                <w:iCs/>
                <w:color w:val="FFFFFF"/>
                <w:szCs w:val="16"/>
                <w:lang w:eastAsia="en-AU"/>
              </w:rPr>
              <w:t>Notes</w:t>
            </w:r>
          </w:p>
        </w:tc>
        <w:tc>
          <w:tcPr>
            <w:tcW w:w="760" w:type="dxa"/>
            <w:tcBorders>
              <w:top w:val="nil"/>
              <w:left w:val="nil"/>
              <w:right w:val="nil"/>
            </w:tcBorders>
            <w:shd w:val="solid" w:color="000000" w:fill="auto"/>
          </w:tcPr>
          <w:p w:rsidR="002677DA" w:rsidRPr="00AC137D" w:rsidRDefault="002677DA" w:rsidP="004906A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AC137D">
              <w:rPr>
                <w:rFonts w:eastAsiaTheme="minorEastAsia" w:cs="Calibri"/>
                <w:iCs/>
                <w:color w:val="FFFFFF"/>
                <w:szCs w:val="16"/>
                <w:lang w:eastAsia="en-AU"/>
              </w:rPr>
              <w:t>2017-18</w:t>
            </w:r>
            <w:r>
              <w:rPr>
                <w:rFonts w:eastAsiaTheme="minorEastAsia" w:cs="Calibri"/>
                <w:iCs/>
                <w:color w:val="FFFFFF"/>
                <w:szCs w:val="16"/>
                <w:lang w:eastAsia="en-AU"/>
              </w:rPr>
              <w:br/>
            </w:r>
            <w:r w:rsidRPr="00AC137D">
              <w:rPr>
                <w:rFonts w:eastAsiaTheme="minorEastAsia" w:cs="Calibri"/>
                <w:iCs/>
                <w:color w:val="FFFFFF"/>
                <w:szCs w:val="16"/>
                <w:lang w:eastAsia="en-AU"/>
              </w:rPr>
              <w:t>budget</w:t>
            </w:r>
          </w:p>
        </w:tc>
        <w:tc>
          <w:tcPr>
            <w:tcW w:w="760" w:type="dxa"/>
            <w:tcBorders>
              <w:top w:val="nil"/>
              <w:left w:val="nil"/>
              <w:right w:val="nil"/>
            </w:tcBorders>
            <w:shd w:val="solid" w:color="000000" w:fill="auto"/>
          </w:tcPr>
          <w:p w:rsidR="002677DA" w:rsidRPr="00AC137D" w:rsidRDefault="002677DA" w:rsidP="004906A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AC137D">
              <w:rPr>
                <w:rFonts w:eastAsiaTheme="minorEastAsia" w:cs="Calibri"/>
                <w:iCs/>
                <w:color w:val="FFFFFF"/>
                <w:szCs w:val="16"/>
                <w:lang w:eastAsia="en-AU"/>
              </w:rPr>
              <w:t>2017-18</w:t>
            </w:r>
            <w:r>
              <w:rPr>
                <w:rFonts w:eastAsiaTheme="minorEastAsia" w:cs="Calibri"/>
                <w:iCs/>
                <w:color w:val="FFFFFF"/>
                <w:szCs w:val="16"/>
                <w:lang w:eastAsia="en-AU"/>
              </w:rPr>
              <w:br/>
            </w:r>
            <w:r w:rsidRPr="00AC137D">
              <w:rPr>
                <w:rFonts w:eastAsiaTheme="minorEastAsia" w:cs="Calibri"/>
                <w:iCs/>
                <w:color w:val="FFFFFF"/>
                <w:szCs w:val="16"/>
                <w:lang w:eastAsia="en-AU"/>
              </w:rPr>
              <w:t>revised</w:t>
            </w:r>
          </w:p>
        </w:tc>
        <w:tc>
          <w:tcPr>
            <w:tcW w:w="760" w:type="dxa"/>
            <w:tcBorders>
              <w:top w:val="nil"/>
              <w:left w:val="nil"/>
              <w:right w:val="nil"/>
            </w:tcBorders>
            <w:shd w:val="solid" w:color="000000" w:fill="auto"/>
          </w:tcPr>
          <w:p w:rsidR="002677DA" w:rsidRPr="00AC137D" w:rsidRDefault="002677DA" w:rsidP="004906A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AC137D">
              <w:rPr>
                <w:rFonts w:eastAsiaTheme="minorEastAsia" w:cs="Calibri"/>
                <w:iCs/>
                <w:color w:val="FFFFFF"/>
                <w:szCs w:val="16"/>
                <w:lang w:eastAsia="en-AU"/>
              </w:rPr>
              <w:t>2018-19</w:t>
            </w:r>
            <w:r>
              <w:rPr>
                <w:rFonts w:eastAsiaTheme="minorEastAsia" w:cs="Calibri"/>
                <w:iCs/>
                <w:color w:val="FFFFFF"/>
                <w:szCs w:val="16"/>
                <w:lang w:eastAsia="en-AU"/>
              </w:rPr>
              <w:br/>
            </w:r>
            <w:r w:rsidRPr="00AC137D">
              <w:rPr>
                <w:rFonts w:eastAsiaTheme="minorEastAsia" w:cs="Calibri"/>
                <w:iCs/>
                <w:color w:val="FFFFFF"/>
                <w:szCs w:val="16"/>
                <w:lang w:eastAsia="en-AU"/>
              </w:rPr>
              <w:t>estimate</w:t>
            </w:r>
          </w:p>
        </w:tc>
        <w:tc>
          <w:tcPr>
            <w:tcW w:w="760" w:type="dxa"/>
            <w:tcBorders>
              <w:top w:val="nil"/>
              <w:left w:val="nil"/>
              <w:right w:val="nil"/>
            </w:tcBorders>
            <w:shd w:val="solid" w:color="000000" w:fill="auto"/>
          </w:tcPr>
          <w:p w:rsidR="002677DA" w:rsidRPr="00AC137D" w:rsidRDefault="002677DA" w:rsidP="004906A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AC137D">
              <w:rPr>
                <w:rFonts w:eastAsiaTheme="minorEastAsia" w:cs="Calibri"/>
                <w:iCs/>
                <w:color w:val="FFFFFF"/>
                <w:szCs w:val="16"/>
                <w:lang w:eastAsia="en-AU"/>
              </w:rPr>
              <w:t>2019-20</w:t>
            </w:r>
            <w:r>
              <w:rPr>
                <w:rFonts w:eastAsiaTheme="minorEastAsia" w:cs="Calibri"/>
                <w:iCs/>
                <w:color w:val="FFFFFF"/>
                <w:szCs w:val="16"/>
                <w:lang w:eastAsia="en-AU"/>
              </w:rPr>
              <w:br/>
            </w:r>
            <w:r w:rsidRPr="00AC137D">
              <w:rPr>
                <w:rFonts w:eastAsiaTheme="minorEastAsia" w:cs="Calibri"/>
                <w:iCs/>
                <w:color w:val="FFFFFF"/>
                <w:szCs w:val="16"/>
                <w:lang w:eastAsia="en-AU"/>
              </w:rPr>
              <w:t>estimate</w:t>
            </w:r>
          </w:p>
        </w:tc>
        <w:tc>
          <w:tcPr>
            <w:tcW w:w="760" w:type="dxa"/>
            <w:tcBorders>
              <w:top w:val="nil"/>
              <w:left w:val="nil"/>
              <w:right w:val="nil"/>
            </w:tcBorders>
            <w:shd w:val="solid" w:color="000000" w:fill="auto"/>
          </w:tcPr>
          <w:p w:rsidR="002677DA" w:rsidRPr="00AC137D" w:rsidRDefault="002677DA" w:rsidP="004906A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AC137D">
              <w:rPr>
                <w:rFonts w:eastAsiaTheme="minorEastAsia" w:cs="Calibri"/>
                <w:iCs/>
                <w:color w:val="FFFFFF"/>
                <w:szCs w:val="16"/>
                <w:lang w:eastAsia="en-AU"/>
              </w:rPr>
              <w:t>2020-21</w:t>
            </w:r>
            <w:r>
              <w:rPr>
                <w:rFonts w:eastAsiaTheme="minorEastAsia" w:cs="Calibri"/>
                <w:iCs/>
                <w:color w:val="FFFFFF"/>
                <w:szCs w:val="16"/>
                <w:lang w:eastAsia="en-AU"/>
              </w:rPr>
              <w:br/>
            </w:r>
            <w:r w:rsidRPr="00AC137D">
              <w:rPr>
                <w:rFonts w:eastAsiaTheme="minorEastAsia" w:cs="Calibri"/>
                <w:iCs/>
                <w:color w:val="FFFFFF"/>
                <w:szCs w:val="16"/>
                <w:lang w:eastAsia="en-AU"/>
              </w:rPr>
              <w:t>estimate</w:t>
            </w:r>
          </w:p>
        </w:tc>
      </w:tr>
      <w:tr w:rsidR="00A46DCA" w:rsidRPr="00AC137D" w:rsidTr="00A26D04">
        <w:tc>
          <w:tcPr>
            <w:cnfStyle w:val="001000000000" w:firstRow="0" w:lastRow="0" w:firstColumn="1" w:lastColumn="0" w:oddVBand="0" w:evenVBand="0" w:oddHBand="0" w:evenHBand="0" w:firstRowFirstColumn="0" w:firstRowLastColumn="0" w:lastRowFirstColumn="0" w:lastRowLastColumn="0"/>
            <w:tcW w:w="7769" w:type="dxa"/>
            <w:gridSpan w:val="7"/>
            <w:tcBorders>
              <w:top w:val="nil"/>
              <w:left w:val="nil"/>
              <w:bottom w:val="nil"/>
              <w:right w:val="nil"/>
            </w:tcBorders>
          </w:tcPr>
          <w:p w:rsidR="00A46DCA" w:rsidRPr="00AC137D" w:rsidRDefault="00A46DCA" w:rsidP="002677DA">
            <w:pPr>
              <w:keepLines w:val="0"/>
              <w:autoSpaceDE w:val="0"/>
              <w:autoSpaceDN w:val="0"/>
              <w:adjustRightInd w:val="0"/>
              <w:rPr>
                <w:rFonts w:eastAsiaTheme="minorEastAsia" w:cs="Calibri"/>
                <w:b/>
                <w:bCs/>
                <w:color w:val="000000"/>
                <w:lang w:eastAsia="en-AU"/>
              </w:rPr>
            </w:pPr>
            <w:r w:rsidRPr="00AC137D">
              <w:rPr>
                <w:rFonts w:eastAsiaTheme="minorEastAsia" w:cs="Calibri"/>
                <w:b/>
                <w:bCs/>
                <w:color w:val="000000"/>
                <w:szCs w:val="16"/>
                <w:lang w:eastAsia="en-AU"/>
              </w:rPr>
              <w:t>Other economic flows – other comprehensive income</w:t>
            </w:r>
          </w:p>
        </w:tc>
      </w:tr>
      <w:tr w:rsidR="00A46DCA" w:rsidRPr="00AC137D" w:rsidTr="00A26D04">
        <w:tc>
          <w:tcPr>
            <w:cnfStyle w:val="001000000000" w:firstRow="0" w:lastRow="0" w:firstColumn="1" w:lastColumn="0" w:oddVBand="0" w:evenVBand="0" w:oddHBand="0" w:evenHBand="0" w:firstRowFirstColumn="0" w:firstRowLastColumn="0" w:lastRowFirstColumn="0" w:lastRowLastColumn="0"/>
            <w:tcW w:w="7769" w:type="dxa"/>
            <w:gridSpan w:val="7"/>
            <w:tcBorders>
              <w:top w:val="nil"/>
              <w:left w:val="nil"/>
              <w:bottom w:val="nil"/>
              <w:right w:val="nil"/>
            </w:tcBorders>
          </w:tcPr>
          <w:p w:rsidR="00A46DCA" w:rsidRPr="00AC137D" w:rsidRDefault="00A46DCA" w:rsidP="00A26D04">
            <w:pPr>
              <w:keepLines w:val="0"/>
              <w:autoSpaceDE w:val="0"/>
              <w:autoSpaceDN w:val="0"/>
              <w:adjustRightInd w:val="0"/>
              <w:rPr>
                <w:rFonts w:eastAsiaTheme="minorEastAsia" w:cs="Calibri"/>
                <w:b/>
                <w:bCs/>
                <w:color w:val="000000"/>
                <w:lang w:eastAsia="en-AU"/>
              </w:rPr>
            </w:pPr>
            <w:r w:rsidRPr="00AC137D">
              <w:rPr>
                <w:rFonts w:eastAsiaTheme="minorEastAsia" w:cs="Calibri"/>
                <w:b/>
                <w:bCs/>
                <w:color w:val="000000"/>
                <w:szCs w:val="16"/>
                <w:lang w:eastAsia="en-AU"/>
              </w:rPr>
              <w:t>Items that will not be reclassified to net result</w:t>
            </w:r>
          </w:p>
        </w:tc>
      </w:tr>
      <w:tr w:rsidR="00A46DCA" w:rsidRPr="00AC137D" w:rsidTr="00A26D04">
        <w:tc>
          <w:tcPr>
            <w:cnfStyle w:val="001000000000" w:firstRow="0" w:lastRow="0" w:firstColumn="1" w:lastColumn="0" w:oddVBand="0" w:evenVBand="0" w:oddHBand="0" w:evenHBand="0" w:firstRowFirstColumn="0" w:firstRowLastColumn="0" w:lastRowFirstColumn="0" w:lastRowLastColumn="0"/>
            <w:tcW w:w="3402" w:type="dxa"/>
            <w:tcBorders>
              <w:top w:val="nil"/>
              <w:left w:val="nil"/>
              <w:bottom w:val="nil"/>
              <w:right w:val="nil"/>
            </w:tcBorders>
          </w:tcPr>
          <w:p w:rsidR="00A46DCA" w:rsidRPr="00AC137D" w:rsidRDefault="00A46DCA" w:rsidP="00A26D04">
            <w:pPr>
              <w:keepLines w:val="0"/>
              <w:autoSpaceDE w:val="0"/>
              <w:autoSpaceDN w:val="0"/>
              <w:adjustRightInd w:val="0"/>
              <w:rPr>
                <w:rFonts w:eastAsiaTheme="minorEastAsia" w:cs="Calibri"/>
                <w:color w:val="000000"/>
                <w:szCs w:val="16"/>
                <w:lang w:eastAsia="en-AU"/>
              </w:rPr>
            </w:pPr>
            <w:r w:rsidRPr="00AC137D">
              <w:rPr>
                <w:rFonts w:eastAsiaTheme="minorEastAsia" w:cs="Calibri"/>
                <w:color w:val="000000"/>
                <w:szCs w:val="16"/>
                <w:lang w:eastAsia="en-AU"/>
              </w:rPr>
              <w:t>Changes in non-financial assets revaluation surplus</w:t>
            </w:r>
          </w:p>
        </w:tc>
        <w:tc>
          <w:tcPr>
            <w:tcW w:w="567" w:type="dxa"/>
            <w:tcBorders>
              <w:top w:val="nil"/>
              <w:left w:val="nil"/>
              <w:bottom w:val="nil"/>
              <w:right w:val="nil"/>
            </w:tcBorders>
          </w:tcPr>
          <w:p w:rsidR="00A46DCA" w:rsidRPr="00AC137D" w:rsidRDefault="00A46DCA" w:rsidP="00A26D04">
            <w:pPr>
              <w:keepLines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AC137D">
              <w:rPr>
                <w:rFonts w:eastAsiaTheme="minorEastAsia" w:cs="Calibri"/>
                <w:color w:val="000000"/>
                <w:lang w:eastAsia="en-AU"/>
              </w:rPr>
              <w:t xml:space="preserve"> </w:t>
            </w:r>
          </w:p>
        </w:tc>
        <w:tc>
          <w:tcPr>
            <w:tcW w:w="76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AC137D">
              <w:rPr>
                <w:rFonts w:eastAsiaTheme="minorEastAsia" w:cs="Arial"/>
                <w:color w:val="000000"/>
                <w:szCs w:val="18"/>
                <w:lang w:eastAsia="en-AU"/>
              </w:rPr>
              <w:t>3 660</w:t>
            </w:r>
          </w:p>
        </w:tc>
        <w:tc>
          <w:tcPr>
            <w:tcW w:w="76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AC137D">
              <w:rPr>
                <w:rFonts w:eastAsiaTheme="minorEastAsia" w:cs="Arial"/>
                <w:color w:val="000000"/>
                <w:szCs w:val="18"/>
                <w:lang w:eastAsia="en-AU"/>
              </w:rPr>
              <w:t>3 661</w:t>
            </w:r>
          </w:p>
        </w:tc>
        <w:tc>
          <w:tcPr>
            <w:tcW w:w="76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649</w:t>
            </w:r>
          </w:p>
        </w:tc>
        <w:tc>
          <w:tcPr>
            <w:tcW w:w="76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AC137D">
              <w:rPr>
                <w:rFonts w:eastAsiaTheme="minorEastAsia" w:cs="Arial"/>
                <w:color w:val="000000"/>
                <w:szCs w:val="18"/>
                <w:lang w:eastAsia="en-AU"/>
              </w:rPr>
              <w:t>7 844</w:t>
            </w:r>
          </w:p>
        </w:tc>
        <w:tc>
          <w:tcPr>
            <w:tcW w:w="76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AC137D">
              <w:rPr>
                <w:rFonts w:eastAsiaTheme="minorEastAsia" w:cs="Arial"/>
                <w:color w:val="000000"/>
                <w:szCs w:val="18"/>
                <w:lang w:eastAsia="en-AU"/>
              </w:rPr>
              <w:t>1 507</w:t>
            </w:r>
          </w:p>
        </w:tc>
      </w:tr>
      <w:tr w:rsidR="00A46DCA" w:rsidRPr="00AC137D" w:rsidTr="00A26D04">
        <w:tc>
          <w:tcPr>
            <w:cnfStyle w:val="001000000000" w:firstRow="0" w:lastRow="0" w:firstColumn="1" w:lastColumn="0" w:oddVBand="0" w:evenVBand="0" w:oddHBand="0" w:evenHBand="0" w:firstRowFirstColumn="0" w:firstRowLastColumn="0" w:lastRowFirstColumn="0" w:lastRowLastColumn="0"/>
            <w:tcW w:w="3402" w:type="dxa"/>
            <w:tcBorders>
              <w:top w:val="nil"/>
              <w:left w:val="nil"/>
              <w:bottom w:val="nil"/>
              <w:right w:val="nil"/>
            </w:tcBorders>
          </w:tcPr>
          <w:p w:rsidR="00A46DCA" w:rsidRPr="00AC137D" w:rsidRDefault="00A46DCA" w:rsidP="00A26D04">
            <w:pPr>
              <w:keepLines w:val="0"/>
              <w:autoSpaceDE w:val="0"/>
              <w:autoSpaceDN w:val="0"/>
              <w:adjustRightInd w:val="0"/>
              <w:rPr>
                <w:rFonts w:eastAsiaTheme="minorEastAsia" w:cs="Calibri"/>
                <w:color w:val="000000"/>
                <w:szCs w:val="16"/>
                <w:lang w:eastAsia="en-AU"/>
              </w:rPr>
            </w:pPr>
            <w:proofErr w:type="spellStart"/>
            <w:r w:rsidRPr="00AC137D">
              <w:rPr>
                <w:rFonts w:eastAsiaTheme="minorEastAsia" w:cs="Calibri"/>
                <w:color w:val="000000"/>
                <w:szCs w:val="16"/>
                <w:lang w:eastAsia="en-AU"/>
              </w:rPr>
              <w:t>Remeasurement</w:t>
            </w:r>
            <w:proofErr w:type="spellEnd"/>
            <w:r w:rsidRPr="00AC137D">
              <w:rPr>
                <w:rFonts w:eastAsiaTheme="minorEastAsia" w:cs="Calibri"/>
                <w:color w:val="000000"/>
                <w:szCs w:val="16"/>
                <w:lang w:eastAsia="en-AU"/>
              </w:rPr>
              <w:t xml:space="preserve"> of superannuation defined benefit plans</w:t>
            </w:r>
          </w:p>
        </w:tc>
        <w:tc>
          <w:tcPr>
            <w:tcW w:w="567" w:type="dxa"/>
            <w:tcBorders>
              <w:top w:val="nil"/>
              <w:left w:val="nil"/>
              <w:bottom w:val="nil"/>
              <w:right w:val="nil"/>
            </w:tcBorders>
          </w:tcPr>
          <w:p w:rsidR="00A46DCA" w:rsidRPr="00AC137D" w:rsidRDefault="00A46DCA" w:rsidP="00A26D04">
            <w:pPr>
              <w:keepLines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AC137D">
              <w:rPr>
                <w:rFonts w:eastAsiaTheme="minorEastAsia" w:cs="Arial"/>
                <w:color w:val="000000"/>
                <w:szCs w:val="18"/>
                <w:lang w:eastAsia="en-AU"/>
              </w:rPr>
              <w:t>4.3.2</w:t>
            </w:r>
          </w:p>
        </w:tc>
        <w:tc>
          <w:tcPr>
            <w:tcW w:w="76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915</w:t>
            </w:r>
          </w:p>
        </w:tc>
        <w:tc>
          <w:tcPr>
            <w:tcW w:w="76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AC137D">
              <w:rPr>
                <w:rFonts w:eastAsiaTheme="minorEastAsia" w:cs="Arial"/>
                <w:color w:val="000000"/>
                <w:szCs w:val="18"/>
                <w:lang w:eastAsia="en-AU"/>
              </w:rPr>
              <w:t>1 979</w:t>
            </w:r>
          </w:p>
        </w:tc>
        <w:tc>
          <w:tcPr>
            <w:tcW w:w="76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921</w:t>
            </w:r>
          </w:p>
        </w:tc>
        <w:tc>
          <w:tcPr>
            <w:tcW w:w="76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935</w:t>
            </w:r>
          </w:p>
        </w:tc>
        <w:tc>
          <w:tcPr>
            <w:tcW w:w="76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949</w:t>
            </w:r>
          </w:p>
        </w:tc>
      </w:tr>
      <w:tr w:rsidR="00A46DCA" w:rsidRPr="00AC137D" w:rsidTr="00A26D04">
        <w:tc>
          <w:tcPr>
            <w:cnfStyle w:val="001000000000" w:firstRow="0" w:lastRow="0" w:firstColumn="1" w:lastColumn="0" w:oddVBand="0" w:evenVBand="0" w:oddHBand="0" w:evenHBand="0" w:firstRowFirstColumn="0" w:firstRowLastColumn="0" w:lastRowFirstColumn="0" w:lastRowLastColumn="0"/>
            <w:tcW w:w="3402" w:type="dxa"/>
            <w:tcBorders>
              <w:top w:val="nil"/>
              <w:left w:val="nil"/>
              <w:bottom w:val="nil"/>
              <w:right w:val="nil"/>
            </w:tcBorders>
          </w:tcPr>
          <w:p w:rsidR="00A46DCA" w:rsidRPr="00AC137D" w:rsidRDefault="00A46DCA" w:rsidP="00A26D04">
            <w:pPr>
              <w:keepLines w:val="0"/>
              <w:autoSpaceDE w:val="0"/>
              <w:autoSpaceDN w:val="0"/>
              <w:adjustRightInd w:val="0"/>
              <w:rPr>
                <w:rFonts w:eastAsiaTheme="minorEastAsia" w:cs="Calibri"/>
                <w:color w:val="000000"/>
                <w:szCs w:val="16"/>
                <w:lang w:eastAsia="en-AU"/>
              </w:rPr>
            </w:pPr>
            <w:r w:rsidRPr="00AC137D">
              <w:rPr>
                <w:rFonts w:eastAsiaTheme="minorEastAsia" w:cs="Calibri"/>
                <w:color w:val="000000"/>
                <w:szCs w:val="16"/>
                <w:lang w:eastAsia="en-AU"/>
              </w:rPr>
              <w:t>Other movements in equity</w:t>
            </w:r>
          </w:p>
        </w:tc>
        <w:tc>
          <w:tcPr>
            <w:tcW w:w="567" w:type="dxa"/>
            <w:tcBorders>
              <w:top w:val="nil"/>
              <w:left w:val="nil"/>
              <w:bottom w:val="nil"/>
              <w:right w:val="nil"/>
            </w:tcBorders>
          </w:tcPr>
          <w:p w:rsidR="00A46DCA" w:rsidRPr="00AC137D" w:rsidRDefault="00A46DCA" w:rsidP="00A26D04">
            <w:pPr>
              <w:keepLines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AC137D">
              <w:rPr>
                <w:rFonts w:eastAsiaTheme="minorEastAsia" w:cs="Calibri"/>
                <w:color w:val="000000"/>
                <w:lang w:eastAsia="en-AU"/>
              </w:rPr>
              <w:t xml:space="preserve"> </w:t>
            </w:r>
          </w:p>
        </w:tc>
        <w:tc>
          <w:tcPr>
            <w:tcW w:w="76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7</w:t>
            </w:r>
          </w:p>
        </w:tc>
        <w:tc>
          <w:tcPr>
            <w:tcW w:w="76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7</w:t>
            </w:r>
          </w:p>
        </w:tc>
        <w:tc>
          <w:tcPr>
            <w:tcW w:w="76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21</w:t>
            </w:r>
          </w:p>
        </w:tc>
        <w:tc>
          <w:tcPr>
            <w:tcW w:w="76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(14)</w:t>
            </w:r>
          </w:p>
        </w:tc>
        <w:tc>
          <w:tcPr>
            <w:tcW w:w="76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8</w:t>
            </w:r>
          </w:p>
        </w:tc>
      </w:tr>
      <w:tr w:rsidR="00A46DCA" w:rsidRPr="00AC137D" w:rsidTr="00A26D04">
        <w:tc>
          <w:tcPr>
            <w:cnfStyle w:val="001000000000" w:firstRow="0" w:lastRow="0" w:firstColumn="1" w:lastColumn="0" w:oddVBand="0" w:evenVBand="0" w:oddHBand="0" w:evenHBand="0" w:firstRowFirstColumn="0" w:firstRowLastColumn="0" w:lastRowFirstColumn="0" w:lastRowLastColumn="0"/>
            <w:tcW w:w="7769" w:type="dxa"/>
            <w:gridSpan w:val="7"/>
            <w:tcBorders>
              <w:top w:val="nil"/>
              <w:left w:val="nil"/>
              <w:bottom w:val="nil"/>
              <w:right w:val="nil"/>
            </w:tcBorders>
          </w:tcPr>
          <w:p w:rsidR="00A46DCA" w:rsidRPr="00AC137D" w:rsidRDefault="00A46DCA" w:rsidP="00A26D04">
            <w:pPr>
              <w:keepLines w:val="0"/>
              <w:autoSpaceDE w:val="0"/>
              <w:autoSpaceDN w:val="0"/>
              <w:adjustRightInd w:val="0"/>
              <w:rPr>
                <w:rFonts w:eastAsiaTheme="minorEastAsia" w:cs="Calibri"/>
                <w:b/>
                <w:bCs/>
                <w:color w:val="000000"/>
                <w:lang w:eastAsia="en-AU"/>
              </w:rPr>
            </w:pPr>
            <w:r w:rsidRPr="00AC137D">
              <w:rPr>
                <w:rFonts w:eastAsiaTheme="minorEastAsia" w:cs="Calibri"/>
                <w:b/>
                <w:bCs/>
                <w:color w:val="000000"/>
                <w:szCs w:val="16"/>
                <w:lang w:eastAsia="en-AU"/>
              </w:rPr>
              <w:t>Items that may be reclassified subsequently to net result</w:t>
            </w:r>
          </w:p>
        </w:tc>
      </w:tr>
      <w:tr w:rsidR="00A46DCA" w:rsidRPr="00AC137D" w:rsidTr="00A26D04">
        <w:tc>
          <w:tcPr>
            <w:cnfStyle w:val="001000000000" w:firstRow="0" w:lastRow="0" w:firstColumn="1" w:lastColumn="0" w:oddVBand="0" w:evenVBand="0" w:oddHBand="0" w:evenHBand="0" w:firstRowFirstColumn="0" w:firstRowLastColumn="0" w:lastRowFirstColumn="0" w:lastRowLastColumn="0"/>
            <w:tcW w:w="3402" w:type="dxa"/>
            <w:tcBorders>
              <w:top w:val="nil"/>
              <w:left w:val="nil"/>
              <w:bottom w:val="nil"/>
              <w:right w:val="nil"/>
            </w:tcBorders>
          </w:tcPr>
          <w:p w:rsidR="00A46DCA" w:rsidRPr="00AC137D" w:rsidRDefault="00A46DCA" w:rsidP="00A26D04">
            <w:pPr>
              <w:keepLines w:val="0"/>
              <w:autoSpaceDE w:val="0"/>
              <w:autoSpaceDN w:val="0"/>
              <w:adjustRightInd w:val="0"/>
              <w:rPr>
                <w:rFonts w:eastAsiaTheme="minorEastAsia" w:cs="Calibri"/>
                <w:color w:val="000000"/>
                <w:szCs w:val="16"/>
                <w:lang w:eastAsia="en-AU"/>
              </w:rPr>
            </w:pPr>
            <w:r w:rsidRPr="00AC137D">
              <w:rPr>
                <w:rFonts w:eastAsiaTheme="minorEastAsia" w:cs="Calibri"/>
                <w:color w:val="000000"/>
                <w:szCs w:val="16"/>
                <w:lang w:eastAsia="en-AU"/>
              </w:rPr>
              <w:t>Net gain/(loss) on financial assets at fair value</w:t>
            </w:r>
          </w:p>
        </w:tc>
        <w:tc>
          <w:tcPr>
            <w:tcW w:w="567" w:type="dxa"/>
            <w:tcBorders>
              <w:top w:val="nil"/>
              <w:left w:val="nil"/>
              <w:bottom w:val="nil"/>
              <w:right w:val="nil"/>
            </w:tcBorders>
          </w:tcPr>
          <w:p w:rsidR="00A46DCA" w:rsidRPr="00AC137D" w:rsidRDefault="00A46DCA" w:rsidP="00A26D04">
            <w:pPr>
              <w:keepLines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AC137D">
              <w:rPr>
                <w:rFonts w:eastAsiaTheme="minorEastAsia" w:cs="Calibri"/>
                <w:color w:val="000000"/>
                <w:lang w:eastAsia="en-AU"/>
              </w:rPr>
              <w:t xml:space="preserve"> </w:t>
            </w:r>
          </w:p>
        </w:tc>
        <w:tc>
          <w:tcPr>
            <w:tcW w:w="76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1</w:t>
            </w:r>
          </w:p>
        </w:tc>
        <w:tc>
          <w:tcPr>
            <w:tcW w:w="76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1</w:t>
            </w:r>
          </w:p>
        </w:tc>
        <w:tc>
          <w:tcPr>
            <w:tcW w:w="76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2</w:t>
            </w:r>
          </w:p>
        </w:tc>
        <w:tc>
          <w:tcPr>
            <w:tcW w:w="76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3</w:t>
            </w:r>
          </w:p>
        </w:tc>
        <w:tc>
          <w:tcPr>
            <w:tcW w:w="76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2</w:t>
            </w:r>
          </w:p>
        </w:tc>
      </w:tr>
      <w:tr w:rsidR="00A46DCA" w:rsidRPr="00AC137D" w:rsidTr="00A26D04">
        <w:tc>
          <w:tcPr>
            <w:cnfStyle w:val="001000000000" w:firstRow="0" w:lastRow="0" w:firstColumn="1" w:lastColumn="0" w:oddVBand="0" w:evenVBand="0" w:oddHBand="0" w:evenHBand="0" w:firstRowFirstColumn="0" w:firstRowLastColumn="0" w:lastRowFirstColumn="0" w:lastRowLastColumn="0"/>
            <w:tcW w:w="3402" w:type="dxa"/>
            <w:tcBorders>
              <w:top w:val="nil"/>
              <w:left w:val="nil"/>
              <w:bottom w:val="nil"/>
              <w:right w:val="nil"/>
            </w:tcBorders>
          </w:tcPr>
          <w:p w:rsidR="00A46DCA" w:rsidRPr="00AC137D" w:rsidRDefault="00A46DCA" w:rsidP="00A26D04">
            <w:pPr>
              <w:keepLines w:val="0"/>
              <w:autoSpaceDE w:val="0"/>
              <w:autoSpaceDN w:val="0"/>
              <w:adjustRightInd w:val="0"/>
              <w:rPr>
                <w:rFonts w:eastAsiaTheme="minorEastAsia" w:cs="Calibri"/>
                <w:color w:val="000000"/>
                <w:szCs w:val="16"/>
                <w:lang w:eastAsia="en-AU"/>
              </w:rPr>
            </w:pPr>
            <w:r w:rsidRPr="00AC137D">
              <w:rPr>
                <w:rFonts w:eastAsiaTheme="minorEastAsia" w:cs="Calibri"/>
                <w:color w:val="000000"/>
                <w:szCs w:val="16"/>
                <w:lang w:eastAsia="en-AU"/>
              </w:rPr>
              <w:t>Net gain/(loss) on equity investments in other sector entities at proportional share of the carrying amount of net assets</w:t>
            </w:r>
          </w:p>
        </w:tc>
        <w:tc>
          <w:tcPr>
            <w:tcW w:w="567" w:type="dxa"/>
            <w:tcBorders>
              <w:top w:val="nil"/>
              <w:left w:val="nil"/>
              <w:bottom w:val="nil"/>
              <w:right w:val="nil"/>
            </w:tcBorders>
          </w:tcPr>
          <w:p w:rsidR="00A46DCA" w:rsidRPr="00AC137D" w:rsidRDefault="00A46DCA" w:rsidP="00A26D04">
            <w:pPr>
              <w:keepLines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AC137D">
              <w:rPr>
                <w:rFonts w:eastAsiaTheme="minorEastAsia" w:cs="Arial"/>
                <w:color w:val="000000"/>
                <w:szCs w:val="18"/>
                <w:lang w:eastAsia="en-AU"/>
              </w:rPr>
              <w:t>4.6.1</w:t>
            </w:r>
          </w:p>
        </w:tc>
        <w:tc>
          <w:tcPr>
            <w:tcW w:w="76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(966)</w:t>
            </w:r>
          </w:p>
        </w:tc>
        <w:tc>
          <w:tcPr>
            <w:tcW w:w="76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(621)</w:t>
            </w:r>
          </w:p>
        </w:tc>
        <w:tc>
          <w:tcPr>
            <w:tcW w:w="76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850</w:t>
            </w:r>
          </w:p>
        </w:tc>
        <w:tc>
          <w:tcPr>
            <w:tcW w:w="76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AC137D">
              <w:rPr>
                <w:rFonts w:eastAsiaTheme="minorEastAsia" w:cs="Arial"/>
                <w:color w:val="000000"/>
                <w:szCs w:val="18"/>
                <w:lang w:eastAsia="en-AU"/>
              </w:rPr>
              <w:t>1 081</w:t>
            </w:r>
          </w:p>
        </w:tc>
        <w:tc>
          <w:tcPr>
            <w:tcW w:w="76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621</w:t>
            </w:r>
          </w:p>
        </w:tc>
      </w:tr>
      <w:tr w:rsidR="00A46DCA" w:rsidRPr="00AC137D" w:rsidTr="00A26D04">
        <w:tc>
          <w:tcPr>
            <w:cnfStyle w:val="001000000000" w:firstRow="0" w:lastRow="0" w:firstColumn="1" w:lastColumn="0" w:oddVBand="0" w:evenVBand="0" w:oddHBand="0" w:evenHBand="0" w:firstRowFirstColumn="0" w:firstRowLastColumn="0" w:lastRowFirstColumn="0" w:lastRowLastColumn="0"/>
            <w:tcW w:w="3402" w:type="dxa"/>
            <w:tcBorders>
              <w:top w:val="single" w:sz="6" w:space="0" w:color="000000"/>
              <w:left w:val="nil"/>
              <w:bottom w:val="nil"/>
              <w:right w:val="nil"/>
            </w:tcBorders>
          </w:tcPr>
          <w:p w:rsidR="00A46DCA" w:rsidRPr="00AC137D" w:rsidRDefault="00A46DCA" w:rsidP="00A26D04">
            <w:pPr>
              <w:keepLines w:val="0"/>
              <w:autoSpaceDE w:val="0"/>
              <w:autoSpaceDN w:val="0"/>
              <w:adjustRightInd w:val="0"/>
              <w:rPr>
                <w:rFonts w:eastAsiaTheme="minorEastAsia" w:cs="Calibri"/>
                <w:b/>
                <w:bCs/>
                <w:color w:val="000000"/>
                <w:szCs w:val="16"/>
                <w:lang w:eastAsia="en-AU"/>
              </w:rPr>
            </w:pPr>
            <w:r w:rsidRPr="00AC137D">
              <w:rPr>
                <w:rFonts w:eastAsiaTheme="minorEastAsia" w:cs="Calibri"/>
                <w:b/>
                <w:bCs/>
                <w:color w:val="000000"/>
                <w:szCs w:val="16"/>
                <w:lang w:eastAsia="en-AU"/>
              </w:rPr>
              <w:t xml:space="preserve">Total other economic flows – </w:t>
            </w:r>
            <w:r>
              <w:rPr>
                <w:rFonts w:eastAsiaTheme="minorEastAsia" w:cs="Calibri"/>
                <w:b/>
                <w:bCs/>
                <w:color w:val="000000"/>
                <w:szCs w:val="16"/>
                <w:lang w:eastAsia="en-AU"/>
              </w:rPr>
              <w:br/>
            </w:r>
            <w:r w:rsidRPr="00AC137D">
              <w:rPr>
                <w:rFonts w:eastAsiaTheme="minorEastAsia" w:cs="Calibri"/>
                <w:b/>
                <w:bCs/>
                <w:color w:val="000000"/>
                <w:szCs w:val="16"/>
                <w:lang w:eastAsia="en-AU"/>
              </w:rPr>
              <w:t>other comprehensive income</w:t>
            </w:r>
          </w:p>
        </w:tc>
        <w:tc>
          <w:tcPr>
            <w:tcW w:w="567" w:type="dxa"/>
            <w:tcBorders>
              <w:top w:val="single" w:sz="6" w:space="0" w:color="000000"/>
              <w:left w:val="nil"/>
              <w:bottom w:val="nil"/>
              <w:right w:val="nil"/>
            </w:tcBorders>
          </w:tcPr>
          <w:p w:rsidR="00A46DCA" w:rsidRPr="00AC137D" w:rsidRDefault="00A46DCA" w:rsidP="00A26D04">
            <w:pPr>
              <w:keepLines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bCs/>
                <w:color w:val="000000"/>
                <w:lang w:eastAsia="en-AU"/>
              </w:rPr>
            </w:pPr>
            <w:r w:rsidRPr="00AC137D">
              <w:rPr>
                <w:rFonts w:eastAsiaTheme="minorEastAsia" w:cs="Calibri"/>
                <w:bCs/>
                <w:color w:val="000000"/>
                <w:lang w:eastAsia="en-AU"/>
              </w:rPr>
              <w:t xml:space="preserve"> </w:t>
            </w:r>
          </w:p>
        </w:tc>
        <w:tc>
          <w:tcPr>
            <w:tcW w:w="760" w:type="dxa"/>
            <w:tcBorders>
              <w:top w:val="single" w:sz="6" w:space="0" w:color="000000"/>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sidRPr="00AC137D">
              <w:rPr>
                <w:rFonts w:eastAsiaTheme="minorEastAsia" w:cs="Arial"/>
                <w:b/>
                <w:bCs/>
                <w:color w:val="000000"/>
                <w:szCs w:val="18"/>
                <w:lang w:eastAsia="en-AU"/>
              </w:rPr>
              <w:t>3 617</w:t>
            </w:r>
          </w:p>
        </w:tc>
        <w:tc>
          <w:tcPr>
            <w:tcW w:w="760" w:type="dxa"/>
            <w:tcBorders>
              <w:top w:val="single" w:sz="6" w:space="0" w:color="000000"/>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sidRPr="00AC137D">
              <w:rPr>
                <w:rFonts w:eastAsiaTheme="minorEastAsia" w:cs="Arial"/>
                <w:b/>
                <w:bCs/>
                <w:color w:val="000000"/>
                <w:szCs w:val="18"/>
                <w:lang w:eastAsia="en-AU"/>
              </w:rPr>
              <w:t>5 027</w:t>
            </w:r>
          </w:p>
        </w:tc>
        <w:tc>
          <w:tcPr>
            <w:tcW w:w="760" w:type="dxa"/>
            <w:tcBorders>
              <w:top w:val="single" w:sz="6" w:space="0" w:color="000000"/>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sidRPr="00AC137D">
              <w:rPr>
                <w:rFonts w:eastAsiaTheme="minorEastAsia" w:cs="Arial"/>
                <w:b/>
                <w:bCs/>
                <w:color w:val="000000"/>
                <w:szCs w:val="18"/>
                <w:lang w:eastAsia="en-AU"/>
              </w:rPr>
              <w:t>2 442</w:t>
            </w:r>
          </w:p>
        </w:tc>
        <w:tc>
          <w:tcPr>
            <w:tcW w:w="760" w:type="dxa"/>
            <w:tcBorders>
              <w:top w:val="single" w:sz="6" w:space="0" w:color="000000"/>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sidRPr="00AC137D">
              <w:rPr>
                <w:rFonts w:eastAsiaTheme="minorEastAsia" w:cs="Arial"/>
                <w:b/>
                <w:bCs/>
                <w:color w:val="000000"/>
                <w:szCs w:val="18"/>
                <w:lang w:eastAsia="en-AU"/>
              </w:rPr>
              <w:t>9 849</w:t>
            </w:r>
          </w:p>
        </w:tc>
        <w:tc>
          <w:tcPr>
            <w:tcW w:w="760" w:type="dxa"/>
            <w:tcBorders>
              <w:top w:val="single" w:sz="6" w:space="0" w:color="000000"/>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sidRPr="00AC137D">
              <w:rPr>
                <w:rFonts w:eastAsiaTheme="minorEastAsia" w:cs="Arial"/>
                <w:b/>
                <w:bCs/>
                <w:color w:val="000000"/>
                <w:szCs w:val="18"/>
                <w:lang w:eastAsia="en-AU"/>
              </w:rPr>
              <w:t>3 086</w:t>
            </w:r>
          </w:p>
        </w:tc>
      </w:tr>
      <w:tr w:rsidR="00A46DCA" w:rsidRPr="00AC137D" w:rsidTr="00A26D04">
        <w:tc>
          <w:tcPr>
            <w:cnfStyle w:val="001000000000" w:firstRow="0" w:lastRow="0" w:firstColumn="1" w:lastColumn="0" w:oddVBand="0" w:evenVBand="0" w:oddHBand="0" w:evenHBand="0" w:firstRowFirstColumn="0" w:firstRowLastColumn="0" w:lastRowFirstColumn="0" w:lastRowLastColumn="0"/>
            <w:tcW w:w="3402" w:type="dxa"/>
            <w:tcBorders>
              <w:top w:val="single" w:sz="6" w:space="0" w:color="000000"/>
              <w:left w:val="nil"/>
              <w:bottom w:val="single" w:sz="12" w:space="0" w:color="000000"/>
              <w:right w:val="nil"/>
            </w:tcBorders>
          </w:tcPr>
          <w:p w:rsidR="00A46DCA" w:rsidRPr="00AC137D" w:rsidRDefault="00A46DCA" w:rsidP="00A26D04">
            <w:pPr>
              <w:keepLines w:val="0"/>
              <w:autoSpaceDE w:val="0"/>
              <w:autoSpaceDN w:val="0"/>
              <w:adjustRightInd w:val="0"/>
              <w:rPr>
                <w:rFonts w:eastAsiaTheme="minorEastAsia" w:cs="Calibri"/>
                <w:b/>
                <w:bCs/>
                <w:color w:val="000000"/>
                <w:szCs w:val="16"/>
                <w:lang w:eastAsia="en-AU"/>
              </w:rPr>
            </w:pPr>
            <w:r w:rsidRPr="00AC137D">
              <w:rPr>
                <w:rFonts w:eastAsiaTheme="minorEastAsia" w:cs="Calibri"/>
                <w:b/>
                <w:bCs/>
                <w:color w:val="000000"/>
                <w:szCs w:val="16"/>
                <w:lang w:eastAsia="en-AU"/>
              </w:rPr>
              <w:t xml:space="preserve">Comprehensive result – </w:t>
            </w:r>
            <w:r>
              <w:rPr>
                <w:rFonts w:eastAsiaTheme="minorEastAsia" w:cs="Calibri"/>
                <w:b/>
                <w:bCs/>
                <w:color w:val="000000"/>
                <w:szCs w:val="16"/>
                <w:lang w:eastAsia="en-AU"/>
              </w:rPr>
              <w:br/>
            </w:r>
            <w:r w:rsidRPr="00AC137D">
              <w:rPr>
                <w:rFonts w:eastAsiaTheme="minorEastAsia" w:cs="Calibri"/>
                <w:b/>
                <w:bCs/>
                <w:color w:val="000000"/>
                <w:szCs w:val="16"/>
                <w:lang w:eastAsia="en-AU"/>
              </w:rPr>
              <w:t>total change in net worth</w:t>
            </w:r>
          </w:p>
        </w:tc>
        <w:tc>
          <w:tcPr>
            <w:tcW w:w="567" w:type="dxa"/>
            <w:tcBorders>
              <w:top w:val="single" w:sz="6" w:space="0" w:color="000000"/>
              <w:left w:val="nil"/>
              <w:bottom w:val="single" w:sz="12" w:space="0" w:color="000000"/>
              <w:right w:val="nil"/>
            </w:tcBorders>
          </w:tcPr>
          <w:p w:rsidR="00A46DCA" w:rsidRPr="00AC137D" w:rsidRDefault="00A46DCA" w:rsidP="00A26D04">
            <w:pPr>
              <w:keepLines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bCs/>
                <w:color w:val="000000"/>
                <w:lang w:eastAsia="en-AU"/>
              </w:rPr>
            </w:pPr>
            <w:r w:rsidRPr="00AC137D">
              <w:rPr>
                <w:rFonts w:eastAsiaTheme="minorEastAsia" w:cs="Calibri"/>
                <w:bCs/>
                <w:color w:val="000000"/>
                <w:lang w:eastAsia="en-AU"/>
              </w:rPr>
              <w:t xml:space="preserve"> </w:t>
            </w:r>
          </w:p>
        </w:tc>
        <w:tc>
          <w:tcPr>
            <w:tcW w:w="760" w:type="dxa"/>
            <w:tcBorders>
              <w:top w:val="single" w:sz="6" w:space="0" w:color="000000"/>
              <w:left w:val="nil"/>
              <w:bottom w:val="single" w:sz="12" w:space="0" w:color="000000"/>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sidRPr="00AC137D">
              <w:rPr>
                <w:rFonts w:eastAsiaTheme="minorEastAsia" w:cs="Arial"/>
                <w:b/>
                <w:bCs/>
                <w:color w:val="000000"/>
                <w:szCs w:val="18"/>
                <w:lang w:eastAsia="en-AU"/>
              </w:rPr>
              <w:t>4 504</w:t>
            </w:r>
          </w:p>
        </w:tc>
        <w:tc>
          <w:tcPr>
            <w:tcW w:w="760" w:type="dxa"/>
            <w:tcBorders>
              <w:top w:val="single" w:sz="6" w:space="0" w:color="000000"/>
              <w:left w:val="nil"/>
              <w:bottom w:val="single" w:sz="12" w:space="0" w:color="000000"/>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sidRPr="00AC137D">
              <w:rPr>
                <w:rFonts w:eastAsiaTheme="minorEastAsia" w:cs="Arial"/>
                <w:b/>
                <w:bCs/>
                <w:color w:val="000000"/>
                <w:szCs w:val="18"/>
                <w:lang w:eastAsia="en-AU"/>
              </w:rPr>
              <w:t>6 488</w:t>
            </w:r>
          </w:p>
        </w:tc>
        <w:tc>
          <w:tcPr>
            <w:tcW w:w="760" w:type="dxa"/>
            <w:tcBorders>
              <w:top w:val="single" w:sz="6" w:space="0" w:color="000000"/>
              <w:left w:val="nil"/>
              <w:bottom w:val="single" w:sz="12" w:space="0" w:color="000000"/>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sidRPr="00AC137D">
              <w:rPr>
                <w:rFonts w:eastAsiaTheme="minorEastAsia" w:cs="Arial"/>
                <w:b/>
                <w:bCs/>
                <w:color w:val="000000"/>
                <w:szCs w:val="18"/>
                <w:lang w:eastAsia="en-AU"/>
              </w:rPr>
              <w:t>4 419</w:t>
            </w:r>
          </w:p>
        </w:tc>
        <w:tc>
          <w:tcPr>
            <w:tcW w:w="760" w:type="dxa"/>
            <w:tcBorders>
              <w:top w:val="single" w:sz="6" w:space="0" w:color="000000"/>
              <w:left w:val="nil"/>
              <w:bottom w:val="single" w:sz="12" w:space="0" w:color="000000"/>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sidRPr="00AC137D">
              <w:rPr>
                <w:rFonts w:eastAsiaTheme="minorEastAsia" w:cs="Arial"/>
                <w:b/>
                <w:bCs/>
                <w:color w:val="000000"/>
                <w:szCs w:val="18"/>
                <w:lang w:eastAsia="en-AU"/>
              </w:rPr>
              <w:t>11 571</w:t>
            </w:r>
          </w:p>
        </w:tc>
        <w:tc>
          <w:tcPr>
            <w:tcW w:w="760" w:type="dxa"/>
            <w:tcBorders>
              <w:top w:val="single" w:sz="6" w:space="0" w:color="000000"/>
              <w:left w:val="nil"/>
              <w:bottom w:val="single" w:sz="12" w:space="0" w:color="000000"/>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sidRPr="00AC137D">
              <w:rPr>
                <w:rFonts w:eastAsiaTheme="minorEastAsia" w:cs="Arial"/>
                <w:b/>
                <w:bCs/>
                <w:color w:val="000000"/>
                <w:szCs w:val="18"/>
                <w:lang w:eastAsia="en-AU"/>
              </w:rPr>
              <w:t>5 460</w:t>
            </w:r>
          </w:p>
        </w:tc>
      </w:tr>
      <w:tr w:rsidR="00A46DCA" w:rsidRPr="00AC137D" w:rsidTr="00A26D04">
        <w:tc>
          <w:tcPr>
            <w:cnfStyle w:val="001000000000" w:firstRow="0" w:lastRow="0" w:firstColumn="1" w:lastColumn="0" w:oddVBand="0" w:evenVBand="0" w:oddHBand="0" w:evenHBand="0" w:firstRowFirstColumn="0" w:firstRowLastColumn="0" w:lastRowFirstColumn="0" w:lastRowLastColumn="0"/>
            <w:tcW w:w="3402" w:type="dxa"/>
            <w:tcBorders>
              <w:top w:val="nil"/>
              <w:left w:val="nil"/>
              <w:bottom w:val="nil"/>
              <w:right w:val="nil"/>
            </w:tcBorders>
          </w:tcPr>
          <w:p w:rsidR="00A46DCA" w:rsidRPr="00AC137D" w:rsidRDefault="00A46DCA" w:rsidP="00A26D04">
            <w:pPr>
              <w:keepLines w:val="0"/>
              <w:autoSpaceDE w:val="0"/>
              <w:autoSpaceDN w:val="0"/>
              <w:adjustRightInd w:val="0"/>
              <w:rPr>
                <w:rFonts w:eastAsiaTheme="minorEastAsia" w:cs="Calibri"/>
                <w:b/>
                <w:bCs/>
                <w:color w:val="000000"/>
                <w:szCs w:val="16"/>
                <w:lang w:eastAsia="en-AU"/>
              </w:rPr>
            </w:pPr>
            <w:r w:rsidRPr="00AC137D">
              <w:rPr>
                <w:rFonts w:eastAsiaTheme="minorEastAsia" w:cs="Calibri"/>
                <w:b/>
                <w:bCs/>
                <w:color w:val="000000"/>
                <w:szCs w:val="16"/>
                <w:lang w:eastAsia="en-AU"/>
              </w:rPr>
              <w:t>KEY FISCAL AGGREGATES</w:t>
            </w:r>
          </w:p>
        </w:tc>
        <w:tc>
          <w:tcPr>
            <w:tcW w:w="567" w:type="dxa"/>
            <w:tcBorders>
              <w:top w:val="nil"/>
              <w:left w:val="nil"/>
              <w:bottom w:val="nil"/>
              <w:right w:val="nil"/>
            </w:tcBorders>
          </w:tcPr>
          <w:p w:rsidR="00A46DCA" w:rsidRPr="00AC137D" w:rsidRDefault="00A46DCA" w:rsidP="00A26D04">
            <w:pPr>
              <w:keepLines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bCs/>
                <w:color w:val="000000"/>
                <w:lang w:eastAsia="en-AU"/>
              </w:rPr>
            </w:pPr>
            <w:r w:rsidRPr="00AC137D">
              <w:rPr>
                <w:rFonts w:eastAsiaTheme="minorEastAsia" w:cs="Calibri"/>
                <w:bCs/>
                <w:color w:val="000000"/>
                <w:lang w:eastAsia="en-AU"/>
              </w:rPr>
              <w:t xml:space="preserve"> </w:t>
            </w:r>
          </w:p>
        </w:tc>
        <w:tc>
          <w:tcPr>
            <w:tcW w:w="76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AC137D">
              <w:rPr>
                <w:rFonts w:eastAsiaTheme="minorEastAsia" w:cs="Calibri"/>
                <w:b/>
                <w:bCs/>
                <w:color w:val="000000"/>
                <w:lang w:eastAsia="en-AU"/>
              </w:rPr>
              <w:t xml:space="preserve"> </w:t>
            </w:r>
          </w:p>
        </w:tc>
        <w:tc>
          <w:tcPr>
            <w:tcW w:w="76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AC137D">
              <w:rPr>
                <w:rFonts w:eastAsiaTheme="minorEastAsia" w:cs="Calibri"/>
                <w:b/>
                <w:bCs/>
                <w:color w:val="000000"/>
                <w:lang w:eastAsia="en-AU"/>
              </w:rPr>
              <w:t xml:space="preserve"> </w:t>
            </w:r>
          </w:p>
        </w:tc>
        <w:tc>
          <w:tcPr>
            <w:tcW w:w="76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AC137D">
              <w:rPr>
                <w:rFonts w:eastAsiaTheme="minorEastAsia" w:cs="Calibri"/>
                <w:b/>
                <w:bCs/>
                <w:color w:val="000000"/>
                <w:lang w:eastAsia="en-AU"/>
              </w:rPr>
              <w:t xml:space="preserve"> </w:t>
            </w:r>
          </w:p>
        </w:tc>
        <w:tc>
          <w:tcPr>
            <w:tcW w:w="76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AC137D">
              <w:rPr>
                <w:rFonts w:eastAsiaTheme="minorEastAsia" w:cs="Calibri"/>
                <w:b/>
                <w:bCs/>
                <w:color w:val="000000"/>
                <w:lang w:eastAsia="en-AU"/>
              </w:rPr>
              <w:t xml:space="preserve"> </w:t>
            </w:r>
          </w:p>
        </w:tc>
        <w:tc>
          <w:tcPr>
            <w:tcW w:w="76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AC137D">
              <w:rPr>
                <w:rFonts w:eastAsiaTheme="minorEastAsia" w:cs="Calibri"/>
                <w:b/>
                <w:bCs/>
                <w:color w:val="000000"/>
                <w:lang w:eastAsia="en-AU"/>
              </w:rPr>
              <w:t xml:space="preserve"> </w:t>
            </w:r>
          </w:p>
        </w:tc>
      </w:tr>
      <w:tr w:rsidR="00A46DCA" w:rsidRPr="00AC137D" w:rsidTr="00A26D04">
        <w:tc>
          <w:tcPr>
            <w:cnfStyle w:val="001000000000" w:firstRow="0" w:lastRow="0" w:firstColumn="1" w:lastColumn="0" w:oddVBand="0" w:evenVBand="0" w:oddHBand="0" w:evenHBand="0" w:firstRowFirstColumn="0" w:firstRowLastColumn="0" w:lastRowFirstColumn="0" w:lastRowLastColumn="0"/>
            <w:tcW w:w="3402" w:type="dxa"/>
            <w:tcBorders>
              <w:top w:val="nil"/>
              <w:left w:val="nil"/>
              <w:bottom w:val="nil"/>
              <w:right w:val="nil"/>
            </w:tcBorders>
          </w:tcPr>
          <w:p w:rsidR="00A46DCA" w:rsidRPr="00AC137D" w:rsidRDefault="00A46DCA" w:rsidP="00A26D04">
            <w:pPr>
              <w:keepLines w:val="0"/>
              <w:autoSpaceDE w:val="0"/>
              <w:autoSpaceDN w:val="0"/>
              <w:adjustRightInd w:val="0"/>
              <w:rPr>
                <w:rFonts w:eastAsiaTheme="minorEastAsia" w:cs="Calibri"/>
                <w:b/>
                <w:bCs/>
                <w:color w:val="000000"/>
                <w:szCs w:val="16"/>
                <w:lang w:eastAsia="en-AU"/>
              </w:rPr>
            </w:pPr>
            <w:r w:rsidRPr="00AC137D">
              <w:rPr>
                <w:rFonts w:eastAsiaTheme="minorEastAsia" w:cs="Calibri"/>
                <w:b/>
                <w:bCs/>
                <w:color w:val="000000"/>
                <w:szCs w:val="16"/>
                <w:lang w:eastAsia="en-AU"/>
              </w:rPr>
              <w:t>Net operating balance</w:t>
            </w:r>
          </w:p>
        </w:tc>
        <w:tc>
          <w:tcPr>
            <w:tcW w:w="567" w:type="dxa"/>
            <w:tcBorders>
              <w:top w:val="nil"/>
              <w:left w:val="nil"/>
              <w:bottom w:val="nil"/>
              <w:right w:val="nil"/>
            </w:tcBorders>
          </w:tcPr>
          <w:p w:rsidR="00A46DCA" w:rsidRPr="00AC137D" w:rsidRDefault="00A46DCA" w:rsidP="00A26D04">
            <w:pPr>
              <w:keepLines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bCs/>
                <w:color w:val="000000"/>
                <w:lang w:eastAsia="en-AU"/>
              </w:rPr>
            </w:pPr>
            <w:r w:rsidRPr="00AC137D">
              <w:rPr>
                <w:rFonts w:eastAsiaTheme="minorEastAsia" w:cs="Calibri"/>
                <w:bCs/>
                <w:color w:val="000000"/>
                <w:lang w:eastAsia="en-AU"/>
              </w:rPr>
              <w:t xml:space="preserve"> </w:t>
            </w:r>
          </w:p>
        </w:tc>
        <w:tc>
          <w:tcPr>
            <w:tcW w:w="76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AC137D">
              <w:rPr>
                <w:rFonts w:eastAsiaTheme="minorEastAsia" w:cs="Calibri"/>
                <w:b/>
                <w:bCs/>
                <w:color w:val="000000"/>
                <w:szCs w:val="16"/>
                <w:lang w:eastAsia="en-AU"/>
              </w:rPr>
              <w:t>1 153</w:t>
            </w:r>
          </w:p>
        </w:tc>
        <w:tc>
          <w:tcPr>
            <w:tcW w:w="76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AC137D">
              <w:rPr>
                <w:rFonts w:eastAsiaTheme="minorEastAsia" w:cs="Calibri"/>
                <w:b/>
                <w:bCs/>
                <w:color w:val="000000"/>
                <w:szCs w:val="16"/>
                <w:lang w:eastAsia="en-AU"/>
              </w:rPr>
              <w:t>1 713</w:t>
            </w:r>
          </w:p>
        </w:tc>
        <w:tc>
          <w:tcPr>
            <w:tcW w:w="76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AC137D">
              <w:rPr>
                <w:rFonts w:eastAsiaTheme="minorEastAsia" w:cs="Calibri"/>
                <w:b/>
                <w:bCs/>
                <w:color w:val="000000"/>
                <w:szCs w:val="16"/>
                <w:lang w:eastAsia="en-AU"/>
              </w:rPr>
              <w:t>2 117</w:t>
            </w:r>
          </w:p>
        </w:tc>
        <w:tc>
          <w:tcPr>
            <w:tcW w:w="76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AC137D">
              <w:rPr>
                <w:rFonts w:eastAsiaTheme="minorEastAsia" w:cs="Calibri"/>
                <w:b/>
                <w:bCs/>
                <w:color w:val="000000"/>
                <w:szCs w:val="16"/>
                <w:lang w:eastAsia="en-AU"/>
              </w:rPr>
              <w:t>1 987</w:t>
            </w:r>
          </w:p>
        </w:tc>
        <w:tc>
          <w:tcPr>
            <w:tcW w:w="76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AC137D">
              <w:rPr>
                <w:rFonts w:eastAsiaTheme="minorEastAsia" w:cs="Calibri"/>
                <w:b/>
                <w:bCs/>
                <w:color w:val="000000"/>
                <w:szCs w:val="16"/>
                <w:lang w:eastAsia="en-AU"/>
              </w:rPr>
              <w:t>2 641</w:t>
            </w:r>
          </w:p>
        </w:tc>
      </w:tr>
      <w:tr w:rsidR="00A46DCA" w:rsidRPr="00AC137D" w:rsidTr="00A26D04">
        <w:tc>
          <w:tcPr>
            <w:cnfStyle w:val="001000000000" w:firstRow="0" w:lastRow="0" w:firstColumn="1" w:lastColumn="0" w:oddVBand="0" w:evenVBand="0" w:oddHBand="0" w:evenHBand="0" w:firstRowFirstColumn="0" w:firstRowLastColumn="0" w:lastRowFirstColumn="0" w:lastRowLastColumn="0"/>
            <w:tcW w:w="3402" w:type="dxa"/>
            <w:tcBorders>
              <w:top w:val="nil"/>
              <w:left w:val="nil"/>
              <w:bottom w:val="nil"/>
              <w:right w:val="nil"/>
            </w:tcBorders>
          </w:tcPr>
          <w:p w:rsidR="00A46DCA" w:rsidRPr="00AC137D" w:rsidRDefault="00A46DCA" w:rsidP="00A26D04">
            <w:pPr>
              <w:keepLines w:val="0"/>
              <w:autoSpaceDE w:val="0"/>
              <w:autoSpaceDN w:val="0"/>
              <w:adjustRightInd w:val="0"/>
              <w:rPr>
                <w:rFonts w:eastAsiaTheme="minorEastAsia" w:cs="Calibri"/>
                <w:color w:val="000000"/>
                <w:szCs w:val="16"/>
                <w:lang w:eastAsia="en-AU"/>
              </w:rPr>
            </w:pPr>
            <w:r w:rsidRPr="00AC137D">
              <w:rPr>
                <w:rFonts w:eastAsiaTheme="minorEastAsia" w:cs="Calibri"/>
                <w:color w:val="000000"/>
                <w:szCs w:val="16"/>
                <w:lang w:eastAsia="en-AU"/>
              </w:rPr>
              <w:t>Less: Net acquisition of non-financial assets from transactions</w:t>
            </w:r>
          </w:p>
        </w:tc>
        <w:tc>
          <w:tcPr>
            <w:tcW w:w="567" w:type="dxa"/>
            <w:tcBorders>
              <w:top w:val="nil"/>
              <w:left w:val="nil"/>
              <w:bottom w:val="nil"/>
              <w:right w:val="nil"/>
            </w:tcBorders>
          </w:tcPr>
          <w:p w:rsidR="00A46DCA" w:rsidRPr="00AC137D" w:rsidRDefault="00A46DCA" w:rsidP="00A26D04">
            <w:pPr>
              <w:keepLines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AC137D">
              <w:rPr>
                <w:rFonts w:eastAsiaTheme="minorEastAsia" w:cs="Calibri"/>
                <w:color w:val="000000"/>
                <w:lang w:eastAsia="en-AU"/>
              </w:rPr>
              <w:t>4.3.6</w:t>
            </w:r>
          </w:p>
        </w:tc>
        <w:tc>
          <w:tcPr>
            <w:tcW w:w="76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AC137D">
              <w:rPr>
                <w:rFonts w:eastAsiaTheme="minorEastAsia" w:cs="Calibri"/>
                <w:color w:val="000000"/>
                <w:szCs w:val="16"/>
                <w:lang w:eastAsia="en-AU"/>
              </w:rPr>
              <w:t>1 813</w:t>
            </w:r>
          </w:p>
        </w:tc>
        <w:tc>
          <w:tcPr>
            <w:tcW w:w="76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AC137D">
              <w:rPr>
                <w:rFonts w:eastAsiaTheme="minorEastAsia" w:cs="Calibri"/>
                <w:color w:val="000000"/>
                <w:szCs w:val="16"/>
                <w:lang w:eastAsia="en-AU"/>
              </w:rPr>
              <w:t>1 865</w:t>
            </w:r>
          </w:p>
        </w:tc>
        <w:tc>
          <w:tcPr>
            <w:tcW w:w="76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720</w:t>
            </w:r>
          </w:p>
        </w:tc>
        <w:tc>
          <w:tcPr>
            <w:tcW w:w="76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371</w:t>
            </w:r>
          </w:p>
        </w:tc>
        <w:tc>
          <w:tcPr>
            <w:tcW w:w="76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601</w:t>
            </w:r>
          </w:p>
        </w:tc>
      </w:tr>
      <w:tr w:rsidR="00A46DCA" w:rsidRPr="00AC137D" w:rsidTr="00A26D04">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tcBorders>
              <w:top w:val="single" w:sz="6" w:space="0" w:color="000000"/>
              <w:bottom w:val="single" w:sz="12" w:space="0" w:color="000000"/>
            </w:tcBorders>
          </w:tcPr>
          <w:p w:rsidR="00A46DCA" w:rsidRPr="00AC137D" w:rsidRDefault="00A46DCA" w:rsidP="00A26D04">
            <w:pPr>
              <w:keepLines w:val="0"/>
              <w:autoSpaceDE w:val="0"/>
              <w:autoSpaceDN w:val="0"/>
              <w:adjustRightInd w:val="0"/>
              <w:rPr>
                <w:rFonts w:eastAsiaTheme="minorEastAsia" w:cs="Calibri"/>
                <w:bCs/>
                <w:color w:val="000000"/>
                <w:szCs w:val="16"/>
                <w:lang w:eastAsia="en-AU"/>
              </w:rPr>
            </w:pPr>
            <w:r w:rsidRPr="00AC137D">
              <w:rPr>
                <w:rFonts w:eastAsiaTheme="minorEastAsia" w:cs="Calibri"/>
                <w:bCs/>
                <w:color w:val="000000"/>
                <w:szCs w:val="16"/>
                <w:lang w:eastAsia="en-AU"/>
              </w:rPr>
              <w:t>Net lending/(borrowing)</w:t>
            </w:r>
          </w:p>
        </w:tc>
        <w:tc>
          <w:tcPr>
            <w:tcW w:w="567" w:type="dxa"/>
            <w:tcBorders>
              <w:top w:val="single" w:sz="6" w:space="0" w:color="000000"/>
              <w:bottom w:val="single" w:sz="12" w:space="0" w:color="000000"/>
            </w:tcBorders>
          </w:tcPr>
          <w:p w:rsidR="00A46DCA" w:rsidRPr="00AC137D" w:rsidRDefault="00A46DCA" w:rsidP="00A26D04">
            <w:pPr>
              <w:keepLines w:val="0"/>
              <w:autoSpaceDE w:val="0"/>
              <w:autoSpaceDN w:val="0"/>
              <w:adjustRightInd w:val="0"/>
              <w:jc w:val="center"/>
              <w:cnfStyle w:val="010000000000" w:firstRow="0" w:lastRow="1" w:firstColumn="0" w:lastColumn="0" w:oddVBand="0" w:evenVBand="0" w:oddHBand="0" w:evenHBand="0" w:firstRowFirstColumn="0" w:firstRowLastColumn="0" w:lastRowFirstColumn="0" w:lastRowLastColumn="0"/>
              <w:rPr>
                <w:rFonts w:eastAsiaTheme="minorEastAsia" w:cs="Calibri"/>
                <w:b w:val="0"/>
                <w:bCs/>
                <w:color w:val="000000"/>
                <w:lang w:eastAsia="en-AU"/>
              </w:rPr>
            </w:pPr>
            <w:r w:rsidRPr="00AC137D">
              <w:rPr>
                <w:rFonts w:eastAsiaTheme="minorEastAsia" w:cs="Calibri"/>
                <w:b w:val="0"/>
                <w:bCs/>
                <w:color w:val="000000"/>
                <w:lang w:eastAsia="en-AU"/>
              </w:rPr>
              <w:t xml:space="preserve"> </w:t>
            </w:r>
          </w:p>
        </w:tc>
        <w:tc>
          <w:tcPr>
            <w:tcW w:w="760" w:type="dxa"/>
            <w:tcBorders>
              <w:top w:val="single" w:sz="6" w:space="0" w:color="000000"/>
              <w:bottom w:val="single" w:sz="12" w:space="0" w:color="000000"/>
            </w:tcBorders>
          </w:tcPr>
          <w:p w:rsidR="00A46DCA" w:rsidRPr="00AC137D" w:rsidRDefault="00A46DCA" w:rsidP="00A26D0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6"/>
                <w:lang w:eastAsia="en-AU"/>
              </w:rPr>
            </w:pPr>
            <w:r>
              <w:rPr>
                <w:rFonts w:eastAsiaTheme="minorEastAsia" w:cs="Calibri"/>
                <w:bCs/>
                <w:color w:val="000000"/>
                <w:szCs w:val="16"/>
                <w:lang w:eastAsia="en-AU"/>
              </w:rPr>
              <w:t>(660)</w:t>
            </w:r>
          </w:p>
        </w:tc>
        <w:tc>
          <w:tcPr>
            <w:tcW w:w="760" w:type="dxa"/>
            <w:tcBorders>
              <w:top w:val="single" w:sz="6" w:space="0" w:color="000000"/>
              <w:bottom w:val="single" w:sz="12" w:space="0" w:color="000000"/>
            </w:tcBorders>
          </w:tcPr>
          <w:p w:rsidR="00A46DCA" w:rsidRPr="00AC137D" w:rsidRDefault="00A46DCA" w:rsidP="00A26D0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6"/>
                <w:lang w:eastAsia="en-AU"/>
              </w:rPr>
            </w:pPr>
            <w:r>
              <w:rPr>
                <w:rFonts w:eastAsiaTheme="minorEastAsia" w:cs="Calibri"/>
                <w:bCs/>
                <w:color w:val="000000"/>
                <w:szCs w:val="16"/>
                <w:lang w:eastAsia="en-AU"/>
              </w:rPr>
              <w:t>(152)</w:t>
            </w:r>
          </w:p>
        </w:tc>
        <w:tc>
          <w:tcPr>
            <w:tcW w:w="760" w:type="dxa"/>
            <w:tcBorders>
              <w:top w:val="single" w:sz="6" w:space="0" w:color="000000"/>
              <w:bottom w:val="single" w:sz="12" w:space="0" w:color="000000"/>
            </w:tcBorders>
          </w:tcPr>
          <w:p w:rsidR="00A46DCA" w:rsidRPr="00AC137D" w:rsidRDefault="00A46DCA" w:rsidP="00A26D0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6"/>
                <w:lang w:eastAsia="en-AU"/>
              </w:rPr>
            </w:pPr>
            <w:r w:rsidRPr="00AC137D">
              <w:rPr>
                <w:rFonts w:eastAsiaTheme="minorEastAsia" w:cs="Calibri"/>
                <w:bCs/>
                <w:color w:val="000000"/>
                <w:szCs w:val="16"/>
                <w:lang w:eastAsia="en-AU"/>
              </w:rPr>
              <w:t>1 397</w:t>
            </w:r>
          </w:p>
        </w:tc>
        <w:tc>
          <w:tcPr>
            <w:tcW w:w="760" w:type="dxa"/>
            <w:tcBorders>
              <w:top w:val="single" w:sz="6" w:space="0" w:color="000000"/>
              <w:bottom w:val="single" w:sz="12" w:space="0" w:color="000000"/>
            </w:tcBorders>
          </w:tcPr>
          <w:p w:rsidR="00A46DCA" w:rsidRPr="00AC137D" w:rsidRDefault="00A46DCA" w:rsidP="00A26D0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6"/>
                <w:lang w:eastAsia="en-AU"/>
              </w:rPr>
            </w:pPr>
            <w:r w:rsidRPr="00AC137D">
              <w:rPr>
                <w:rFonts w:eastAsiaTheme="minorEastAsia" w:cs="Calibri"/>
                <w:bCs/>
                <w:color w:val="000000"/>
                <w:szCs w:val="16"/>
                <w:lang w:eastAsia="en-AU"/>
              </w:rPr>
              <w:t>1 616</w:t>
            </w:r>
          </w:p>
        </w:tc>
        <w:tc>
          <w:tcPr>
            <w:tcW w:w="760" w:type="dxa"/>
            <w:tcBorders>
              <w:top w:val="single" w:sz="6" w:space="0" w:color="000000"/>
              <w:bottom w:val="single" w:sz="12" w:space="0" w:color="000000"/>
            </w:tcBorders>
          </w:tcPr>
          <w:p w:rsidR="00A46DCA" w:rsidRPr="00AC137D" w:rsidRDefault="00A46DCA" w:rsidP="00A26D0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6"/>
                <w:lang w:eastAsia="en-AU"/>
              </w:rPr>
            </w:pPr>
            <w:r w:rsidRPr="00AC137D">
              <w:rPr>
                <w:rFonts w:eastAsiaTheme="minorEastAsia" w:cs="Calibri"/>
                <w:bCs/>
                <w:color w:val="000000"/>
                <w:szCs w:val="16"/>
                <w:lang w:eastAsia="en-AU"/>
              </w:rPr>
              <w:t>2 040</w:t>
            </w:r>
          </w:p>
        </w:tc>
      </w:tr>
    </w:tbl>
    <w:p w:rsidR="00A46DCA" w:rsidRDefault="00A46DCA" w:rsidP="00A26D04">
      <w:pPr>
        <w:pStyle w:val="Source"/>
      </w:pPr>
      <w:r w:rsidRPr="00D87D22">
        <w:t>Source: Dep</w:t>
      </w:r>
      <w:r>
        <w:t>artment of Treasury and Finance</w:t>
      </w:r>
      <w:r w:rsidRPr="00352C54">
        <w:t xml:space="preserve"> </w:t>
      </w:r>
    </w:p>
    <w:p w:rsidR="00A46DCA" w:rsidRDefault="00A46DCA" w:rsidP="00A26D04">
      <w:pPr>
        <w:pStyle w:val="Source"/>
      </w:pPr>
      <w:r>
        <w:t>The accompanying notes form part of these Estimated Financial Statements.</w:t>
      </w:r>
    </w:p>
    <w:p w:rsidR="00A46DCA" w:rsidRDefault="00A46DCA" w:rsidP="00A26D04"/>
    <w:p w:rsidR="00A46DCA" w:rsidRDefault="00A46DCA">
      <w:pPr>
        <w:keepLines w:val="0"/>
      </w:pPr>
      <w:r>
        <w:br w:type="page"/>
      </w:r>
    </w:p>
    <w:p w:rsidR="00A46DCA" w:rsidRDefault="00A46DCA" w:rsidP="00A26D04">
      <w:pPr>
        <w:pStyle w:val="Heading10"/>
      </w:pPr>
      <w:bookmarkStart w:id="23" w:name="_Toc500435575"/>
      <w:r>
        <w:lastRenderedPageBreak/>
        <w:t xml:space="preserve">Estimated general government sector </w:t>
      </w:r>
      <w:r>
        <w:br/>
        <w:t>balance sheet</w:t>
      </w:r>
      <w:bookmarkEnd w:id="23"/>
      <w:r>
        <w:t xml:space="preserve"> </w:t>
      </w:r>
    </w:p>
    <w:p w:rsidR="00A46DCA" w:rsidRPr="00AC137D" w:rsidRDefault="00A46DCA" w:rsidP="00A26D04">
      <w:pPr>
        <w:pStyle w:val="TableHeading"/>
        <w:rPr>
          <w:bCs/>
          <w:lang w:val="en-US"/>
        </w:rPr>
      </w:pPr>
      <w:r>
        <w:t>As at 30 June</w:t>
      </w:r>
      <w:r>
        <w:tab/>
      </w:r>
      <w:r>
        <w:tab/>
        <w:t>($ million)</w:t>
      </w:r>
    </w:p>
    <w:tbl>
      <w:tblPr>
        <w:tblStyle w:val="DTFTable"/>
        <w:tblW w:w="7769" w:type="dxa"/>
        <w:tblInd w:w="45" w:type="dxa"/>
        <w:tblLayout w:type="fixed"/>
        <w:tblCellMar>
          <w:left w:w="45" w:type="dxa"/>
          <w:right w:w="45" w:type="dxa"/>
        </w:tblCellMar>
        <w:tblLook w:val="06A0" w:firstRow="1" w:lastRow="0" w:firstColumn="1" w:lastColumn="0" w:noHBand="1" w:noVBand="1"/>
      </w:tblPr>
      <w:tblGrid>
        <w:gridCol w:w="3402"/>
        <w:gridCol w:w="141"/>
        <w:gridCol w:w="426"/>
        <w:gridCol w:w="760"/>
        <w:gridCol w:w="760"/>
        <w:gridCol w:w="760"/>
        <w:gridCol w:w="760"/>
        <w:gridCol w:w="760"/>
      </w:tblGrid>
      <w:tr w:rsidR="00A26D04" w:rsidRPr="00AC137D" w:rsidTr="00A26D04">
        <w:trPr>
          <w:cnfStyle w:val="100000000000" w:firstRow="1" w:lastRow="0" w:firstColumn="0" w:lastColumn="0" w:oddVBand="0" w:evenVBand="0" w:oddHBand="0" w:evenHBand="0" w:firstRowFirstColumn="0" w:firstRowLastColumn="0" w:lastRowFirstColumn="0" w:lastRowLastColumn="0"/>
          <w:trHeight w:val="465"/>
          <w:tblHeader/>
        </w:trPr>
        <w:tc>
          <w:tcPr>
            <w:cnfStyle w:val="001000000000" w:firstRow="0" w:lastRow="0" w:firstColumn="1" w:lastColumn="0" w:oddVBand="0" w:evenVBand="0" w:oddHBand="0" w:evenHBand="0" w:firstRowFirstColumn="0" w:firstRowLastColumn="0" w:lastRowFirstColumn="0" w:lastRowLastColumn="0"/>
            <w:tcW w:w="3402" w:type="dxa"/>
            <w:tcBorders>
              <w:top w:val="nil"/>
              <w:left w:val="nil"/>
              <w:right w:val="nil"/>
            </w:tcBorders>
            <w:shd w:val="solid" w:color="000000" w:fill="auto"/>
          </w:tcPr>
          <w:p w:rsidR="00A26D04" w:rsidRPr="00AC137D" w:rsidRDefault="00A26D04" w:rsidP="00A26D04">
            <w:pPr>
              <w:autoSpaceDE w:val="0"/>
              <w:autoSpaceDN w:val="0"/>
              <w:adjustRightInd w:val="0"/>
              <w:rPr>
                <w:rFonts w:eastAsiaTheme="minorEastAsia" w:cs="Calibri"/>
                <w:iCs/>
                <w:color w:val="FFFFFF"/>
                <w:lang w:eastAsia="en-AU"/>
              </w:rPr>
            </w:pPr>
            <w:r w:rsidRPr="00AC137D">
              <w:rPr>
                <w:rFonts w:eastAsiaTheme="minorEastAsia" w:cs="Calibri"/>
                <w:iCs/>
                <w:color w:val="FFFFFF"/>
                <w:lang w:eastAsia="en-AU"/>
              </w:rPr>
              <w:t xml:space="preserve">  </w:t>
            </w:r>
          </w:p>
        </w:tc>
        <w:tc>
          <w:tcPr>
            <w:tcW w:w="567" w:type="dxa"/>
            <w:gridSpan w:val="2"/>
            <w:tcBorders>
              <w:top w:val="nil"/>
              <w:left w:val="nil"/>
              <w:right w:val="nil"/>
            </w:tcBorders>
            <w:shd w:val="solid" w:color="000000" w:fill="auto"/>
          </w:tcPr>
          <w:p w:rsidR="00A26D04" w:rsidRPr="00AC137D" w:rsidRDefault="00A26D04" w:rsidP="00A26D04">
            <w:pPr>
              <w:keepLines w:val="0"/>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lang w:eastAsia="en-AU"/>
              </w:rPr>
            </w:pPr>
            <w:r w:rsidRPr="00AC137D">
              <w:rPr>
                <w:rFonts w:eastAsiaTheme="minorEastAsia" w:cs="Calibri"/>
                <w:iCs/>
                <w:color w:val="FFFFFF"/>
                <w:lang w:eastAsia="en-AU"/>
              </w:rPr>
              <w:t xml:space="preserve"> </w:t>
            </w:r>
            <w:r>
              <w:rPr>
                <w:rFonts w:eastAsiaTheme="minorEastAsia" w:cs="Calibri"/>
                <w:iCs/>
                <w:color w:val="FFFFFF"/>
                <w:lang w:eastAsia="en-AU"/>
              </w:rPr>
              <w:br/>
            </w:r>
            <w:r w:rsidRPr="00AC137D">
              <w:rPr>
                <w:rFonts w:eastAsiaTheme="minorEastAsia" w:cs="Calibri"/>
                <w:iCs/>
                <w:color w:val="FFFFFF"/>
                <w:szCs w:val="18"/>
                <w:lang w:eastAsia="en-AU"/>
              </w:rPr>
              <w:t>Notes</w:t>
            </w:r>
          </w:p>
        </w:tc>
        <w:tc>
          <w:tcPr>
            <w:tcW w:w="760" w:type="dxa"/>
            <w:tcBorders>
              <w:top w:val="nil"/>
              <w:left w:val="nil"/>
              <w:right w:val="nil"/>
            </w:tcBorders>
            <w:shd w:val="solid" w:color="000000" w:fill="auto"/>
          </w:tcPr>
          <w:p w:rsidR="00A26D04" w:rsidRPr="00AC137D" w:rsidRDefault="00A26D04" w:rsidP="00A26D0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AC137D">
              <w:rPr>
                <w:rFonts w:eastAsiaTheme="minorEastAsia" w:cs="Calibri"/>
                <w:iCs/>
                <w:color w:val="FFFFFF"/>
                <w:szCs w:val="18"/>
                <w:lang w:eastAsia="en-AU"/>
              </w:rPr>
              <w:t>2018</w:t>
            </w:r>
            <w:r>
              <w:rPr>
                <w:rFonts w:eastAsiaTheme="minorEastAsia" w:cs="Calibri"/>
                <w:iCs/>
                <w:color w:val="FFFFFF"/>
                <w:szCs w:val="18"/>
                <w:lang w:eastAsia="en-AU"/>
              </w:rPr>
              <w:br/>
            </w:r>
            <w:r w:rsidRPr="00AC137D">
              <w:rPr>
                <w:rFonts w:eastAsiaTheme="minorEastAsia" w:cs="Calibri"/>
                <w:iCs/>
                <w:color w:val="FFFFFF"/>
                <w:szCs w:val="18"/>
                <w:lang w:eastAsia="en-AU"/>
              </w:rPr>
              <w:t xml:space="preserve">budget </w:t>
            </w:r>
            <w:r w:rsidRPr="00AC137D">
              <w:rPr>
                <w:rFonts w:eastAsiaTheme="minorEastAsia" w:cs="Calibri"/>
                <w:iCs/>
                <w:color w:val="FFFFFF"/>
                <w:szCs w:val="18"/>
                <w:vertAlign w:val="superscript"/>
                <w:lang w:eastAsia="en-AU"/>
              </w:rPr>
              <w:t>(a)</w:t>
            </w:r>
          </w:p>
        </w:tc>
        <w:tc>
          <w:tcPr>
            <w:tcW w:w="760" w:type="dxa"/>
            <w:tcBorders>
              <w:top w:val="nil"/>
              <w:left w:val="nil"/>
              <w:right w:val="nil"/>
            </w:tcBorders>
            <w:shd w:val="solid" w:color="000000" w:fill="auto"/>
          </w:tcPr>
          <w:p w:rsidR="00A26D04" w:rsidRPr="00AC137D" w:rsidRDefault="00A26D04" w:rsidP="00A26D0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AC137D">
              <w:rPr>
                <w:rFonts w:eastAsiaTheme="minorEastAsia" w:cs="Calibri"/>
                <w:iCs/>
                <w:color w:val="FFFFFF"/>
                <w:szCs w:val="18"/>
                <w:lang w:eastAsia="en-AU"/>
              </w:rPr>
              <w:t>2018</w:t>
            </w:r>
            <w:r>
              <w:rPr>
                <w:rFonts w:eastAsiaTheme="minorEastAsia" w:cs="Calibri"/>
                <w:iCs/>
                <w:color w:val="FFFFFF"/>
                <w:szCs w:val="18"/>
                <w:lang w:eastAsia="en-AU"/>
              </w:rPr>
              <w:br/>
            </w:r>
            <w:r w:rsidRPr="00AC137D">
              <w:rPr>
                <w:rFonts w:eastAsiaTheme="minorEastAsia" w:cs="Calibri"/>
                <w:iCs/>
                <w:color w:val="FFFFFF"/>
                <w:szCs w:val="18"/>
                <w:lang w:eastAsia="en-AU"/>
              </w:rPr>
              <w:t>revised</w:t>
            </w:r>
          </w:p>
        </w:tc>
        <w:tc>
          <w:tcPr>
            <w:tcW w:w="760" w:type="dxa"/>
            <w:tcBorders>
              <w:top w:val="nil"/>
              <w:left w:val="nil"/>
              <w:right w:val="nil"/>
            </w:tcBorders>
            <w:shd w:val="solid" w:color="000000" w:fill="auto"/>
          </w:tcPr>
          <w:p w:rsidR="00A26D04" w:rsidRPr="00AC137D" w:rsidRDefault="00A26D04" w:rsidP="00A26D0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AC137D">
              <w:rPr>
                <w:rFonts w:eastAsiaTheme="minorEastAsia" w:cs="Calibri"/>
                <w:iCs/>
                <w:color w:val="FFFFFF"/>
                <w:szCs w:val="18"/>
                <w:lang w:eastAsia="en-AU"/>
              </w:rPr>
              <w:t>2019</w:t>
            </w:r>
            <w:r>
              <w:rPr>
                <w:rFonts w:eastAsiaTheme="minorEastAsia" w:cs="Calibri"/>
                <w:iCs/>
                <w:color w:val="FFFFFF"/>
                <w:szCs w:val="18"/>
                <w:lang w:eastAsia="en-AU"/>
              </w:rPr>
              <w:br/>
            </w:r>
            <w:r w:rsidRPr="00AC137D">
              <w:rPr>
                <w:rFonts w:eastAsiaTheme="minorEastAsia" w:cs="Calibri"/>
                <w:iCs/>
                <w:color w:val="FFFFFF"/>
                <w:szCs w:val="18"/>
                <w:lang w:eastAsia="en-AU"/>
              </w:rPr>
              <w:t>estimate</w:t>
            </w:r>
          </w:p>
        </w:tc>
        <w:tc>
          <w:tcPr>
            <w:tcW w:w="760" w:type="dxa"/>
            <w:tcBorders>
              <w:top w:val="nil"/>
              <w:left w:val="nil"/>
              <w:right w:val="nil"/>
            </w:tcBorders>
            <w:shd w:val="solid" w:color="000000" w:fill="auto"/>
          </w:tcPr>
          <w:p w:rsidR="00A26D04" w:rsidRPr="00AC137D" w:rsidRDefault="00A26D04" w:rsidP="00A26D0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AC137D">
              <w:rPr>
                <w:rFonts w:eastAsiaTheme="minorEastAsia" w:cs="Calibri"/>
                <w:iCs/>
                <w:color w:val="FFFFFF"/>
                <w:szCs w:val="18"/>
                <w:lang w:eastAsia="en-AU"/>
              </w:rPr>
              <w:t>2020</w:t>
            </w:r>
            <w:r>
              <w:rPr>
                <w:rFonts w:eastAsiaTheme="minorEastAsia" w:cs="Calibri"/>
                <w:iCs/>
                <w:color w:val="FFFFFF"/>
                <w:szCs w:val="18"/>
                <w:lang w:eastAsia="en-AU"/>
              </w:rPr>
              <w:br/>
            </w:r>
            <w:r w:rsidRPr="00AC137D">
              <w:rPr>
                <w:rFonts w:eastAsiaTheme="minorEastAsia" w:cs="Calibri"/>
                <w:iCs/>
                <w:color w:val="FFFFFF"/>
                <w:szCs w:val="18"/>
                <w:lang w:eastAsia="en-AU"/>
              </w:rPr>
              <w:t>estimate</w:t>
            </w:r>
          </w:p>
        </w:tc>
        <w:tc>
          <w:tcPr>
            <w:tcW w:w="760" w:type="dxa"/>
            <w:tcBorders>
              <w:top w:val="nil"/>
              <w:left w:val="nil"/>
              <w:right w:val="nil"/>
            </w:tcBorders>
            <w:shd w:val="solid" w:color="000000" w:fill="auto"/>
          </w:tcPr>
          <w:p w:rsidR="00A26D04" w:rsidRPr="00AC137D" w:rsidRDefault="00A26D04" w:rsidP="00A26D0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AC137D">
              <w:rPr>
                <w:rFonts w:eastAsiaTheme="minorEastAsia" w:cs="Calibri"/>
                <w:iCs/>
                <w:color w:val="FFFFFF"/>
                <w:szCs w:val="18"/>
                <w:lang w:eastAsia="en-AU"/>
              </w:rPr>
              <w:t>2021</w:t>
            </w:r>
            <w:r>
              <w:rPr>
                <w:rFonts w:eastAsiaTheme="minorEastAsia" w:cs="Calibri"/>
                <w:iCs/>
                <w:color w:val="FFFFFF"/>
                <w:szCs w:val="18"/>
                <w:lang w:eastAsia="en-AU"/>
              </w:rPr>
              <w:br/>
            </w:r>
            <w:r w:rsidRPr="00AC137D">
              <w:rPr>
                <w:rFonts w:eastAsiaTheme="minorEastAsia" w:cs="Calibri"/>
                <w:iCs/>
                <w:color w:val="FFFFFF"/>
                <w:szCs w:val="18"/>
                <w:lang w:eastAsia="en-AU"/>
              </w:rPr>
              <w:t>estimate</w:t>
            </w:r>
          </w:p>
        </w:tc>
      </w:tr>
      <w:tr w:rsidR="00A46DCA" w:rsidRPr="00AC137D" w:rsidTr="00A26D04">
        <w:tc>
          <w:tcPr>
            <w:cnfStyle w:val="001000000000" w:firstRow="0" w:lastRow="0" w:firstColumn="1" w:lastColumn="0" w:oddVBand="0" w:evenVBand="0" w:oddHBand="0" w:evenHBand="0" w:firstRowFirstColumn="0" w:firstRowLastColumn="0" w:lastRowFirstColumn="0" w:lastRowLastColumn="0"/>
            <w:tcW w:w="3402" w:type="dxa"/>
            <w:tcBorders>
              <w:top w:val="nil"/>
              <w:left w:val="nil"/>
              <w:bottom w:val="nil"/>
              <w:right w:val="nil"/>
            </w:tcBorders>
          </w:tcPr>
          <w:p w:rsidR="00A46DCA" w:rsidRPr="00AC137D" w:rsidRDefault="00A46DCA" w:rsidP="00A26D04">
            <w:pPr>
              <w:keepLines w:val="0"/>
              <w:autoSpaceDE w:val="0"/>
              <w:autoSpaceDN w:val="0"/>
              <w:adjustRightInd w:val="0"/>
              <w:rPr>
                <w:rFonts w:eastAsiaTheme="minorEastAsia" w:cs="Calibri"/>
                <w:b/>
                <w:bCs/>
                <w:color w:val="000000"/>
                <w:szCs w:val="18"/>
                <w:lang w:eastAsia="en-AU"/>
              </w:rPr>
            </w:pPr>
            <w:r w:rsidRPr="00AC137D">
              <w:rPr>
                <w:rFonts w:eastAsiaTheme="minorEastAsia" w:cs="Calibri"/>
                <w:b/>
                <w:bCs/>
                <w:color w:val="000000"/>
                <w:szCs w:val="18"/>
                <w:lang w:eastAsia="en-AU"/>
              </w:rPr>
              <w:t>Assets</w:t>
            </w:r>
          </w:p>
        </w:tc>
        <w:tc>
          <w:tcPr>
            <w:tcW w:w="567" w:type="dxa"/>
            <w:gridSpan w:val="2"/>
            <w:tcBorders>
              <w:top w:val="nil"/>
              <w:left w:val="nil"/>
              <w:bottom w:val="nil"/>
              <w:right w:val="nil"/>
            </w:tcBorders>
          </w:tcPr>
          <w:p w:rsidR="00A46DCA" w:rsidRPr="00AC137D" w:rsidRDefault="00A46DCA" w:rsidP="00A26D04">
            <w:pPr>
              <w:keepLines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bCs/>
                <w:color w:val="000000"/>
                <w:lang w:eastAsia="en-AU"/>
              </w:rPr>
            </w:pPr>
            <w:r w:rsidRPr="00AC137D">
              <w:rPr>
                <w:rFonts w:eastAsiaTheme="minorEastAsia" w:cs="Calibri"/>
                <w:bCs/>
                <w:color w:val="000000"/>
                <w:lang w:eastAsia="en-AU"/>
              </w:rPr>
              <w:t xml:space="preserve"> </w:t>
            </w:r>
          </w:p>
        </w:tc>
        <w:tc>
          <w:tcPr>
            <w:tcW w:w="76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AC137D">
              <w:rPr>
                <w:rFonts w:eastAsiaTheme="minorEastAsia" w:cs="Calibri"/>
                <w:b/>
                <w:bCs/>
                <w:color w:val="000000"/>
                <w:lang w:eastAsia="en-AU"/>
              </w:rPr>
              <w:t xml:space="preserve"> </w:t>
            </w:r>
          </w:p>
        </w:tc>
        <w:tc>
          <w:tcPr>
            <w:tcW w:w="76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AC137D">
              <w:rPr>
                <w:rFonts w:eastAsiaTheme="minorEastAsia" w:cs="Calibri"/>
                <w:b/>
                <w:bCs/>
                <w:color w:val="000000"/>
                <w:lang w:eastAsia="en-AU"/>
              </w:rPr>
              <w:t xml:space="preserve"> </w:t>
            </w:r>
          </w:p>
        </w:tc>
        <w:tc>
          <w:tcPr>
            <w:tcW w:w="76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AC137D">
              <w:rPr>
                <w:rFonts w:eastAsiaTheme="minorEastAsia" w:cs="Calibri"/>
                <w:b/>
                <w:bCs/>
                <w:color w:val="000000"/>
                <w:lang w:eastAsia="en-AU"/>
              </w:rPr>
              <w:t xml:space="preserve"> </w:t>
            </w:r>
          </w:p>
        </w:tc>
        <w:tc>
          <w:tcPr>
            <w:tcW w:w="76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AC137D">
              <w:rPr>
                <w:rFonts w:eastAsiaTheme="minorEastAsia" w:cs="Calibri"/>
                <w:b/>
                <w:bCs/>
                <w:color w:val="000000"/>
                <w:lang w:eastAsia="en-AU"/>
              </w:rPr>
              <w:t xml:space="preserve"> </w:t>
            </w:r>
          </w:p>
        </w:tc>
        <w:tc>
          <w:tcPr>
            <w:tcW w:w="76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AC137D">
              <w:rPr>
                <w:rFonts w:eastAsiaTheme="minorEastAsia" w:cs="Calibri"/>
                <w:b/>
                <w:bCs/>
                <w:color w:val="000000"/>
                <w:lang w:eastAsia="en-AU"/>
              </w:rPr>
              <w:t xml:space="preserve"> </w:t>
            </w:r>
          </w:p>
        </w:tc>
      </w:tr>
      <w:tr w:rsidR="00A46DCA" w:rsidRPr="00AC137D" w:rsidTr="00A26D04">
        <w:tc>
          <w:tcPr>
            <w:cnfStyle w:val="001000000000" w:firstRow="0" w:lastRow="0" w:firstColumn="1" w:lastColumn="0" w:oddVBand="0" w:evenVBand="0" w:oddHBand="0" w:evenHBand="0" w:firstRowFirstColumn="0" w:firstRowLastColumn="0" w:lastRowFirstColumn="0" w:lastRowLastColumn="0"/>
            <w:tcW w:w="3402" w:type="dxa"/>
            <w:tcBorders>
              <w:top w:val="nil"/>
              <w:left w:val="nil"/>
              <w:bottom w:val="nil"/>
              <w:right w:val="nil"/>
            </w:tcBorders>
          </w:tcPr>
          <w:p w:rsidR="00A46DCA" w:rsidRPr="00AC137D" w:rsidRDefault="00A46DCA" w:rsidP="00A26D04">
            <w:pPr>
              <w:keepLines w:val="0"/>
              <w:autoSpaceDE w:val="0"/>
              <w:autoSpaceDN w:val="0"/>
              <w:adjustRightInd w:val="0"/>
              <w:rPr>
                <w:rFonts w:eastAsiaTheme="minorEastAsia" w:cs="Calibri"/>
                <w:b/>
                <w:bCs/>
                <w:color w:val="000000"/>
                <w:szCs w:val="18"/>
                <w:lang w:eastAsia="en-AU"/>
              </w:rPr>
            </w:pPr>
            <w:r w:rsidRPr="00AC137D">
              <w:rPr>
                <w:rFonts w:eastAsiaTheme="minorEastAsia" w:cs="Calibri"/>
                <w:b/>
                <w:bCs/>
                <w:color w:val="000000"/>
                <w:szCs w:val="18"/>
                <w:lang w:eastAsia="en-AU"/>
              </w:rPr>
              <w:t>Financial assets</w:t>
            </w:r>
          </w:p>
        </w:tc>
        <w:tc>
          <w:tcPr>
            <w:tcW w:w="567" w:type="dxa"/>
            <w:gridSpan w:val="2"/>
            <w:tcBorders>
              <w:top w:val="nil"/>
              <w:left w:val="nil"/>
              <w:bottom w:val="nil"/>
              <w:right w:val="nil"/>
            </w:tcBorders>
          </w:tcPr>
          <w:p w:rsidR="00A46DCA" w:rsidRPr="00AC137D" w:rsidRDefault="00A46DCA" w:rsidP="00A26D04">
            <w:pPr>
              <w:keepLines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bCs/>
                <w:color w:val="000000"/>
                <w:lang w:eastAsia="en-AU"/>
              </w:rPr>
            </w:pPr>
            <w:r w:rsidRPr="00AC137D">
              <w:rPr>
                <w:rFonts w:eastAsiaTheme="minorEastAsia" w:cs="Calibri"/>
                <w:bCs/>
                <w:color w:val="000000"/>
                <w:lang w:eastAsia="en-AU"/>
              </w:rPr>
              <w:t xml:space="preserve"> </w:t>
            </w:r>
          </w:p>
        </w:tc>
        <w:tc>
          <w:tcPr>
            <w:tcW w:w="76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AC137D">
              <w:rPr>
                <w:rFonts w:eastAsiaTheme="minorEastAsia" w:cs="Calibri"/>
                <w:b/>
                <w:bCs/>
                <w:color w:val="000000"/>
                <w:lang w:eastAsia="en-AU"/>
              </w:rPr>
              <w:t xml:space="preserve"> </w:t>
            </w:r>
          </w:p>
        </w:tc>
        <w:tc>
          <w:tcPr>
            <w:tcW w:w="76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AC137D">
              <w:rPr>
                <w:rFonts w:eastAsiaTheme="minorEastAsia" w:cs="Calibri"/>
                <w:b/>
                <w:bCs/>
                <w:color w:val="000000"/>
                <w:lang w:eastAsia="en-AU"/>
              </w:rPr>
              <w:t xml:space="preserve"> </w:t>
            </w:r>
          </w:p>
        </w:tc>
        <w:tc>
          <w:tcPr>
            <w:tcW w:w="76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AC137D">
              <w:rPr>
                <w:rFonts w:eastAsiaTheme="minorEastAsia" w:cs="Calibri"/>
                <w:b/>
                <w:bCs/>
                <w:color w:val="000000"/>
                <w:lang w:eastAsia="en-AU"/>
              </w:rPr>
              <w:t xml:space="preserve"> </w:t>
            </w:r>
          </w:p>
        </w:tc>
        <w:tc>
          <w:tcPr>
            <w:tcW w:w="76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AC137D">
              <w:rPr>
                <w:rFonts w:eastAsiaTheme="minorEastAsia" w:cs="Calibri"/>
                <w:b/>
                <w:bCs/>
                <w:color w:val="000000"/>
                <w:lang w:eastAsia="en-AU"/>
              </w:rPr>
              <w:t xml:space="preserve"> </w:t>
            </w:r>
          </w:p>
        </w:tc>
        <w:tc>
          <w:tcPr>
            <w:tcW w:w="76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AC137D">
              <w:rPr>
                <w:rFonts w:eastAsiaTheme="minorEastAsia" w:cs="Calibri"/>
                <w:b/>
                <w:bCs/>
                <w:color w:val="000000"/>
                <w:lang w:eastAsia="en-AU"/>
              </w:rPr>
              <w:t xml:space="preserve"> </w:t>
            </w:r>
          </w:p>
        </w:tc>
      </w:tr>
      <w:tr w:rsidR="00A46DCA" w:rsidRPr="00AC137D" w:rsidTr="00A26D04">
        <w:tc>
          <w:tcPr>
            <w:cnfStyle w:val="001000000000" w:firstRow="0" w:lastRow="0" w:firstColumn="1" w:lastColumn="0" w:oddVBand="0" w:evenVBand="0" w:oddHBand="0" w:evenHBand="0" w:firstRowFirstColumn="0" w:firstRowLastColumn="0" w:lastRowFirstColumn="0" w:lastRowLastColumn="0"/>
            <w:tcW w:w="3402" w:type="dxa"/>
            <w:tcBorders>
              <w:top w:val="nil"/>
              <w:left w:val="nil"/>
              <w:bottom w:val="nil"/>
              <w:right w:val="nil"/>
            </w:tcBorders>
          </w:tcPr>
          <w:p w:rsidR="00A46DCA" w:rsidRPr="00AC137D" w:rsidRDefault="00A46DCA" w:rsidP="00A26D04">
            <w:pPr>
              <w:keepLines w:val="0"/>
              <w:autoSpaceDE w:val="0"/>
              <w:autoSpaceDN w:val="0"/>
              <w:adjustRightInd w:val="0"/>
              <w:rPr>
                <w:rFonts w:eastAsiaTheme="minorEastAsia" w:cs="Calibri"/>
                <w:color w:val="000000"/>
                <w:szCs w:val="18"/>
                <w:lang w:eastAsia="en-AU"/>
              </w:rPr>
            </w:pPr>
            <w:r w:rsidRPr="00AC137D">
              <w:rPr>
                <w:rFonts w:eastAsiaTheme="minorEastAsia" w:cs="Calibri"/>
                <w:color w:val="000000"/>
                <w:szCs w:val="18"/>
                <w:lang w:eastAsia="en-AU"/>
              </w:rPr>
              <w:t>Cash and deposits</w:t>
            </w:r>
          </w:p>
        </w:tc>
        <w:tc>
          <w:tcPr>
            <w:tcW w:w="567" w:type="dxa"/>
            <w:gridSpan w:val="2"/>
            <w:tcBorders>
              <w:top w:val="nil"/>
              <w:left w:val="nil"/>
              <w:bottom w:val="nil"/>
              <w:right w:val="nil"/>
            </w:tcBorders>
          </w:tcPr>
          <w:p w:rsidR="00A46DCA" w:rsidRPr="00AC137D" w:rsidRDefault="00A46DCA" w:rsidP="00A26D04">
            <w:pPr>
              <w:keepLines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AC137D">
              <w:rPr>
                <w:rFonts w:eastAsiaTheme="minorEastAsia" w:cs="Calibri"/>
                <w:color w:val="000000"/>
                <w:lang w:eastAsia="en-AU"/>
              </w:rPr>
              <w:t xml:space="preserve"> </w:t>
            </w:r>
          </w:p>
        </w:tc>
        <w:tc>
          <w:tcPr>
            <w:tcW w:w="76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AC137D">
              <w:rPr>
                <w:rFonts w:eastAsiaTheme="minorEastAsia" w:cs="Calibri"/>
                <w:color w:val="000000"/>
                <w:szCs w:val="18"/>
                <w:lang w:eastAsia="en-AU"/>
              </w:rPr>
              <w:t>5 938</w:t>
            </w:r>
          </w:p>
        </w:tc>
        <w:tc>
          <w:tcPr>
            <w:tcW w:w="76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AC137D">
              <w:rPr>
                <w:rFonts w:eastAsiaTheme="minorEastAsia" w:cs="Calibri"/>
                <w:color w:val="000000"/>
                <w:szCs w:val="18"/>
                <w:lang w:eastAsia="en-AU"/>
              </w:rPr>
              <w:t>4 777</w:t>
            </w:r>
          </w:p>
        </w:tc>
        <w:tc>
          <w:tcPr>
            <w:tcW w:w="76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AC137D">
              <w:rPr>
                <w:rFonts w:eastAsiaTheme="minorEastAsia" w:cs="Calibri"/>
                <w:color w:val="000000"/>
                <w:szCs w:val="18"/>
                <w:lang w:eastAsia="en-AU"/>
              </w:rPr>
              <w:t>5 205</w:t>
            </w:r>
          </w:p>
        </w:tc>
        <w:tc>
          <w:tcPr>
            <w:tcW w:w="76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AC137D">
              <w:rPr>
                <w:rFonts w:eastAsiaTheme="minorEastAsia" w:cs="Calibri"/>
                <w:color w:val="000000"/>
                <w:szCs w:val="18"/>
                <w:lang w:eastAsia="en-AU"/>
              </w:rPr>
              <w:t>5 734</w:t>
            </w:r>
          </w:p>
        </w:tc>
        <w:tc>
          <w:tcPr>
            <w:tcW w:w="76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AC137D">
              <w:rPr>
                <w:rFonts w:eastAsiaTheme="minorEastAsia" w:cs="Calibri"/>
                <w:color w:val="000000"/>
                <w:szCs w:val="18"/>
                <w:lang w:eastAsia="en-AU"/>
              </w:rPr>
              <w:t>6 009</w:t>
            </w:r>
          </w:p>
        </w:tc>
      </w:tr>
      <w:tr w:rsidR="00A46DCA" w:rsidRPr="00AC137D" w:rsidTr="00A26D04">
        <w:tc>
          <w:tcPr>
            <w:cnfStyle w:val="001000000000" w:firstRow="0" w:lastRow="0" w:firstColumn="1" w:lastColumn="0" w:oddVBand="0" w:evenVBand="0" w:oddHBand="0" w:evenHBand="0" w:firstRowFirstColumn="0" w:firstRowLastColumn="0" w:lastRowFirstColumn="0" w:lastRowLastColumn="0"/>
            <w:tcW w:w="3402" w:type="dxa"/>
            <w:tcBorders>
              <w:top w:val="nil"/>
              <w:left w:val="nil"/>
              <w:bottom w:val="nil"/>
              <w:right w:val="nil"/>
            </w:tcBorders>
          </w:tcPr>
          <w:p w:rsidR="00A46DCA" w:rsidRPr="00AC137D" w:rsidRDefault="00A46DCA" w:rsidP="00A26D04">
            <w:pPr>
              <w:keepLines w:val="0"/>
              <w:autoSpaceDE w:val="0"/>
              <w:autoSpaceDN w:val="0"/>
              <w:adjustRightInd w:val="0"/>
              <w:rPr>
                <w:rFonts w:eastAsiaTheme="minorEastAsia" w:cs="Calibri"/>
                <w:color w:val="000000"/>
                <w:szCs w:val="18"/>
                <w:lang w:eastAsia="en-AU"/>
              </w:rPr>
            </w:pPr>
            <w:r w:rsidRPr="00AC137D">
              <w:rPr>
                <w:rFonts w:eastAsiaTheme="minorEastAsia" w:cs="Calibri"/>
                <w:color w:val="000000"/>
                <w:szCs w:val="18"/>
                <w:lang w:eastAsia="en-AU"/>
              </w:rPr>
              <w:t>Advances paid</w:t>
            </w:r>
          </w:p>
        </w:tc>
        <w:tc>
          <w:tcPr>
            <w:tcW w:w="567" w:type="dxa"/>
            <w:gridSpan w:val="2"/>
            <w:tcBorders>
              <w:top w:val="nil"/>
              <w:left w:val="nil"/>
              <w:bottom w:val="nil"/>
              <w:right w:val="nil"/>
            </w:tcBorders>
          </w:tcPr>
          <w:p w:rsidR="00A46DCA" w:rsidRPr="00AC137D" w:rsidRDefault="00A46DCA" w:rsidP="00A26D04">
            <w:pPr>
              <w:keepLines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AC137D">
              <w:rPr>
                <w:rFonts w:eastAsiaTheme="minorEastAsia" w:cs="Calibri"/>
                <w:color w:val="000000"/>
                <w:szCs w:val="18"/>
                <w:lang w:eastAsia="en-AU"/>
              </w:rPr>
              <w:t>4.5.2</w:t>
            </w:r>
          </w:p>
        </w:tc>
        <w:tc>
          <w:tcPr>
            <w:tcW w:w="76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AC137D">
              <w:rPr>
                <w:rFonts w:eastAsiaTheme="minorEastAsia" w:cs="Calibri"/>
                <w:color w:val="000000"/>
                <w:szCs w:val="18"/>
                <w:lang w:eastAsia="en-AU"/>
              </w:rPr>
              <w:t>10 230</w:t>
            </w:r>
          </w:p>
        </w:tc>
        <w:tc>
          <w:tcPr>
            <w:tcW w:w="76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AC137D">
              <w:rPr>
                <w:rFonts w:eastAsiaTheme="minorEastAsia" w:cs="Calibri"/>
                <w:color w:val="000000"/>
                <w:szCs w:val="18"/>
                <w:lang w:eastAsia="en-AU"/>
              </w:rPr>
              <w:t>9 974</w:t>
            </w:r>
          </w:p>
        </w:tc>
        <w:tc>
          <w:tcPr>
            <w:tcW w:w="76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AC137D">
              <w:rPr>
                <w:rFonts w:eastAsiaTheme="minorEastAsia" w:cs="Calibri"/>
                <w:color w:val="000000"/>
                <w:szCs w:val="18"/>
                <w:lang w:eastAsia="en-AU"/>
              </w:rPr>
              <w:t>8 258</w:t>
            </w:r>
          </w:p>
        </w:tc>
        <w:tc>
          <w:tcPr>
            <w:tcW w:w="76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AC137D">
              <w:rPr>
                <w:rFonts w:eastAsiaTheme="minorEastAsia" w:cs="Calibri"/>
                <w:color w:val="000000"/>
                <w:szCs w:val="18"/>
                <w:lang w:eastAsia="en-AU"/>
              </w:rPr>
              <w:t>6 657</w:t>
            </w:r>
          </w:p>
        </w:tc>
        <w:tc>
          <w:tcPr>
            <w:tcW w:w="76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AC137D">
              <w:rPr>
                <w:rFonts w:eastAsiaTheme="minorEastAsia" w:cs="Calibri"/>
                <w:color w:val="000000"/>
                <w:szCs w:val="18"/>
                <w:lang w:eastAsia="en-AU"/>
              </w:rPr>
              <w:t>5 005</w:t>
            </w:r>
          </w:p>
        </w:tc>
      </w:tr>
      <w:tr w:rsidR="00A46DCA" w:rsidRPr="00AC137D" w:rsidTr="00A26D04">
        <w:tc>
          <w:tcPr>
            <w:cnfStyle w:val="001000000000" w:firstRow="0" w:lastRow="0" w:firstColumn="1" w:lastColumn="0" w:oddVBand="0" w:evenVBand="0" w:oddHBand="0" w:evenHBand="0" w:firstRowFirstColumn="0" w:firstRowLastColumn="0" w:lastRowFirstColumn="0" w:lastRowLastColumn="0"/>
            <w:tcW w:w="3402" w:type="dxa"/>
            <w:tcBorders>
              <w:top w:val="nil"/>
              <w:left w:val="nil"/>
              <w:bottom w:val="nil"/>
              <w:right w:val="nil"/>
            </w:tcBorders>
          </w:tcPr>
          <w:p w:rsidR="00A46DCA" w:rsidRPr="00AC137D" w:rsidRDefault="00A46DCA" w:rsidP="00A26D04">
            <w:pPr>
              <w:keepLines w:val="0"/>
              <w:autoSpaceDE w:val="0"/>
              <w:autoSpaceDN w:val="0"/>
              <w:adjustRightInd w:val="0"/>
              <w:rPr>
                <w:rFonts w:eastAsiaTheme="minorEastAsia" w:cs="Calibri"/>
                <w:color w:val="000000"/>
                <w:szCs w:val="18"/>
                <w:lang w:eastAsia="en-AU"/>
              </w:rPr>
            </w:pPr>
            <w:r w:rsidRPr="00AC137D">
              <w:rPr>
                <w:rFonts w:eastAsiaTheme="minorEastAsia" w:cs="Calibri"/>
                <w:color w:val="000000"/>
                <w:szCs w:val="18"/>
                <w:lang w:eastAsia="en-AU"/>
              </w:rPr>
              <w:t>Receivables</w:t>
            </w:r>
          </w:p>
        </w:tc>
        <w:tc>
          <w:tcPr>
            <w:tcW w:w="567" w:type="dxa"/>
            <w:gridSpan w:val="2"/>
            <w:tcBorders>
              <w:top w:val="nil"/>
              <w:left w:val="nil"/>
              <w:bottom w:val="nil"/>
              <w:right w:val="nil"/>
            </w:tcBorders>
          </w:tcPr>
          <w:p w:rsidR="00A46DCA" w:rsidRPr="00AC137D" w:rsidRDefault="00A46DCA" w:rsidP="00A26D04">
            <w:pPr>
              <w:keepLines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AC137D">
              <w:rPr>
                <w:rFonts w:eastAsiaTheme="minorEastAsia" w:cs="Calibri"/>
                <w:color w:val="000000"/>
                <w:lang w:eastAsia="en-AU"/>
              </w:rPr>
              <w:t xml:space="preserve"> </w:t>
            </w:r>
          </w:p>
        </w:tc>
        <w:tc>
          <w:tcPr>
            <w:tcW w:w="76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AC137D">
              <w:rPr>
                <w:rFonts w:eastAsiaTheme="minorEastAsia" w:cs="Calibri"/>
                <w:color w:val="000000"/>
                <w:szCs w:val="18"/>
                <w:lang w:eastAsia="en-AU"/>
              </w:rPr>
              <w:t>6 026</w:t>
            </w:r>
          </w:p>
        </w:tc>
        <w:tc>
          <w:tcPr>
            <w:tcW w:w="76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AC137D">
              <w:rPr>
                <w:rFonts w:eastAsiaTheme="minorEastAsia" w:cs="Calibri"/>
                <w:color w:val="000000"/>
                <w:szCs w:val="18"/>
                <w:lang w:eastAsia="en-AU"/>
              </w:rPr>
              <w:t>6 008</w:t>
            </w:r>
          </w:p>
        </w:tc>
        <w:tc>
          <w:tcPr>
            <w:tcW w:w="76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AC137D">
              <w:rPr>
                <w:rFonts w:eastAsiaTheme="minorEastAsia" w:cs="Calibri"/>
                <w:color w:val="000000"/>
                <w:szCs w:val="18"/>
                <w:lang w:eastAsia="en-AU"/>
              </w:rPr>
              <w:t>6 278</w:t>
            </w:r>
          </w:p>
        </w:tc>
        <w:tc>
          <w:tcPr>
            <w:tcW w:w="76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AC137D">
              <w:rPr>
                <w:rFonts w:eastAsiaTheme="minorEastAsia" w:cs="Calibri"/>
                <w:color w:val="000000"/>
                <w:szCs w:val="18"/>
                <w:lang w:eastAsia="en-AU"/>
              </w:rPr>
              <w:t>6 485</w:t>
            </w:r>
          </w:p>
        </w:tc>
        <w:tc>
          <w:tcPr>
            <w:tcW w:w="76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AC137D">
              <w:rPr>
                <w:rFonts w:eastAsiaTheme="minorEastAsia" w:cs="Calibri"/>
                <w:color w:val="000000"/>
                <w:szCs w:val="18"/>
                <w:lang w:eastAsia="en-AU"/>
              </w:rPr>
              <w:t>6 889</w:t>
            </w:r>
          </w:p>
        </w:tc>
      </w:tr>
      <w:tr w:rsidR="00A46DCA" w:rsidRPr="00AC137D" w:rsidTr="00A26D04">
        <w:tc>
          <w:tcPr>
            <w:cnfStyle w:val="001000000000" w:firstRow="0" w:lastRow="0" w:firstColumn="1" w:lastColumn="0" w:oddVBand="0" w:evenVBand="0" w:oddHBand="0" w:evenHBand="0" w:firstRowFirstColumn="0" w:firstRowLastColumn="0" w:lastRowFirstColumn="0" w:lastRowLastColumn="0"/>
            <w:tcW w:w="3402" w:type="dxa"/>
            <w:tcBorders>
              <w:top w:val="nil"/>
              <w:left w:val="nil"/>
              <w:bottom w:val="nil"/>
              <w:right w:val="nil"/>
            </w:tcBorders>
          </w:tcPr>
          <w:p w:rsidR="00A46DCA" w:rsidRPr="00AC137D" w:rsidRDefault="00A46DCA" w:rsidP="00A26D04">
            <w:pPr>
              <w:keepLines w:val="0"/>
              <w:autoSpaceDE w:val="0"/>
              <w:autoSpaceDN w:val="0"/>
              <w:adjustRightInd w:val="0"/>
              <w:rPr>
                <w:rFonts w:eastAsiaTheme="minorEastAsia" w:cs="Calibri"/>
                <w:color w:val="000000"/>
                <w:szCs w:val="18"/>
                <w:lang w:eastAsia="en-AU"/>
              </w:rPr>
            </w:pPr>
            <w:r w:rsidRPr="00AC137D">
              <w:rPr>
                <w:rFonts w:eastAsiaTheme="minorEastAsia" w:cs="Calibri"/>
                <w:color w:val="000000"/>
                <w:szCs w:val="18"/>
                <w:lang w:eastAsia="en-AU"/>
              </w:rPr>
              <w:t>Investments, loans and placements</w:t>
            </w:r>
          </w:p>
        </w:tc>
        <w:tc>
          <w:tcPr>
            <w:tcW w:w="567" w:type="dxa"/>
            <w:gridSpan w:val="2"/>
            <w:tcBorders>
              <w:top w:val="nil"/>
              <w:left w:val="nil"/>
              <w:bottom w:val="nil"/>
              <w:right w:val="nil"/>
            </w:tcBorders>
          </w:tcPr>
          <w:p w:rsidR="00A46DCA" w:rsidRPr="00AC137D" w:rsidRDefault="00A46DCA" w:rsidP="00A26D04">
            <w:pPr>
              <w:keepLines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AC137D">
              <w:rPr>
                <w:rFonts w:eastAsiaTheme="minorEastAsia" w:cs="Calibri"/>
                <w:color w:val="000000"/>
                <w:szCs w:val="18"/>
                <w:lang w:eastAsia="en-AU"/>
              </w:rPr>
              <w:t>4.5.2</w:t>
            </w:r>
          </w:p>
        </w:tc>
        <w:tc>
          <w:tcPr>
            <w:tcW w:w="76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AC137D">
              <w:rPr>
                <w:rFonts w:eastAsiaTheme="minorEastAsia" w:cs="Calibri"/>
                <w:color w:val="000000"/>
                <w:szCs w:val="18"/>
                <w:lang w:eastAsia="en-AU"/>
              </w:rPr>
              <w:t>2 889</w:t>
            </w:r>
          </w:p>
        </w:tc>
        <w:tc>
          <w:tcPr>
            <w:tcW w:w="76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AC137D">
              <w:rPr>
                <w:rFonts w:eastAsiaTheme="minorEastAsia" w:cs="Calibri"/>
                <w:color w:val="000000"/>
                <w:szCs w:val="18"/>
                <w:lang w:eastAsia="en-AU"/>
              </w:rPr>
              <w:t>3 386</w:t>
            </w:r>
          </w:p>
        </w:tc>
        <w:tc>
          <w:tcPr>
            <w:tcW w:w="76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AC137D">
              <w:rPr>
                <w:rFonts w:eastAsiaTheme="minorEastAsia" w:cs="Calibri"/>
                <w:color w:val="000000"/>
                <w:szCs w:val="18"/>
                <w:lang w:eastAsia="en-AU"/>
              </w:rPr>
              <w:t>3 225</w:t>
            </w:r>
          </w:p>
        </w:tc>
        <w:tc>
          <w:tcPr>
            <w:tcW w:w="76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AC137D">
              <w:rPr>
                <w:rFonts w:eastAsiaTheme="minorEastAsia" w:cs="Calibri"/>
                <w:color w:val="000000"/>
                <w:szCs w:val="18"/>
                <w:lang w:eastAsia="en-AU"/>
              </w:rPr>
              <w:t>3 185</w:t>
            </w:r>
          </w:p>
        </w:tc>
        <w:tc>
          <w:tcPr>
            <w:tcW w:w="76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AC137D">
              <w:rPr>
                <w:rFonts w:eastAsiaTheme="minorEastAsia" w:cs="Calibri"/>
                <w:color w:val="000000"/>
                <w:szCs w:val="18"/>
                <w:lang w:eastAsia="en-AU"/>
              </w:rPr>
              <w:t>3 232</w:t>
            </w:r>
          </w:p>
        </w:tc>
      </w:tr>
      <w:tr w:rsidR="00A46DCA" w:rsidRPr="00AC137D" w:rsidTr="00A26D04">
        <w:tc>
          <w:tcPr>
            <w:cnfStyle w:val="001000000000" w:firstRow="0" w:lastRow="0" w:firstColumn="1" w:lastColumn="0" w:oddVBand="0" w:evenVBand="0" w:oddHBand="0" w:evenHBand="0" w:firstRowFirstColumn="0" w:firstRowLastColumn="0" w:lastRowFirstColumn="0" w:lastRowLastColumn="0"/>
            <w:tcW w:w="3543" w:type="dxa"/>
            <w:gridSpan w:val="2"/>
            <w:tcBorders>
              <w:top w:val="nil"/>
              <w:left w:val="nil"/>
              <w:bottom w:val="nil"/>
              <w:right w:val="nil"/>
            </w:tcBorders>
          </w:tcPr>
          <w:p w:rsidR="00A46DCA" w:rsidRPr="00AC137D" w:rsidRDefault="00A46DCA" w:rsidP="00A26D04">
            <w:pPr>
              <w:keepLines w:val="0"/>
              <w:autoSpaceDE w:val="0"/>
              <w:autoSpaceDN w:val="0"/>
              <w:adjustRightInd w:val="0"/>
              <w:rPr>
                <w:rFonts w:eastAsiaTheme="minorEastAsia" w:cs="Calibri"/>
                <w:color w:val="000000"/>
                <w:szCs w:val="18"/>
                <w:lang w:eastAsia="en-AU"/>
              </w:rPr>
            </w:pPr>
            <w:r w:rsidRPr="00AC137D">
              <w:rPr>
                <w:rFonts w:eastAsiaTheme="minorEastAsia" w:cs="Calibri"/>
                <w:color w:val="000000"/>
                <w:szCs w:val="18"/>
                <w:lang w:eastAsia="en-AU"/>
              </w:rPr>
              <w:t>Investments accounted for using equity method</w:t>
            </w:r>
          </w:p>
        </w:tc>
        <w:tc>
          <w:tcPr>
            <w:tcW w:w="426" w:type="dxa"/>
            <w:tcBorders>
              <w:top w:val="nil"/>
              <w:left w:val="nil"/>
              <w:bottom w:val="nil"/>
              <w:right w:val="nil"/>
            </w:tcBorders>
          </w:tcPr>
          <w:p w:rsidR="00A46DCA" w:rsidRPr="00AC137D" w:rsidRDefault="00A46DCA" w:rsidP="00A26D04">
            <w:pPr>
              <w:keepLines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AC137D">
              <w:rPr>
                <w:rFonts w:eastAsiaTheme="minorEastAsia" w:cs="Calibri"/>
                <w:color w:val="000000"/>
                <w:lang w:eastAsia="en-AU"/>
              </w:rPr>
              <w:t xml:space="preserve"> </w:t>
            </w:r>
          </w:p>
        </w:tc>
        <w:tc>
          <w:tcPr>
            <w:tcW w:w="76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47</w:t>
            </w:r>
          </w:p>
        </w:tc>
        <w:tc>
          <w:tcPr>
            <w:tcW w:w="76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47</w:t>
            </w:r>
          </w:p>
        </w:tc>
        <w:tc>
          <w:tcPr>
            <w:tcW w:w="76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47</w:t>
            </w:r>
          </w:p>
        </w:tc>
        <w:tc>
          <w:tcPr>
            <w:tcW w:w="76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47</w:t>
            </w:r>
          </w:p>
        </w:tc>
        <w:tc>
          <w:tcPr>
            <w:tcW w:w="76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47</w:t>
            </w:r>
          </w:p>
        </w:tc>
      </w:tr>
      <w:tr w:rsidR="00A46DCA" w:rsidRPr="00AC137D" w:rsidTr="00A26D04">
        <w:tc>
          <w:tcPr>
            <w:cnfStyle w:val="001000000000" w:firstRow="0" w:lastRow="0" w:firstColumn="1" w:lastColumn="0" w:oddVBand="0" w:evenVBand="0" w:oddHBand="0" w:evenHBand="0" w:firstRowFirstColumn="0" w:firstRowLastColumn="0" w:lastRowFirstColumn="0" w:lastRowLastColumn="0"/>
            <w:tcW w:w="3402" w:type="dxa"/>
            <w:tcBorders>
              <w:top w:val="nil"/>
              <w:left w:val="nil"/>
              <w:bottom w:val="nil"/>
              <w:right w:val="nil"/>
            </w:tcBorders>
          </w:tcPr>
          <w:p w:rsidR="00A46DCA" w:rsidRPr="00AC137D" w:rsidRDefault="00A46DCA" w:rsidP="00A26D04">
            <w:pPr>
              <w:keepLines w:val="0"/>
              <w:autoSpaceDE w:val="0"/>
              <w:autoSpaceDN w:val="0"/>
              <w:adjustRightInd w:val="0"/>
              <w:rPr>
                <w:rFonts w:eastAsiaTheme="minorEastAsia" w:cs="Calibri"/>
                <w:color w:val="000000"/>
                <w:szCs w:val="18"/>
                <w:lang w:eastAsia="en-AU"/>
              </w:rPr>
            </w:pPr>
            <w:r w:rsidRPr="00AC137D">
              <w:rPr>
                <w:rFonts w:eastAsiaTheme="minorEastAsia" w:cs="Calibri"/>
                <w:color w:val="000000"/>
                <w:szCs w:val="18"/>
                <w:lang w:eastAsia="en-AU"/>
              </w:rPr>
              <w:t>Investments in other sector entities</w:t>
            </w:r>
          </w:p>
        </w:tc>
        <w:tc>
          <w:tcPr>
            <w:tcW w:w="567" w:type="dxa"/>
            <w:gridSpan w:val="2"/>
            <w:tcBorders>
              <w:top w:val="nil"/>
              <w:left w:val="nil"/>
              <w:bottom w:val="nil"/>
              <w:right w:val="nil"/>
            </w:tcBorders>
          </w:tcPr>
          <w:p w:rsidR="00A46DCA" w:rsidRPr="00AC137D" w:rsidRDefault="00A46DCA" w:rsidP="00A26D04">
            <w:pPr>
              <w:keepLines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AC137D">
              <w:rPr>
                <w:rFonts w:eastAsiaTheme="minorEastAsia" w:cs="Calibri"/>
                <w:color w:val="000000"/>
                <w:szCs w:val="18"/>
                <w:lang w:eastAsia="en-AU"/>
              </w:rPr>
              <w:t>4.6.1</w:t>
            </w:r>
          </w:p>
        </w:tc>
        <w:tc>
          <w:tcPr>
            <w:tcW w:w="76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AC137D">
              <w:rPr>
                <w:rFonts w:eastAsiaTheme="minorEastAsia" w:cs="Calibri"/>
                <w:color w:val="000000"/>
                <w:szCs w:val="18"/>
                <w:lang w:eastAsia="en-AU"/>
              </w:rPr>
              <w:t>96 203</w:t>
            </w:r>
          </w:p>
        </w:tc>
        <w:tc>
          <w:tcPr>
            <w:tcW w:w="76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AC137D">
              <w:rPr>
                <w:rFonts w:eastAsiaTheme="minorEastAsia" w:cs="Calibri"/>
                <w:color w:val="000000"/>
                <w:szCs w:val="18"/>
                <w:lang w:eastAsia="en-AU"/>
              </w:rPr>
              <w:t>97 042</w:t>
            </w:r>
          </w:p>
        </w:tc>
        <w:tc>
          <w:tcPr>
            <w:tcW w:w="76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AC137D">
              <w:rPr>
                <w:rFonts w:eastAsiaTheme="minorEastAsia" w:cs="Calibri"/>
                <w:color w:val="000000"/>
                <w:szCs w:val="18"/>
                <w:lang w:eastAsia="en-AU"/>
              </w:rPr>
              <w:t>102 220</w:t>
            </w:r>
          </w:p>
        </w:tc>
        <w:tc>
          <w:tcPr>
            <w:tcW w:w="76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AC137D">
              <w:rPr>
                <w:rFonts w:eastAsiaTheme="minorEastAsia" w:cs="Calibri"/>
                <w:color w:val="000000"/>
                <w:szCs w:val="18"/>
                <w:lang w:eastAsia="en-AU"/>
              </w:rPr>
              <w:t>106 274</w:t>
            </w:r>
          </w:p>
        </w:tc>
        <w:tc>
          <w:tcPr>
            <w:tcW w:w="76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AC137D">
              <w:rPr>
                <w:rFonts w:eastAsiaTheme="minorEastAsia" w:cs="Calibri"/>
                <w:color w:val="000000"/>
                <w:szCs w:val="18"/>
                <w:lang w:eastAsia="en-AU"/>
              </w:rPr>
              <w:t>109 703</w:t>
            </w:r>
          </w:p>
        </w:tc>
      </w:tr>
      <w:tr w:rsidR="00A46DCA" w:rsidRPr="00AC137D" w:rsidTr="00A26D04">
        <w:tc>
          <w:tcPr>
            <w:cnfStyle w:val="001000000000" w:firstRow="0" w:lastRow="0" w:firstColumn="1" w:lastColumn="0" w:oddVBand="0" w:evenVBand="0" w:oddHBand="0" w:evenHBand="0" w:firstRowFirstColumn="0" w:firstRowLastColumn="0" w:lastRowFirstColumn="0" w:lastRowLastColumn="0"/>
            <w:tcW w:w="3402" w:type="dxa"/>
            <w:tcBorders>
              <w:top w:val="single" w:sz="6" w:space="0" w:color="000000"/>
              <w:left w:val="nil"/>
              <w:bottom w:val="single" w:sz="6" w:space="0" w:color="000000"/>
              <w:right w:val="nil"/>
            </w:tcBorders>
          </w:tcPr>
          <w:p w:rsidR="00A46DCA" w:rsidRPr="00AC137D" w:rsidRDefault="00A46DCA" w:rsidP="00A26D04">
            <w:pPr>
              <w:keepLines w:val="0"/>
              <w:autoSpaceDE w:val="0"/>
              <w:autoSpaceDN w:val="0"/>
              <w:adjustRightInd w:val="0"/>
              <w:rPr>
                <w:rFonts w:eastAsiaTheme="minorEastAsia" w:cs="Calibri"/>
                <w:b/>
                <w:bCs/>
                <w:color w:val="000000"/>
                <w:szCs w:val="18"/>
                <w:lang w:eastAsia="en-AU"/>
              </w:rPr>
            </w:pPr>
            <w:r w:rsidRPr="00AC137D">
              <w:rPr>
                <w:rFonts w:eastAsiaTheme="minorEastAsia" w:cs="Calibri"/>
                <w:b/>
                <w:bCs/>
                <w:color w:val="000000"/>
                <w:szCs w:val="18"/>
                <w:lang w:eastAsia="en-AU"/>
              </w:rPr>
              <w:t>Total financial assets</w:t>
            </w:r>
          </w:p>
        </w:tc>
        <w:tc>
          <w:tcPr>
            <w:tcW w:w="567" w:type="dxa"/>
            <w:gridSpan w:val="2"/>
            <w:tcBorders>
              <w:top w:val="single" w:sz="6" w:space="0" w:color="000000"/>
              <w:left w:val="nil"/>
              <w:bottom w:val="single" w:sz="6" w:space="0" w:color="000000"/>
              <w:right w:val="nil"/>
            </w:tcBorders>
          </w:tcPr>
          <w:p w:rsidR="00A46DCA" w:rsidRPr="00AC137D" w:rsidRDefault="00A46DCA" w:rsidP="00A26D04">
            <w:pPr>
              <w:keepLines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bCs/>
                <w:color w:val="000000"/>
                <w:lang w:eastAsia="en-AU"/>
              </w:rPr>
            </w:pPr>
            <w:r w:rsidRPr="00AC137D">
              <w:rPr>
                <w:rFonts w:eastAsiaTheme="minorEastAsia" w:cs="Calibri"/>
                <w:bCs/>
                <w:color w:val="000000"/>
                <w:lang w:eastAsia="en-AU"/>
              </w:rPr>
              <w:t xml:space="preserve"> </w:t>
            </w:r>
          </w:p>
        </w:tc>
        <w:tc>
          <w:tcPr>
            <w:tcW w:w="760" w:type="dxa"/>
            <w:tcBorders>
              <w:top w:val="single" w:sz="6" w:space="0" w:color="000000"/>
              <w:left w:val="nil"/>
              <w:bottom w:val="single" w:sz="6" w:space="0" w:color="000000"/>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AC137D">
              <w:rPr>
                <w:rFonts w:eastAsiaTheme="minorEastAsia" w:cs="Calibri"/>
                <w:b/>
                <w:bCs/>
                <w:color w:val="000000"/>
                <w:szCs w:val="18"/>
                <w:lang w:eastAsia="en-AU"/>
              </w:rPr>
              <w:t>121 333</w:t>
            </w:r>
          </w:p>
        </w:tc>
        <w:tc>
          <w:tcPr>
            <w:tcW w:w="760" w:type="dxa"/>
            <w:tcBorders>
              <w:top w:val="single" w:sz="6" w:space="0" w:color="000000"/>
              <w:left w:val="nil"/>
              <w:bottom w:val="single" w:sz="6" w:space="0" w:color="000000"/>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AC137D">
              <w:rPr>
                <w:rFonts w:eastAsiaTheme="minorEastAsia" w:cs="Calibri"/>
                <w:b/>
                <w:bCs/>
                <w:color w:val="000000"/>
                <w:szCs w:val="18"/>
                <w:lang w:eastAsia="en-AU"/>
              </w:rPr>
              <w:t>121 233</w:t>
            </w:r>
          </w:p>
        </w:tc>
        <w:tc>
          <w:tcPr>
            <w:tcW w:w="760" w:type="dxa"/>
            <w:tcBorders>
              <w:top w:val="single" w:sz="6" w:space="0" w:color="000000"/>
              <w:left w:val="nil"/>
              <w:bottom w:val="single" w:sz="6" w:space="0" w:color="000000"/>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AC137D">
              <w:rPr>
                <w:rFonts w:eastAsiaTheme="minorEastAsia" w:cs="Calibri"/>
                <w:b/>
                <w:bCs/>
                <w:color w:val="000000"/>
                <w:szCs w:val="18"/>
                <w:lang w:eastAsia="en-AU"/>
              </w:rPr>
              <w:t>125 234</w:t>
            </w:r>
          </w:p>
        </w:tc>
        <w:tc>
          <w:tcPr>
            <w:tcW w:w="760" w:type="dxa"/>
            <w:tcBorders>
              <w:top w:val="single" w:sz="6" w:space="0" w:color="000000"/>
              <w:left w:val="nil"/>
              <w:bottom w:val="single" w:sz="6" w:space="0" w:color="000000"/>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AC137D">
              <w:rPr>
                <w:rFonts w:eastAsiaTheme="minorEastAsia" w:cs="Calibri"/>
                <w:b/>
                <w:bCs/>
                <w:color w:val="000000"/>
                <w:szCs w:val="18"/>
                <w:lang w:eastAsia="en-AU"/>
              </w:rPr>
              <w:t>128 382</w:t>
            </w:r>
          </w:p>
        </w:tc>
        <w:tc>
          <w:tcPr>
            <w:tcW w:w="760" w:type="dxa"/>
            <w:tcBorders>
              <w:top w:val="single" w:sz="6" w:space="0" w:color="000000"/>
              <w:left w:val="nil"/>
              <w:bottom w:val="single" w:sz="6" w:space="0" w:color="000000"/>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AC137D">
              <w:rPr>
                <w:rFonts w:eastAsiaTheme="minorEastAsia" w:cs="Calibri"/>
                <w:b/>
                <w:bCs/>
                <w:color w:val="000000"/>
                <w:szCs w:val="18"/>
                <w:lang w:eastAsia="en-AU"/>
              </w:rPr>
              <w:t>130 886</w:t>
            </w:r>
          </w:p>
        </w:tc>
      </w:tr>
      <w:tr w:rsidR="00A46DCA" w:rsidRPr="00AC137D" w:rsidTr="00A26D04">
        <w:tc>
          <w:tcPr>
            <w:cnfStyle w:val="001000000000" w:firstRow="0" w:lastRow="0" w:firstColumn="1" w:lastColumn="0" w:oddVBand="0" w:evenVBand="0" w:oddHBand="0" w:evenHBand="0" w:firstRowFirstColumn="0" w:firstRowLastColumn="0" w:lastRowFirstColumn="0" w:lastRowLastColumn="0"/>
            <w:tcW w:w="3402" w:type="dxa"/>
            <w:tcBorders>
              <w:top w:val="nil"/>
              <w:left w:val="nil"/>
              <w:bottom w:val="nil"/>
              <w:right w:val="nil"/>
            </w:tcBorders>
          </w:tcPr>
          <w:p w:rsidR="00A46DCA" w:rsidRPr="00AC137D" w:rsidRDefault="00A46DCA" w:rsidP="00A26D04">
            <w:pPr>
              <w:keepLines w:val="0"/>
              <w:autoSpaceDE w:val="0"/>
              <w:autoSpaceDN w:val="0"/>
              <w:adjustRightInd w:val="0"/>
              <w:rPr>
                <w:rFonts w:eastAsiaTheme="minorEastAsia" w:cs="Calibri"/>
                <w:b/>
                <w:bCs/>
                <w:color w:val="000000"/>
                <w:szCs w:val="18"/>
                <w:lang w:eastAsia="en-AU"/>
              </w:rPr>
            </w:pPr>
            <w:r w:rsidRPr="00AC137D">
              <w:rPr>
                <w:rFonts w:eastAsiaTheme="minorEastAsia" w:cs="Calibri"/>
                <w:b/>
                <w:bCs/>
                <w:color w:val="000000"/>
                <w:szCs w:val="18"/>
                <w:lang w:eastAsia="en-AU"/>
              </w:rPr>
              <w:t>Non-financial assets</w:t>
            </w:r>
          </w:p>
        </w:tc>
        <w:tc>
          <w:tcPr>
            <w:tcW w:w="567" w:type="dxa"/>
            <w:gridSpan w:val="2"/>
            <w:tcBorders>
              <w:top w:val="nil"/>
              <w:left w:val="nil"/>
              <w:bottom w:val="nil"/>
              <w:right w:val="nil"/>
            </w:tcBorders>
          </w:tcPr>
          <w:p w:rsidR="00A46DCA" w:rsidRPr="00AC137D" w:rsidRDefault="00A46DCA" w:rsidP="00A26D04">
            <w:pPr>
              <w:keepLines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bCs/>
                <w:color w:val="000000"/>
                <w:lang w:eastAsia="en-AU"/>
              </w:rPr>
            </w:pPr>
            <w:r w:rsidRPr="00AC137D">
              <w:rPr>
                <w:rFonts w:eastAsiaTheme="minorEastAsia" w:cs="Calibri"/>
                <w:bCs/>
                <w:color w:val="000000"/>
                <w:lang w:eastAsia="en-AU"/>
              </w:rPr>
              <w:t xml:space="preserve"> </w:t>
            </w:r>
          </w:p>
        </w:tc>
        <w:tc>
          <w:tcPr>
            <w:tcW w:w="76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AC137D">
              <w:rPr>
                <w:rFonts w:eastAsiaTheme="minorEastAsia" w:cs="Calibri"/>
                <w:b/>
                <w:bCs/>
                <w:color w:val="000000"/>
                <w:lang w:eastAsia="en-AU"/>
              </w:rPr>
              <w:t xml:space="preserve"> </w:t>
            </w:r>
          </w:p>
        </w:tc>
        <w:tc>
          <w:tcPr>
            <w:tcW w:w="76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AC137D">
              <w:rPr>
                <w:rFonts w:eastAsiaTheme="minorEastAsia" w:cs="Calibri"/>
                <w:b/>
                <w:bCs/>
                <w:color w:val="000000"/>
                <w:lang w:eastAsia="en-AU"/>
              </w:rPr>
              <w:t xml:space="preserve"> </w:t>
            </w:r>
          </w:p>
        </w:tc>
        <w:tc>
          <w:tcPr>
            <w:tcW w:w="76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AC137D">
              <w:rPr>
                <w:rFonts w:eastAsiaTheme="minorEastAsia" w:cs="Calibri"/>
                <w:b/>
                <w:bCs/>
                <w:color w:val="000000"/>
                <w:lang w:eastAsia="en-AU"/>
              </w:rPr>
              <w:t xml:space="preserve"> </w:t>
            </w:r>
          </w:p>
        </w:tc>
        <w:tc>
          <w:tcPr>
            <w:tcW w:w="76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AC137D">
              <w:rPr>
                <w:rFonts w:eastAsiaTheme="minorEastAsia" w:cs="Calibri"/>
                <w:b/>
                <w:bCs/>
                <w:color w:val="000000"/>
                <w:lang w:eastAsia="en-AU"/>
              </w:rPr>
              <w:t xml:space="preserve"> </w:t>
            </w:r>
          </w:p>
        </w:tc>
        <w:tc>
          <w:tcPr>
            <w:tcW w:w="76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AC137D">
              <w:rPr>
                <w:rFonts w:eastAsiaTheme="minorEastAsia" w:cs="Calibri"/>
                <w:b/>
                <w:bCs/>
                <w:color w:val="000000"/>
                <w:lang w:eastAsia="en-AU"/>
              </w:rPr>
              <w:t xml:space="preserve"> </w:t>
            </w:r>
          </w:p>
        </w:tc>
      </w:tr>
      <w:tr w:rsidR="00A46DCA" w:rsidRPr="00AC137D" w:rsidTr="00A26D04">
        <w:tc>
          <w:tcPr>
            <w:cnfStyle w:val="001000000000" w:firstRow="0" w:lastRow="0" w:firstColumn="1" w:lastColumn="0" w:oddVBand="0" w:evenVBand="0" w:oddHBand="0" w:evenHBand="0" w:firstRowFirstColumn="0" w:firstRowLastColumn="0" w:lastRowFirstColumn="0" w:lastRowLastColumn="0"/>
            <w:tcW w:w="3402" w:type="dxa"/>
            <w:tcBorders>
              <w:top w:val="nil"/>
              <w:left w:val="nil"/>
              <w:bottom w:val="nil"/>
              <w:right w:val="nil"/>
            </w:tcBorders>
          </w:tcPr>
          <w:p w:rsidR="00A46DCA" w:rsidRPr="00AC137D" w:rsidRDefault="00A46DCA" w:rsidP="00A26D04">
            <w:pPr>
              <w:keepLines w:val="0"/>
              <w:autoSpaceDE w:val="0"/>
              <w:autoSpaceDN w:val="0"/>
              <w:adjustRightInd w:val="0"/>
              <w:rPr>
                <w:rFonts w:eastAsiaTheme="minorEastAsia" w:cs="Calibri"/>
                <w:color w:val="000000"/>
                <w:szCs w:val="18"/>
                <w:lang w:eastAsia="en-AU"/>
              </w:rPr>
            </w:pPr>
            <w:r w:rsidRPr="00AC137D">
              <w:rPr>
                <w:rFonts w:eastAsiaTheme="minorEastAsia" w:cs="Calibri"/>
                <w:color w:val="000000"/>
                <w:szCs w:val="18"/>
                <w:lang w:eastAsia="en-AU"/>
              </w:rPr>
              <w:t>Inventories</w:t>
            </w:r>
          </w:p>
        </w:tc>
        <w:tc>
          <w:tcPr>
            <w:tcW w:w="567" w:type="dxa"/>
            <w:gridSpan w:val="2"/>
            <w:tcBorders>
              <w:top w:val="nil"/>
              <w:left w:val="nil"/>
              <w:bottom w:val="nil"/>
              <w:right w:val="nil"/>
            </w:tcBorders>
          </w:tcPr>
          <w:p w:rsidR="00A46DCA" w:rsidRPr="00AC137D" w:rsidRDefault="00A46DCA" w:rsidP="00A26D04">
            <w:pPr>
              <w:keepLines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AC137D">
              <w:rPr>
                <w:rFonts w:eastAsiaTheme="minorEastAsia" w:cs="Calibri"/>
                <w:color w:val="000000"/>
                <w:lang w:eastAsia="en-AU"/>
              </w:rPr>
              <w:t xml:space="preserve"> </w:t>
            </w:r>
          </w:p>
        </w:tc>
        <w:tc>
          <w:tcPr>
            <w:tcW w:w="76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175</w:t>
            </w:r>
          </w:p>
        </w:tc>
        <w:tc>
          <w:tcPr>
            <w:tcW w:w="76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175</w:t>
            </w:r>
          </w:p>
        </w:tc>
        <w:tc>
          <w:tcPr>
            <w:tcW w:w="76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179</w:t>
            </w:r>
          </w:p>
        </w:tc>
        <w:tc>
          <w:tcPr>
            <w:tcW w:w="76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184</w:t>
            </w:r>
          </w:p>
        </w:tc>
        <w:tc>
          <w:tcPr>
            <w:tcW w:w="76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188</w:t>
            </w:r>
          </w:p>
        </w:tc>
      </w:tr>
      <w:tr w:rsidR="00A46DCA" w:rsidRPr="00AC137D" w:rsidTr="00A26D04">
        <w:tc>
          <w:tcPr>
            <w:cnfStyle w:val="001000000000" w:firstRow="0" w:lastRow="0" w:firstColumn="1" w:lastColumn="0" w:oddVBand="0" w:evenVBand="0" w:oddHBand="0" w:evenHBand="0" w:firstRowFirstColumn="0" w:firstRowLastColumn="0" w:lastRowFirstColumn="0" w:lastRowLastColumn="0"/>
            <w:tcW w:w="3402" w:type="dxa"/>
            <w:tcBorders>
              <w:top w:val="nil"/>
              <w:left w:val="nil"/>
              <w:bottom w:val="nil"/>
              <w:right w:val="nil"/>
            </w:tcBorders>
          </w:tcPr>
          <w:p w:rsidR="00A46DCA" w:rsidRPr="00AC137D" w:rsidRDefault="00A46DCA" w:rsidP="00A26D04">
            <w:pPr>
              <w:keepLines w:val="0"/>
              <w:autoSpaceDE w:val="0"/>
              <w:autoSpaceDN w:val="0"/>
              <w:adjustRightInd w:val="0"/>
              <w:rPr>
                <w:rFonts w:eastAsiaTheme="minorEastAsia" w:cs="Calibri"/>
                <w:color w:val="000000"/>
                <w:szCs w:val="18"/>
                <w:lang w:eastAsia="en-AU"/>
              </w:rPr>
            </w:pPr>
            <w:r w:rsidRPr="00AC137D">
              <w:rPr>
                <w:rFonts w:eastAsiaTheme="minorEastAsia" w:cs="Calibri"/>
                <w:color w:val="000000"/>
                <w:szCs w:val="18"/>
                <w:lang w:eastAsia="en-AU"/>
              </w:rPr>
              <w:t>Non-financial assets held for sale</w:t>
            </w:r>
          </w:p>
        </w:tc>
        <w:tc>
          <w:tcPr>
            <w:tcW w:w="567" w:type="dxa"/>
            <w:gridSpan w:val="2"/>
            <w:tcBorders>
              <w:top w:val="nil"/>
              <w:left w:val="nil"/>
              <w:bottom w:val="nil"/>
              <w:right w:val="nil"/>
            </w:tcBorders>
          </w:tcPr>
          <w:p w:rsidR="00A46DCA" w:rsidRPr="00AC137D" w:rsidRDefault="00A46DCA" w:rsidP="00A26D04">
            <w:pPr>
              <w:keepLines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AC137D">
              <w:rPr>
                <w:rFonts w:eastAsiaTheme="minorEastAsia" w:cs="Calibri"/>
                <w:color w:val="000000"/>
                <w:lang w:eastAsia="en-AU"/>
              </w:rPr>
              <w:t xml:space="preserve"> </w:t>
            </w:r>
          </w:p>
        </w:tc>
        <w:tc>
          <w:tcPr>
            <w:tcW w:w="76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402</w:t>
            </w:r>
          </w:p>
        </w:tc>
        <w:tc>
          <w:tcPr>
            <w:tcW w:w="76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402</w:t>
            </w:r>
          </w:p>
        </w:tc>
        <w:tc>
          <w:tcPr>
            <w:tcW w:w="76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404</w:t>
            </w:r>
          </w:p>
        </w:tc>
        <w:tc>
          <w:tcPr>
            <w:tcW w:w="76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405</w:t>
            </w:r>
          </w:p>
        </w:tc>
        <w:tc>
          <w:tcPr>
            <w:tcW w:w="76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406</w:t>
            </w:r>
          </w:p>
        </w:tc>
      </w:tr>
      <w:tr w:rsidR="00A46DCA" w:rsidRPr="00AC137D" w:rsidTr="00A26D04">
        <w:tc>
          <w:tcPr>
            <w:cnfStyle w:val="001000000000" w:firstRow="0" w:lastRow="0" w:firstColumn="1" w:lastColumn="0" w:oddVBand="0" w:evenVBand="0" w:oddHBand="0" w:evenHBand="0" w:firstRowFirstColumn="0" w:firstRowLastColumn="0" w:lastRowFirstColumn="0" w:lastRowLastColumn="0"/>
            <w:tcW w:w="3402" w:type="dxa"/>
            <w:tcBorders>
              <w:top w:val="nil"/>
              <w:left w:val="nil"/>
              <w:bottom w:val="nil"/>
              <w:right w:val="nil"/>
            </w:tcBorders>
          </w:tcPr>
          <w:p w:rsidR="00A46DCA" w:rsidRPr="00AC137D" w:rsidRDefault="00A46DCA" w:rsidP="00A26D04">
            <w:pPr>
              <w:keepLines w:val="0"/>
              <w:autoSpaceDE w:val="0"/>
              <w:autoSpaceDN w:val="0"/>
              <w:adjustRightInd w:val="0"/>
              <w:rPr>
                <w:rFonts w:eastAsiaTheme="minorEastAsia" w:cs="Calibri"/>
                <w:color w:val="000000"/>
                <w:szCs w:val="18"/>
                <w:lang w:eastAsia="en-AU"/>
              </w:rPr>
            </w:pPr>
            <w:r w:rsidRPr="00AC137D">
              <w:rPr>
                <w:rFonts w:eastAsiaTheme="minorEastAsia" w:cs="Calibri"/>
                <w:color w:val="000000"/>
                <w:szCs w:val="18"/>
                <w:lang w:eastAsia="en-AU"/>
              </w:rPr>
              <w:t>Land, buildings, infrastructure, plant and equipment</w:t>
            </w:r>
          </w:p>
        </w:tc>
        <w:tc>
          <w:tcPr>
            <w:tcW w:w="567" w:type="dxa"/>
            <w:gridSpan w:val="2"/>
            <w:tcBorders>
              <w:top w:val="nil"/>
              <w:left w:val="nil"/>
              <w:bottom w:val="nil"/>
              <w:right w:val="nil"/>
            </w:tcBorders>
          </w:tcPr>
          <w:p w:rsidR="00A46DCA" w:rsidRPr="00AC137D" w:rsidRDefault="00A46DCA" w:rsidP="00A26D04">
            <w:pPr>
              <w:keepLines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AC137D">
              <w:rPr>
                <w:rFonts w:eastAsiaTheme="minorEastAsia" w:cs="Calibri"/>
                <w:color w:val="000000"/>
                <w:szCs w:val="18"/>
                <w:lang w:eastAsia="en-AU"/>
              </w:rPr>
              <w:t>4.4.1</w:t>
            </w:r>
          </w:p>
        </w:tc>
        <w:tc>
          <w:tcPr>
            <w:tcW w:w="76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AC137D">
              <w:rPr>
                <w:rFonts w:eastAsiaTheme="minorEastAsia" w:cs="Calibri"/>
                <w:color w:val="000000"/>
                <w:szCs w:val="18"/>
                <w:lang w:eastAsia="en-AU"/>
              </w:rPr>
              <w:t>127 449</w:t>
            </w:r>
          </w:p>
        </w:tc>
        <w:tc>
          <w:tcPr>
            <w:tcW w:w="76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AC137D">
              <w:rPr>
                <w:rFonts w:eastAsiaTheme="minorEastAsia" w:cs="Calibri"/>
                <w:color w:val="000000"/>
                <w:szCs w:val="18"/>
                <w:lang w:eastAsia="en-AU"/>
              </w:rPr>
              <w:t>127 535</w:t>
            </w:r>
          </w:p>
        </w:tc>
        <w:tc>
          <w:tcPr>
            <w:tcW w:w="76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AC137D">
              <w:rPr>
                <w:rFonts w:eastAsiaTheme="minorEastAsia" w:cs="Calibri"/>
                <w:color w:val="000000"/>
                <w:szCs w:val="18"/>
                <w:lang w:eastAsia="en-AU"/>
              </w:rPr>
              <w:t>129 402</w:t>
            </w:r>
          </w:p>
        </w:tc>
        <w:tc>
          <w:tcPr>
            <w:tcW w:w="76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AC137D">
              <w:rPr>
                <w:rFonts w:eastAsiaTheme="minorEastAsia" w:cs="Calibri"/>
                <w:color w:val="000000"/>
                <w:szCs w:val="18"/>
                <w:lang w:eastAsia="en-AU"/>
              </w:rPr>
              <w:t>137 829</w:t>
            </w:r>
          </w:p>
        </w:tc>
        <w:tc>
          <w:tcPr>
            <w:tcW w:w="76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AC137D">
              <w:rPr>
                <w:rFonts w:eastAsiaTheme="minorEastAsia" w:cs="Calibri"/>
                <w:color w:val="000000"/>
                <w:szCs w:val="18"/>
                <w:lang w:eastAsia="en-AU"/>
              </w:rPr>
              <w:t>139 788</w:t>
            </w:r>
          </w:p>
        </w:tc>
      </w:tr>
      <w:tr w:rsidR="00A46DCA" w:rsidRPr="00AC137D" w:rsidTr="00A26D04">
        <w:tc>
          <w:tcPr>
            <w:cnfStyle w:val="001000000000" w:firstRow="0" w:lastRow="0" w:firstColumn="1" w:lastColumn="0" w:oddVBand="0" w:evenVBand="0" w:oddHBand="0" w:evenHBand="0" w:firstRowFirstColumn="0" w:firstRowLastColumn="0" w:lastRowFirstColumn="0" w:lastRowLastColumn="0"/>
            <w:tcW w:w="3402" w:type="dxa"/>
            <w:tcBorders>
              <w:top w:val="nil"/>
              <w:left w:val="nil"/>
              <w:bottom w:val="nil"/>
              <w:right w:val="nil"/>
            </w:tcBorders>
          </w:tcPr>
          <w:p w:rsidR="00A46DCA" w:rsidRPr="00AC137D" w:rsidRDefault="00A46DCA" w:rsidP="00A26D04">
            <w:pPr>
              <w:keepLines w:val="0"/>
              <w:autoSpaceDE w:val="0"/>
              <w:autoSpaceDN w:val="0"/>
              <w:adjustRightInd w:val="0"/>
              <w:rPr>
                <w:rFonts w:eastAsiaTheme="minorEastAsia" w:cs="Calibri"/>
                <w:color w:val="000000"/>
                <w:szCs w:val="18"/>
                <w:lang w:eastAsia="en-AU"/>
              </w:rPr>
            </w:pPr>
            <w:r w:rsidRPr="00AC137D">
              <w:rPr>
                <w:rFonts w:eastAsiaTheme="minorEastAsia" w:cs="Calibri"/>
                <w:color w:val="000000"/>
                <w:szCs w:val="18"/>
                <w:lang w:eastAsia="en-AU"/>
              </w:rPr>
              <w:t>Other non-financial assets</w:t>
            </w:r>
          </w:p>
        </w:tc>
        <w:tc>
          <w:tcPr>
            <w:tcW w:w="567" w:type="dxa"/>
            <w:gridSpan w:val="2"/>
            <w:tcBorders>
              <w:top w:val="nil"/>
              <w:left w:val="nil"/>
              <w:bottom w:val="nil"/>
              <w:right w:val="nil"/>
            </w:tcBorders>
          </w:tcPr>
          <w:p w:rsidR="00A46DCA" w:rsidRPr="00AC137D" w:rsidRDefault="00A46DCA" w:rsidP="00A26D04">
            <w:pPr>
              <w:keepLines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AC137D">
              <w:rPr>
                <w:rFonts w:eastAsiaTheme="minorEastAsia" w:cs="Calibri"/>
                <w:color w:val="000000"/>
                <w:szCs w:val="18"/>
                <w:lang w:eastAsia="en-AU"/>
              </w:rPr>
              <w:t>4.4.4</w:t>
            </w:r>
          </w:p>
        </w:tc>
        <w:tc>
          <w:tcPr>
            <w:tcW w:w="76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AC137D">
              <w:rPr>
                <w:rFonts w:eastAsiaTheme="minorEastAsia" w:cs="Calibri"/>
                <w:color w:val="000000"/>
                <w:szCs w:val="18"/>
                <w:lang w:eastAsia="en-AU"/>
              </w:rPr>
              <w:t>1 495</w:t>
            </w:r>
          </w:p>
        </w:tc>
        <w:tc>
          <w:tcPr>
            <w:tcW w:w="76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AC137D">
              <w:rPr>
                <w:rFonts w:eastAsiaTheme="minorEastAsia" w:cs="Calibri"/>
                <w:color w:val="000000"/>
                <w:szCs w:val="18"/>
                <w:lang w:eastAsia="en-AU"/>
              </w:rPr>
              <w:t>1 487</w:t>
            </w:r>
          </w:p>
        </w:tc>
        <w:tc>
          <w:tcPr>
            <w:tcW w:w="76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AC137D">
              <w:rPr>
                <w:rFonts w:eastAsiaTheme="minorEastAsia" w:cs="Calibri"/>
                <w:color w:val="000000"/>
                <w:szCs w:val="18"/>
                <w:lang w:eastAsia="en-AU"/>
              </w:rPr>
              <w:t>1 681</w:t>
            </w:r>
          </w:p>
        </w:tc>
        <w:tc>
          <w:tcPr>
            <w:tcW w:w="76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AC137D">
              <w:rPr>
                <w:rFonts w:eastAsiaTheme="minorEastAsia" w:cs="Calibri"/>
                <w:color w:val="000000"/>
                <w:szCs w:val="18"/>
                <w:lang w:eastAsia="en-AU"/>
              </w:rPr>
              <w:t>2 315</w:t>
            </w:r>
          </w:p>
        </w:tc>
        <w:tc>
          <w:tcPr>
            <w:tcW w:w="76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AC137D">
              <w:rPr>
                <w:rFonts w:eastAsiaTheme="minorEastAsia" w:cs="Calibri"/>
                <w:color w:val="000000"/>
                <w:szCs w:val="18"/>
                <w:lang w:eastAsia="en-AU"/>
              </w:rPr>
              <w:t>2 757</w:t>
            </w:r>
          </w:p>
        </w:tc>
      </w:tr>
      <w:tr w:rsidR="00A46DCA" w:rsidRPr="00AC137D" w:rsidTr="00A26D04">
        <w:tc>
          <w:tcPr>
            <w:cnfStyle w:val="001000000000" w:firstRow="0" w:lastRow="0" w:firstColumn="1" w:lastColumn="0" w:oddVBand="0" w:evenVBand="0" w:oddHBand="0" w:evenHBand="0" w:firstRowFirstColumn="0" w:firstRowLastColumn="0" w:lastRowFirstColumn="0" w:lastRowLastColumn="0"/>
            <w:tcW w:w="3402" w:type="dxa"/>
            <w:tcBorders>
              <w:top w:val="single" w:sz="6" w:space="0" w:color="000000"/>
              <w:left w:val="nil"/>
              <w:bottom w:val="single" w:sz="6" w:space="0" w:color="000000"/>
              <w:right w:val="nil"/>
            </w:tcBorders>
          </w:tcPr>
          <w:p w:rsidR="00A46DCA" w:rsidRPr="00AC137D" w:rsidRDefault="00A46DCA" w:rsidP="00A26D04">
            <w:pPr>
              <w:keepLines w:val="0"/>
              <w:autoSpaceDE w:val="0"/>
              <w:autoSpaceDN w:val="0"/>
              <w:adjustRightInd w:val="0"/>
              <w:rPr>
                <w:rFonts w:eastAsiaTheme="minorEastAsia" w:cs="Calibri"/>
                <w:b/>
                <w:bCs/>
                <w:color w:val="000000"/>
                <w:szCs w:val="18"/>
                <w:lang w:eastAsia="en-AU"/>
              </w:rPr>
            </w:pPr>
            <w:r w:rsidRPr="00AC137D">
              <w:rPr>
                <w:rFonts w:eastAsiaTheme="minorEastAsia" w:cs="Calibri"/>
                <w:b/>
                <w:bCs/>
                <w:color w:val="000000"/>
                <w:szCs w:val="18"/>
                <w:lang w:eastAsia="en-AU"/>
              </w:rPr>
              <w:t>Total non-financial assets</w:t>
            </w:r>
          </w:p>
        </w:tc>
        <w:tc>
          <w:tcPr>
            <w:tcW w:w="567" w:type="dxa"/>
            <w:gridSpan w:val="2"/>
            <w:tcBorders>
              <w:top w:val="single" w:sz="6" w:space="0" w:color="000000"/>
              <w:left w:val="nil"/>
              <w:bottom w:val="single" w:sz="6" w:space="0" w:color="000000"/>
              <w:right w:val="nil"/>
            </w:tcBorders>
          </w:tcPr>
          <w:p w:rsidR="00A46DCA" w:rsidRPr="00AC137D" w:rsidRDefault="00A46DCA" w:rsidP="00A26D04">
            <w:pPr>
              <w:keepLines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bCs/>
                <w:color w:val="000000"/>
                <w:lang w:eastAsia="en-AU"/>
              </w:rPr>
            </w:pPr>
            <w:r w:rsidRPr="00AC137D">
              <w:rPr>
                <w:rFonts w:eastAsiaTheme="minorEastAsia" w:cs="Calibri"/>
                <w:bCs/>
                <w:color w:val="000000"/>
                <w:lang w:eastAsia="en-AU"/>
              </w:rPr>
              <w:t xml:space="preserve"> </w:t>
            </w:r>
          </w:p>
        </w:tc>
        <w:tc>
          <w:tcPr>
            <w:tcW w:w="760" w:type="dxa"/>
            <w:tcBorders>
              <w:top w:val="single" w:sz="6" w:space="0" w:color="000000"/>
              <w:left w:val="nil"/>
              <w:bottom w:val="single" w:sz="6" w:space="0" w:color="000000"/>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AC137D">
              <w:rPr>
                <w:rFonts w:eastAsiaTheme="minorEastAsia" w:cs="Calibri"/>
                <w:b/>
                <w:bCs/>
                <w:color w:val="000000"/>
                <w:szCs w:val="18"/>
                <w:lang w:eastAsia="en-AU"/>
              </w:rPr>
              <w:t>129 521</w:t>
            </w:r>
          </w:p>
        </w:tc>
        <w:tc>
          <w:tcPr>
            <w:tcW w:w="760" w:type="dxa"/>
            <w:tcBorders>
              <w:top w:val="single" w:sz="6" w:space="0" w:color="000000"/>
              <w:left w:val="nil"/>
              <w:bottom w:val="single" w:sz="6" w:space="0" w:color="000000"/>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AC137D">
              <w:rPr>
                <w:rFonts w:eastAsiaTheme="minorEastAsia" w:cs="Calibri"/>
                <w:b/>
                <w:bCs/>
                <w:color w:val="000000"/>
                <w:szCs w:val="18"/>
                <w:lang w:eastAsia="en-AU"/>
              </w:rPr>
              <w:t>129 599</w:t>
            </w:r>
          </w:p>
        </w:tc>
        <w:tc>
          <w:tcPr>
            <w:tcW w:w="760" w:type="dxa"/>
            <w:tcBorders>
              <w:top w:val="single" w:sz="6" w:space="0" w:color="000000"/>
              <w:left w:val="nil"/>
              <w:bottom w:val="single" w:sz="6" w:space="0" w:color="000000"/>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AC137D">
              <w:rPr>
                <w:rFonts w:eastAsiaTheme="minorEastAsia" w:cs="Calibri"/>
                <w:b/>
                <w:bCs/>
                <w:color w:val="000000"/>
                <w:szCs w:val="18"/>
                <w:lang w:eastAsia="en-AU"/>
              </w:rPr>
              <w:t>131 666</w:t>
            </w:r>
          </w:p>
        </w:tc>
        <w:tc>
          <w:tcPr>
            <w:tcW w:w="760" w:type="dxa"/>
            <w:tcBorders>
              <w:top w:val="single" w:sz="6" w:space="0" w:color="000000"/>
              <w:left w:val="nil"/>
              <w:bottom w:val="single" w:sz="6" w:space="0" w:color="000000"/>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AC137D">
              <w:rPr>
                <w:rFonts w:eastAsiaTheme="minorEastAsia" w:cs="Calibri"/>
                <w:b/>
                <w:bCs/>
                <w:color w:val="000000"/>
                <w:szCs w:val="18"/>
                <w:lang w:eastAsia="en-AU"/>
              </w:rPr>
              <w:t>140 733</w:t>
            </w:r>
          </w:p>
        </w:tc>
        <w:tc>
          <w:tcPr>
            <w:tcW w:w="760" w:type="dxa"/>
            <w:tcBorders>
              <w:top w:val="single" w:sz="6" w:space="0" w:color="000000"/>
              <w:left w:val="nil"/>
              <w:bottom w:val="single" w:sz="6" w:space="0" w:color="000000"/>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AC137D">
              <w:rPr>
                <w:rFonts w:eastAsiaTheme="minorEastAsia" w:cs="Calibri"/>
                <w:b/>
                <w:bCs/>
                <w:color w:val="000000"/>
                <w:szCs w:val="18"/>
                <w:lang w:eastAsia="en-AU"/>
              </w:rPr>
              <w:t>143 139</w:t>
            </w:r>
          </w:p>
        </w:tc>
      </w:tr>
      <w:tr w:rsidR="00A46DCA" w:rsidRPr="00AC137D" w:rsidTr="00A26D04">
        <w:tc>
          <w:tcPr>
            <w:cnfStyle w:val="001000000000" w:firstRow="0" w:lastRow="0" w:firstColumn="1" w:lastColumn="0" w:oddVBand="0" w:evenVBand="0" w:oddHBand="0" w:evenHBand="0" w:firstRowFirstColumn="0" w:firstRowLastColumn="0" w:lastRowFirstColumn="0" w:lastRowLastColumn="0"/>
            <w:tcW w:w="3402" w:type="dxa"/>
            <w:tcBorders>
              <w:top w:val="nil"/>
              <w:left w:val="nil"/>
              <w:bottom w:val="nil"/>
              <w:right w:val="nil"/>
            </w:tcBorders>
          </w:tcPr>
          <w:p w:rsidR="00A46DCA" w:rsidRPr="00AC137D" w:rsidRDefault="00A46DCA" w:rsidP="00A26D04">
            <w:pPr>
              <w:keepLines w:val="0"/>
              <w:autoSpaceDE w:val="0"/>
              <w:autoSpaceDN w:val="0"/>
              <w:adjustRightInd w:val="0"/>
              <w:rPr>
                <w:rFonts w:eastAsiaTheme="minorEastAsia" w:cs="Calibri"/>
                <w:b/>
                <w:bCs/>
                <w:color w:val="000000"/>
                <w:szCs w:val="18"/>
                <w:lang w:eastAsia="en-AU"/>
              </w:rPr>
            </w:pPr>
            <w:r w:rsidRPr="00AC137D">
              <w:rPr>
                <w:rFonts w:eastAsiaTheme="minorEastAsia" w:cs="Calibri"/>
                <w:b/>
                <w:bCs/>
                <w:color w:val="000000"/>
                <w:szCs w:val="18"/>
                <w:lang w:eastAsia="en-AU"/>
              </w:rPr>
              <w:t>Total assets</w:t>
            </w:r>
          </w:p>
        </w:tc>
        <w:tc>
          <w:tcPr>
            <w:tcW w:w="567" w:type="dxa"/>
            <w:gridSpan w:val="2"/>
            <w:tcBorders>
              <w:top w:val="nil"/>
              <w:left w:val="nil"/>
              <w:bottom w:val="nil"/>
              <w:right w:val="nil"/>
            </w:tcBorders>
          </w:tcPr>
          <w:p w:rsidR="00A46DCA" w:rsidRPr="00AC137D" w:rsidRDefault="00A46DCA" w:rsidP="00A26D04">
            <w:pPr>
              <w:keepLines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sidRPr="00AC137D">
              <w:rPr>
                <w:rFonts w:eastAsiaTheme="minorEastAsia" w:cs="Calibri"/>
                <w:bCs/>
                <w:color w:val="000000"/>
                <w:szCs w:val="18"/>
                <w:lang w:eastAsia="en-AU"/>
              </w:rPr>
              <w:t>4.4.5</w:t>
            </w:r>
          </w:p>
        </w:tc>
        <w:tc>
          <w:tcPr>
            <w:tcW w:w="76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AC137D">
              <w:rPr>
                <w:rFonts w:eastAsiaTheme="minorEastAsia" w:cs="Calibri"/>
                <w:b/>
                <w:bCs/>
                <w:color w:val="000000"/>
                <w:szCs w:val="18"/>
                <w:lang w:eastAsia="en-AU"/>
              </w:rPr>
              <w:t>250 854</w:t>
            </w:r>
          </w:p>
        </w:tc>
        <w:tc>
          <w:tcPr>
            <w:tcW w:w="76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AC137D">
              <w:rPr>
                <w:rFonts w:eastAsiaTheme="minorEastAsia" w:cs="Calibri"/>
                <w:b/>
                <w:bCs/>
                <w:color w:val="000000"/>
                <w:szCs w:val="18"/>
                <w:lang w:eastAsia="en-AU"/>
              </w:rPr>
              <w:t>250 832</w:t>
            </w:r>
          </w:p>
        </w:tc>
        <w:tc>
          <w:tcPr>
            <w:tcW w:w="76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AC137D">
              <w:rPr>
                <w:rFonts w:eastAsiaTheme="minorEastAsia" w:cs="Calibri"/>
                <w:b/>
                <w:bCs/>
                <w:color w:val="000000"/>
                <w:szCs w:val="18"/>
                <w:lang w:eastAsia="en-AU"/>
              </w:rPr>
              <w:t>256 900</w:t>
            </w:r>
          </w:p>
        </w:tc>
        <w:tc>
          <w:tcPr>
            <w:tcW w:w="76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AC137D">
              <w:rPr>
                <w:rFonts w:eastAsiaTheme="minorEastAsia" w:cs="Calibri"/>
                <w:b/>
                <w:bCs/>
                <w:color w:val="000000"/>
                <w:szCs w:val="18"/>
                <w:lang w:eastAsia="en-AU"/>
              </w:rPr>
              <w:t>269 115</w:t>
            </w:r>
          </w:p>
        </w:tc>
        <w:tc>
          <w:tcPr>
            <w:tcW w:w="76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AC137D">
              <w:rPr>
                <w:rFonts w:eastAsiaTheme="minorEastAsia" w:cs="Calibri"/>
                <w:b/>
                <w:bCs/>
                <w:color w:val="000000"/>
                <w:szCs w:val="18"/>
                <w:lang w:eastAsia="en-AU"/>
              </w:rPr>
              <w:t>274 024</w:t>
            </w:r>
          </w:p>
        </w:tc>
      </w:tr>
      <w:tr w:rsidR="00A46DCA" w:rsidRPr="00AC137D" w:rsidTr="00A26D04">
        <w:tc>
          <w:tcPr>
            <w:cnfStyle w:val="001000000000" w:firstRow="0" w:lastRow="0" w:firstColumn="1" w:lastColumn="0" w:oddVBand="0" w:evenVBand="0" w:oddHBand="0" w:evenHBand="0" w:firstRowFirstColumn="0" w:firstRowLastColumn="0" w:lastRowFirstColumn="0" w:lastRowLastColumn="0"/>
            <w:tcW w:w="3402" w:type="dxa"/>
            <w:tcBorders>
              <w:top w:val="nil"/>
              <w:left w:val="nil"/>
              <w:bottom w:val="nil"/>
              <w:right w:val="nil"/>
            </w:tcBorders>
          </w:tcPr>
          <w:p w:rsidR="00A46DCA" w:rsidRPr="00AC137D" w:rsidRDefault="00A46DCA" w:rsidP="00A26D04">
            <w:pPr>
              <w:keepLines w:val="0"/>
              <w:autoSpaceDE w:val="0"/>
              <w:autoSpaceDN w:val="0"/>
              <w:adjustRightInd w:val="0"/>
              <w:rPr>
                <w:rFonts w:eastAsiaTheme="minorEastAsia" w:cs="Calibri"/>
                <w:b/>
                <w:bCs/>
                <w:color w:val="000000"/>
                <w:szCs w:val="18"/>
                <w:lang w:eastAsia="en-AU"/>
              </w:rPr>
            </w:pPr>
            <w:r w:rsidRPr="00AC137D">
              <w:rPr>
                <w:rFonts w:eastAsiaTheme="minorEastAsia" w:cs="Calibri"/>
                <w:b/>
                <w:bCs/>
                <w:color w:val="000000"/>
                <w:szCs w:val="18"/>
                <w:lang w:eastAsia="en-AU"/>
              </w:rPr>
              <w:t>Liabilities</w:t>
            </w:r>
          </w:p>
        </w:tc>
        <w:tc>
          <w:tcPr>
            <w:tcW w:w="567" w:type="dxa"/>
            <w:gridSpan w:val="2"/>
            <w:tcBorders>
              <w:top w:val="nil"/>
              <w:left w:val="nil"/>
              <w:bottom w:val="nil"/>
              <w:right w:val="nil"/>
            </w:tcBorders>
          </w:tcPr>
          <w:p w:rsidR="00A46DCA" w:rsidRPr="00AC137D" w:rsidRDefault="00A46DCA" w:rsidP="00A26D04">
            <w:pPr>
              <w:keepLines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bCs/>
                <w:color w:val="000000"/>
                <w:lang w:eastAsia="en-AU"/>
              </w:rPr>
            </w:pPr>
            <w:r w:rsidRPr="00AC137D">
              <w:rPr>
                <w:rFonts w:eastAsiaTheme="minorEastAsia" w:cs="Calibri"/>
                <w:bCs/>
                <w:color w:val="000000"/>
                <w:lang w:eastAsia="en-AU"/>
              </w:rPr>
              <w:t xml:space="preserve"> </w:t>
            </w:r>
          </w:p>
        </w:tc>
        <w:tc>
          <w:tcPr>
            <w:tcW w:w="76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AC137D">
              <w:rPr>
                <w:rFonts w:eastAsiaTheme="minorEastAsia" w:cs="Calibri"/>
                <w:b/>
                <w:bCs/>
                <w:color w:val="000000"/>
                <w:lang w:eastAsia="en-AU"/>
              </w:rPr>
              <w:t xml:space="preserve"> </w:t>
            </w:r>
          </w:p>
        </w:tc>
        <w:tc>
          <w:tcPr>
            <w:tcW w:w="76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AC137D">
              <w:rPr>
                <w:rFonts w:eastAsiaTheme="minorEastAsia" w:cs="Calibri"/>
                <w:b/>
                <w:bCs/>
                <w:color w:val="000000"/>
                <w:lang w:eastAsia="en-AU"/>
              </w:rPr>
              <w:t xml:space="preserve"> </w:t>
            </w:r>
          </w:p>
        </w:tc>
        <w:tc>
          <w:tcPr>
            <w:tcW w:w="76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AC137D">
              <w:rPr>
                <w:rFonts w:eastAsiaTheme="minorEastAsia" w:cs="Calibri"/>
                <w:b/>
                <w:bCs/>
                <w:color w:val="000000"/>
                <w:lang w:eastAsia="en-AU"/>
              </w:rPr>
              <w:t xml:space="preserve"> </w:t>
            </w:r>
          </w:p>
        </w:tc>
        <w:tc>
          <w:tcPr>
            <w:tcW w:w="76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AC137D">
              <w:rPr>
                <w:rFonts w:eastAsiaTheme="minorEastAsia" w:cs="Calibri"/>
                <w:b/>
                <w:bCs/>
                <w:color w:val="000000"/>
                <w:lang w:eastAsia="en-AU"/>
              </w:rPr>
              <w:t xml:space="preserve"> </w:t>
            </w:r>
          </w:p>
        </w:tc>
        <w:tc>
          <w:tcPr>
            <w:tcW w:w="76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AC137D">
              <w:rPr>
                <w:rFonts w:eastAsiaTheme="minorEastAsia" w:cs="Calibri"/>
                <w:b/>
                <w:bCs/>
                <w:color w:val="000000"/>
                <w:lang w:eastAsia="en-AU"/>
              </w:rPr>
              <w:t xml:space="preserve"> </w:t>
            </w:r>
          </w:p>
        </w:tc>
      </w:tr>
      <w:tr w:rsidR="00A46DCA" w:rsidRPr="00AC137D" w:rsidTr="00A26D04">
        <w:tc>
          <w:tcPr>
            <w:cnfStyle w:val="001000000000" w:firstRow="0" w:lastRow="0" w:firstColumn="1" w:lastColumn="0" w:oddVBand="0" w:evenVBand="0" w:oddHBand="0" w:evenHBand="0" w:firstRowFirstColumn="0" w:firstRowLastColumn="0" w:lastRowFirstColumn="0" w:lastRowLastColumn="0"/>
            <w:tcW w:w="3402" w:type="dxa"/>
            <w:tcBorders>
              <w:top w:val="nil"/>
              <w:left w:val="nil"/>
              <w:bottom w:val="nil"/>
              <w:right w:val="nil"/>
            </w:tcBorders>
          </w:tcPr>
          <w:p w:rsidR="00A46DCA" w:rsidRPr="00AC137D" w:rsidRDefault="00A46DCA" w:rsidP="00A26D04">
            <w:pPr>
              <w:keepLines w:val="0"/>
              <w:autoSpaceDE w:val="0"/>
              <w:autoSpaceDN w:val="0"/>
              <w:adjustRightInd w:val="0"/>
              <w:rPr>
                <w:rFonts w:eastAsiaTheme="minorEastAsia" w:cs="Calibri"/>
                <w:color w:val="000000"/>
                <w:szCs w:val="18"/>
                <w:lang w:eastAsia="en-AU"/>
              </w:rPr>
            </w:pPr>
            <w:r w:rsidRPr="00AC137D">
              <w:rPr>
                <w:rFonts w:eastAsiaTheme="minorEastAsia" w:cs="Calibri"/>
                <w:color w:val="000000"/>
                <w:szCs w:val="18"/>
                <w:lang w:eastAsia="en-AU"/>
              </w:rPr>
              <w:t>Deposits held and advances received</w:t>
            </w:r>
          </w:p>
        </w:tc>
        <w:tc>
          <w:tcPr>
            <w:tcW w:w="567" w:type="dxa"/>
            <w:gridSpan w:val="2"/>
            <w:tcBorders>
              <w:top w:val="nil"/>
              <w:left w:val="nil"/>
              <w:bottom w:val="nil"/>
              <w:right w:val="nil"/>
            </w:tcBorders>
          </w:tcPr>
          <w:p w:rsidR="00A46DCA" w:rsidRPr="00AC137D" w:rsidRDefault="00A46DCA" w:rsidP="00A26D04">
            <w:pPr>
              <w:keepLines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AC137D">
              <w:rPr>
                <w:rFonts w:eastAsiaTheme="minorEastAsia" w:cs="Calibri"/>
                <w:color w:val="000000"/>
                <w:lang w:eastAsia="en-AU"/>
              </w:rPr>
              <w:t xml:space="preserve"> </w:t>
            </w:r>
          </w:p>
        </w:tc>
        <w:tc>
          <w:tcPr>
            <w:tcW w:w="76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AC137D">
              <w:rPr>
                <w:rFonts w:eastAsiaTheme="minorEastAsia" w:cs="Calibri"/>
                <w:color w:val="000000"/>
                <w:szCs w:val="18"/>
                <w:lang w:eastAsia="en-AU"/>
              </w:rPr>
              <w:t>6 439</w:t>
            </w:r>
          </w:p>
        </w:tc>
        <w:tc>
          <w:tcPr>
            <w:tcW w:w="76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AC137D">
              <w:rPr>
                <w:rFonts w:eastAsiaTheme="minorEastAsia" w:cs="Calibri"/>
                <w:color w:val="000000"/>
                <w:szCs w:val="18"/>
                <w:lang w:eastAsia="en-AU"/>
              </w:rPr>
              <w:t>6 181</w:t>
            </w:r>
          </w:p>
        </w:tc>
        <w:tc>
          <w:tcPr>
            <w:tcW w:w="76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AC137D">
              <w:rPr>
                <w:rFonts w:eastAsiaTheme="minorEastAsia" w:cs="Calibri"/>
                <w:color w:val="000000"/>
                <w:szCs w:val="18"/>
                <w:lang w:eastAsia="en-AU"/>
              </w:rPr>
              <w:t>4 533</w:t>
            </w:r>
          </w:p>
        </w:tc>
        <w:tc>
          <w:tcPr>
            <w:tcW w:w="76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AC137D">
              <w:rPr>
                <w:rFonts w:eastAsiaTheme="minorEastAsia" w:cs="Calibri"/>
                <w:color w:val="000000"/>
                <w:szCs w:val="18"/>
                <w:lang w:eastAsia="en-AU"/>
              </w:rPr>
              <w:t>3 008</w:t>
            </w:r>
          </w:p>
        </w:tc>
        <w:tc>
          <w:tcPr>
            <w:tcW w:w="76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AC137D">
              <w:rPr>
                <w:rFonts w:eastAsiaTheme="minorEastAsia" w:cs="Calibri"/>
                <w:color w:val="000000"/>
                <w:szCs w:val="18"/>
                <w:lang w:eastAsia="en-AU"/>
              </w:rPr>
              <w:t>1 416</w:t>
            </w:r>
          </w:p>
        </w:tc>
      </w:tr>
      <w:tr w:rsidR="00A46DCA" w:rsidRPr="00AC137D" w:rsidTr="00A26D04">
        <w:tc>
          <w:tcPr>
            <w:cnfStyle w:val="001000000000" w:firstRow="0" w:lastRow="0" w:firstColumn="1" w:lastColumn="0" w:oddVBand="0" w:evenVBand="0" w:oddHBand="0" w:evenHBand="0" w:firstRowFirstColumn="0" w:firstRowLastColumn="0" w:lastRowFirstColumn="0" w:lastRowLastColumn="0"/>
            <w:tcW w:w="3402" w:type="dxa"/>
            <w:tcBorders>
              <w:top w:val="nil"/>
              <w:left w:val="nil"/>
              <w:bottom w:val="nil"/>
              <w:right w:val="nil"/>
            </w:tcBorders>
          </w:tcPr>
          <w:p w:rsidR="00A46DCA" w:rsidRPr="00AC137D" w:rsidRDefault="00A46DCA" w:rsidP="00A26D04">
            <w:pPr>
              <w:keepLines w:val="0"/>
              <w:autoSpaceDE w:val="0"/>
              <w:autoSpaceDN w:val="0"/>
              <w:adjustRightInd w:val="0"/>
              <w:rPr>
                <w:rFonts w:eastAsiaTheme="minorEastAsia" w:cs="Calibri"/>
                <w:color w:val="000000"/>
                <w:szCs w:val="18"/>
                <w:lang w:eastAsia="en-AU"/>
              </w:rPr>
            </w:pPr>
            <w:r w:rsidRPr="00AC137D">
              <w:rPr>
                <w:rFonts w:eastAsiaTheme="minorEastAsia" w:cs="Calibri"/>
                <w:color w:val="000000"/>
                <w:szCs w:val="18"/>
                <w:lang w:eastAsia="en-AU"/>
              </w:rPr>
              <w:t>Payables</w:t>
            </w:r>
          </w:p>
        </w:tc>
        <w:tc>
          <w:tcPr>
            <w:tcW w:w="567" w:type="dxa"/>
            <w:gridSpan w:val="2"/>
            <w:tcBorders>
              <w:top w:val="nil"/>
              <w:left w:val="nil"/>
              <w:bottom w:val="nil"/>
              <w:right w:val="nil"/>
            </w:tcBorders>
          </w:tcPr>
          <w:p w:rsidR="00A46DCA" w:rsidRPr="00AC137D" w:rsidRDefault="00A46DCA" w:rsidP="00A26D04">
            <w:pPr>
              <w:keepLines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AC137D">
              <w:rPr>
                <w:rFonts w:eastAsiaTheme="minorEastAsia" w:cs="Calibri"/>
                <w:color w:val="000000"/>
                <w:szCs w:val="18"/>
                <w:lang w:eastAsia="en-AU"/>
              </w:rPr>
              <w:t>4.6.2</w:t>
            </w:r>
          </w:p>
        </w:tc>
        <w:tc>
          <w:tcPr>
            <w:tcW w:w="76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AC137D">
              <w:rPr>
                <w:rFonts w:eastAsiaTheme="minorEastAsia" w:cs="Calibri"/>
                <w:color w:val="000000"/>
                <w:szCs w:val="18"/>
                <w:lang w:eastAsia="en-AU"/>
              </w:rPr>
              <w:t>5 841</w:t>
            </w:r>
          </w:p>
        </w:tc>
        <w:tc>
          <w:tcPr>
            <w:tcW w:w="76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AC137D">
              <w:rPr>
                <w:rFonts w:eastAsiaTheme="minorEastAsia" w:cs="Calibri"/>
                <w:color w:val="000000"/>
                <w:szCs w:val="18"/>
                <w:lang w:eastAsia="en-AU"/>
              </w:rPr>
              <w:t>5 860</w:t>
            </w:r>
          </w:p>
        </w:tc>
        <w:tc>
          <w:tcPr>
            <w:tcW w:w="76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AC137D">
              <w:rPr>
                <w:rFonts w:eastAsiaTheme="minorEastAsia" w:cs="Calibri"/>
                <w:color w:val="000000"/>
                <w:szCs w:val="18"/>
                <w:lang w:eastAsia="en-AU"/>
              </w:rPr>
              <w:t>7 581</w:t>
            </w:r>
          </w:p>
        </w:tc>
        <w:tc>
          <w:tcPr>
            <w:tcW w:w="76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AC137D">
              <w:rPr>
                <w:rFonts w:eastAsiaTheme="minorEastAsia" w:cs="Calibri"/>
                <w:color w:val="000000"/>
                <w:szCs w:val="18"/>
                <w:lang w:eastAsia="en-AU"/>
              </w:rPr>
              <w:t>7 274</w:t>
            </w:r>
          </w:p>
        </w:tc>
        <w:tc>
          <w:tcPr>
            <w:tcW w:w="76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AC137D">
              <w:rPr>
                <w:rFonts w:eastAsiaTheme="minorEastAsia" w:cs="Calibri"/>
                <w:color w:val="000000"/>
                <w:szCs w:val="18"/>
                <w:lang w:eastAsia="en-AU"/>
              </w:rPr>
              <w:t>6 667</w:t>
            </w:r>
          </w:p>
        </w:tc>
      </w:tr>
      <w:tr w:rsidR="00A46DCA" w:rsidRPr="00AC137D" w:rsidTr="00A26D04">
        <w:tc>
          <w:tcPr>
            <w:cnfStyle w:val="001000000000" w:firstRow="0" w:lastRow="0" w:firstColumn="1" w:lastColumn="0" w:oddVBand="0" w:evenVBand="0" w:oddHBand="0" w:evenHBand="0" w:firstRowFirstColumn="0" w:firstRowLastColumn="0" w:lastRowFirstColumn="0" w:lastRowLastColumn="0"/>
            <w:tcW w:w="3402" w:type="dxa"/>
            <w:tcBorders>
              <w:top w:val="nil"/>
              <w:left w:val="nil"/>
              <w:bottom w:val="nil"/>
              <w:right w:val="nil"/>
            </w:tcBorders>
          </w:tcPr>
          <w:p w:rsidR="00A46DCA" w:rsidRPr="00AC137D" w:rsidRDefault="00A46DCA" w:rsidP="00A26D04">
            <w:pPr>
              <w:keepLines w:val="0"/>
              <w:autoSpaceDE w:val="0"/>
              <w:autoSpaceDN w:val="0"/>
              <w:adjustRightInd w:val="0"/>
              <w:rPr>
                <w:rFonts w:eastAsiaTheme="minorEastAsia" w:cs="Calibri"/>
                <w:color w:val="000000"/>
                <w:szCs w:val="18"/>
                <w:lang w:eastAsia="en-AU"/>
              </w:rPr>
            </w:pPr>
            <w:r w:rsidRPr="00AC137D">
              <w:rPr>
                <w:rFonts w:eastAsiaTheme="minorEastAsia" w:cs="Calibri"/>
                <w:color w:val="000000"/>
                <w:szCs w:val="18"/>
                <w:lang w:eastAsia="en-AU"/>
              </w:rPr>
              <w:t>Borrowings</w:t>
            </w:r>
          </w:p>
        </w:tc>
        <w:tc>
          <w:tcPr>
            <w:tcW w:w="567" w:type="dxa"/>
            <w:gridSpan w:val="2"/>
            <w:tcBorders>
              <w:top w:val="nil"/>
              <w:left w:val="nil"/>
              <w:bottom w:val="nil"/>
              <w:right w:val="nil"/>
            </w:tcBorders>
          </w:tcPr>
          <w:p w:rsidR="00A46DCA" w:rsidRPr="00AC137D" w:rsidRDefault="00A46DCA" w:rsidP="00A26D04">
            <w:pPr>
              <w:keepLines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AC137D">
              <w:rPr>
                <w:rFonts w:eastAsiaTheme="minorEastAsia" w:cs="Calibri"/>
                <w:color w:val="000000"/>
                <w:szCs w:val="18"/>
                <w:lang w:eastAsia="en-AU"/>
              </w:rPr>
              <w:t>4.5.1</w:t>
            </w:r>
          </w:p>
        </w:tc>
        <w:tc>
          <w:tcPr>
            <w:tcW w:w="76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AC137D">
              <w:rPr>
                <w:rFonts w:eastAsiaTheme="minorEastAsia" w:cs="Calibri"/>
                <w:color w:val="000000"/>
                <w:szCs w:val="18"/>
                <w:lang w:eastAsia="en-AU"/>
              </w:rPr>
              <w:t>34 052</w:t>
            </w:r>
          </w:p>
        </w:tc>
        <w:tc>
          <w:tcPr>
            <w:tcW w:w="76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AC137D">
              <w:rPr>
                <w:rFonts w:eastAsiaTheme="minorEastAsia" w:cs="Calibri"/>
                <w:color w:val="000000"/>
                <w:szCs w:val="18"/>
                <w:lang w:eastAsia="en-AU"/>
              </w:rPr>
              <w:t>33 589</w:t>
            </w:r>
          </w:p>
        </w:tc>
        <w:tc>
          <w:tcPr>
            <w:tcW w:w="76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AC137D">
              <w:rPr>
                <w:rFonts w:eastAsiaTheme="minorEastAsia" w:cs="Calibri"/>
                <w:color w:val="000000"/>
                <w:szCs w:val="18"/>
                <w:lang w:eastAsia="en-AU"/>
              </w:rPr>
              <w:t>35 791</w:t>
            </w:r>
          </w:p>
        </w:tc>
        <w:tc>
          <w:tcPr>
            <w:tcW w:w="76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AC137D">
              <w:rPr>
                <w:rFonts w:eastAsiaTheme="minorEastAsia" w:cs="Calibri"/>
                <w:color w:val="000000"/>
                <w:szCs w:val="18"/>
                <w:lang w:eastAsia="en-AU"/>
              </w:rPr>
              <w:t>38 660</w:t>
            </w:r>
          </w:p>
        </w:tc>
        <w:tc>
          <w:tcPr>
            <w:tcW w:w="76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AC137D">
              <w:rPr>
                <w:rFonts w:eastAsiaTheme="minorEastAsia" w:cs="Calibri"/>
                <w:color w:val="000000"/>
                <w:szCs w:val="18"/>
                <w:lang w:eastAsia="en-AU"/>
              </w:rPr>
              <w:t>41 068</w:t>
            </w:r>
          </w:p>
        </w:tc>
      </w:tr>
      <w:tr w:rsidR="00A46DCA" w:rsidRPr="00AC137D" w:rsidTr="00A26D04">
        <w:tc>
          <w:tcPr>
            <w:cnfStyle w:val="001000000000" w:firstRow="0" w:lastRow="0" w:firstColumn="1" w:lastColumn="0" w:oddVBand="0" w:evenVBand="0" w:oddHBand="0" w:evenHBand="0" w:firstRowFirstColumn="0" w:firstRowLastColumn="0" w:lastRowFirstColumn="0" w:lastRowLastColumn="0"/>
            <w:tcW w:w="3402" w:type="dxa"/>
            <w:tcBorders>
              <w:top w:val="nil"/>
              <w:left w:val="nil"/>
              <w:bottom w:val="nil"/>
              <w:right w:val="nil"/>
            </w:tcBorders>
          </w:tcPr>
          <w:p w:rsidR="00A46DCA" w:rsidRPr="00AC137D" w:rsidRDefault="00A46DCA" w:rsidP="00A26D04">
            <w:pPr>
              <w:keepLines w:val="0"/>
              <w:autoSpaceDE w:val="0"/>
              <w:autoSpaceDN w:val="0"/>
              <w:adjustRightInd w:val="0"/>
              <w:rPr>
                <w:rFonts w:eastAsiaTheme="minorEastAsia" w:cs="Calibri"/>
                <w:color w:val="000000"/>
                <w:szCs w:val="18"/>
                <w:lang w:eastAsia="en-AU"/>
              </w:rPr>
            </w:pPr>
            <w:r w:rsidRPr="00AC137D">
              <w:rPr>
                <w:rFonts w:eastAsiaTheme="minorEastAsia" w:cs="Calibri"/>
                <w:color w:val="000000"/>
                <w:szCs w:val="18"/>
                <w:lang w:eastAsia="en-AU"/>
              </w:rPr>
              <w:t>Employee benefits</w:t>
            </w:r>
          </w:p>
        </w:tc>
        <w:tc>
          <w:tcPr>
            <w:tcW w:w="567" w:type="dxa"/>
            <w:gridSpan w:val="2"/>
            <w:tcBorders>
              <w:top w:val="nil"/>
              <w:left w:val="nil"/>
              <w:bottom w:val="nil"/>
              <w:right w:val="nil"/>
            </w:tcBorders>
          </w:tcPr>
          <w:p w:rsidR="00A46DCA" w:rsidRPr="00AC137D" w:rsidRDefault="00A46DCA" w:rsidP="00A26D04">
            <w:pPr>
              <w:keepLines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AC137D">
              <w:rPr>
                <w:rFonts w:eastAsiaTheme="minorEastAsia" w:cs="Calibri"/>
                <w:color w:val="000000"/>
                <w:szCs w:val="18"/>
                <w:lang w:eastAsia="en-AU"/>
              </w:rPr>
              <w:t>4.3.1</w:t>
            </w:r>
          </w:p>
        </w:tc>
        <w:tc>
          <w:tcPr>
            <w:tcW w:w="76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AC137D">
              <w:rPr>
                <w:rFonts w:eastAsiaTheme="minorEastAsia" w:cs="Calibri"/>
                <w:color w:val="000000"/>
                <w:szCs w:val="18"/>
                <w:lang w:eastAsia="en-AU"/>
              </w:rPr>
              <w:t>6 747</w:t>
            </w:r>
          </w:p>
        </w:tc>
        <w:tc>
          <w:tcPr>
            <w:tcW w:w="76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AC137D">
              <w:rPr>
                <w:rFonts w:eastAsiaTheme="minorEastAsia" w:cs="Calibri"/>
                <w:color w:val="000000"/>
                <w:szCs w:val="18"/>
                <w:lang w:eastAsia="en-AU"/>
              </w:rPr>
              <w:t>6 765</w:t>
            </w:r>
          </w:p>
        </w:tc>
        <w:tc>
          <w:tcPr>
            <w:tcW w:w="76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AC137D">
              <w:rPr>
                <w:rFonts w:eastAsiaTheme="minorEastAsia" w:cs="Calibri"/>
                <w:color w:val="000000"/>
                <w:szCs w:val="18"/>
                <w:lang w:eastAsia="en-AU"/>
              </w:rPr>
              <w:t>7 065</w:t>
            </w:r>
          </w:p>
        </w:tc>
        <w:tc>
          <w:tcPr>
            <w:tcW w:w="76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AC137D">
              <w:rPr>
                <w:rFonts w:eastAsiaTheme="minorEastAsia" w:cs="Calibri"/>
                <w:color w:val="000000"/>
                <w:szCs w:val="18"/>
                <w:lang w:eastAsia="en-AU"/>
              </w:rPr>
              <w:t>7 315</w:t>
            </w:r>
          </w:p>
        </w:tc>
        <w:tc>
          <w:tcPr>
            <w:tcW w:w="76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AC137D">
              <w:rPr>
                <w:rFonts w:eastAsiaTheme="minorEastAsia" w:cs="Calibri"/>
                <w:color w:val="000000"/>
                <w:szCs w:val="18"/>
                <w:lang w:eastAsia="en-AU"/>
              </w:rPr>
              <w:t>7 590</w:t>
            </w:r>
          </w:p>
        </w:tc>
      </w:tr>
      <w:tr w:rsidR="00A46DCA" w:rsidRPr="00AC137D" w:rsidTr="00A26D04">
        <w:tc>
          <w:tcPr>
            <w:cnfStyle w:val="001000000000" w:firstRow="0" w:lastRow="0" w:firstColumn="1" w:lastColumn="0" w:oddVBand="0" w:evenVBand="0" w:oddHBand="0" w:evenHBand="0" w:firstRowFirstColumn="0" w:firstRowLastColumn="0" w:lastRowFirstColumn="0" w:lastRowLastColumn="0"/>
            <w:tcW w:w="3402" w:type="dxa"/>
            <w:tcBorders>
              <w:top w:val="nil"/>
              <w:left w:val="nil"/>
              <w:bottom w:val="nil"/>
              <w:right w:val="nil"/>
            </w:tcBorders>
          </w:tcPr>
          <w:p w:rsidR="00A46DCA" w:rsidRPr="00AC137D" w:rsidRDefault="00A46DCA" w:rsidP="00A26D04">
            <w:pPr>
              <w:keepLines w:val="0"/>
              <w:autoSpaceDE w:val="0"/>
              <w:autoSpaceDN w:val="0"/>
              <w:adjustRightInd w:val="0"/>
              <w:rPr>
                <w:rFonts w:eastAsiaTheme="minorEastAsia" w:cs="Calibri"/>
                <w:color w:val="000000"/>
                <w:szCs w:val="18"/>
                <w:lang w:eastAsia="en-AU"/>
              </w:rPr>
            </w:pPr>
            <w:r w:rsidRPr="00AC137D">
              <w:rPr>
                <w:rFonts w:eastAsiaTheme="minorEastAsia" w:cs="Calibri"/>
                <w:color w:val="000000"/>
                <w:szCs w:val="18"/>
                <w:lang w:eastAsia="en-AU"/>
              </w:rPr>
              <w:t>Superannuation</w:t>
            </w:r>
          </w:p>
        </w:tc>
        <w:tc>
          <w:tcPr>
            <w:tcW w:w="567" w:type="dxa"/>
            <w:gridSpan w:val="2"/>
            <w:tcBorders>
              <w:top w:val="nil"/>
              <w:left w:val="nil"/>
              <w:bottom w:val="nil"/>
              <w:right w:val="nil"/>
            </w:tcBorders>
          </w:tcPr>
          <w:p w:rsidR="00A46DCA" w:rsidRPr="00AC137D" w:rsidRDefault="00A46DCA" w:rsidP="00A26D04">
            <w:pPr>
              <w:keepLines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AC137D">
              <w:rPr>
                <w:rFonts w:eastAsiaTheme="minorEastAsia" w:cs="Calibri"/>
                <w:color w:val="000000"/>
                <w:szCs w:val="18"/>
                <w:lang w:eastAsia="en-AU"/>
              </w:rPr>
              <w:t>4.6.3</w:t>
            </w:r>
          </w:p>
        </w:tc>
        <w:tc>
          <w:tcPr>
            <w:tcW w:w="76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AC137D">
              <w:rPr>
                <w:rFonts w:eastAsiaTheme="minorEastAsia" w:cs="Calibri"/>
                <w:color w:val="000000"/>
                <w:szCs w:val="18"/>
                <w:lang w:eastAsia="en-AU"/>
              </w:rPr>
              <w:t>23 987</w:t>
            </w:r>
          </w:p>
        </w:tc>
        <w:tc>
          <w:tcPr>
            <w:tcW w:w="76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AC137D">
              <w:rPr>
                <w:rFonts w:eastAsiaTheme="minorEastAsia" w:cs="Calibri"/>
                <w:color w:val="000000"/>
                <w:szCs w:val="18"/>
                <w:lang w:eastAsia="en-AU"/>
              </w:rPr>
              <w:t>22 990</w:t>
            </w:r>
          </w:p>
        </w:tc>
        <w:tc>
          <w:tcPr>
            <w:tcW w:w="76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AC137D">
              <w:rPr>
                <w:rFonts w:eastAsiaTheme="minorEastAsia" w:cs="Calibri"/>
                <w:color w:val="000000"/>
                <w:szCs w:val="18"/>
                <w:lang w:eastAsia="en-AU"/>
              </w:rPr>
              <w:t>22 058</w:t>
            </w:r>
          </w:p>
        </w:tc>
        <w:tc>
          <w:tcPr>
            <w:tcW w:w="76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AC137D">
              <w:rPr>
                <w:rFonts w:eastAsiaTheme="minorEastAsia" w:cs="Calibri"/>
                <w:color w:val="000000"/>
                <w:szCs w:val="18"/>
                <w:lang w:eastAsia="en-AU"/>
              </w:rPr>
              <w:t>21 083</w:t>
            </w:r>
          </w:p>
        </w:tc>
        <w:tc>
          <w:tcPr>
            <w:tcW w:w="76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AC137D">
              <w:rPr>
                <w:rFonts w:eastAsiaTheme="minorEastAsia" w:cs="Calibri"/>
                <w:color w:val="000000"/>
                <w:szCs w:val="18"/>
                <w:lang w:eastAsia="en-AU"/>
              </w:rPr>
              <w:t>20 073</w:t>
            </w:r>
          </w:p>
        </w:tc>
      </w:tr>
      <w:tr w:rsidR="00A46DCA" w:rsidRPr="00AC137D" w:rsidTr="00A26D04">
        <w:tc>
          <w:tcPr>
            <w:cnfStyle w:val="001000000000" w:firstRow="0" w:lastRow="0" w:firstColumn="1" w:lastColumn="0" w:oddVBand="0" w:evenVBand="0" w:oddHBand="0" w:evenHBand="0" w:firstRowFirstColumn="0" w:firstRowLastColumn="0" w:lastRowFirstColumn="0" w:lastRowLastColumn="0"/>
            <w:tcW w:w="3402" w:type="dxa"/>
            <w:tcBorders>
              <w:top w:val="nil"/>
              <w:left w:val="nil"/>
              <w:bottom w:val="nil"/>
              <w:right w:val="nil"/>
            </w:tcBorders>
          </w:tcPr>
          <w:p w:rsidR="00A46DCA" w:rsidRPr="00AC137D" w:rsidRDefault="00A46DCA" w:rsidP="00A26D04">
            <w:pPr>
              <w:keepLines w:val="0"/>
              <w:autoSpaceDE w:val="0"/>
              <w:autoSpaceDN w:val="0"/>
              <w:adjustRightInd w:val="0"/>
              <w:rPr>
                <w:rFonts w:eastAsiaTheme="minorEastAsia" w:cs="Calibri"/>
                <w:color w:val="000000"/>
                <w:szCs w:val="18"/>
                <w:lang w:eastAsia="en-AU"/>
              </w:rPr>
            </w:pPr>
            <w:r w:rsidRPr="00AC137D">
              <w:rPr>
                <w:rFonts w:eastAsiaTheme="minorEastAsia" w:cs="Calibri"/>
                <w:color w:val="000000"/>
                <w:szCs w:val="18"/>
                <w:lang w:eastAsia="en-AU"/>
              </w:rPr>
              <w:t>Other provisions</w:t>
            </w:r>
          </w:p>
        </w:tc>
        <w:tc>
          <w:tcPr>
            <w:tcW w:w="567" w:type="dxa"/>
            <w:gridSpan w:val="2"/>
            <w:tcBorders>
              <w:top w:val="nil"/>
              <w:left w:val="nil"/>
              <w:bottom w:val="nil"/>
              <w:right w:val="nil"/>
            </w:tcBorders>
          </w:tcPr>
          <w:p w:rsidR="00A46DCA" w:rsidRPr="00AC137D" w:rsidRDefault="00A46DCA" w:rsidP="00A26D04">
            <w:pPr>
              <w:keepLines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AC137D">
              <w:rPr>
                <w:rFonts w:eastAsiaTheme="minorEastAsia" w:cs="Calibri"/>
                <w:color w:val="000000"/>
                <w:lang w:eastAsia="en-AU"/>
              </w:rPr>
              <w:t xml:space="preserve"> </w:t>
            </w:r>
          </w:p>
        </w:tc>
        <w:tc>
          <w:tcPr>
            <w:tcW w:w="76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AC137D">
              <w:rPr>
                <w:rFonts w:eastAsiaTheme="minorEastAsia" w:cs="Calibri"/>
                <w:color w:val="000000"/>
                <w:szCs w:val="18"/>
                <w:lang w:eastAsia="en-AU"/>
              </w:rPr>
              <w:t>1 256</w:t>
            </w:r>
          </w:p>
        </w:tc>
        <w:tc>
          <w:tcPr>
            <w:tcW w:w="76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932</w:t>
            </w:r>
          </w:p>
        </w:tc>
        <w:tc>
          <w:tcPr>
            <w:tcW w:w="76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937</w:t>
            </w:r>
          </w:p>
        </w:tc>
        <w:tc>
          <w:tcPr>
            <w:tcW w:w="76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AC137D">
              <w:rPr>
                <w:rFonts w:eastAsiaTheme="minorEastAsia" w:cs="Calibri"/>
                <w:color w:val="000000"/>
                <w:szCs w:val="18"/>
                <w:lang w:eastAsia="en-AU"/>
              </w:rPr>
              <w:t>1 270</w:t>
            </w:r>
          </w:p>
        </w:tc>
        <w:tc>
          <w:tcPr>
            <w:tcW w:w="76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AC137D">
              <w:rPr>
                <w:rFonts w:eastAsiaTheme="minorEastAsia" w:cs="Calibri"/>
                <w:color w:val="000000"/>
                <w:szCs w:val="18"/>
                <w:lang w:eastAsia="en-AU"/>
              </w:rPr>
              <w:t>1 244</w:t>
            </w:r>
          </w:p>
        </w:tc>
      </w:tr>
      <w:tr w:rsidR="00A46DCA" w:rsidRPr="00AC137D" w:rsidTr="00A26D04">
        <w:tc>
          <w:tcPr>
            <w:cnfStyle w:val="001000000000" w:firstRow="0" w:lastRow="0" w:firstColumn="1" w:lastColumn="0" w:oddVBand="0" w:evenVBand="0" w:oddHBand="0" w:evenHBand="0" w:firstRowFirstColumn="0" w:firstRowLastColumn="0" w:lastRowFirstColumn="0" w:lastRowLastColumn="0"/>
            <w:tcW w:w="3402" w:type="dxa"/>
            <w:tcBorders>
              <w:top w:val="single" w:sz="6" w:space="0" w:color="000000"/>
              <w:left w:val="nil"/>
              <w:bottom w:val="nil"/>
              <w:right w:val="nil"/>
            </w:tcBorders>
          </w:tcPr>
          <w:p w:rsidR="00A46DCA" w:rsidRPr="00AC137D" w:rsidRDefault="00A46DCA" w:rsidP="00A26D04">
            <w:pPr>
              <w:keepLines w:val="0"/>
              <w:autoSpaceDE w:val="0"/>
              <w:autoSpaceDN w:val="0"/>
              <w:adjustRightInd w:val="0"/>
              <w:rPr>
                <w:rFonts w:eastAsiaTheme="minorEastAsia" w:cs="Calibri"/>
                <w:b/>
                <w:bCs/>
                <w:color w:val="000000"/>
                <w:szCs w:val="18"/>
                <w:lang w:eastAsia="en-AU"/>
              </w:rPr>
            </w:pPr>
            <w:r w:rsidRPr="00AC137D">
              <w:rPr>
                <w:rFonts w:eastAsiaTheme="minorEastAsia" w:cs="Calibri"/>
                <w:b/>
                <w:bCs/>
                <w:color w:val="000000"/>
                <w:szCs w:val="18"/>
                <w:lang w:eastAsia="en-AU"/>
              </w:rPr>
              <w:t>Total liabilities</w:t>
            </w:r>
          </w:p>
        </w:tc>
        <w:tc>
          <w:tcPr>
            <w:tcW w:w="567" w:type="dxa"/>
            <w:gridSpan w:val="2"/>
            <w:tcBorders>
              <w:top w:val="single" w:sz="6" w:space="0" w:color="000000"/>
              <w:left w:val="nil"/>
              <w:bottom w:val="nil"/>
              <w:right w:val="nil"/>
            </w:tcBorders>
          </w:tcPr>
          <w:p w:rsidR="00A46DCA" w:rsidRPr="00AC137D" w:rsidRDefault="00A46DCA" w:rsidP="00A26D04">
            <w:pPr>
              <w:keepLines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bCs/>
                <w:color w:val="000000"/>
                <w:lang w:eastAsia="en-AU"/>
              </w:rPr>
            </w:pPr>
            <w:r w:rsidRPr="00AC137D">
              <w:rPr>
                <w:rFonts w:eastAsiaTheme="minorEastAsia" w:cs="Calibri"/>
                <w:bCs/>
                <w:color w:val="000000"/>
                <w:lang w:eastAsia="en-AU"/>
              </w:rPr>
              <w:t xml:space="preserve"> </w:t>
            </w:r>
          </w:p>
        </w:tc>
        <w:tc>
          <w:tcPr>
            <w:tcW w:w="760" w:type="dxa"/>
            <w:tcBorders>
              <w:top w:val="single" w:sz="6" w:space="0" w:color="000000"/>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AC137D">
              <w:rPr>
                <w:rFonts w:eastAsiaTheme="minorEastAsia" w:cs="Calibri"/>
                <w:b/>
                <w:bCs/>
                <w:color w:val="000000"/>
                <w:szCs w:val="18"/>
                <w:lang w:eastAsia="en-AU"/>
              </w:rPr>
              <w:t>78 323</w:t>
            </w:r>
          </w:p>
        </w:tc>
        <w:tc>
          <w:tcPr>
            <w:tcW w:w="760" w:type="dxa"/>
            <w:tcBorders>
              <w:top w:val="single" w:sz="6" w:space="0" w:color="000000"/>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AC137D">
              <w:rPr>
                <w:rFonts w:eastAsiaTheme="minorEastAsia" w:cs="Calibri"/>
                <w:b/>
                <w:bCs/>
                <w:color w:val="000000"/>
                <w:szCs w:val="18"/>
                <w:lang w:eastAsia="en-AU"/>
              </w:rPr>
              <w:t>76 317</w:t>
            </w:r>
          </w:p>
        </w:tc>
        <w:tc>
          <w:tcPr>
            <w:tcW w:w="760" w:type="dxa"/>
            <w:tcBorders>
              <w:top w:val="single" w:sz="6" w:space="0" w:color="000000"/>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AC137D">
              <w:rPr>
                <w:rFonts w:eastAsiaTheme="minorEastAsia" w:cs="Calibri"/>
                <w:b/>
                <w:bCs/>
                <w:color w:val="000000"/>
                <w:szCs w:val="18"/>
                <w:lang w:eastAsia="en-AU"/>
              </w:rPr>
              <w:t>77 966</w:t>
            </w:r>
          </w:p>
        </w:tc>
        <w:tc>
          <w:tcPr>
            <w:tcW w:w="760" w:type="dxa"/>
            <w:tcBorders>
              <w:top w:val="single" w:sz="6" w:space="0" w:color="000000"/>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AC137D">
              <w:rPr>
                <w:rFonts w:eastAsiaTheme="minorEastAsia" w:cs="Calibri"/>
                <w:b/>
                <w:bCs/>
                <w:color w:val="000000"/>
                <w:szCs w:val="18"/>
                <w:lang w:eastAsia="en-AU"/>
              </w:rPr>
              <w:t>78 610</w:t>
            </w:r>
          </w:p>
        </w:tc>
        <w:tc>
          <w:tcPr>
            <w:tcW w:w="760" w:type="dxa"/>
            <w:tcBorders>
              <w:top w:val="single" w:sz="6" w:space="0" w:color="000000"/>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AC137D">
              <w:rPr>
                <w:rFonts w:eastAsiaTheme="minorEastAsia" w:cs="Calibri"/>
                <w:b/>
                <w:bCs/>
                <w:color w:val="000000"/>
                <w:szCs w:val="18"/>
                <w:lang w:eastAsia="en-AU"/>
              </w:rPr>
              <w:t>78 059</w:t>
            </w:r>
          </w:p>
        </w:tc>
      </w:tr>
      <w:tr w:rsidR="00A46DCA" w:rsidRPr="00AC137D" w:rsidTr="00A26D04">
        <w:tc>
          <w:tcPr>
            <w:cnfStyle w:val="001000000000" w:firstRow="0" w:lastRow="0" w:firstColumn="1" w:lastColumn="0" w:oddVBand="0" w:evenVBand="0" w:oddHBand="0" w:evenHBand="0" w:firstRowFirstColumn="0" w:firstRowLastColumn="0" w:lastRowFirstColumn="0" w:lastRowLastColumn="0"/>
            <w:tcW w:w="3402" w:type="dxa"/>
            <w:tcBorders>
              <w:top w:val="single" w:sz="6" w:space="0" w:color="000000"/>
              <w:left w:val="nil"/>
              <w:bottom w:val="single" w:sz="12" w:space="0" w:color="000000"/>
              <w:right w:val="nil"/>
            </w:tcBorders>
          </w:tcPr>
          <w:p w:rsidR="00A46DCA" w:rsidRPr="00AC137D" w:rsidRDefault="00A46DCA" w:rsidP="00A26D04">
            <w:pPr>
              <w:keepLines w:val="0"/>
              <w:autoSpaceDE w:val="0"/>
              <w:autoSpaceDN w:val="0"/>
              <w:adjustRightInd w:val="0"/>
              <w:rPr>
                <w:rFonts w:eastAsiaTheme="minorEastAsia" w:cs="Calibri"/>
                <w:b/>
                <w:bCs/>
                <w:color w:val="000000"/>
                <w:szCs w:val="18"/>
                <w:lang w:eastAsia="en-AU"/>
              </w:rPr>
            </w:pPr>
            <w:r w:rsidRPr="00AC137D">
              <w:rPr>
                <w:rFonts w:eastAsiaTheme="minorEastAsia" w:cs="Calibri"/>
                <w:b/>
                <w:bCs/>
                <w:color w:val="000000"/>
                <w:szCs w:val="18"/>
                <w:lang w:eastAsia="en-AU"/>
              </w:rPr>
              <w:t>Net assets</w:t>
            </w:r>
          </w:p>
        </w:tc>
        <w:tc>
          <w:tcPr>
            <w:tcW w:w="567" w:type="dxa"/>
            <w:gridSpan w:val="2"/>
            <w:tcBorders>
              <w:top w:val="single" w:sz="6" w:space="0" w:color="000000"/>
              <w:left w:val="nil"/>
              <w:bottom w:val="single" w:sz="12" w:space="0" w:color="000000"/>
              <w:right w:val="nil"/>
            </w:tcBorders>
          </w:tcPr>
          <w:p w:rsidR="00A46DCA" w:rsidRPr="00AC137D" w:rsidRDefault="00A46DCA" w:rsidP="00A26D04">
            <w:pPr>
              <w:keepLines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bCs/>
                <w:color w:val="000000"/>
                <w:lang w:eastAsia="en-AU"/>
              </w:rPr>
            </w:pPr>
            <w:r w:rsidRPr="00AC137D">
              <w:rPr>
                <w:rFonts w:eastAsiaTheme="minorEastAsia" w:cs="Calibri"/>
                <w:bCs/>
                <w:color w:val="000000"/>
                <w:lang w:eastAsia="en-AU"/>
              </w:rPr>
              <w:t xml:space="preserve"> </w:t>
            </w:r>
          </w:p>
        </w:tc>
        <w:tc>
          <w:tcPr>
            <w:tcW w:w="760" w:type="dxa"/>
            <w:tcBorders>
              <w:top w:val="single" w:sz="6" w:space="0" w:color="000000"/>
              <w:left w:val="nil"/>
              <w:bottom w:val="single" w:sz="12" w:space="0" w:color="000000"/>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AC137D">
              <w:rPr>
                <w:rFonts w:eastAsiaTheme="minorEastAsia" w:cs="Calibri"/>
                <w:b/>
                <w:bCs/>
                <w:color w:val="000000"/>
                <w:szCs w:val="18"/>
                <w:lang w:eastAsia="en-AU"/>
              </w:rPr>
              <w:t>172 532</w:t>
            </w:r>
          </w:p>
        </w:tc>
        <w:tc>
          <w:tcPr>
            <w:tcW w:w="760" w:type="dxa"/>
            <w:tcBorders>
              <w:top w:val="single" w:sz="6" w:space="0" w:color="000000"/>
              <w:left w:val="nil"/>
              <w:bottom w:val="single" w:sz="12" w:space="0" w:color="000000"/>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AC137D">
              <w:rPr>
                <w:rFonts w:eastAsiaTheme="minorEastAsia" w:cs="Calibri"/>
                <w:b/>
                <w:bCs/>
                <w:color w:val="000000"/>
                <w:szCs w:val="18"/>
                <w:lang w:eastAsia="en-AU"/>
              </w:rPr>
              <w:t>174 515</w:t>
            </w:r>
          </w:p>
        </w:tc>
        <w:tc>
          <w:tcPr>
            <w:tcW w:w="760" w:type="dxa"/>
            <w:tcBorders>
              <w:top w:val="single" w:sz="6" w:space="0" w:color="000000"/>
              <w:left w:val="nil"/>
              <w:bottom w:val="single" w:sz="12" w:space="0" w:color="000000"/>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AC137D">
              <w:rPr>
                <w:rFonts w:eastAsiaTheme="minorEastAsia" w:cs="Calibri"/>
                <w:b/>
                <w:bCs/>
                <w:color w:val="000000"/>
                <w:szCs w:val="18"/>
                <w:lang w:eastAsia="en-AU"/>
              </w:rPr>
              <w:t>178 934</w:t>
            </w:r>
          </w:p>
        </w:tc>
        <w:tc>
          <w:tcPr>
            <w:tcW w:w="760" w:type="dxa"/>
            <w:tcBorders>
              <w:top w:val="single" w:sz="6" w:space="0" w:color="000000"/>
              <w:left w:val="nil"/>
              <w:bottom w:val="single" w:sz="12" w:space="0" w:color="000000"/>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AC137D">
              <w:rPr>
                <w:rFonts w:eastAsiaTheme="minorEastAsia" w:cs="Calibri"/>
                <w:b/>
                <w:bCs/>
                <w:color w:val="000000"/>
                <w:szCs w:val="18"/>
                <w:lang w:eastAsia="en-AU"/>
              </w:rPr>
              <w:t>190 505</w:t>
            </w:r>
          </w:p>
        </w:tc>
        <w:tc>
          <w:tcPr>
            <w:tcW w:w="760" w:type="dxa"/>
            <w:tcBorders>
              <w:top w:val="single" w:sz="6" w:space="0" w:color="000000"/>
              <w:left w:val="nil"/>
              <w:bottom w:val="single" w:sz="12" w:space="0" w:color="000000"/>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AC137D">
              <w:rPr>
                <w:rFonts w:eastAsiaTheme="minorEastAsia" w:cs="Calibri"/>
                <w:b/>
                <w:bCs/>
                <w:color w:val="000000"/>
                <w:szCs w:val="18"/>
                <w:lang w:eastAsia="en-AU"/>
              </w:rPr>
              <w:t>195 965</w:t>
            </w:r>
          </w:p>
        </w:tc>
      </w:tr>
      <w:tr w:rsidR="00A46DCA" w:rsidRPr="00AC137D" w:rsidTr="00A26D04">
        <w:tc>
          <w:tcPr>
            <w:cnfStyle w:val="001000000000" w:firstRow="0" w:lastRow="0" w:firstColumn="1" w:lastColumn="0" w:oddVBand="0" w:evenVBand="0" w:oddHBand="0" w:evenHBand="0" w:firstRowFirstColumn="0" w:firstRowLastColumn="0" w:lastRowFirstColumn="0" w:lastRowLastColumn="0"/>
            <w:tcW w:w="3402" w:type="dxa"/>
            <w:tcBorders>
              <w:top w:val="nil"/>
              <w:left w:val="nil"/>
              <w:bottom w:val="nil"/>
              <w:right w:val="nil"/>
            </w:tcBorders>
          </w:tcPr>
          <w:p w:rsidR="00A46DCA" w:rsidRPr="00AC137D" w:rsidRDefault="00A46DCA" w:rsidP="00A26D04">
            <w:pPr>
              <w:keepLines w:val="0"/>
              <w:autoSpaceDE w:val="0"/>
              <w:autoSpaceDN w:val="0"/>
              <w:adjustRightInd w:val="0"/>
              <w:rPr>
                <w:rFonts w:eastAsiaTheme="minorEastAsia" w:cs="Calibri"/>
                <w:color w:val="000000"/>
                <w:szCs w:val="18"/>
                <w:lang w:eastAsia="en-AU"/>
              </w:rPr>
            </w:pPr>
            <w:r w:rsidRPr="00AC137D">
              <w:rPr>
                <w:rFonts w:eastAsiaTheme="minorEastAsia" w:cs="Calibri"/>
                <w:color w:val="000000"/>
                <w:szCs w:val="18"/>
                <w:lang w:eastAsia="en-AU"/>
              </w:rPr>
              <w:t>Accumulated surplus/(deficit)</w:t>
            </w:r>
          </w:p>
        </w:tc>
        <w:tc>
          <w:tcPr>
            <w:tcW w:w="567" w:type="dxa"/>
            <w:gridSpan w:val="2"/>
            <w:tcBorders>
              <w:top w:val="nil"/>
              <w:left w:val="nil"/>
              <w:bottom w:val="nil"/>
              <w:right w:val="nil"/>
            </w:tcBorders>
          </w:tcPr>
          <w:p w:rsidR="00A46DCA" w:rsidRPr="00AC137D" w:rsidRDefault="00A46DCA" w:rsidP="00A26D04">
            <w:pPr>
              <w:keepLines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AC137D">
              <w:rPr>
                <w:rFonts w:eastAsiaTheme="minorEastAsia" w:cs="Calibri"/>
                <w:color w:val="000000"/>
                <w:lang w:eastAsia="en-AU"/>
              </w:rPr>
              <w:t xml:space="preserve"> </w:t>
            </w:r>
          </w:p>
        </w:tc>
        <w:tc>
          <w:tcPr>
            <w:tcW w:w="76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AC137D">
              <w:rPr>
                <w:rFonts w:eastAsiaTheme="minorEastAsia" w:cs="Calibri"/>
                <w:color w:val="000000"/>
                <w:szCs w:val="18"/>
                <w:lang w:eastAsia="en-AU"/>
              </w:rPr>
              <w:t>53 275</w:t>
            </w:r>
          </w:p>
        </w:tc>
        <w:tc>
          <w:tcPr>
            <w:tcW w:w="76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AC137D">
              <w:rPr>
                <w:rFonts w:eastAsiaTheme="minorEastAsia" w:cs="Calibri"/>
                <w:color w:val="000000"/>
                <w:szCs w:val="18"/>
                <w:lang w:eastAsia="en-AU"/>
              </w:rPr>
              <w:t>54 911</w:t>
            </w:r>
          </w:p>
        </w:tc>
        <w:tc>
          <w:tcPr>
            <w:tcW w:w="76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AC137D">
              <w:rPr>
                <w:rFonts w:eastAsiaTheme="minorEastAsia" w:cs="Calibri"/>
                <w:color w:val="000000"/>
                <w:szCs w:val="18"/>
                <w:lang w:eastAsia="en-AU"/>
              </w:rPr>
              <w:t>57 830</w:t>
            </w:r>
          </w:p>
        </w:tc>
        <w:tc>
          <w:tcPr>
            <w:tcW w:w="76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AC137D">
              <w:rPr>
                <w:rFonts w:eastAsiaTheme="minorEastAsia" w:cs="Calibri"/>
                <w:color w:val="000000"/>
                <w:szCs w:val="18"/>
                <w:lang w:eastAsia="en-AU"/>
              </w:rPr>
              <w:t>60 474</w:t>
            </w:r>
          </w:p>
        </w:tc>
        <w:tc>
          <w:tcPr>
            <w:tcW w:w="76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AC137D">
              <w:rPr>
                <w:rFonts w:eastAsiaTheme="minorEastAsia" w:cs="Calibri"/>
                <w:color w:val="000000"/>
                <w:szCs w:val="18"/>
                <w:lang w:eastAsia="en-AU"/>
              </w:rPr>
              <w:t>63 804</w:t>
            </w:r>
          </w:p>
        </w:tc>
      </w:tr>
      <w:tr w:rsidR="00A46DCA" w:rsidRPr="00AC137D" w:rsidTr="00A26D04">
        <w:tc>
          <w:tcPr>
            <w:cnfStyle w:val="001000000000" w:firstRow="0" w:lastRow="0" w:firstColumn="1" w:lastColumn="0" w:oddVBand="0" w:evenVBand="0" w:oddHBand="0" w:evenHBand="0" w:firstRowFirstColumn="0" w:firstRowLastColumn="0" w:lastRowFirstColumn="0" w:lastRowLastColumn="0"/>
            <w:tcW w:w="3402" w:type="dxa"/>
            <w:tcBorders>
              <w:top w:val="nil"/>
              <w:left w:val="nil"/>
              <w:bottom w:val="nil"/>
              <w:right w:val="nil"/>
            </w:tcBorders>
          </w:tcPr>
          <w:p w:rsidR="00A46DCA" w:rsidRPr="00AC137D" w:rsidRDefault="00A46DCA" w:rsidP="00A26D04">
            <w:pPr>
              <w:keepLines w:val="0"/>
              <w:autoSpaceDE w:val="0"/>
              <w:autoSpaceDN w:val="0"/>
              <w:adjustRightInd w:val="0"/>
              <w:rPr>
                <w:rFonts w:eastAsiaTheme="minorEastAsia" w:cs="Calibri"/>
                <w:color w:val="000000"/>
                <w:szCs w:val="18"/>
                <w:lang w:eastAsia="en-AU"/>
              </w:rPr>
            </w:pPr>
            <w:r w:rsidRPr="00AC137D">
              <w:rPr>
                <w:rFonts w:eastAsiaTheme="minorEastAsia" w:cs="Calibri"/>
                <w:color w:val="000000"/>
                <w:szCs w:val="18"/>
                <w:lang w:eastAsia="en-AU"/>
              </w:rPr>
              <w:t>Reserves</w:t>
            </w:r>
          </w:p>
        </w:tc>
        <w:tc>
          <w:tcPr>
            <w:tcW w:w="567" w:type="dxa"/>
            <w:gridSpan w:val="2"/>
            <w:tcBorders>
              <w:top w:val="nil"/>
              <w:left w:val="nil"/>
              <w:bottom w:val="nil"/>
              <w:right w:val="nil"/>
            </w:tcBorders>
          </w:tcPr>
          <w:p w:rsidR="00A46DCA" w:rsidRPr="00AC137D" w:rsidRDefault="00A46DCA" w:rsidP="00A26D04">
            <w:pPr>
              <w:keepLines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AC137D">
              <w:rPr>
                <w:rFonts w:eastAsiaTheme="minorEastAsia" w:cs="Calibri"/>
                <w:color w:val="000000"/>
                <w:lang w:eastAsia="en-AU"/>
              </w:rPr>
              <w:t xml:space="preserve"> </w:t>
            </w:r>
          </w:p>
        </w:tc>
        <w:tc>
          <w:tcPr>
            <w:tcW w:w="76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AC137D">
              <w:rPr>
                <w:rFonts w:eastAsiaTheme="minorEastAsia" w:cs="Calibri"/>
                <w:color w:val="000000"/>
                <w:szCs w:val="18"/>
                <w:lang w:eastAsia="en-AU"/>
              </w:rPr>
              <w:t>119 257</w:t>
            </w:r>
          </w:p>
        </w:tc>
        <w:tc>
          <w:tcPr>
            <w:tcW w:w="76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AC137D">
              <w:rPr>
                <w:rFonts w:eastAsiaTheme="minorEastAsia" w:cs="Calibri"/>
                <w:color w:val="000000"/>
                <w:szCs w:val="18"/>
                <w:lang w:eastAsia="en-AU"/>
              </w:rPr>
              <w:t>119 604</w:t>
            </w:r>
          </w:p>
        </w:tc>
        <w:tc>
          <w:tcPr>
            <w:tcW w:w="76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AC137D">
              <w:rPr>
                <w:rFonts w:eastAsiaTheme="minorEastAsia" w:cs="Calibri"/>
                <w:color w:val="000000"/>
                <w:szCs w:val="18"/>
                <w:lang w:eastAsia="en-AU"/>
              </w:rPr>
              <w:t>121 104</w:t>
            </w:r>
          </w:p>
        </w:tc>
        <w:tc>
          <w:tcPr>
            <w:tcW w:w="76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AC137D">
              <w:rPr>
                <w:rFonts w:eastAsiaTheme="minorEastAsia" w:cs="Calibri"/>
                <w:color w:val="000000"/>
                <w:szCs w:val="18"/>
                <w:lang w:eastAsia="en-AU"/>
              </w:rPr>
              <w:t>130 032</w:t>
            </w:r>
          </w:p>
        </w:tc>
        <w:tc>
          <w:tcPr>
            <w:tcW w:w="76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AC137D">
              <w:rPr>
                <w:rFonts w:eastAsiaTheme="minorEastAsia" w:cs="Calibri"/>
                <w:color w:val="000000"/>
                <w:szCs w:val="18"/>
                <w:lang w:eastAsia="en-AU"/>
              </w:rPr>
              <w:t>132 161</w:t>
            </w:r>
          </w:p>
        </w:tc>
      </w:tr>
      <w:tr w:rsidR="00A46DCA" w:rsidRPr="00AC137D" w:rsidTr="00A26D04">
        <w:tc>
          <w:tcPr>
            <w:cnfStyle w:val="001000000000" w:firstRow="0" w:lastRow="0" w:firstColumn="1" w:lastColumn="0" w:oddVBand="0" w:evenVBand="0" w:oddHBand="0" w:evenHBand="0" w:firstRowFirstColumn="0" w:firstRowLastColumn="0" w:lastRowFirstColumn="0" w:lastRowLastColumn="0"/>
            <w:tcW w:w="3402" w:type="dxa"/>
            <w:tcBorders>
              <w:top w:val="single" w:sz="6" w:space="0" w:color="000000"/>
              <w:left w:val="nil"/>
              <w:bottom w:val="single" w:sz="12" w:space="0" w:color="000000"/>
              <w:right w:val="nil"/>
            </w:tcBorders>
          </w:tcPr>
          <w:p w:rsidR="00A46DCA" w:rsidRPr="00AC137D" w:rsidRDefault="00A46DCA" w:rsidP="00A26D04">
            <w:pPr>
              <w:keepLines w:val="0"/>
              <w:autoSpaceDE w:val="0"/>
              <w:autoSpaceDN w:val="0"/>
              <w:adjustRightInd w:val="0"/>
              <w:rPr>
                <w:rFonts w:eastAsiaTheme="minorEastAsia" w:cs="Calibri"/>
                <w:b/>
                <w:bCs/>
                <w:color w:val="000000"/>
                <w:szCs w:val="18"/>
                <w:lang w:eastAsia="en-AU"/>
              </w:rPr>
            </w:pPr>
            <w:r w:rsidRPr="00AC137D">
              <w:rPr>
                <w:rFonts w:eastAsiaTheme="minorEastAsia" w:cs="Calibri"/>
                <w:b/>
                <w:bCs/>
                <w:color w:val="000000"/>
                <w:szCs w:val="18"/>
                <w:lang w:eastAsia="en-AU"/>
              </w:rPr>
              <w:t>Net worth</w:t>
            </w:r>
          </w:p>
        </w:tc>
        <w:tc>
          <w:tcPr>
            <w:tcW w:w="567" w:type="dxa"/>
            <w:gridSpan w:val="2"/>
            <w:tcBorders>
              <w:top w:val="single" w:sz="6" w:space="0" w:color="000000"/>
              <w:left w:val="nil"/>
              <w:bottom w:val="single" w:sz="12" w:space="0" w:color="000000"/>
              <w:right w:val="nil"/>
            </w:tcBorders>
          </w:tcPr>
          <w:p w:rsidR="00A46DCA" w:rsidRPr="00AC137D" w:rsidRDefault="00A46DCA" w:rsidP="00A26D04">
            <w:pPr>
              <w:keepLines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bCs/>
                <w:color w:val="000000"/>
                <w:lang w:eastAsia="en-AU"/>
              </w:rPr>
            </w:pPr>
            <w:r w:rsidRPr="00AC137D">
              <w:rPr>
                <w:rFonts w:eastAsiaTheme="minorEastAsia" w:cs="Calibri"/>
                <w:bCs/>
                <w:color w:val="000000"/>
                <w:lang w:eastAsia="en-AU"/>
              </w:rPr>
              <w:t xml:space="preserve"> </w:t>
            </w:r>
          </w:p>
        </w:tc>
        <w:tc>
          <w:tcPr>
            <w:tcW w:w="760" w:type="dxa"/>
            <w:tcBorders>
              <w:top w:val="single" w:sz="6" w:space="0" w:color="000000"/>
              <w:left w:val="nil"/>
              <w:bottom w:val="single" w:sz="12" w:space="0" w:color="000000"/>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AC137D">
              <w:rPr>
                <w:rFonts w:eastAsiaTheme="minorEastAsia" w:cs="Calibri"/>
                <w:b/>
                <w:bCs/>
                <w:color w:val="000000"/>
                <w:szCs w:val="18"/>
                <w:lang w:eastAsia="en-AU"/>
              </w:rPr>
              <w:t>172 532</w:t>
            </w:r>
          </w:p>
        </w:tc>
        <w:tc>
          <w:tcPr>
            <w:tcW w:w="760" w:type="dxa"/>
            <w:tcBorders>
              <w:top w:val="single" w:sz="6" w:space="0" w:color="000000"/>
              <w:left w:val="nil"/>
              <w:bottom w:val="single" w:sz="12" w:space="0" w:color="000000"/>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AC137D">
              <w:rPr>
                <w:rFonts w:eastAsiaTheme="minorEastAsia" w:cs="Calibri"/>
                <w:b/>
                <w:bCs/>
                <w:color w:val="000000"/>
                <w:szCs w:val="18"/>
                <w:lang w:eastAsia="en-AU"/>
              </w:rPr>
              <w:t>174 515</w:t>
            </w:r>
          </w:p>
        </w:tc>
        <w:tc>
          <w:tcPr>
            <w:tcW w:w="760" w:type="dxa"/>
            <w:tcBorders>
              <w:top w:val="single" w:sz="6" w:space="0" w:color="000000"/>
              <w:left w:val="nil"/>
              <w:bottom w:val="single" w:sz="12" w:space="0" w:color="000000"/>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AC137D">
              <w:rPr>
                <w:rFonts w:eastAsiaTheme="minorEastAsia" w:cs="Calibri"/>
                <w:b/>
                <w:bCs/>
                <w:color w:val="000000"/>
                <w:szCs w:val="18"/>
                <w:lang w:eastAsia="en-AU"/>
              </w:rPr>
              <w:t>178 934</w:t>
            </w:r>
          </w:p>
        </w:tc>
        <w:tc>
          <w:tcPr>
            <w:tcW w:w="760" w:type="dxa"/>
            <w:tcBorders>
              <w:top w:val="single" w:sz="6" w:space="0" w:color="000000"/>
              <w:left w:val="nil"/>
              <w:bottom w:val="single" w:sz="12" w:space="0" w:color="000000"/>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AC137D">
              <w:rPr>
                <w:rFonts w:eastAsiaTheme="minorEastAsia" w:cs="Calibri"/>
                <w:b/>
                <w:bCs/>
                <w:color w:val="000000"/>
                <w:szCs w:val="18"/>
                <w:lang w:eastAsia="en-AU"/>
              </w:rPr>
              <w:t>190 505</w:t>
            </w:r>
          </w:p>
        </w:tc>
        <w:tc>
          <w:tcPr>
            <w:tcW w:w="760" w:type="dxa"/>
            <w:tcBorders>
              <w:top w:val="single" w:sz="6" w:space="0" w:color="000000"/>
              <w:left w:val="nil"/>
              <w:bottom w:val="single" w:sz="12" w:space="0" w:color="000000"/>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AC137D">
              <w:rPr>
                <w:rFonts w:eastAsiaTheme="minorEastAsia" w:cs="Calibri"/>
                <w:b/>
                <w:bCs/>
                <w:color w:val="000000"/>
                <w:szCs w:val="18"/>
                <w:lang w:eastAsia="en-AU"/>
              </w:rPr>
              <w:t>195 965</w:t>
            </w:r>
          </w:p>
        </w:tc>
      </w:tr>
      <w:tr w:rsidR="00A46DCA" w:rsidRPr="00AC137D" w:rsidTr="00A26D04">
        <w:trPr>
          <w:trHeight w:hRule="exact" w:val="120"/>
        </w:trPr>
        <w:tc>
          <w:tcPr>
            <w:cnfStyle w:val="001000000000" w:firstRow="0" w:lastRow="0" w:firstColumn="1" w:lastColumn="0" w:oddVBand="0" w:evenVBand="0" w:oddHBand="0" w:evenHBand="0" w:firstRowFirstColumn="0" w:firstRowLastColumn="0" w:lastRowFirstColumn="0" w:lastRowLastColumn="0"/>
            <w:tcW w:w="3402" w:type="dxa"/>
            <w:tcBorders>
              <w:top w:val="nil"/>
              <w:left w:val="nil"/>
              <w:bottom w:val="nil"/>
              <w:right w:val="nil"/>
            </w:tcBorders>
          </w:tcPr>
          <w:p w:rsidR="00A46DCA" w:rsidRPr="00AC137D" w:rsidRDefault="00A46DCA" w:rsidP="00A26D04">
            <w:pPr>
              <w:keepLines w:val="0"/>
              <w:autoSpaceDE w:val="0"/>
              <w:autoSpaceDN w:val="0"/>
              <w:adjustRightInd w:val="0"/>
              <w:rPr>
                <w:rFonts w:eastAsiaTheme="minorEastAsia" w:cs="Calibri"/>
                <w:color w:val="000000"/>
                <w:lang w:eastAsia="en-AU"/>
              </w:rPr>
            </w:pPr>
            <w:r w:rsidRPr="00AC137D">
              <w:rPr>
                <w:rFonts w:eastAsiaTheme="minorEastAsia" w:cs="Calibri"/>
                <w:color w:val="000000"/>
                <w:lang w:eastAsia="en-AU"/>
              </w:rPr>
              <w:t xml:space="preserve"> </w:t>
            </w:r>
          </w:p>
        </w:tc>
        <w:tc>
          <w:tcPr>
            <w:tcW w:w="567" w:type="dxa"/>
            <w:gridSpan w:val="2"/>
            <w:tcBorders>
              <w:top w:val="nil"/>
              <w:left w:val="nil"/>
              <w:bottom w:val="nil"/>
              <w:right w:val="nil"/>
            </w:tcBorders>
          </w:tcPr>
          <w:p w:rsidR="00A46DCA" w:rsidRPr="00AC137D" w:rsidRDefault="00A46DCA" w:rsidP="00A26D04">
            <w:pPr>
              <w:keepLines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AC137D">
              <w:rPr>
                <w:rFonts w:eastAsiaTheme="minorEastAsia" w:cs="Calibri"/>
                <w:color w:val="000000"/>
                <w:lang w:eastAsia="en-AU"/>
              </w:rPr>
              <w:t xml:space="preserve"> </w:t>
            </w:r>
          </w:p>
        </w:tc>
        <w:tc>
          <w:tcPr>
            <w:tcW w:w="76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AC137D">
              <w:rPr>
                <w:rFonts w:eastAsiaTheme="minorEastAsia" w:cs="Calibri"/>
                <w:color w:val="000000"/>
                <w:lang w:eastAsia="en-AU"/>
              </w:rPr>
              <w:t xml:space="preserve"> </w:t>
            </w:r>
          </w:p>
        </w:tc>
        <w:tc>
          <w:tcPr>
            <w:tcW w:w="76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AC137D">
              <w:rPr>
                <w:rFonts w:eastAsiaTheme="minorEastAsia" w:cs="Calibri"/>
                <w:color w:val="000000"/>
                <w:lang w:eastAsia="en-AU"/>
              </w:rPr>
              <w:t xml:space="preserve"> </w:t>
            </w:r>
          </w:p>
        </w:tc>
        <w:tc>
          <w:tcPr>
            <w:tcW w:w="76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AC137D">
              <w:rPr>
                <w:rFonts w:eastAsiaTheme="minorEastAsia" w:cs="Calibri"/>
                <w:color w:val="000000"/>
                <w:lang w:eastAsia="en-AU"/>
              </w:rPr>
              <w:t xml:space="preserve"> </w:t>
            </w:r>
          </w:p>
        </w:tc>
        <w:tc>
          <w:tcPr>
            <w:tcW w:w="76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AC137D">
              <w:rPr>
                <w:rFonts w:eastAsiaTheme="minorEastAsia" w:cs="Calibri"/>
                <w:color w:val="000000"/>
                <w:lang w:eastAsia="en-AU"/>
              </w:rPr>
              <w:t xml:space="preserve"> </w:t>
            </w:r>
          </w:p>
        </w:tc>
        <w:tc>
          <w:tcPr>
            <w:tcW w:w="76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AC137D">
              <w:rPr>
                <w:rFonts w:eastAsiaTheme="minorEastAsia" w:cs="Calibri"/>
                <w:color w:val="000000"/>
                <w:lang w:eastAsia="en-AU"/>
              </w:rPr>
              <w:t xml:space="preserve"> </w:t>
            </w:r>
          </w:p>
        </w:tc>
      </w:tr>
      <w:tr w:rsidR="00A46DCA" w:rsidRPr="00AC137D" w:rsidTr="00A26D04">
        <w:tc>
          <w:tcPr>
            <w:cnfStyle w:val="001000000000" w:firstRow="0" w:lastRow="0" w:firstColumn="1" w:lastColumn="0" w:oddVBand="0" w:evenVBand="0" w:oddHBand="0" w:evenHBand="0" w:firstRowFirstColumn="0" w:firstRowLastColumn="0" w:lastRowFirstColumn="0" w:lastRowLastColumn="0"/>
            <w:tcW w:w="3402" w:type="dxa"/>
            <w:tcBorders>
              <w:top w:val="nil"/>
              <w:left w:val="nil"/>
              <w:bottom w:val="nil"/>
              <w:right w:val="nil"/>
            </w:tcBorders>
          </w:tcPr>
          <w:p w:rsidR="00A46DCA" w:rsidRPr="00AC137D" w:rsidRDefault="00A46DCA" w:rsidP="00A26D04">
            <w:pPr>
              <w:keepLines w:val="0"/>
              <w:autoSpaceDE w:val="0"/>
              <w:autoSpaceDN w:val="0"/>
              <w:adjustRightInd w:val="0"/>
              <w:rPr>
                <w:rFonts w:eastAsiaTheme="minorEastAsia" w:cs="Calibri"/>
                <w:b/>
                <w:bCs/>
                <w:color w:val="000000"/>
                <w:szCs w:val="18"/>
                <w:lang w:eastAsia="en-AU"/>
              </w:rPr>
            </w:pPr>
            <w:r w:rsidRPr="00AC137D">
              <w:rPr>
                <w:rFonts w:eastAsiaTheme="minorEastAsia" w:cs="Calibri"/>
                <w:b/>
                <w:bCs/>
                <w:color w:val="000000"/>
                <w:szCs w:val="18"/>
                <w:lang w:eastAsia="en-AU"/>
              </w:rPr>
              <w:t>FISCAL AGGREGATES</w:t>
            </w:r>
          </w:p>
        </w:tc>
        <w:tc>
          <w:tcPr>
            <w:tcW w:w="567" w:type="dxa"/>
            <w:gridSpan w:val="2"/>
            <w:tcBorders>
              <w:top w:val="nil"/>
              <w:left w:val="nil"/>
              <w:bottom w:val="nil"/>
              <w:right w:val="nil"/>
            </w:tcBorders>
          </w:tcPr>
          <w:p w:rsidR="00A46DCA" w:rsidRPr="00AC137D" w:rsidRDefault="00A46DCA" w:rsidP="00A26D04">
            <w:pPr>
              <w:keepLines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bCs/>
                <w:color w:val="000000"/>
                <w:lang w:eastAsia="en-AU"/>
              </w:rPr>
            </w:pPr>
            <w:r w:rsidRPr="00AC137D">
              <w:rPr>
                <w:rFonts w:eastAsiaTheme="minorEastAsia" w:cs="Calibri"/>
                <w:bCs/>
                <w:color w:val="000000"/>
                <w:lang w:eastAsia="en-AU"/>
              </w:rPr>
              <w:t xml:space="preserve"> </w:t>
            </w:r>
          </w:p>
        </w:tc>
        <w:tc>
          <w:tcPr>
            <w:tcW w:w="76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AC137D">
              <w:rPr>
                <w:rFonts w:eastAsiaTheme="minorEastAsia" w:cs="Calibri"/>
                <w:b/>
                <w:bCs/>
                <w:color w:val="000000"/>
                <w:lang w:eastAsia="en-AU"/>
              </w:rPr>
              <w:t xml:space="preserve"> </w:t>
            </w:r>
          </w:p>
        </w:tc>
        <w:tc>
          <w:tcPr>
            <w:tcW w:w="76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AC137D">
              <w:rPr>
                <w:rFonts w:eastAsiaTheme="minorEastAsia" w:cs="Calibri"/>
                <w:b/>
                <w:bCs/>
                <w:color w:val="000000"/>
                <w:lang w:eastAsia="en-AU"/>
              </w:rPr>
              <w:t xml:space="preserve"> </w:t>
            </w:r>
          </w:p>
        </w:tc>
        <w:tc>
          <w:tcPr>
            <w:tcW w:w="76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AC137D">
              <w:rPr>
                <w:rFonts w:eastAsiaTheme="minorEastAsia" w:cs="Calibri"/>
                <w:b/>
                <w:bCs/>
                <w:color w:val="000000"/>
                <w:lang w:eastAsia="en-AU"/>
              </w:rPr>
              <w:t xml:space="preserve"> </w:t>
            </w:r>
          </w:p>
        </w:tc>
        <w:tc>
          <w:tcPr>
            <w:tcW w:w="76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AC137D">
              <w:rPr>
                <w:rFonts w:eastAsiaTheme="minorEastAsia" w:cs="Calibri"/>
                <w:b/>
                <w:bCs/>
                <w:color w:val="000000"/>
                <w:lang w:eastAsia="en-AU"/>
              </w:rPr>
              <w:t xml:space="preserve"> </w:t>
            </w:r>
          </w:p>
        </w:tc>
        <w:tc>
          <w:tcPr>
            <w:tcW w:w="76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AC137D">
              <w:rPr>
                <w:rFonts w:eastAsiaTheme="minorEastAsia" w:cs="Calibri"/>
                <w:b/>
                <w:bCs/>
                <w:color w:val="000000"/>
                <w:lang w:eastAsia="en-AU"/>
              </w:rPr>
              <w:t xml:space="preserve"> </w:t>
            </w:r>
          </w:p>
        </w:tc>
      </w:tr>
      <w:tr w:rsidR="00A46DCA" w:rsidRPr="00AC137D" w:rsidTr="00A26D04">
        <w:tc>
          <w:tcPr>
            <w:cnfStyle w:val="001000000000" w:firstRow="0" w:lastRow="0" w:firstColumn="1" w:lastColumn="0" w:oddVBand="0" w:evenVBand="0" w:oddHBand="0" w:evenHBand="0" w:firstRowFirstColumn="0" w:firstRowLastColumn="0" w:lastRowFirstColumn="0" w:lastRowLastColumn="0"/>
            <w:tcW w:w="3402" w:type="dxa"/>
            <w:tcBorders>
              <w:top w:val="nil"/>
              <w:left w:val="nil"/>
              <w:bottom w:val="nil"/>
              <w:right w:val="nil"/>
            </w:tcBorders>
          </w:tcPr>
          <w:p w:rsidR="00A46DCA" w:rsidRPr="00AC137D" w:rsidRDefault="00A46DCA" w:rsidP="00A26D04">
            <w:pPr>
              <w:keepLines w:val="0"/>
              <w:autoSpaceDE w:val="0"/>
              <w:autoSpaceDN w:val="0"/>
              <w:adjustRightInd w:val="0"/>
              <w:rPr>
                <w:rFonts w:eastAsiaTheme="minorEastAsia" w:cs="Calibri"/>
                <w:color w:val="000000"/>
                <w:szCs w:val="18"/>
                <w:lang w:eastAsia="en-AU"/>
              </w:rPr>
            </w:pPr>
            <w:r w:rsidRPr="00AC137D">
              <w:rPr>
                <w:rFonts w:eastAsiaTheme="minorEastAsia" w:cs="Calibri"/>
                <w:color w:val="000000"/>
                <w:szCs w:val="18"/>
                <w:lang w:eastAsia="en-AU"/>
              </w:rPr>
              <w:t>Net financial worth</w:t>
            </w:r>
          </w:p>
        </w:tc>
        <w:tc>
          <w:tcPr>
            <w:tcW w:w="567" w:type="dxa"/>
            <w:gridSpan w:val="2"/>
            <w:tcBorders>
              <w:top w:val="nil"/>
              <w:left w:val="nil"/>
              <w:bottom w:val="nil"/>
              <w:right w:val="nil"/>
            </w:tcBorders>
          </w:tcPr>
          <w:p w:rsidR="00A46DCA" w:rsidRPr="00AC137D" w:rsidRDefault="00A46DCA" w:rsidP="00A26D04">
            <w:pPr>
              <w:keepLines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AC137D">
              <w:rPr>
                <w:rFonts w:eastAsiaTheme="minorEastAsia" w:cs="Calibri"/>
                <w:color w:val="000000"/>
                <w:lang w:eastAsia="en-AU"/>
              </w:rPr>
              <w:t xml:space="preserve"> </w:t>
            </w:r>
          </w:p>
        </w:tc>
        <w:tc>
          <w:tcPr>
            <w:tcW w:w="76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AC137D">
              <w:rPr>
                <w:rFonts w:eastAsiaTheme="minorEastAsia" w:cs="Calibri"/>
                <w:color w:val="000000"/>
                <w:szCs w:val="18"/>
                <w:lang w:eastAsia="en-AU"/>
              </w:rPr>
              <w:t>43 011</w:t>
            </w:r>
          </w:p>
        </w:tc>
        <w:tc>
          <w:tcPr>
            <w:tcW w:w="76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AC137D">
              <w:rPr>
                <w:rFonts w:eastAsiaTheme="minorEastAsia" w:cs="Calibri"/>
                <w:color w:val="000000"/>
                <w:szCs w:val="18"/>
                <w:lang w:eastAsia="en-AU"/>
              </w:rPr>
              <w:t>44 916</w:t>
            </w:r>
          </w:p>
        </w:tc>
        <w:tc>
          <w:tcPr>
            <w:tcW w:w="76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AC137D">
              <w:rPr>
                <w:rFonts w:eastAsiaTheme="minorEastAsia" w:cs="Calibri"/>
                <w:color w:val="000000"/>
                <w:szCs w:val="18"/>
                <w:lang w:eastAsia="en-AU"/>
              </w:rPr>
              <w:t>47 268</w:t>
            </w:r>
          </w:p>
        </w:tc>
        <w:tc>
          <w:tcPr>
            <w:tcW w:w="76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AC137D">
              <w:rPr>
                <w:rFonts w:eastAsiaTheme="minorEastAsia" w:cs="Calibri"/>
                <w:color w:val="000000"/>
                <w:szCs w:val="18"/>
                <w:lang w:eastAsia="en-AU"/>
              </w:rPr>
              <w:t>49 773</w:t>
            </w:r>
          </w:p>
        </w:tc>
        <w:tc>
          <w:tcPr>
            <w:tcW w:w="76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AC137D">
              <w:rPr>
                <w:rFonts w:eastAsiaTheme="minorEastAsia" w:cs="Calibri"/>
                <w:color w:val="000000"/>
                <w:szCs w:val="18"/>
                <w:lang w:eastAsia="en-AU"/>
              </w:rPr>
              <w:t>52 827</w:t>
            </w:r>
          </w:p>
        </w:tc>
      </w:tr>
      <w:tr w:rsidR="00A46DCA" w:rsidRPr="00AC137D" w:rsidTr="00A26D04">
        <w:tc>
          <w:tcPr>
            <w:cnfStyle w:val="001000000000" w:firstRow="0" w:lastRow="0" w:firstColumn="1" w:lastColumn="0" w:oddVBand="0" w:evenVBand="0" w:oddHBand="0" w:evenHBand="0" w:firstRowFirstColumn="0" w:firstRowLastColumn="0" w:lastRowFirstColumn="0" w:lastRowLastColumn="0"/>
            <w:tcW w:w="3402" w:type="dxa"/>
            <w:tcBorders>
              <w:top w:val="nil"/>
              <w:left w:val="nil"/>
              <w:bottom w:val="nil"/>
              <w:right w:val="nil"/>
            </w:tcBorders>
          </w:tcPr>
          <w:p w:rsidR="00A46DCA" w:rsidRPr="00AC137D" w:rsidRDefault="00A46DCA" w:rsidP="00A26D04">
            <w:pPr>
              <w:keepLines w:val="0"/>
              <w:autoSpaceDE w:val="0"/>
              <w:autoSpaceDN w:val="0"/>
              <w:adjustRightInd w:val="0"/>
              <w:rPr>
                <w:rFonts w:eastAsiaTheme="minorEastAsia" w:cs="Calibri"/>
                <w:color w:val="000000"/>
                <w:szCs w:val="18"/>
                <w:lang w:eastAsia="en-AU"/>
              </w:rPr>
            </w:pPr>
            <w:r w:rsidRPr="00AC137D">
              <w:rPr>
                <w:rFonts w:eastAsiaTheme="minorEastAsia" w:cs="Calibri"/>
                <w:color w:val="000000"/>
                <w:szCs w:val="18"/>
                <w:lang w:eastAsia="en-AU"/>
              </w:rPr>
              <w:t>Net financial liabilities</w:t>
            </w:r>
          </w:p>
        </w:tc>
        <w:tc>
          <w:tcPr>
            <w:tcW w:w="567" w:type="dxa"/>
            <w:gridSpan w:val="2"/>
            <w:tcBorders>
              <w:top w:val="nil"/>
              <w:left w:val="nil"/>
              <w:bottom w:val="nil"/>
              <w:right w:val="nil"/>
            </w:tcBorders>
          </w:tcPr>
          <w:p w:rsidR="00A46DCA" w:rsidRPr="00AC137D" w:rsidRDefault="00A46DCA" w:rsidP="00A26D04">
            <w:pPr>
              <w:keepLines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AC137D">
              <w:rPr>
                <w:rFonts w:eastAsiaTheme="minorEastAsia" w:cs="Calibri"/>
                <w:color w:val="000000"/>
                <w:lang w:eastAsia="en-AU"/>
              </w:rPr>
              <w:t xml:space="preserve"> </w:t>
            </w:r>
          </w:p>
        </w:tc>
        <w:tc>
          <w:tcPr>
            <w:tcW w:w="76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AC137D">
              <w:rPr>
                <w:rFonts w:eastAsiaTheme="minorEastAsia" w:cs="Calibri"/>
                <w:color w:val="000000"/>
                <w:szCs w:val="18"/>
                <w:lang w:eastAsia="en-AU"/>
              </w:rPr>
              <w:t>53 193</w:t>
            </w:r>
          </w:p>
        </w:tc>
        <w:tc>
          <w:tcPr>
            <w:tcW w:w="76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AC137D">
              <w:rPr>
                <w:rFonts w:eastAsiaTheme="minorEastAsia" w:cs="Calibri"/>
                <w:color w:val="000000"/>
                <w:szCs w:val="18"/>
                <w:lang w:eastAsia="en-AU"/>
              </w:rPr>
              <w:t>52 126</w:t>
            </w:r>
          </w:p>
        </w:tc>
        <w:tc>
          <w:tcPr>
            <w:tcW w:w="76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AC137D">
              <w:rPr>
                <w:rFonts w:eastAsiaTheme="minorEastAsia" w:cs="Calibri"/>
                <w:color w:val="000000"/>
                <w:szCs w:val="18"/>
                <w:lang w:eastAsia="en-AU"/>
              </w:rPr>
              <w:t>54 952</w:t>
            </w:r>
          </w:p>
        </w:tc>
        <w:tc>
          <w:tcPr>
            <w:tcW w:w="76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AC137D">
              <w:rPr>
                <w:rFonts w:eastAsiaTheme="minorEastAsia" w:cs="Calibri"/>
                <w:color w:val="000000"/>
                <w:szCs w:val="18"/>
                <w:lang w:eastAsia="en-AU"/>
              </w:rPr>
              <w:t>56 501</w:t>
            </w:r>
          </w:p>
        </w:tc>
        <w:tc>
          <w:tcPr>
            <w:tcW w:w="76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AC137D">
              <w:rPr>
                <w:rFonts w:eastAsiaTheme="minorEastAsia" w:cs="Calibri"/>
                <w:color w:val="000000"/>
                <w:szCs w:val="18"/>
                <w:lang w:eastAsia="en-AU"/>
              </w:rPr>
              <w:t>56 877</w:t>
            </w:r>
          </w:p>
        </w:tc>
      </w:tr>
      <w:tr w:rsidR="00A46DCA" w:rsidRPr="00AC137D" w:rsidTr="00A26D04">
        <w:tc>
          <w:tcPr>
            <w:cnfStyle w:val="001000000000" w:firstRow="0" w:lastRow="0" w:firstColumn="1" w:lastColumn="0" w:oddVBand="0" w:evenVBand="0" w:oddHBand="0" w:evenHBand="0" w:firstRowFirstColumn="0" w:firstRowLastColumn="0" w:lastRowFirstColumn="0" w:lastRowLastColumn="0"/>
            <w:tcW w:w="3402" w:type="dxa"/>
            <w:tcBorders>
              <w:top w:val="nil"/>
              <w:left w:val="nil"/>
              <w:bottom w:val="single" w:sz="12" w:space="0" w:color="000000"/>
              <w:right w:val="nil"/>
            </w:tcBorders>
          </w:tcPr>
          <w:p w:rsidR="00A46DCA" w:rsidRPr="00AC137D" w:rsidRDefault="00A46DCA" w:rsidP="00A26D04">
            <w:pPr>
              <w:keepLines w:val="0"/>
              <w:autoSpaceDE w:val="0"/>
              <w:autoSpaceDN w:val="0"/>
              <w:adjustRightInd w:val="0"/>
              <w:rPr>
                <w:rFonts w:eastAsiaTheme="minorEastAsia" w:cs="Calibri"/>
                <w:color w:val="000000"/>
                <w:szCs w:val="18"/>
                <w:lang w:eastAsia="en-AU"/>
              </w:rPr>
            </w:pPr>
            <w:r w:rsidRPr="00AC137D">
              <w:rPr>
                <w:rFonts w:eastAsiaTheme="minorEastAsia" w:cs="Calibri"/>
                <w:color w:val="000000"/>
                <w:szCs w:val="18"/>
                <w:lang w:eastAsia="en-AU"/>
              </w:rPr>
              <w:t>Net debt</w:t>
            </w:r>
          </w:p>
        </w:tc>
        <w:tc>
          <w:tcPr>
            <w:tcW w:w="567" w:type="dxa"/>
            <w:gridSpan w:val="2"/>
            <w:tcBorders>
              <w:top w:val="nil"/>
              <w:left w:val="nil"/>
              <w:bottom w:val="single" w:sz="12" w:space="0" w:color="000000"/>
              <w:right w:val="nil"/>
            </w:tcBorders>
          </w:tcPr>
          <w:p w:rsidR="00A46DCA" w:rsidRPr="00AC137D" w:rsidRDefault="00A46DCA" w:rsidP="00A26D04">
            <w:pPr>
              <w:keepLines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AC137D">
              <w:rPr>
                <w:rFonts w:eastAsiaTheme="minorEastAsia" w:cs="Calibri"/>
                <w:color w:val="000000"/>
                <w:lang w:eastAsia="en-AU"/>
              </w:rPr>
              <w:t xml:space="preserve"> </w:t>
            </w:r>
          </w:p>
        </w:tc>
        <w:tc>
          <w:tcPr>
            <w:tcW w:w="760" w:type="dxa"/>
            <w:tcBorders>
              <w:top w:val="nil"/>
              <w:left w:val="nil"/>
              <w:bottom w:val="single" w:sz="12" w:space="0" w:color="000000"/>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AC137D">
              <w:rPr>
                <w:rFonts w:eastAsiaTheme="minorEastAsia" w:cs="Calibri"/>
                <w:color w:val="000000"/>
                <w:szCs w:val="18"/>
                <w:lang w:eastAsia="en-AU"/>
              </w:rPr>
              <w:t>21 435</w:t>
            </w:r>
          </w:p>
        </w:tc>
        <w:tc>
          <w:tcPr>
            <w:tcW w:w="760" w:type="dxa"/>
            <w:tcBorders>
              <w:top w:val="nil"/>
              <w:left w:val="nil"/>
              <w:bottom w:val="single" w:sz="12" w:space="0" w:color="000000"/>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AC137D">
              <w:rPr>
                <w:rFonts w:eastAsiaTheme="minorEastAsia" w:cs="Calibri"/>
                <w:color w:val="000000"/>
                <w:szCs w:val="18"/>
                <w:lang w:eastAsia="en-AU"/>
              </w:rPr>
              <w:t>21 634</w:t>
            </w:r>
          </w:p>
        </w:tc>
        <w:tc>
          <w:tcPr>
            <w:tcW w:w="760" w:type="dxa"/>
            <w:tcBorders>
              <w:top w:val="nil"/>
              <w:left w:val="nil"/>
              <w:bottom w:val="single" w:sz="12" w:space="0" w:color="000000"/>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AC137D">
              <w:rPr>
                <w:rFonts w:eastAsiaTheme="minorEastAsia" w:cs="Calibri"/>
                <w:color w:val="000000"/>
                <w:szCs w:val="18"/>
                <w:lang w:eastAsia="en-AU"/>
              </w:rPr>
              <w:t>23 636</w:t>
            </w:r>
          </w:p>
        </w:tc>
        <w:tc>
          <w:tcPr>
            <w:tcW w:w="760" w:type="dxa"/>
            <w:tcBorders>
              <w:top w:val="nil"/>
              <w:left w:val="nil"/>
              <w:bottom w:val="single" w:sz="12" w:space="0" w:color="000000"/>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AC137D">
              <w:rPr>
                <w:rFonts w:eastAsiaTheme="minorEastAsia" w:cs="Calibri"/>
                <w:color w:val="000000"/>
                <w:szCs w:val="18"/>
                <w:lang w:eastAsia="en-AU"/>
              </w:rPr>
              <w:t>26 092</w:t>
            </w:r>
          </w:p>
        </w:tc>
        <w:tc>
          <w:tcPr>
            <w:tcW w:w="760" w:type="dxa"/>
            <w:tcBorders>
              <w:top w:val="nil"/>
              <w:left w:val="nil"/>
              <w:bottom w:val="single" w:sz="12" w:space="0" w:color="000000"/>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AC137D">
              <w:rPr>
                <w:rFonts w:eastAsiaTheme="minorEastAsia" w:cs="Calibri"/>
                <w:color w:val="000000"/>
                <w:szCs w:val="18"/>
                <w:lang w:eastAsia="en-AU"/>
              </w:rPr>
              <w:t>28 239</w:t>
            </w:r>
          </w:p>
        </w:tc>
      </w:tr>
    </w:tbl>
    <w:p w:rsidR="00A46DCA" w:rsidRDefault="00A46DCA" w:rsidP="00A26D04">
      <w:pPr>
        <w:pStyle w:val="Source"/>
      </w:pPr>
      <w:r w:rsidRPr="00D87D22">
        <w:t>Source: Dep</w:t>
      </w:r>
      <w:r>
        <w:t>artment of Treasury and Finance</w:t>
      </w:r>
    </w:p>
    <w:p w:rsidR="00A46DCA" w:rsidRDefault="00A46DCA" w:rsidP="00A26D04">
      <w:pPr>
        <w:pStyle w:val="Source"/>
      </w:pPr>
      <w:r>
        <w:t>The accompanying notes form part of these Estimated Financial Statements.</w:t>
      </w:r>
    </w:p>
    <w:p w:rsidR="00A46DCA" w:rsidRDefault="00A46DCA" w:rsidP="00A26D04">
      <w:pPr>
        <w:pStyle w:val="Note"/>
      </w:pPr>
      <w:r>
        <w:t>Note:</w:t>
      </w:r>
    </w:p>
    <w:p w:rsidR="00A46DCA" w:rsidRPr="00926603" w:rsidRDefault="00A46DCA" w:rsidP="00A26D04">
      <w:pPr>
        <w:pStyle w:val="Note"/>
      </w:pPr>
      <w:r w:rsidRPr="00926603">
        <w:t>(a)</w:t>
      </w:r>
      <w:r w:rsidRPr="00926603">
        <w:tab/>
        <w:t>Balances represent actual</w:t>
      </w:r>
      <w:r>
        <w:t xml:space="preserve"> opening balances at 1 July 2017 plus 2017-18</w:t>
      </w:r>
      <w:r w:rsidRPr="00926603">
        <w:t xml:space="preserve"> budgeted movements.</w:t>
      </w:r>
    </w:p>
    <w:p w:rsidR="00A46DCA" w:rsidRPr="008F6DA7" w:rsidRDefault="00A46DCA" w:rsidP="00A26D04"/>
    <w:p w:rsidR="00A46DCA" w:rsidRDefault="00A46DCA" w:rsidP="00A26D04">
      <w:pPr>
        <w:pStyle w:val="Heading10"/>
      </w:pPr>
      <w:bookmarkStart w:id="24" w:name="_Toc500435576"/>
      <w:r>
        <w:lastRenderedPageBreak/>
        <w:t xml:space="preserve">Estimated general government sector </w:t>
      </w:r>
      <w:r>
        <w:br/>
        <w:t>cash flow statement</w:t>
      </w:r>
      <w:bookmarkEnd w:id="24"/>
    </w:p>
    <w:p w:rsidR="00A46DCA" w:rsidRPr="004477D1" w:rsidRDefault="00A46DCA" w:rsidP="00A26D04">
      <w:pPr>
        <w:pStyle w:val="TableHeading"/>
        <w:rPr>
          <w:bCs/>
          <w:lang w:val="en-US"/>
        </w:rPr>
      </w:pPr>
      <w:r>
        <w:t>For the financial year ended 30 June</w:t>
      </w:r>
      <w:r>
        <w:tab/>
        <w:t>($ million)</w:t>
      </w:r>
    </w:p>
    <w:tbl>
      <w:tblPr>
        <w:tblStyle w:val="DTFTable"/>
        <w:tblW w:w="7769" w:type="dxa"/>
        <w:tblInd w:w="45" w:type="dxa"/>
        <w:tblLayout w:type="fixed"/>
        <w:tblCellMar>
          <w:left w:w="45" w:type="dxa"/>
          <w:right w:w="45" w:type="dxa"/>
        </w:tblCellMar>
        <w:tblLook w:val="06E0" w:firstRow="1" w:lastRow="1" w:firstColumn="1" w:lastColumn="0" w:noHBand="1" w:noVBand="1"/>
      </w:tblPr>
      <w:tblGrid>
        <w:gridCol w:w="3402"/>
        <w:gridCol w:w="567"/>
        <w:gridCol w:w="760"/>
        <w:gridCol w:w="760"/>
        <w:gridCol w:w="760"/>
        <w:gridCol w:w="760"/>
        <w:gridCol w:w="760"/>
      </w:tblGrid>
      <w:tr w:rsidR="00A26D04" w:rsidRPr="004477D1" w:rsidTr="007A7C8C">
        <w:trPr>
          <w:cnfStyle w:val="100000000000" w:firstRow="1" w:lastRow="0" w:firstColumn="0" w:lastColumn="0" w:oddVBand="0" w:evenVBand="0" w:oddHBand="0" w:evenHBand="0" w:firstRowFirstColumn="0" w:firstRowLastColumn="0" w:lastRowFirstColumn="0" w:lastRowLastColumn="0"/>
          <w:trHeight w:val="465"/>
          <w:tblHeader/>
        </w:trPr>
        <w:tc>
          <w:tcPr>
            <w:cnfStyle w:val="001000000000" w:firstRow="0" w:lastRow="0" w:firstColumn="1" w:lastColumn="0" w:oddVBand="0" w:evenVBand="0" w:oddHBand="0" w:evenHBand="0" w:firstRowFirstColumn="0" w:firstRowLastColumn="0" w:lastRowFirstColumn="0" w:lastRowLastColumn="0"/>
            <w:tcW w:w="3402" w:type="dxa"/>
            <w:tcBorders>
              <w:top w:val="nil"/>
              <w:left w:val="nil"/>
              <w:right w:val="nil"/>
            </w:tcBorders>
            <w:shd w:val="solid" w:color="000000" w:fill="auto"/>
          </w:tcPr>
          <w:p w:rsidR="00A26D04" w:rsidRPr="004477D1" w:rsidRDefault="00A26D04" w:rsidP="00A26D04">
            <w:pPr>
              <w:autoSpaceDE w:val="0"/>
              <w:autoSpaceDN w:val="0"/>
              <w:adjustRightInd w:val="0"/>
              <w:rPr>
                <w:rFonts w:eastAsiaTheme="minorEastAsia" w:cs="Calibri"/>
                <w:iCs/>
                <w:color w:val="FFFFFF"/>
                <w:lang w:eastAsia="en-AU"/>
              </w:rPr>
            </w:pPr>
          </w:p>
        </w:tc>
        <w:tc>
          <w:tcPr>
            <w:tcW w:w="567" w:type="dxa"/>
            <w:tcBorders>
              <w:top w:val="nil"/>
              <w:left w:val="nil"/>
              <w:right w:val="nil"/>
            </w:tcBorders>
            <w:shd w:val="solid" w:color="000000" w:fill="auto"/>
          </w:tcPr>
          <w:p w:rsidR="00A26D04" w:rsidRPr="004477D1" w:rsidRDefault="00A26D04" w:rsidP="00A26D04">
            <w:pPr>
              <w:keepLines w:val="0"/>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lang w:eastAsia="en-AU"/>
              </w:rPr>
            </w:pPr>
            <w:r w:rsidRPr="004477D1">
              <w:rPr>
                <w:rFonts w:eastAsiaTheme="minorEastAsia" w:cs="Calibri"/>
                <w:iCs/>
                <w:color w:val="FFFFFF"/>
                <w:szCs w:val="16"/>
                <w:lang w:eastAsia="en-AU"/>
              </w:rPr>
              <w:t>Notes</w:t>
            </w:r>
          </w:p>
        </w:tc>
        <w:tc>
          <w:tcPr>
            <w:tcW w:w="760" w:type="dxa"/>
            <w:tcBorders>
              <w:top w:val="nil"/>
              <w:left w:val="nil"/>
              <w:right w:val="nil"/>
            </w:tcBorders>
            <w:shd w:val="solid" w:color="000000" w:fill="auto"/>
          </w:tcPr>
          <w:p w:rsidR="00A26D04" w:rsidRPr="004477D1" w:rsidRDefault="00A26D04" w:rsidP="00A26D0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4477D1">
              <w:rPr>
                <w:rFonts w:eastAsiaTheme="minorEastAsia" w:cs="Calibri"/>
                <w:iCs/>
                <w:color w:val="FFFFFF"/>
                <w:szCs w:val="16"/>
                <w:lang w:eastAsia="en-AU"/>
              </w:rPr>
              <w:t xml:space="preserve">2017-18 </w:t>
            </w:r>
            <w:r>
              <w:rPr>
                <w:rFonts w:eastAsiaTheme="minorEastAsia" w:cs="Calibri"/>
                <w:iCs/>
                <w:color w:val="FFFFFF"/>
                <w:szCs w:val="16"/>
                <w:lang w:eastAsia="en-AU"/>
              </w:rPr>
              <w:br/>
            </w:r>
            <w:r w:rsidRPr="004477D1">
              <w:rPr>
                <w:rFonts w:eastAsiaTheme="minorEastAsia" w:cs="Calibri"/>
                <w:iCs/>
                <w:color w:val="FFFFFF"/>
                <w:szCs w:val="16"/>
                <w:lang w:eastAsia="en-AU"/>
              </w:rPr>
              <w:t>budget</w:t>
            </w:r>
          </w:p>
        </w:tc>
        <w:tc>
          <w:tcPr>
            <w:tcW w:w="760" w:type="dxa"/>
            <w:tcBorders>
              <w:top w:val="nil"/>
              <w:left w:val="nil"/>
              <w:right w:val="nil"/>
            </w:tcBorders>
            <w:shd w:val="solid" w:color="000000" w:fill="auto"/>
          </w:tcPr>
          <w:p w:rsidR="00A26D04" w:rsidRPr="004477D1" w:rsidRDefault="00A26D04" w:rsidP="00A26D0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4477D1">
              <w:rPr>
                <w:rFonts w:eastAsiaTheme="minorEastAsia" w:cs="Calibri"/>
                <w:iCs/>
                <w:color w:val="FFFFFF"/>
                <w:szCs w:val="16"/>
                <w:lang w:eastAsia="en-AU"/>
              </w:rPr>
              <w:t xml:space="preserve">2017-18 </w:t>
            </w:r>
            <w:r>
              <w:rPr>
                <w:rFonts w:eastAsiaTheme="minorEastAsia" w:cs="Calibri"/>
                <w:iCs/>
                <w:color w:val="FFFFFF"/>
                <w:szCs w:val="16"/>
                <w:lang w:eastAsia="en-AU"/>
              </w:rPr>
              <w:br/>
            </w:r>
            <w:r w:rsidRPr="004477D1">
              <w:rPr>
                <w:rFonts w:eastAsiaTheme="minorEastAsia" w:cs="Calibri"/>
                <w:iCs/>
                <w:color w:val="FFFFFF"/>
                <w:szCs w:val="16"/>
                <w:lang w:eastAsia="en-AU"/>
              </w:rPr>
              <w:t>revised</w:t>
            </w:r>
          </w:p>
        </w:tc>
        <w:tc>
          <w:tcPr>
            <w:tcW w:w="760" w:type="dxa"/>
            <w:tcBorders>
              <w:top w:val="nil"/>
              <w:left w:val="nil"/>
              <w:right w:val="nil"/>
            </w:tcBorders>
            <w:shd w:val="solid" w:color="000000" w:fill="auto"/>
          </w:tcPr>
          <w:p w:rsidR="00A26D04" w:rsidRPr="004477D1" w:rsidRDefault="00A26D04" w:rsidP="00A26D0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4477D1">
              <w:rPr>
                <w:rFonts w:eastAsiaTheme="minorEastAsia" w:cs="Calibri"/>
                <w:iCs/>
                <w:color w:val="FFFFFF"/>
                <w:szCs w:val="16"/>
                <w:lang w:eastAsia="en-AU"/>
              </w:rPr>
              <w:t xml:space="preserve">2018-19 </w:t>
            </w:r>
            <w:r>
              <w:rPr>
                <w:rFonts w:eastAsiaTheme="minorEastAsia" w:cs="Calibri"/>
                <w:iCs/>
                <w:color w:val="FFFFFF"/>
                <w:szCs w:val="16"/>
                <w:lang w:eastAsia="en-AU"/>
              </w:rPr>
              <w:br/>
            </w:r>
            <w:r w:rsidRPr="004477D1">
              <w:rPr>
                <w:rFonts w:eastAsiaTheme="minorEastAsia" w:cs="Calibri"/>
                <w:iCs/>
                <w:color w:val="FFFFFF"/>
                <w:szCs w:val="16"/>
                <w:lang w:eastAsia="en-AU"/>
              </w:rPr>
              <w:t>estimate</w:t>
            </w:r>
          </w:p>
        </w:tc>
        <w:tc>
          <w:tcPr>
            <w:tcW w:w="760" w:type="dxa"/>
            <w:tcBorders>
              <w:top w:val="nil"/>
              <w:left w:val="nil"/>
              <w:right w:val="nil"/>
            </w:tcBorders>
            <w:shd w:val="solid" w:color="000000" w:fill="auto"/>
          </w:tcPr>
          <w:p w:rsidR="00A26D04" w:rsidRPr="004477D1" w:rsidRDefault="00A26D04" w:rsidP="00A26D0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4477D1">
              <w:rPr>
                <w:rFonts w:eastAsiaTheme="minorEastAsia" w:cs="Calibri"/>
                <w:iCs/>
                <w:color w:val="FFFFFF"/>
                <w:szCs w:val="16"/>
                <w:lang w:eastAsia="en-AU"/>
              </w:rPr>
              <w:t xml:space="preserve">2019-20 </w:t>
            </w:r>
            <w:r>
              <w:rPr>
                <w:rFonts w:eastAsiaTheme="minorEastAsia" w:cs="Calibri"/>
                <w:iCs/>
                <w:color w:val="FFFFFF"/>
                <w:szCs w:val="16"/>
                <w:lang w:eastAsia="en-AU"/>
              </w:rPr>
              <w:br/>
            </w:r>
            <w:r w:rsidRPr="004477D1">
              <w:rPr>
                <w:rFonts w:eastAsiaTheme="minorEastAsia" w:cs="Calibri"/>
                <w:iCs/>
                <w:color w:val="FFFFFF"/>
                <w:szCs w:val="16"/>
                <w:lang w:eastAsia="en-AU"/>
              </w:rPr>
              <w:t>estimate</w:t>
            </w:r>
          </w:p>
        </w:tc>
        <w:tc>
          <w:tcPr>
            <w:tcW w:w="760" w:type="dxa"/>
            <w:tcBorders>
              <w:top w:val="nil"/>
              <w:left w:val="nil"/>
              <w:right w:val="nil"/>
            </w:tcBorders>
            <w:shd w:val="solid" w:color="000000" w:fill="auto"/>
          </w:tcPr>
          <w:p w:rsidR="00A26D04" w:rsidRPr="004477D1" w:rsidRDefault="00A26D04" w:rsidP="00A26D0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4477D1">
              <w:rPr>
                <w:rFonts w:eastAsiaTheme="minorEastAsia" w:cs="Calibri"/>
                <w:iCs/>
                <w:color w:val="FFFFFF"/>
                <w:szCs w:val="16"/>
                <w:lang w:eastAsia="en-AU"/>
              </w:rPr>
              <w:t xml:space="preserve">2020-21 </w:t>
            </w:r>
            <w:r>
              <w:rPr>
                <w:rFonts w:eastAsiaTheme="minorEastAsia" w:cs="Calibri"/>
                <w:iCs/>
                <w:color w:val="FFFFFF"/>
                <w:szCs w:val="16"/>
                <w:lang w:eastAsia="en-AU"/>
              </w:rPr>
              <w:br/>
            </w:r>
            <w:r w:rsidRPr="004477D1">
              <w:rPr>
                <w:rFonts w:eastAsiaTheme="minorEastAsia" w:cs="Calibri"/>
                <w:iCs/>
                <w:color w:val="FFFFFF"/>
                <w:szCs w:val="16"/>
                <w:lang w:eastAsia="en-AU"/>
              </w:rPr>
              <w:t>estimate</w:t>
            </w:r>
          </w:p>
        </w:tc>
      </w:tr>
      <w:tr w:rsidR="00A46DCA" w:rsidRPr="004477D1" w:rsidTr="007A7C8C">
        <w:tc>
          <w:tcPr>
            <w:cnfStyle w:val="001000000000" w:firstRow="0" w:lastRow="0" w:firstColumn="1" w:lastColumn="0" w:oddVBand="0" w:evenVBand="0" w:oddHBand="0" w:evenHBand="0" w:firstRowFirstColumn="0" w:firstRowLastColumn="0" w:lastRowFirstColumn="0" w:lastRowLastColumn="0"/>
            <w:tcW w:w="3402" w:type="dxa"/>
            <w:tcBorders>
              <w:top w:val="nil"/>
              <w:left w:val="nil"/>
              <w:bottom w:val="nil"/>
              <w:right w:val="nil"/>
            </w:tcBorders>
          </w:tcPr>
          <w:p w:rsidR="00A46DCA" w:rsidRPr="004477D1" w:rsidRDefault="00A46DCA" w:rsidP="00A26D04">
            <w:pPr>
              <w:keepLines w:val="0"/>
              <w:autoSpaceDE w:val="0"/>
              <w:autoSpaceDN w:val="0"/>
              <w:adjustRightInd w:val="0"/>
              <w:rPr>
                <w:rFonts w:eastAsiaTheme="minorEastAsia" w:cs="Calibri"/>
                <w:b/>
                <w:bCs/>
                <w:color w:val="000000"/>
                <w:szCs w:val="16"/>
                <w:lang w:eastAsia="en-AU"/>
              </w:rPr>
            </w:pPr>
            <w:r w:rsidRPr="004477D1">
              <w:rPr>
                <w:rFonts w:eastAsiaTheme="minorEastAsia" w:cs="Calibri"/>
                <w:b/>
                <w:bCs/>
                <w:color w:val="000000"/>
                <w:szCs w:val="16"/>
                <w:lang w:eastAsia="en-AU"/>
              </w:rPr>
              <w:t>Cash flows from operating activities</w:t>
            </w:r>
          </w:p>
        </w:tc>
        <w:tc>
          <w:tcPr>
            <w:tcW w:w="567" w:type="dxa"/>
            <w:tcBorders>
              <w:top w:val="nil"/>
              <w:left w:val="nil"/>
              <w:bottom w:val="nil"/>
              <w:right w:val="nil"/>
            </w:tcBorders>
          </w:tcPr>
          <w:p w:rsidR="00A46DCA" w:rsidRPr="004477D1" w:rsidRDefault="00A46DCA" w:rsidP="00A26D04">
            <w:pPr>
              <w:keepLines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bCs/>
                <w:color w:val="000000"/>
                <w:lang w:eastAsia="en-AU"/>
              </w:rPr>
            </w:pPr>
            <w:r w:rsidRPr="004477D1">
              <w:rPr>
                <w:rFonts w:eastAsiaTheme="minorEastAsia" w:cs="Calibri"/>
                <w:bCs/>
                <w:color w:val="000000"/>
                <w:lang w:eastAsia="en-AU"/>
              </w:rPr>
              <w:t xml:space="preserve"> </w:t>
            </w:r>
          </w:p>
        </w:tc>
        <w:tc>
          <w:tcPr>
            <w:tcW w:w="760" w:type="dxa"/>
            <w:tcBorders>
              <w:top w:val="nil"/>
              <w:left w:val="nil"/>
              <w:bottom w:val="nil"/>
              <w:right w:val="nil"/>
            </w:tcBorders>
          </w:tcPr>
          <w:p w:rsidR="00A46DCA" w:rsidRPr="004477D1"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4477D1">
              <w:rPr>
                <w:rFonts w:eastAsiaTheme="minorEastAsia" w:cs="Calibri"/>
                <w:b/>
                <w:bCs/>
                <w:color w:val="000000"/>
                <w:lang w:eastAsia="en-AU"/>
              </w:rPr>
              <w:t xml:space="preserve"> </w:t>
            </w:r>
          </w:p>
        </w:tc>
        <w:tc>
          <w:tcPr>
            <w:tcW w:w="760" w:type="dxa"/>
            <w:tcBorders>
              <w:top w:val="nil"/>
              <w:left w:val="nil"/>
              <w:bottom w:val="nil"/>
              <w:right w:val="nil"/>
            </w:tcBorders>
          </w:tcPr>
          <w:p w:rsidR="00A46DCA" w:rsidRPr="004477D1"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4477D1">
              <w:rPr>
                <w:rFonts w:eastAsiaTheme="minorEastAsia" w:cs="Calibri"/>
                <w:b/>
                <w:bCs/>
                <w:color w:val="000000"/>
                <w:lang w:eastAsia="en-AU"/>
              </w:rPr>
              <w:t xml:space="preserve"> </w:t>
            </w:r>
          </w:p>
        </w:tc>
        <w:tc>
          <w:tcPr>
            <w:tcW w:w="760" w:type="dxa"/>
            <w:tcBorders>
              <w:top w:val="nil"/>
              <w:left w:val="nil"/>
              <w:bottom w:val="nil"/>
              <w:right w:val="nil"/>
            </w:tcBorders>
          </w:tcPr>
          <w:p w:rsidR="00A46DCA" w:rsidRPr="004477D1"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4477D1">
              <w:rPr>
                <w:rFonts w:eastAsiaTheme="minorEastAsia" w:cs="Calibri"/>
                <w:b/>
                <w:bCs/>
                <w:color w:val="000000"/>
                <w:lang w:eastAsia="en-AU"/>
              </w:rPr>
              <w:t xml:space="preserve"> </w:t>
            </w:r>
          </w:p>
        </w:tc>
        <w:tc>
          <w:tcPr>
            <w:tcW w:w="760" w:type="dxa"/>
            <w:tcBorders>
              <w:top w:val="nil"/>
              <w:left w:val="nil"/>
              <w:bottom w:val="nil"/>
              <w:right w:val="nil"/>
            </w:tcBorders>
          </w:tcPr>
          <w:p w:rsidR="00A46DCA" w:rsidRPr="004477D1"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4477D1">
              <w:rPr>
                <w:rFonts w:eastAsiaTheme="minorEastAsia" w:cs="Calibri"/>
                <w:b/>
                <w:bCs/>
                <w:color w:val="000000"/>
                <w:lang w:eastAsia="en-AU"/>
              </w:rPr>
              <w:t xml:space="preserve"> </w:t>
            </w:r>
          </w:p>
        </w:tc>
        <w:tc>
          <w:tcPr>
            <w:tcW w:w="760" w:type="dxa"/>
            <w:tcBorders>
              <w:top w:val="nil"/>
              <w:left w:val="nil"/>
              <w:bottom w:val="nil"/>
              <w:right w:val="nil"/>
            </w:tcBorders>
          </w:tcPr>
          <w:p w:rsidR="00A46DCA" w:rsidRPr="004477D1"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4477D1">
              <w:rPr>
                <w:rFonts w:eastAsiaTheme="minorEastAsia" w:cs="Calibri"/>
                <w:b/>
                <w:bCs/>
                <w:color w:val="000000"/>
                <w:lang w:eastAsia="en-AU"/>
              </w:rPr>
              <w:t xml:space="preserve"> </w:t>
            </w:r>
          </w:p>
        </w:tc>
      </w:tr>
      <w:tr w:rsidR="00A46DCA" w:rsidRPr="004477D1" w:rsidTr="007A7C8C">
        <w:tc>
          <w:tcPr>
            <w:cnfStyle w:val="001000000000" w:firstRow="0" w:lastRow="0" w:firstColumn="1" w:lastColumn="0" w:oddVBand="0" w:evenVBand="0" w:oddHBand="0" w:evenHBand="0" w:firstRowFirstColumn="0" w:firstRowLastColumn="0" w:lastRowFirstColumn="0" w:lastRowLastColumn="0"/>
            <w:tcW w:w="3402" w:type="dxa"/>
            <w:tcBorders>
              <w:top w:val="nil"/>
              <w:left w:val="nil"/>
              <w:bottom w:val="nil"/>
              <w:right w:val="nil"/>
            </w:tcBorders>
          </w:tcPr>
          <w:p w:rsidR="00A46DCA" w:rsidRPr="004477D1" w:rsidRDefault="00A46DCA" w:rsidP="00A26D04">
            <w:pPr>
              <w:keepLines w:val="0"/>
              <w:autoSpaceDE w:val="0"/>
              <w:autoSpaceDN w:val="0"/>
              <w:adjustRightInd w:val="0"/>
              <w:rPr>
                <w:rFonts w:eastAsiaTheme="minorEastAsia" w:cs="Calibri"/>
                <w:b/>
                <w:bCs/>
                <w:color w:val="000000"/>
                <w:szCs w:val="16"/>
                <w:lang w:eastAsia="en-AU"/>
              </w:rPr>
            </w:pPr>
            <w:r w:rsidRPr="004477D1">
              <w:rPr>
                <w:rFonts w:eastAsiaTheme="minorEastAsia" w:cs="Calibri"/>
                <w:b/>
                <w:bCs/>
                <w:color w:val="000000"/>
                <w:szCs w:val="16"/>
                <w:lang w:eastAsia="en-AU"/>
              </w:rPr>
              <w:t>Receipts</w:t>
            </w:r>
          </w:p>
        </w:tc>
        <w:tc>
          <w:tcPr>
            <w:tcW w:w="567" w:type="dxa"/>
            <w:tcBorders>
              <w:top w:val="nil"/>
              <w:left w:val="nil"/>
              <w:bottom w:val="nil"/>
              <w:right w:val="nil"/>
            </w:tcBorders>
          </w:tcPr>
          <w:p w:rsidR="00A46DCA" w:rsidRPr="004477D1" w:rsidRDefault="00A46DCA" w:rsidP="00A26D04">
            <w:pPr>
              <w:keepLines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bCs/>
                <w:color w:val="000000"/>
                <w:lang w:eastAsia="en-AU"/>
              </w:rPr>
            </w:pPr>
            <w:r w:rsidRPr="004477D1">
              <w:rPr>
                <w:rFonts w:eastAsiaTheme="minorEastAsia" w:cs="Calibri"/>
                <w:bCs/>
                <w:color w:val="000000"/>
                <w:lang w:eastAsia="en-AU"/>
              </w:rPr>
              <w:t xml:space="preserve"> </w:t>
            </w:r>
          </w:p>
        </w:tc>
        <w:tc>
          <w:tcPr>
            <w:tcW w:w="760" w:type="dxa"/>
            <w:tcBorders>
              <w:top w:val="nil"/>
              <w:left w:val="nil"/>
              <w:bottom w:val="nil"/>
              <w:right w:val="nil"/>
            </w:tcBorders>
          </w:tcPr>
          <w:p w:rsidR="00A46DCA" w:rsidRPr="004477D1"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4477D1">
              <w:rPr>
                <w:rFonts w:eastAsiaTheme="minorEastAsia" w:cs="Calibri"/>
                <w:b/>
                <w:bCs/>
                <w:color w:val="000000"/>
                <w:lang w:eastAsia="en-AU"/>
              </w:rPr>
              <w:t xml:space="preserve"> </w:t>
            </w:r>
          </w:p>
        </w:tc>
        <w:tc>
          <w:tcPr>
            <w:tcW w:w="760" w:type="dxa"/>
            <w:tcBorders>
              <w:top w:val="nil"/>
              <w:left w:val="nil"/>
              <w:bottom w:val="nil"/>
              <w:right w:val="nil"/>
            </w:tcBorders>
          </w:tcPr>
          <w:p w:rsidR="00A46DCA" w:rsidRPr="004477D1"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4477D1">
              <w:rPr>
                <w:rFonts w:eastAsiaTheme="minorEastAsia" w:cs="Calibri"/>
                <w:b/>
                <w:bCs/>
                <w:color w:val="000000"/>
                <w:lang w:eastAsia="en-AU"/>
              </w:rPr>
              <w:t xml:space="preserve"> </w:t>
            </w:r>
          </w:p>
        </w:tc>
        <w:tc>
          <w:tcPr>
            <w:tcW w:w="760" w:type="dxa"/>
            <w:tcBorders>
              <w:top w:val="nil"/>
              <w:left w:val="nil"/>
              <w:bottom w:val="nil"/>
              <w:right w:val="nil"/>
            </w:tcBorders>
          </w:tcPr>
          <w:p w:rsidR="00A46DCA" w:rsidRPr="004477D1"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4477D1">
              <w:rPr>
                <w:rFonts w:eastAsiaTheme="minorEastAsia" w:cs="Calibri"/>
                <w:b/>
                <w:bCs/>
                <w:color w:val="000000"/>
                <w:lang w:eastAsia="en-AU"/>
              </w:rPr>
              <w:t xml:space="preserve"> </w:t>
            </w:r>
          </w:p>
        </w:tc>
        <w:tc>
          <w:tcPr>
            <w:tcW w:w="760" w:type="dxa"/>
            <w:tcBorders>
              <w:top w:val="nil"/>
              <w:left w:val="nil"/>
              <w:bottom w:val="nil"/>
              <w:right w:val="nil"/>
            </w:tcBorders>
          </w:tcPr>
          <w:p w:rsidR="00A46DCA" w:rsidRPr="004477D1"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4477D1">
              <w:rPr>
                <w:rFonts w:eastAsiaTheme="minorEastAsia" w:cs="Calibri"/>
                <w:b/>
                <w:bCs/>
                <w:color w:val="000000"/>
                <w:lang w:eastAsia="en-AU"/>
              </w:rPr>
              <w:t xml:space="preserve"> </w:t>
            </w:r>
          </w:p>
        </w:tc>
        <w:tc>
          <w:tcPr>
            <w:tcW w:w="760" w:type="dxa"/>
            <w:tcBorders>
              <w:top w:val="nil"/>
              <w:left w:val="nil"/>
              <w:bottom w:val="nil"/>
              <w:right w:val="nil"/>
            </w:tcBorders>
          </w:tcPr>
          <w:p w:rsidR="00A46DCA" w:rsidRPr="004477D1"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4477D1">
              <w:rPr>
                <w:rFonts w:eastAsiaTheme="minorEastAsia" w:cs="Calibri"/>
                <w:b/>
                <w:bCs/>
                <w:color w:val="000000"/>
                <w:lang w:eastAsia="en-AU"/>
              </w:rPr>
              <w:t xml:space="preserve"> </w:t>
            </w:r>
          </w:p>
        </w:tc>
      </w:tr>
      <w:tr w:rsidR="00A46DCA" w:rsidRPr="004477D1" w:rsidTr="007A7C8C">
        <w:tc>
          <w:tcPr>
            <w:cnfStyle w:val="001000000000" w:firstRow="0" w:lastRow="0" w:firstColumn="1" w:lastColumn="0" w:oddVBand="0" w:evenVBand="0" w:oddHBand="0" w:evenHBand="0" w:firstRowFirstColumn="0" w:firstRowLastColumn="0" w:lastRowFirstColumn="0" w:lastRowLastColumn="0"/>
            <w:tcW w:w="3402" w:type="dxa"/>
            <w:tcBorders>
              <w:top w:val="nil"/>
              <w:left w:val="nil"/>
              <w:bottom w:val="nil"/>
              <w:right w:val="nil"/>
            </w:tcBorders>
          </w:tcPr>
          <w:p w:rsidR="00A46DCA" w:rsidRPr="004477D1" w:rsidRDefault="00A46DCA" w:rsidP="00A26D04">
            <w:pPr>
              <w:keepLines w:val="0"/>
              <w:autoSpaceDE w:val="0"/>
              <w:autoSpaceDN w:val="0"/>
              <w:adjustRightInd w:val="0"/>
              <w:rPr>
                <w:rFonts w:eastAsiaTheme="minorEastAsia" w:cs="Calibri"/>
                <w:color w:val="000000"/>
                <w:szCs w:val="16"/>
                <w:lang w:eastAsia="en-AU"/>
              </w:rPr>
            </w:pPr>
            <w:r w:rsidRPr="004477D1">
              <w:rPr>
                <w:rFonts w:eastAsiaTheme="minorEastAsia" w:cs="Calibri"/>
                <w:color w:val="000000"/>
                <w:szCs w:val="16"/>
                <w:lang w:eastAsia="en-AU"/>
              </w:rPr>
              <w:t>Taxes received</w:t>
            </w:r>
          </w:p>
        </w:tc>
        <w:tc>
          <w:tcPr>
            <w:tcW w:w="567" w:type="dxa"/>
            <w:tcBorders>
              <w:top w:val="nil"/>
              <w:left w:val="nil"/>
              <w:bottom w:val="nil"/>
              <w:right w:val="nil"/>
            </w:tcBorders>
          </w:tcPr>
          <w:p w:rsidR="00A46DCA" w:rsidRPr="004477D1" w:rsidRDefault="00A46DCA" w:rsidP="00A26D04">
            <w:pPr>
              <w:keepLines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4477D1">
              <w:rPr>
                <w:rFonts w:eastAsiaTheme="minorEastAsia" w:cs="Calibri"/>
                <w:color w:val="000000"/>
                <w:lang w:eastAsia="en-AU"/>
              </w:rPr>
              <w:t xml:space="preserve"> </w:t>
            </w:r>
          </w:p>
        </w:tc>
        <w:tc>
          <w:tcPr>
            <w:tcW w:w="760" w:type="dxa"/>
            <w:tcBorders>
              <w:top w:val="nil"/>
              <w:left w:val="nil"/>
              <w:bottom w:val="nil"/>
              <w:right w:val="nil"/>
            </w:tcBorders>
          </w:tcPr>
          <w:p w:rsidR="00A46DCA" w:rsidRPr="004477D1"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4477D1">
              <w:rPr>
                <w:rFonts w:eastAsiaTheme="minorEastAsia" w:cs="Calibri"/>
                <w:color w:val="000000"/>
                <w:szCs w:val="16"/>
                <w:lang w:eastAsia="en-AU"/>
              </w:rPr>
              <w:t>21 688</w:t>
            </w:r>
          </w:p>
        </w:tc>
        <w:tc>
          <w:tcPr>
            <w:tcW w:w="760" w:type="dxa"/>
            <w:tcBorders>
              <w:top w:val="nil"/>
              <w:left w:val="nil"/>
              <w:bottom w:val="nil"/>
              <w:right w:val="nil"/>
            </w:tcBorders>
          </w:tcPr>
          <w:p w:rsidR="00A46DCA" w:rsidRPr="004477D1"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4477D1">
              <w:rPr>
                <w:rFonts w:eastAsiaTheme="minorEastAsia" w:cs="Calibri"/>
                <w:color w:val="000000"/>
                <w:szCs w:val="16"/>
                <w:lang w:eastAsia="en-AU"/>
              </w:rPr>
              <w:t>22 013</w:t>
            </w:r>
          </w:p>
        </w:tc>
        <w:tc>
          <w:tcPr>
            <w:tcW w:w="760" w:type="dxa"/>
            <w:tcBorders>
              <w:top w:val="nil"/>
              <w:left w:val="nil"/>
              <w:bottom w:val="nil"/>
              <w:right w:val="nil"/>
            </w:tcBorders>
          </w:tcPr>
          <w:p w:rsidR="00A46DCA" w:rsidRPr="004477D1"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4477D1">
              <w:rPr>
                <w:rFonts w:eastAsiaTheme="minorEastAsia" w:cs="Calibri"/>
                <w:color w:val="000000"/>
                <w:szCs w:val="16"/>
                <w:lang w:eastAsia="en-AU"/>
              </w:rPr>
              <w:t>23 700</w:t>
            </w:r>
          </w:p>
        </w:tc>
        <w:tc>
          <w:tcPr>
            <w:tcW w:w="760" w:type="dxa"/>
            <w:tcBorders>
              <w:top w:val="nil"/>
              <w:left w:val="nil"/>
              <w:bottom w:val="nil"/>
              <w:right w:val="nil"/>
            </w:tcBorders>
          </w:tcPr>
          <w:p w:rsidR="00A46DCA" w:rsidRPr="004477D1"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4477D1">
              <w:rPr>
                <w:rFonts w:eastAsiaTheme="minorEastAsia" w:cs="Calibri"/>
                <w:color w:val="000000"/>
                <w:szCs w:val="16"/>
                <w:lang w:eastAsia="en-AU"/>
              </w:rPr>
              <w:t>24 704</w:t>
            </w:r>
          </w:p>
        </w:tc>
        <w:tc>
          <w:tcPr>
            <w:tcW w:w="760" w:type="dxa"/>
            <w:tcBorders>
              <w:top w:val="nil"/>
              <w:left w:val="nil"/>
              <w:bottom w:val="nil"/>
              <w:right w:val="nil"/>
            </w:tcBorders>
          </w:tcPr>
          <w:p w:rsidR="00A46DCA" w:rsidRPr="004477D1"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4477D1">
              <w:rPr>
                <w:rFonts w:eastAsiaTheme="minorEastAsia" w:cs="Calibri"/>
                <w:color w:val="000000"/>
                <w:szCs w:val="16"/>
                <w:lang w:eastAsia="en-AU"/>
              </w:rPr>
              <w:t>25 363</w:t>
            </w:r>
          </w:p>
        </w:tc>
      </w:tr>
      <w:tr w:rsidR="00A46DCA" w:rsidRPr="004477D1" w:rsidTr="007A7C8C">
        <w:tc>
          <w:tcPr>
            <w:cnfStyle w:val="001000000000" w:firstRow="0" w:lastRow="0" w:firstColumn="1" w:lastColumn="0" w:oddVBand="0" w:evenVBand="0" w:oddHBand="0" w:evenHBand="0" w:firstRowFirstColumn="0" w:firstRowLastColumn="0" w:lastRowFirstColumn="0" w:lastRowLastColumn="0"/>
            <w:tcW w:w="3402" w:type="dxa"/>
            <w:tcBorders>
              <w:top w:val="nil"/>
              <w:left w:val="nil"/>
              <w:bottom w:val="nil"/>
              <w:right w:val="nil"/>
            </w:tcBorders>
          </w:tcPr>
          <w:p w:rsidR="00A46DCA" w:rsidRPr="004477D1" w:rsidRDefault="00A46DCA" w:rsidP="00A26D04">
            <w:pPr>
              <w:keepLines w:val="0"/>
              <w:autoSpaceDE w:val="0"/>
              <w:autoSpaceDN w:val="0"/>
              <w:adjustRightInd w:val="0"/>
              <w:rPr>
                <w:rFonts w:eastAsiaTheme="minorEastAsia" w:cs="Calibri"/>
                <w:color w:val="000000"/>
                <w:szCs w:val="16"/>
                <w:lang w:eastAsia="en-AU"/>
              </w:rPr>
            </w:pPr>
            <w:r w:rsidRPr="004477D1">
              <w:rPr>
                <w:rFonts w:eastAsiaTheme="minorEastAsia" w:cs="Calibri"/>
                <w:color w:val="000000"/>
                <w:szCs w:val="16"/>
                <w:lang w:eastAsia="en-AU"/>
              </w:rPr>
              <w:t>Grants</w:t>
            </w:r>
          </w:p>
        </w:tc>
        <w:tc>
          <w:tcPr>
            <w:tcW w:w="567" w:type="dxa"/>
            <w:tcBorders>
              <w:top w:val="nil"/>
              <w:left w:val="nil"/>
              <w:bottom w:val="nil"/>
              <w:right w:val="nil"/>
            </w:tcBorders>
          </w:tcPr>
          <w:p w:rsidR="00A46DCA" w:rsidRPr="004477D1" w:rsidRDefault="00A46DCA" w:rsidP="00A26D04">
            <w:pPr>
              <w:keepLines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4477D1">
              <w:rPr>
                <w:rFonts w:eastAsiaTheme="minorEastAsia" w:cs="Calibri"/>
                <w:color w:val="000000"/>
                <w:lang w:eastAsia="en-AU"/>
              </w:rPr>
              <w:t xml:space="preserve"> </w:t>
            </w:r>
          </w:p>
        </w:tc>
        <w:tc>
          <w:tcPr>
            <w:tcW w:w="760" w:type="dxa"/>
            <w:tcBorders>
              <w:top w:val="nil"/>
              <w:left w:val="nil"/>
              <w:bottom w:val="nil"/>
              <w:right w:val="nil"/>
            </w:tcBorders>
          </w:tcPr>
          <w:p w:rsidR="00A46DCA" w:rsidRPr="004477D1"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4477D1">
              <w:rPr>
                <w:rFonts w:eastAsiaTheme="minorEastAsia" w:cs="Calibri"/>
                <w:color w:val="000000"/>
                <w:szCs w:val="16"/>
                <w:lang w:eastAsia="en-AU"/>
              </w:rPr>
              <w:t>29 817</w:t>
            </w:r>
          </w:p>
        </w:tc>
        <w:tc>
          <w:tcPr>
            <w:tcW w:w="760" w:type="dxa"/>
            <w:tcBorders>
              <w:top w:val="nil"/>
              <w:left w:val="nil"/>
              <w:bottom w:val="nil"/>
              <w:right w:val="nil"/>
            </w:tcBorders>
          </w:tcPr>
          <w:p w:rsidR="00A46DCA" w:rsidRPr="004477D1"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4477D1">
              <w:rPr>
                <w:rFonts w:eastAsiaTheme="minorEastAsia" w:cs="Calibri"/>
                <w:color w:val="000000"/>
                <w:szCs w:val="16"/>
                <w:lang w:eastAsia="en-AU"/>
              </w:rPr>
              <w:t>30 220</w:t>
            </w:r>
          </w:p>
        </w:tc>
        <w:tc>
          <w:tcPr>
            <w:tcW w:w="760" w:type="dxa"/>
            <w:tcBorders>
              <w:top w:val="nil"/>
              <w:left w:val="nil"/>
              <w:bottom w:val="nil"/>
              <w:right w:val="nil"/>
            </w:tcBorders>
          </w:tcPr>
          <w:p w:rsidR="00A46DCA" w:rsidRPr="004477D1"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4477D1">
              <w:rPr>
                <w:rFonts w:eastAsiaTheme="minorEastAsia" w:cs="Calibri"/>
                <w:color w:val="000000"/>
                <w:szCs w:val="16"/>
                <w:lang w:eastAsia="en-AU"/>
              </w:rPr>
              <w:t>32 216</w:t>
            </w:r>
          </w:p>
        </w:tc>
        <w:tc>
          <w:tcPr>
            <w:tcW w:w="760" w:type="dxa"/>
            <w:tcBorders>
              <w:top w:val="nil"/>
              <w:left w:val="nil"/>
              <w:bottom w:val="nil"/>
              <w:right w:val="nil"/>
            </w:tcBorders>
          </w:tcPr>
          <w:p w:rsidR="00A46DCA" w:rsidRPr="004477D1"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4477D1">
              <w:rPr>
                <w:rFonts w:eastAsiaTheme="minorEastAsia" w:cs="Calibri"/>
                <w:color w:val="000000"/>
                <w:szCs w:val="16"/>
                <w:lang w:eastAsia="en-AU"/>
              </w:rPr>
              <w:t>32 190</w:t>
            </w:r>
          </w:p>
        </w:tc>
        <w:tc>
          <w:tcPr>
            <w:tcW w:w="760" w:type="dxa"/>
            <w:tcBorders>
              <w:top w:val="nil"/>
              <w:left w:val="nil"/>
              <w:bottom w:val="nil"/>
              <w:right w:val="nil"/>
            </w:tcBorders>
          </w:tcPr>
          <w:p w:rsidR="00A46DCA" w:rsidRPr="004477D1"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4477D1">
              <w:rPr>
                <w:rFonts w:eastAsiaTheme="minorEastAsia" w:cs="Calibri"/>
                <w:color w:val="000000"/>
                <w:szCs w:val="16"/>
                <w:lang w:eastAsia="en-AU"/>
              </w:rPr>
              <w:t>33 413</w:t>
            </w:r>
          </w:p>
        </w:tc>
      </w:tr>
      <w:tr w:rsidR="00A46DCA" w:rsidRPr="004477D1" w:rsidTr="007A7C8C">
        <w:tc>
          <w:tcPr>
            <w:cnfStyle w:val="001000000000" w:firstRow="0" w:lastRow="0" w:firstColumn="1" w:lastColumn="0" w:oddVBand="0" w:evenVBand="0" w:oddHBand="0" w:evenHBand="0" w:firstRowFirstColumn="0" w:firstRowLastColumn="0" w:lastRowFirstColumn="0" w:lastRowLastColumn="0"/>
            <w:tcW w:w="3402" w:type="dxa"/>
            <w:tcBorders>
              <w:top w:val="nil"/>
              <w:left w:val="nil"/>
              <w:bottom w:val="nil"/>
              <w:right w:val="nil"/>
            </w:tcBorders>
          </w:tcPr>
          <w:p w:rsidR="00A46DCA" w:rsidRPr="004477D1" w:rsidRDefault="00A46DCA" w:rsidP="00A26D04">
            <w:pPr>
              <w:keepLines w:val="0"/>
              <w:autoSpaceDE w:val="0"/>
              <w:autoSpaceDN w:val="0"/>
              <w:adjustRightInd w:val="0"/>
              <w:rPr>
                <w:rFonts w:eastAsiaTheme="minorEastAsia" w:cs="Calibri"/>
                <w:color w:val="000000"/>
                <w:szCs w:val="16"/>
                <w:vertAlign w:val="superscript"/>
                <w:lang w:eastAsia="en-AU"/>
              </w:rPr>
            </w:pPr>
            <w:r w:rsidRPr="004477D1">
              <w:rPr>
                <w:rFonts w:eastAsiaTheme="minorEastAsia" w:cs="Calibri"/>
                <w:color w:val="000000"/>
                <w:szCs w:val="16"/>
                <w:lang w:eastAsia="en-AU"/>
              </w:rPr>
              <w:t xml:space="preserve">Sales of goods and services </w:t>
            </w:r>
            <w:r w:rsidRPr="004477D1">
              <w:rPr>
                <w:rFonts w:eastAsiaTheme="minorEastAsia" w:cs="Calibri"/>
                <w:color w:val="000000"/>
                <w:szCs w:val="16"/>
                <w:vertAlign w:val="superscript"/>
                <w:lang w:eastAsia="en-AU"/>
              </w:rPr>
              <w:t>(a)</w:t>
            </w:r>
          </w:p>
        </w:tc>
        <w:tc>
          <w:tcPr>
            <w:tcW w:w="567" w:type="dxa"/>
            <w:tcBorders>
              <w:top w:val="nil"/>
              <w:left w:val="nil"/>
              <w:bottom w:val="nil"/>
              <w:right w:val="nil"/>
            </w:tcBorders>
          </w:tcPr>
          <w:p w:rsidR="00A46DCA" w:rsidRPr="004477D1" w:rsidRDefault="00A46DCA" w:rsidP="00A26D04">
            <w:pPr>
              <w:keepLines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4477D1">
              <w:rPr>
                <w:rFonts w:eastAsiaTheme="minorEastAsia" w:cs="Calibri"/>
                <w:color w:val="000000"/>
                <w:lang w:eastAsia="en-AU"/>
              </w:rPr>
              <w:t xml:space="preserve"> </w:t>
            </w:r>
          </w:p>
        </w:tc>
        <w:tc>
          <w:tcPr>
            <w:tcW w:w="760" w:type="dxa"/>
            <w:tcBorders>
              <w:top w:val="nil"/>
              <w:left w:val="nil"/>
              <w:bottom w:val="nil"/>
              <w:right w:val="nil"/>
            </w:tcBorders>
          </w:tcPr>
          <w:p w:rsidR="00A46DCA" w:rsidRPr="004477D1"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4477D1">
              <w:rPr>
                <w:rFonts w:eastAsiaTheme="minorEastAsia" w:cs="Calibri"/>
                <w:color w:val="000000"/>
                <w:szCs w:val="16"/>
                <w:lang w:eastAsia="en-AU"/>
              </w:rPr>
              <w:t>8 076</w:t>
            </w:r>
          </w:p>
        </w:tc>
        <w:tc>
          <w:tcPr>
            <w:tcW w:w="760" w:type="dxa"/>
            <w:tcBorders>
              <w:top w:val="nil"/>
              <w:left w:val="nil"/>
              <w:bottom w:val="nil"/>
              <w:right w:val="nil"/>
            </w:tcBorders>
          </w:tcPr>
          <w:p w:rsidR="00A46DCA" w:rsidRPr="004477D1"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4477D1">
              <w:rPr>
                <w:rFonts w:eastAsiaTheme="minorEastAsia" w:cs="Calibri"/>
                <w:color w:val="000000"/>
                <w:szCs w:val="16"/>
                <w:lang w:eastAsia="en-AU"/>
              </w:rPr>
              <w:t>8 167</w:t>
            </w:r>
          </w:p>
        </w:tc>
        <w:tc>
          <w:tcPr>
            <w:tcW w:w="760" w:type="dxa"/>
            <w:tcBorders>
              <w:top w:val="nil"/>
              <w:left w:val="nil"/>
              <w:bottom w:val="nil"/>
              <w:right w:val="nil"/>
            </w:tcBorders>
          </w:tcPr>
          <w:p w:rsidR="00A46DCA" w:rsidRPr="004477D1"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4477D1">
              <w:rPr>
                <w:rFonts w:eastAsiaTheme="minorEastAsia" w:cs="Calibri"/>
                <w:color w:val="000000"/>
                <w:szCs w:val="16"/>
                <w:lang w:eastAsia="en-AU"/>
              </w:rPr>
              <w:t>9 946</w:t>
            </w:r>
          </w:p>
        </w:tc>
        <w:tc>
          <w:tcPr>
            <w:tcW w:w="760" w:type="dxa"/>
            <w:tcBorders>
              <w:top w:val="nil"/>
              <w:left w:val="nil"/>
              <w:bottom w:val="nil"/>
              <w:right w:val="nil"/>
            </w:tcBorders>
          </w:tcPr>
          <w:p w:rsidR="00A46DCA" w:rsidRPr="004477D1"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4477D1">
              <w:rPr>
                <w:rFonts w:eastAsiaTheme="minorEastAsia" w:cs="Calibri"/>
                <w:color w:val="000000"/>
                <w:szCs w:val="16"/>
                <w:lang w:eastAsia="en-AU"/>
              </w:rPr>
              <w:t>8 706</w:t>
            </w:r>
          </w:p>
        </w:tc>
        <w:tc>
          <w:tcPr>
            <w:tcW w:w="760" w:type="dxa"/>
            <w:tcBorders>
              <w:top w:val="nil"/>
              <w:left w:val="nil"/>
              <w:bottom w:val="nil"/>
              <w:right w:val="nil"/>
            </w:tcBorders>
          </w:tcPr>
          <w:p w:rsidR="00A46DCA" w:rsidRPr="004477D1"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4477D1">
              <w:rPr>
                <w:rFonts w:eastAsiaTheme="minorEastAsia" w:cs="Calibri"/>
                <w:color w:val="000000"/>
                <w:szCs w:val="16"/>
                <w:lang w:eastAsia="en-AU"/>
              </w:rPr>
              <w:t>9 000</w:t>
            </w:r>
          </w:p>
        </w:tc>
      </w:tr>
      <w:tr w:rsidR="00A46DCA" w:rsidRPr="004477D1" w:rsidTr="007A7C8C">
        <w:tc>
          <w:tcPr>
            <w:cnfStyle w:val="001000000000" w:firstRow="0" w:lastRow="0" w:firstColumn="1" w:lastColumn="0" w:oddVBand="0" w:evenVBand="0" w:oddHBand="0" w:evenHBand="0" w:firstRowFirstColumn="0" w:firstRowLastColumn="0" w:lastRowFirstColumn="0" w:lastRowLastColumn="0"/>
            <w:tcW w:w="3402" w:type="dxa"/>
            <w:tcBorders>
              <w:top w:val="nil"/>
              <w:left w:val="nil"/>
              <w:bottom w:val="nil"/>
              <w:right w:val="nil"/>
            </w:tcBorders>
          </w:tcPr>
          <w:p w:rsidR="00A46DCA" w:rsidRPr="004477D1" w:rsidRDefault="00A46DCA" w:rsidP="00A26D04">
            <w:pPr>
              <w:keepLines w:val="0"/>
              <w:autoSpaceDE w:val="0"/>
              <w:autoSpaceDN w:val="0"/>
              <w:adjustRightInd w:val="0"/>
              <w:rPr>
                <w:rFonts w:eastAsiaTheme="minorEastAsia" w:cs="Calibri"/>
                <w:color w:val="000000"/>
                <w:szCs w:val="16"/>
                <w:lang w:eastAsia="en-AU"/>
              </w:rPr>
            </w:pPr>
            <w:r w:rsidRPr="004477D1">
              <w:rPr>
                <w:rFonts w:eastAsiaTheme="minorEastAsia" w:cs="Calibri"/>
                <w:color w:val="000000"/>
                <w:szCs w:val="16"/>
                <w:lang w:eastAsia="en-AU"/>
              </w:rPr>
              <w:t>Interest received</w:t>
            </w:r>
          </w:p>
        </w:tc>
        <w:tc>
          <w:tcPr>
            <w:tcW w:w="567" w:type="dxa"/>
            <w:tcBorders>
              <w:top w:val="nil"/>
              <w:left w:val="nil"/>
              <w:bottom w:val="nil"/>
              <w:right w:val="nil"/>
            </w:tcBorders>
          </w:tcPr>
          <w:p w:rsidR="00A46DCA" w:rsidRPr="004477D1" w:rsidRDefault="00A46DCA" w:rsidP="00A26D04">
            <w:pPr>
              <w:keepLines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4477D1">
              <w:rPr>
                <w:rFonts w:eastAsiaTheme="minorEastAsia" w:cs="Calibri"/>
                <w:color w:val="000000"/>
                <w:lang w:eastAsia="en-AU"/>
              </w:rPr>
              <w:t xml:space="preserve"> </w:t>
            </w:r>
          </w:p>
        </w:tc>
        <w:tc>
          <w:tcPr>
            <w:tcW w:w="760" w:type="dxa"/>
            <w:tcBorders>
              <w:top w:val="nil"/>
              <w:left w:val="nil"/>
              <w:bottom w:val="nil"/>
              <w:right w:val="nil"/>
            </w:tcBorders>
          </w:tcPr>
          <w:p w:rsidR="00A46DCA" w:rsidRPr="004477D1"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898</w:t>
            </w:r>
          </w:p>
        </w:tc>
        <w:tc>
          <w:tcPr>
            <w:tcW w:w="760" w:type="dxa"/>
            <w:tcBorders>
              <w:top w:val="nil"/>
              <w:left w:val="nil"/>
              <w:bottom w:val="nil"/>
              <w:right w:val="nil"/>
            </w:tcBorders>
          </w:tcPr>
          <w:p w:rsidR="00A46DCA" w:rsidRPr="004477D1"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905</w:t>
            </w:r>
          </w:p>
        </w:tc>
        <w:tc>
          <w:tcPr>
            <w:tcW w:w="760" w:type="dxa"/>
            <w:tcBorders>
              <w:top w:val="nil"/>
              <w:left w:val="nil"/>
              <w:bottom w:val="nil"/>
              <w:right w:val="nil"/>
            </w:tcBorders>
          </w:tcPr>
          <w:p w:rsidR="00A46DCA" w:rsidRPr="004477D1"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875</w:t>
            </w:r>
          </w:p>
        </w:tc>
        <w:tc>
          <w:tcPr>
            <w:tcW w:w="760" w:type="dxa"/>
            <w:tcBorders>
              <w:top w:val="nil"/>
              <w:left w:val="nil"/>
              <w:bottom w:val="nil"/>
              <w:right w:val="nil"/>
            </w:tcBorders>
          </w:tcPr>
          <w:p w:rsidR="00A46DCA" w:rsidRPr="004477D1"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872</w:t>
            </w:r>
          </w:p>
        </w:tc>
        <w:tc>
          <w:tcPr>
            <w:tcW w:w="760" w:type="dxa"/>
            <w:tcBorders>
              <w:top w:val="nil"/>
              <w:left w:val="nil"/>
              <w:bottom w:val="nil"/>
              <w:right w:val="nil"/>
            </w:tcBorders>
          </w:tcPr>
          <w:p w:rsidR="00A46DCA" w:rsidRPr="004477D1"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842</w:t>
            </w:r>
          </w:p>
        </w:tc>
      </w:tr>
      <w:tr w:rsidR="00A46DCA" w:rsidRPr="004477D1" w:rsidTr="007A7C8C">
        <w:tc>
          <w:tcPr>
            <w:cnfStyle w:val="001000000000" w:firstRow="0" w:lastRow="0" w:firstColumn="1" w:lastColumn="0" w:oddVBand="0" w:evenVBand="0" w:oddHBand="0" w:evenHBand="0" w:firstRowFirstColumn="0" w:firstRowLastColumn="0" w:lastRowFirstColumn="0" w:lastRowLastColumn="0"/>
            <w:tcW w:w="3402" w:type="dxa"/>
            <w:tcBorders>
              <w:top w:val="nil"/>
              <w:left w:val="nil"/>
              <w:bottom w:val="nil"/>
              <w:right w:val="nil"/>
            </w:tcBorders>
          </w:tcPr>
          <w:p w:rsidR="00A46DCA" w:rsidRPr="004477D1" w:rsidRDefault="00A46DCA" w:rsidP="00A26D04">
            <w:pPr>
              <w:keepLines w:val="0"/>
              <w:autoSpaceDE w:val="0"/>
              <w:autoSpaceDN w:val="0"/>
              <w:adjustRightInd w:val="0"/>
              <w:rPr>
                <w:rFonts w:eastAsiaTheme="minorEastAsia" w:cs="Calibri"/>
                <w:color w:val="000000"/>
                <w:szCs w:val="16"/>
                <w:lang w:eastAsia="en-AU"/>
              </w:rPr>
            </w:pPr>
            <w:r w:rsidRPr="004477D1">
              <w:rPr>
                <w:rFonts w:eastAsiaTheme="minorEastAsia" w:cs="Calibri"/>
                <w:color w:val="000000"/>
                <w:szCs w:val="16"/>
                <w:lang w:eastAsia="en-AU"/>
              </w:rPr>
              <w:t>Dividends, income tax equivalent and rate equivalent receipts</w:t>
            </w:r>
          </w:p>
        </w:tc>
        <w:tc>
          <w:tcPr>
            <w:tcW w:w="567" w:type="dxa"/>
            <w:tcBorders>
              <w:top w:val="nil"/>
              <w:left w:val="nil"/>
              <w:bottom w:val="nil"/>
              <w:right w:val="nil"/>
            </w:tcBorders>
          </w:tcPr>
          <w:p w:rsidR="00A46DCA" w:rsidRPr="004477D1" w:rsidRDefault="00A46DCA" w:rsidP="00A26D04">
            <w:pPr>
              <w:keepLines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4477D1">
              <w:rPr>
                <w:rFonts w:eastAsiaTheme="minorEastAsia" w:cs="Calibri"/>
                <w:color w:val="000000"/>
                <w:lang w:eastAsia="en-AU"/>
              </w:rPr>
              <w:t xml:space="preserve"> </w:t>
            </w:r>
          </w:p>
        </w:tc>
        <w:tc>
          <w:tcPr>
            <w:tcW w:w="760" w:type="dxa"/>
            <w:tcBorders>
              <w:top w:val="nil"/>
              <w:left w:val="nil"/>
              <w:bottom w:val="nil"/>
              <w:right w:val="nil"/>
            </w:tcBorders>
          </w:tcPr>
          <w:p w:rsidR="00A46DCA" w:rsidRPr="004477D1"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4477D1">
              <w:rPr>
                <w:rFonts w:eastAsiaTheme="minorEastAsia" w:cs="Calibri"/>
                <w:color w:val="000000"/>
                <w:szCs w:val="16"/>
                <w:lang w:eastAsia="en-AU"/>
              </w:rPr>
              <w:t>1 174</w:t>
            </w:r>
          </w:p>
        </w:tc>
        <w:tc>
          <w:tcPr>
            <w:tcW w:w="760" w:type="dxa"/>
            <w:tcBorders>
              <w:top w:val="nil"/>
              <w:left w:val="nil"/>
              <w:bottom w:val="nil"/>
              <w:right w:val="nil"/>
            </w:tcBorders>
          </w:tcPr>
          <w:p w:rsidR="00A46DCA" w:rsidRPr="004477D1"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4477D1">
              <w:rPr>
                <w:rFonts w:eastAsiaTheme="minorEastAsia" w:cs="Calibri"/>
                <w:color w:val="000000"/>
                <w:szCs w:val="16"/>
                <w:lang w:eastAsia="en-AU"/>
              </w:rPr>
              <w:t>1 272</w:t>
            </w:r>
          </w:p>
        </w:tc>
        <w:tc>
          <w:tcPr>
            <w:tcW w:w="760" w:type="dxa"/>
            <w:tcBorders>
              <w:top w:val="nil"/>
              <w:left w:val="nil"/>
              <w:bottom w:val="nil"/>
              <w:right w:val="nil"/>
            </w:tcBorders>
          </w:tcPr>
          <w:p w:rsidR="00A46DCA" w:rsidRPr="004477D1"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531</w:t>
            </w:r>
          </w:p>
        </w:tc>
        <w:tc>
          <w:tcPr>
            <w:tcW w:w="760" w:type="dxa"/>
            <w:tcBorders>
              <w:top w:val="nil"/>
              <w:left w:val="nil"/>
              <w:bottom w:val="nil"/>
              <w:right w:val="nil"/>
            </w:tcBorders>
          </w:tcPr>
          <w:p w:rsidR="00A46DCA" w:rsidRPr="004477D1"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455</w:t>
            </w:r>
          </w:p>
        </w:tc>
        <w:tc>
          <w:tcPr>
            <w:tcW w:w="760" w:type="dxa"/>
            <w:tcBorders>
              <w:top w:val="nil"/>
              <w:left w:val="nil"/>
              <w:bottom w:val="nil"/>
              <w:right w:val="nil"/>
            </w:tcBorders>
          </w:tcPr>
          <w:p w:rsidR="00A46DCA" w:rsidRPr="004477D1"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614</w:t>
            </w:r>
          </w:p>
        </w:tc>
      </w:tr>
      <w:tr w:rsidR="00A46DCA" w:rsidRPr="004477D1" w:rsidTr="007A7C8C">
        <w:tc>
          <w:tcPr>
            <w:cnfStyle w:val="001000000000" w:firstRow="0" w:lastRow="0" w:firstColumn="1" w:lastColumn="0" w:oddVBand="0" w:evenVBand="0" w:oddHBand="0" w:evenHBand="0" w:firstRowFirstColumn="0" w:firstRowLastColumn="0" w:lastRowFirstColumn="0" w:lastRowLastColumn="0"/>
            <w:tcW w:w="3402" w:type="dxa"/>
            <w:tcBorders>
              <w:top w:val="nil"/>
              <w:left w:val="nil"/>
              <w:bottom w:val="single" w:sz="6" w:space="0" w:color="000000"/>
              <w:right w:val="nil"/>
            </w:tcBorders>
          </w:tcPr>
          <w:p w:rsidR="00A46DCA" w:rsidRPr="004477D1" w:rsidRDefault="00A46DCA" w:rsidP="00A26D04">
            <w:pPr>
              <w:keepLines w:val="0"/>
              <w:autoSpaceDE w:val="0"/>
              <w:autoSpaceDN w:val="0"/>
              <w:adjustRightInd w:val="0"/>
              <w:rPr>
                <w:rFonts w:eastAsiaTheme="minorEastAsia" w:cs="Calibri"/>
                <w:color w:val="000000"/>
                <w:szCs w:val="16"/>
                <w:lang w:eastAsia="en-AU"/>
              </w:rPr>
            </w:pPr>
            <w:r w:rsidRPr="004477D1">
              <w:rPr>
                <w:rFonts w:eastAsiaTheme="minorEastAsia" w:cs="Calibri"/>
                <w:color w:val="000000"/>
                <w:szCs w:val="16"/>
                <w:lang w:eastAsia="en-AU"/>
              </w:rPr>
              <w:t>Other receipts</w:t>
            </w:r>
          </w:p>
        </w:tc>
        <w:tc>
          <w:tcPr>
            <w:tcW w:w="567" w:type="dxa"/>
            <w:tcBorders>
              <w:top w:val="nil"/>
              <w:left w:val="nil"/>
              <w:bottom w:val="single" w:sz="6" w:space="0" w:color="000000"/>
              <w:right w:val="nil"/>
            </w:tcBorders>
          </w:tcPr>
          <w:p w:rsidR="00A46DCA" w:rsidRPr="004477D1" w:rsidRDefault="00A46DCA" w:rsidP="00A26D04">
            <w:pPr>
              <w:keepLines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4477D1">
              <w:rPr>
                <w:rFonts w:eastAsiaTheme="minorEastAsia" w:cs="Calibri"/>
                <w:color w:val="000000"/>
                <w:lang w:eastAsia="en-AU"/>
              </w:rPr>
              <w:t xml:space="preserve"> </w:t>
            </w:r>
          </w:p>
        </w:tc>
        <w:tc>
          <w:tcPr>
            <w:tcW w:w="760" w:type="dxa"/>
            <w:tcBorders>
              <w:top w:val="nil"/>
              <w:left w:val="nil"/>
              <w:bottom w:val="single" w:sz="6" w:space="0" w:color="000000"/>
              <w:right w:val="nil"/>
            </w:tcBorders>
          </w:tcPr>
          <w:p w:rsidR="00A46DCA" w:rsidRPr="004477D1"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4477D1">
              <w:rPr>
                <w:rFonts w:eastAsiaTheme="minorEastAsia" w:cs="Calibri"/>
                <w:color w:val="000000"/>
                <w:szCs w:val="16"/>
                <w:lang w:eastAsia="en-AU"/>
              </w:rPr>
              <w:t>2 001</w:t>
            </w:r>
          </w:p>
        </w:tc>
        <w:tc>
          <w:tcPr>
            <w:tcW w:w="760" w:type="dxa"/>
            <w:tcBorders>
              <w:top w:val="nil"/>
              <w:left w:val="nil"/>
              <w:bottom w:val="single" w:sz="6" w:space="0" w:color="000000"/>
              <w:right w:val="nil"/>
            </w:tcBorders>
          </w:tcPr>
          <w:p w:rsidR="00A46DCA" w:rsidRPr="004477D1"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4477D1">
              <w:rPr>
                <w:rFonts w:eastAsiaTheme="minorEastAsia" w:cs="Calibri"/>
                <w:color w:val="000000"/>
                <w:szCs w:val="16"/>
                <w:lang w:eastAsia="en-AU"/>
              </w:rPr>
              <w:t>2 082</w:t>
            </w:r>
          </w:p>
        </w:tc>
        <w:tc>
          <w:tcPr>
            <w:tcW w:w="760" w:type="dxa"/>
            <w:tcBorders>
              <w:top w:val="nil"/>
              <w:left w:val="nil"/>
              <w:bottom w:val="single" w:sz="6" w:space="0" w:color="000000"/>
              <w:right w:val="nil"/>
            </w:tcBorders>
          </w:tcPr>
          <w:p w:rsidR="00A46DCA" w:rsidRPr="004477D1"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4477D1">
              <w:rPr>
                <w:rFonts w:eastAsiaTheme="minorEastAsia" w:cs="Calibri"/>
                <w:color w:val="000000"/>
                <w:szCs w:val="16"/>
                <w:lang w:eastAsia="en-AU"/>
              </w:rPr>
              <w:t>2 150</w:t>
            </w:r>
          </w:p>
        </w:tc>
        <w:tc>
          <w:tcPr>
            <w:tcW w:w="760" w:type="dxa"/>
            <w:tcBorders>
              <w:top w:val="nil"/>
              <w:left w:val="nil"/>
              <w:bottom w:val="single" w:sz="6" w:space="0" w:color="000000"/>
              <w:right w:val="nil"/>
            </w:tcBorders>
          </w:tcPr>
          <w:p w:rsidR="00A46DCA" w:rsidRPr="004477D1"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4477D1">
              <w:rPr>
                <w:rFonts w:eastAsiaTheme="minorEastAsia" w:cs="Calibri"/>
                <w:color w:val="000000"/>
                <w:szCs w:val="16"/>
                <w:lang w:eastAsia="en-AU"/>
              </w:rPr>
              <w:t>2 098</w:t>
            </w:r>
          </w:p>
        </w:tc>
        <w:tc>
          <w:tcPr>
            <w:tcW w:w="760" w:type="dxa"/>
            <w:tcBorders>
              <w:top w:val="nil"/>
              <w:left w:val="nil"/>
              <w:bottom w:val="single" w:sz="6" w:space="0" w:color="000000"/>
              <w:right w:val="nil"/>
            </w:tcBorders>
          </w:tcPr>
          <w:p w:rsidR="00A46DCA" w:rsidRPr="004477D1"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4477D1">
              <w:rPr>
                <w:rFonts w:eastAsiaTheme="minorEastAsia" w:cs="Calibri"/>
                <w:color w:val="000000"/>
                <w:szCs w:val="16"/>
                <w:lang w:eastAsia="en-AU"/>
              </w:rPr>
              <w:t>2 156</w:t>
            </w:r>
          </w:p>
        </w:tc>
      </w:tr>
      <w:tr w:rsidR="00A46DCA" w:rsidRPr="004477D1" w:rsidTr="007A7C8C">
        <w:tc>
          <w:tcPr>
            <w:cnfStyle w:val="001000000000" w:firstRow="0" w:lastRow="0" w:firstColumn="1" w:lastColumn="0" w:oddVBand="0" w:evenVBand="0" w:oddHBand="0" w:evenHBand="0" w:firstRowFirstColumn="0" w:firstRowLastColumn="0" w:lastRowFirstColumn="0" w:lastRowLastColumn="0"/>
            <w:tcW w:w="3402" w:type="dxa"/>
            <w:tcBorders>
              <w:top w:val="nil"/>
              <w:left w:val="nil"/>
              <w:bottom w:val="nil"/>
              <w:right w:val="nil"/>
            </w:tcBorders>
          </w:tcPr>
          <w:p w:rsidR="00A46DCA" w:rsidRPr="004477D1" w:rsidRDefault="00A46DCA" w:rsidP="00A26D04">
            <w:pPr>
              <w:keepLines w:val="0"/>
              <w:autoSpaceDE w:val="0"/>
              <w:autoSpaceDN w:val="0"/>
              <w:adjustRightInd w:val="0"/>
              <w:rPr>
                <w:rFonts w:eastAsiaTheme="minorEastAsia" w:cs="Calibri"/>
                <w:b/>
                <w:bCs/>
                <w:color w:val="000000"/>
                <w:szCs w:val="16"/>
                <w:lang w:eastAsia="en-AU"/>
              </w:rPr>
            </w:pPr>
            <w:r w:rsidRPr="004477D1">
              <w:rPr>
                <w:rFonts w:eastAsiaTheme="minorEastAsia" w:cs="Calibri"/>
                <w:b/>
                <w:bCs/>
                <w:color w:val="000000"/>
                <w:szCs w:val="16"/>
                <w:lang w:eastAsia="en-AU"/>
              </w:rPr>
              <w:t>Total receipts</w:t>
            </w:r>
          </w:p>
        </w:tc>
        <w:tc>
          <w:tcPr>
            <w:tcW w:w="567" w:type="dxa"/>
            <w:tcBorders>
              <w:top w:val="nil"/>
              <w:left w:val="nil"/>
              <w:bottom w:val="nil"/>
              <w:right w:val="nil"/>
            </w:tcBorders>
          </w:tcPr>
          <w:p w:rsidR="00A46DCA" w:rsidRPr="004477D1" w:rsidRDefault="00A46DCA" w:rsidP="00A26D04">
            <w:pPr>
              <w:keepLines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bCs/>
                <w:color w:val="000000"/>
                <w:lang w:eastAsia="en-AU"/>
              </w:rPr>
            </w:pPr>
            <w:r w:rsidRPr="004477D1">
              <w:rPr>
                <w:rFonts w:eastAsiaTheme="minorEastAsia" w:cs="Calibri"/>
                <w:bCs/>
                <w:color w:val="000000"/>
                <w:lang w:eastAsia="en-AU"/>
              </w:rPr>
              <w:t xml:space="preserve"> </w:t>
            </w:r>
          </w:p>
        </w:tc>
        <w:tc>
          <w:tcPr>
            <w:tcW w:w="760" w:type="dxa"/>
            <w:tcBorders>
              <w:top w:val="nil"/>
              <w:left w:val="nil"/>
              <w:bottom w:val="nil"/>
              <w:right w:val="nil"/>
            </w:tcBorders>
          </w:tcPr>
          <w:p w:rsidR="00A46DCA" w:rsidRPr="004477D1"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4477D1">
              <w:rPr>
                <w:rFonts w:eastAsiaTheme="minorEastAsia" w:cs="Calibri"/>
                <w:b/>
                <w:bCs/>
                <w:color w:val="000000"/>
                <w:szCs w:val="16"/>
                <w:lang w:eastAsia="en-AU"/>
              </w:rPr>
              <w:t>63 655</w:t>
            </w:r>
          </w:p>
        </w:tc>
        <w:tc>
          <w:tcPr>
            <w:tcW w:w="760" w:type="dxa"/>
            <w:tcBorders>
              <w:top w:val="nil"/>
              <w:left w:val="nil"/>
              <w:bottom w:val="nil"/>
              <w:right w:val="nil"/>
            </w:tcBorders>
          </w:tcPr>
          <w:p w:rsidR="00A46DCA" w:rsidRPr="004477D1"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4477D1">
              <w:rPr>
                <w:rFonts w:eastAsiaTheme="minorEastAsia" w:cs="Calibri"/>
                <w:b/>
                <w:bCs/>
                <w:color w:val="000000"/>
                <w:szCs w:val="16"/>
                <w:lang w:eastAsia="en-AU"/>
              </w:rPr>
              <w:t>64 659</w:t>
            </w:r>
          </w:p>
        </w:tc>
        <w:tc>
          <w:tcPr>
            <w:tcW w:w="760" w:type="dxa"/>
            <w:tcBorders>
              <w:top w:val="nil"/>
              <w:left w:val="nil"/>
              <w:bottom w:val="nil"/>
              <w:right w:val="nil"/>
            </w:tcBorders>
          </w:tcPr>
          <w:p w:rsidR="00A46DCA" w:rsidRPr="004477D1"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4477D1">
              <w:rPr>
                <w:rFonts w:eastAsiaTheme="minorEastAsia" w:cs="Calibri"/>
                <w:b/>
                <w:bCs/>
                <w:color w:val="000000"/>
                <w:szCs w:val="16"/>
                <w:lang w:eastAsia="en-AU"/>
              </w:rPr>
              <w:t>69 417</w:t>
            </w:r>
          </w:p>
        </w:tc>
        <w:tc>
          <w:tcPr>
            <w:tcW w:w="760" w:type="dxa"/>
            <w:tcBorders>
              <w:top w:val="nil"/>
              <w:left w:val="nil"/>
              <w:bottom w:val="nil"/>
              <w:right w:val="nil"/>
            </w:tcBorders>
          </w:tcPr>
          <w:p w:rsidR="00A46DCA" w:rsidRPr="004477D1"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4477D1">
              <w:rPr>
                <w:rFonts w:eastAsiaTheme="minorEastAsia" w:cs="Calibri"/>
                <w:b/>
                <w:bCs/>
                <w:color w:val="000000"/>
                <w:szCs w:val="16"/>
                <w:lang w:eastAsia="en-AU"/>
              </w:rPr>
              <w:t>69 025</w:t>
            </w:r>
          </w:p>
        </w:tc>
        <w:tc>
          <w:tcPr>
            <w:tcW w:w="760" w:type="dxa"/>
            <w:tcBorders>
              <w:top w:val="nil"/>
              <w:left w:val="nil"/>
              <w:bottom w:val="nil"/>
              <w:right w:val="nil"/>
            </w:tcBorders>
          </w:tcPr>
          <w:p w:rsidR="00A46DCA" w:rsidRPr="004477D1"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4477D1">
              <w:rPr>
                <w:rFonts w:eastAsiaTheme="minorEastAsia" w:cs="Calibri"/>
                <w:b/>
                <w:bCs/>
                <w:color w:val="000000"/>
                <w:szCs w:val="16"/>
                <w:lang w:eastAsia="en-AU"/>
              </w:rPr>
              <w:t>71 388</w:t>
            </w:r>
          </w:p>
        </w:tc>
      </w:tr>
      <w:tr w:rsidR="00A46DCA" w:rsidRPr="004477D1" w:rsidTr="007A7C8C">
        <w:tc>
          <w:tcPr>
            <w:cnfStyle w:val="001000000000" w:firstRow="0" w:lastRow="0" w:firstColumn="1" w:lastColumn="0" w:oddVBand="0" w:evenVBand="0" w:oddHBand="0" w:evenHBand="0" w:firstRowFirstColumn="0" w:firstRowLastColumn="0" w:lastRowFirstColumn="0" w:lastRowLastColumn="0"/>
            <w:tcW w:w="3402" w:type="dxa"/>
            <w:tcBorders>
              <w:top w:val="nil"/>
              <w:left w:val="nil"/>
              <w:bottom w:val="nil"/>
              <w:right w:val="nil"/>
            </w:tcBorders>
          </w:tcPr>
          <w:p w:rsidR="00A46DCA" w:rsidRPr="004477D1" w:rsidRDefault="00A46DCA" w:rsidP="00A26D04">
            <w:pPr>
              <w:keepLines w:val="0"/>
              <w:autoSpaceDE w:val="0"/>
              <w:autoSpaceDN w:val="0"/>
              <w:adjustRightInd w:val="0"/>
              <w:rPr>
                <w:rFonts w:eastAsiaTheme="minorEastAsia" w:cs="Calibri"/>
                <w:b/>
                <w:bCs/>
                <w:color w:val="000000"/>
                <w:szCs w:val="16"/>
                <w:lang w:eastAsia="en-AU"/>
              </w:rPr>
            </w:pPr>
            <w:r w:rsidRPr="004477D1">
              <w:rPr>
                <w:rFonts w:eastAsiaTheme="minorEastAsia" w:cs="Calibri"/>
                <w:b/>
                <w:bCs/>
                <w:color w:val="000000"/>
                <w:szCs w:val="16"/>
                <w:lang w:eastAsia="en-AU"/>
              </w:rPr>
              <w:t>Payments</w:t>
            </w:r>
          </w:p>
        </w:tc>
        <w:tc>
          <w:tcPr>
            <w:tcW w:w="567" w:type="dxa"/>
            <w:tcBorders>
              <w:top w:val="nil"/>
              <w:left w:val="nil"/>
              <w:bottom w:val="nil"/>
              <w:right w:val="nil"/>
            </w:tcBorders>
          </w:tcPr>
          <w:p w:rsidR="00A46DCA" w:rsidRPr="004477D1" w:rsidRDefault="00A46DCA" w:rsidP="00A26D04">
            <w:pPr>
              <w:keepLines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bCs/>
                <w:color w:val="000000"/>
                <w:lang w:eastAsia="en-AU"/>
              </w:rPr>
            </w:pPr>
            <w:r w:rsidRPr="004477D1">
              <w:rPr>
                <w:rFonts w:eastAsiaTheme="minorEastAsia" w:cs="Calibri"/>
                <w:bCs/>
                <w:color w:val="000000"/>
                <w:lang w:eastAsia="en-AU"/>
              </w:rPr>
              <w:t xml:space="preserve"> </w:t>
            </w:r>
          </w:p>
        </w:tc>
        <w:tc>
          <w:tcPr>
            <w:tcW w:w="760" w:type="dxa"/>
            <w:tcBorders>
              <w:top w:val="nil"/>
              <w:left w:val="nil"/>
              <w:bottom w:val="nil"/>
              <w:right w:val="nil"/>
            </w:tcBorders>
          </w:tcPr>
          <w:p w:rsidR="00A46DCA" w:rsidRPr="004477D1"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4477D1">
              <w:rPr>
                <w:rFonts w:eastAsiaTheme="minorEastAsia" w:cs="Calibri"/>
                <w:b/>
                <w:bCs/>
                <w:color w:val="000000"/>
                <w:lang w:eastAsia="en-AU"/>
              </w:rPr>
              <w:t xml:space="preserve"> </w:t>
            </w:r>
          </w:p>
        </w:tc>
        <w:tc>
          <w:tcPr>
            <w:tcW w:w="760" w:type="dxa"/>
            <w:tcBorders>
              <w:top w:val="nil"/>
              <w:left w:val="nil"/>
              <w:bottom w:val="nil"/>
              <w:right w:val="nil"/>
            </w:tcBorders>
          </w:tcPr>
          <w:p w:rsidR="00A46DCA" w:rsidRPr="004477D1"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4477D1">
              <w:rPr>
                <w:rFonts w:eastAsiaTheme="minorEastAsia" w:cs="Calibri"/>
                <w:b/>
                <w:bCs/>
                <w:color w:val="000000"/>
                <w:lang w:eastAsia="en-AU"/>
              </w:rPr>
              <w:t xml:space="preserve"> </w:t>
            </w:r>
          </w:p>
        </w:tc>
        <w:tc>
          <w:tcPr>
            <w:tcW w:w="760" w:type="dxa"/>
            <w:tcBorders>
              <w:top w:val="nil"/>
              <w:left w:val="nil"/>
              <w:bottom w:val="nil"/>
              <w:right w:val="nil"/>
            </w:tcBorders>
          </w:tcPr>
          <w:p w:rsidR="00A46DCA" w:rsidRPr="004477D1"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4477D1">
              <w:rPr>
                <w:rFonts w:eastAsiaTheme="minorEastAsia" w:cs="Calibri"/>
                <w:b/>
                <w:bCs/>
                <w:color w:val="000000"/>
                <w:lang w:eastAsia="en-AU"/>
              </w:rPr>
              <w:t xml:space="preserve"> </w:t>
            </w:r>
          </w:p>
        </w:tc>
        <w:tc>
          <w:tcPr>
            <w:tcW w:w="760" w:type="dxa"/>
            <w:tcBorders>
              <w:top w:val="nil"/>
              <w:left w:val="nil"/>
              <w:bottom w:val="nil"/>
              <w:right w:val="nil"/>
            </w:tcBorders>
          </w:tcPr>
          <w:p w:rsidR="00A46DCA" w:rsidRPr="004477D1"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4477D1">
              <w:rPr>
                <w:rFonts w:eastAsiaTheme="minorEastAsia" w:cs="Calibri"/>
                <w:b/>
                <w:bCs/>
                <w:color w:val="000000"/>
                <w:lang w:eastAsia="en-AU"/>
              </w:rPr>
              <w:t xml:space="preserve"> </w:t>
            </w:r>
          </w:p>
        </w:tc>
        <w:tc>
          <w:tcPr>
            <w:tcW w:w="760" w:type="dxa"/>
            <w:tcBorders>
              <w:top w:val="nil"/>
              <w:left w:val="nil"/>
              <w:bottom w:val="nil"/>
              <w:right w:val="nil"/>
            </w:tcBorders>
          </w:tcPr>
          <w:p w:rsidR="00A46DCA" w:rsidRPr="004477D1"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4477D1">
              <w:rPr>
                <w:rFonts w:eastAsiaTheme="minorEastAsia" w:cs="Calibri"/>
                <w:b/>
                <w:bCs/>
                <w:color w:val="000000"/>
                <w:lang w:eastAsia="en-AU"/>
              </w:rPr>
              <w:t xml:space="preserve"> </w:t>
            </w:r>
          </w:p>
        </w:tc>
      </w:tr>
      <w:tr w:rsidR="00A46DCA" w:rsidRPr="004477D1" w:rsidTr="007A7C8C">
        <w:tc>
          <w:tcPr>
            <w:cnfStyle w:val="001000000000" w:firstRow="0" w:lastRow="0" w:firstColumn="1" w:lastColumn="0" w:oddVBand="0" w:evenVBand="0" w:oddHBand="0" w:evenHBand="0" w:firstRowFirstColumn="0" w:firstRowLastColumn="0" w:lastRowFirstColumn="0" w:lastRowLastColumn="0"/>
            <w:tcW w:w="3402" w:type="dxa"/>
            <w:tcBorders>
              <w:top w:val="nil"/>
              <w:left w:val="nil"/>
              <w:bottom w:val="nil"/>
              <w:right w:val="nil"/>
            </w:tcBorders>
          </w:tcPr>
          <w:p w:rsidR="00A46DCA" w:rsidRPr="004477D1" w:rsidRDefault="00A46DCA" w:rsidP="00A26D04">
            <w:pPr>
              <w:keepLines w:val="0"/>
              <w:autoSpaceDE w:val="0"/>
              <w:autoSpaceDN w:val="0"/>
              <w:adjustRightInd w:val="0"/>
              <w:rPr>
                <w:rFonts w:eastAsiaTheme="minorEastAsia" w:cs="Calibri"/>
                <w:color w:val="000000"/>
                <w:szCs w:val="16"/>
                <w:lang w:eastAsia="en-AU"/>
              </w:rPr>
            </w:pPr>
            <w:r w:rsidRPr="004477D1">
              <w:rPr>
                <w:rFonts w:eastAsiaTheme="minorEastAsia" w:cs="Calibri"/>
                <w:color w:val="000000"/>
                <w:szCs w:val="16"/>
                <w:lang w:eastAsia="en-AU"/>
              </w:rPr>
              <w:t>Payments for employees</w:t>
            </w:r>
          </w:p>
        </w:tc>
        <w:tc>
          <w:tcPr>
            <w:tcW w:w="567" w:type="dxa"/>
            <w:tcBorders>
              <w:top w:val="nil"/>
              <w:left w:val="nil"/>
              <w:bottom w:val="nil"/>
              <w:right w:val="nil"/>
            </w:tcBorders>
          </w:tcPr>
          <w:p w:rsidR="00A46DCA" w:rsidRPr="004477D1" w:rsidRDefault="00A46DCA" w:rsidP="00A26D04">
            <w:pPr>
              <w:keepLines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4477D1">
              <w:rPr>
                <w:rFonts w:eastAsiaTheme="minorEastAsia" w:cs="Calibri"/>
                <w:color w:val="000000"/>
                <w:lang w:eastAsia="en-AU"/>
              </w:rPr>
              <w:t xml:space="preserve"> </w:t>
            </w:r>
          </w:p>
        </w:tc>
        <w:tc>
          <w:tcPr>
            <w:tcW w:w="760" w:type="dxa"/>
            <w:tcBorders>
              <w:top w:val="nil"/>
              <w:left w:val="nil"/>
              <w:bottom w:val="nil"/>
              <w:right w:val="nil"/>
            </w:tcBorders>
          </w:tcPr>
          <w:p w:rsidR="00A46DCA" w:rsidRPr="004477D1"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(22 773)</w:t>
            </w:r>
          </w:p>
        </w:tc>
        <w:tc>
          <w:tcPr>
            <w:tcW w:w="760" w:type="dxa"/>
            <w:tcBorders>
              <w:top w:val="nil"/>
              <w:left w:val="nil"/>
              <w:bottom w:val="nil"/>
              <w:right w:val="nil"/>
            </w:tcBorders>
          </w:tcPr>
          <w:p w:rsidR="00A46DCA" w:rsidRPr="004477D1"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(22 837)</w:t>
            </w:r>
          </w:p>
        </w:tc>
        <w:tc>
          <w:tcPr>
            <w:tcW w:w="760" w:type="dxa"/>
            <w:tcBorders>
              <w:top w:val="nil"/>
              <w:left w:val="nil"/>
              <w:bottom w:val="nil"/>
              <w:right w:val="nil"/>
            </w:tcBorders>
          </w:tcPr>
          <w:p w:rsidR="00A46DCA" w:rsidRPr="004477D1"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(24 296)</w:t>
            </w:r>
          </w:p>
        </w:tc>
        <w:tc>
          <w:tcPr>
            <w:tcW w:w="760" w:type="dxa"/>
            <w:tcBorders>
              <w:top w:val="nil"/>
              <w:left w:val="nil"/>
              <w:bottom w:val="nil"/>
              <w:right w:val="nil"/>
            </w:tcBorders>
          </w:tcPr>
          <w:p w:rsidR="00A46DCA" w:rsidRPr="004477D1"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(24 870)</w:t>
            </w:r>
          </w:p>
        </w:tc>
        <w:tc>
          <w:tcPr>
            <w:tcW w:w="760" w:type="dxa"/>
            <w:tcBorders>
              <w:top w:val="nil"/>
              <w:left w:val="nil"/>
              <w:bottom w:val="nil"/>
              <w:right w:val="nil"/>
            </w:tcBorders>
          </w:tcPr>
          <w:p w:rsidR="00A46DCA" w:rsidRPr="004477D1"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(25 634)</w:t>
            </w:r>
          </w:p>
        </w:tc>
      </w:tr>
      <w:tr w:rsidR="00A46DCA" w:rsidRPr="004477D1" w:rsidTr="007A7C8C">
        <w:tc>
          <w:tcPr>
            <w:cnfStyle w:val="001000000000" w:firstRow="0" w:lastRow="0" w:firstColumn="1" w:lastColumn="0" w:oddVBand="0" w:evenVBand="0" w:oddHBand="0" w:evenHBand="0" w:firstRowFirstColumn="0" w:firstRowLastColumn="0" w:lastRowFirstColumn="0" w:lastRowLastColumn="0"/>
            <w:tcW w:w="3402" w:type="dxa"/>
            <w:tcBorders>
              <w:top w:val="nil"/>
              <w:left w:val="nil"/>
              <w:bottom w:val="nil"/>
              <w:right w:val="nil"/>
            </w:tcBorders>
          </w:tcPr>
          <w:p w:rsidR="00A46DCA" w:rsidRPr="004477D1" w:rsidRDefault="00A46DCA" w:rsidP="00A26D04">
            <w:pPr>
              <w:keepLines w:val="0"/>
              <w:autoSpaceDE w:val="0"/>
              <w:autoSpaceDN w:val="0"/>
              <w:adjustRightInd w:val="0"/>
              <w:rPr>
                <w:rFonts w:eastAsiaTheme="minorEastAsia" w:cs="Calibri"/>
                <w:color w:val="000000"/>
                <w:szCs w:val="16"/>
                <w:lang w:eastAsia="en-AU"/>
              </w:rPr>
            </w:pPr>
            <w:r w:rsidRPr="004477D1">
              <w:rPr>
                <w:rFonts w:eastAsiaTheme="minorEastAsia" w:cs="Calibri"/>
                <w:color w:val="000000"/>
                <w:szCs w:val="16"/>
                <w:lang w:eastAsia="en-AU"/>
              </w:rPr>
              <w:t>Superannuation</w:t>
            </w:r>
          </w:p>
        </w:tc>
        <w:tc>
          <w:tcPr>
            <w:tcW w:w="567" w:type="dxa"/>
            <w:tcBorders>
              <w:top w:val="nil"/>
              <w:left w:val="nil"/>
              <w:bottom w:val="nil"/>
              <w:right w:val="nil"/>
            </w:tcBorders>
          </w:tcPr>
          <w:p w:rsidR="00A46DCA" w:rsidRPr="004477D1" w:rsidRDefault="00A46DCA" w:rsidP="00A26D04">
            <w:pPr>
              <w:keepLines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4477D1">
              <w:rPr>
                <w:rFonts w:eastAsiaTheme="minorEastAsia" w:cs="Calibri"/>
                <w:color w:val="000000"/>
                <w:lang w:eastAsia="en-AU"/>
              </w:rPr>
              <w:t xml:space="preserve"> </w:t>
            </w:r>
          </w:p>
        </w:tc>
        <w:tc>
          <w:tcPr>
            <w:tcW w:w="760" w:type="dxa"/>
            <w:tcBorders>
              <w:top w:val="nil"/>
              <w:left w:val="nil"/>
              <w:bottom w:val="nil"/>
              <w:right w:val="nil"/>
            </w:tcBorders>
          </w:tcPr>
          <w:p w:rsidR="00A46DCA" w:rsidRPr="004477D1"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(3 107)</w:t>
            </w:r>
          </w:p>
        </w:tc>
        <w:tc>
          <w:tcPr>
            <w:tcW w:w="760" w:type="dxa"/>
            <w:tcBorders>
              <w:top w:val="nil"/>
              <w:left w:val="nil"/>
              <w:bottom w:val="nil"/>
              <w:right w:val="nil"/>
            </w:tcBorders>
          </w:tcPr>
          <w:p w:rsidR="00A46DCA" w:rsidRPr="004477D1"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(3 142)</w:t>
            </w:r>
          </w:p>
        </w:tc>
        <w:tc>
          <w:tcPr>
            <w:tcW w:w="760" w:type="dxa"/>
            <w:tcBorders>
              <w:top w:val="nil"/>
              <w:left w:val="nil"/>
              <w:bottom w:val="nil"/>
              <w:right w:val="nil"/>
            </w:tcBorders>
          </w:tcPr>
          <w:p w:rsidR="00A46DCA" w:rsidRPr="004477D1"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(3 213)</w:t>
            </w:r>
          </w:p>
        </w:tc>
        <w:tc>
          <w:tcPr>
            <w:tcW w:w="760" w:type="dxa"/>
            <w:tcBorders>
              <w:top w:val="nil"/>
              <w:left w:val="nil"/>
              <w:bottom w:val="nil"/>
              <w:right w:val="nil"/>
            </w:tcBorders>
          </w:tcPr>
          <w:p w:rsidR="00A46DCA" w:rsidRPr="004477D1"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(3 276)</w:t>
            </w:r>
          </w:p>
        </w:tc>
        <w:tc>
          <w:tcPr>
            <w:tcW w:w="760" w:type="dxa"/>
            <w:tcBorders>
              <w:top w:val="nil"/>
              <w:left w:val="nil"/>
              <w:bottom w:val="nil"/>
              <w:right w:val="nil"/>
            </w:tcBorders>
          </w:tcPr>
          <w:p w:rsidR="00A46DCA" w:rsidRPr="004477D1"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(3 312)</w:t>
            </w:r>
          </w:p>
        </w:tc>
      </w:tr>
      <w:tr w:rsidR="00A46DCA" w:rsidRPr="004477D1" w:rsidTr="007A7C8C">
        <w:tc>
          <w:tcPr>
            <w:cnfStyle w:val="001000000000" w:firstRow="0" w:lastRow="0" w:firstColumn="1" w:lastColumn="0" w:oddVBand="0" w:evenVBand="0" w:oddHBand="0" w:evenHBand="0" w:firstRowFirstColumn="0" w:firstRowLastColumn="0" w:lastRowFirstColumn="0" w:lastRowLastColumn="0"/>
            <w:tcW w:w="3402" w:type="dxa"/>
            <w:tcBorders>
              <w:top w:val="nil"/>
              <w:left w:val="nil"/>
              <w:bottom w:val="nil"/>
              <w:right w:val="nil"/>
            </w:tcBorders>
          </w:tcPr>
          <w:p w:rsidR="00A46DCA" w:rsidRPr="004477D1" w:rsidRDefault="00A46DCA" w:rsidP="00A26D04">
            <w:pPr>
              <w:keepLines w:val="0"/>
              <w:autoSpaceDE w:val="0"/>
              <w:autoSpaceDN w:val="0"/>
              <w:adjustRightInd w:val="0"/>
              <w:rPr>
                <w:rFonts w:eastAsiaTheme="minorEastAsia" w:cs="Calibri"/>
                <w:color w:val="000000"/>
                <w:szCs w:val="16"/>
                <w:lang w:eastAsia="en-AU"/>
              </w:rPr>
            </w:pPr>
            <w:r w:rsidRPr="004477D1">
              <w:rPr>
                <w:rFonts w:eastAsiaTheme="minorEastAsia" w:cs="Calibri"/>
                <w:color w:val="000000"/>
                <w:szCs w:val="16"/>
                <w:lang w:eastAsia="en-AU"/>
              </w:rPr>
              <w:t>Interest paid</w:t>
            </w:r>
          </w:p>
        </w:tc>
        <w:tc>
          <w:tcPr>
            <w:tcW w:w="567" w:type="dxa"/>
            <w:tcBorders>
              <w:top w:val="nil"/>
              <w:left w:val="nil"/>
              <w:bottom w:val="nil"/>
              <w:right w:val="nil"/>
            </w:tcBorders>
          </w:tcPr>
          <w:p w:rsidR="00A46DCA" w:rsidRPr="004477D1" w:rsidRDefault="00A46DCA" w:rsidP="00A26D04">
            <w:pPr>
              <w:keepLines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4477D1">
              <w:rPr>
                <w:rFonts w:eastAsiaTheme="minorEastAsia" w:cs="Calibri"/>
                <w:color w:val="000000"/>
                <w:lang w:eastAsia="en-AU"/>
              </w:rPr>
              <w:t xml:space="preserve"> </w:t>
            </w:r>
          </w:p>
        </w:tc>
        <w:tc>
          <w:tcPr>
            <w:tcW w:w="760" w:type="dxa"/>
            <w:tcBorders>
              <w:top w:val="nil"/>
              <w:left w:val="nil"/>
              <w:bottom w:val="nil"/>
              <w:right w:val="nil"/>
            </w:tcBorders>
          </w:tcPr>
          <w:p w:rsidR="00A46DCA" w:rsidRPr="004477D1"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(2 144)</w:t>
            </w:r>
          </w:p>
        </w:tc>
        <w:tc>
          <w:tcPr>
            <w:tcW w:w="760" w:type="dxa"/>
            <w:tcBorders>
              <w:top w:val="nil"/>
              <w:left w:val="nil"/>
              <w:bottom w:val="nil"/>
              <w:right w:val="nil"/>
            </w:tcBorders>
          </w:tcPr>
          <w:p w:rsidR="00A46DCA" w:rsidRPr="004477D1"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(2 249)</w:t>
            </w:r>
          </w:p>
        </w:tc>
        <w:tc>
          <w:tcPr>
            <w:tcW w:w="760" w:type="dxa"/>
            <w:tcBorders>
              <w:top w:val="nil"/>
              <w:left w:val="nil"/>
              <w:bottom w:val="nil"/>
              <w:right w:val="nil"/>
            </w:tcBorders>
          </w:tcPr>
          <w:p w:rsidR="00A46DCA" w:rsidRPr="004477D1"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(2 245)</w:t>
            </w:r>
          </w:p>
        </w:tc>
        <w:tc>
          <w:tcPr>
            <w:tcW w:w="760" w:type="dxa"/>
            <w:tcBorders>
              <w:top w:val="nil"/>
              <w:left w:val="nil"/>
              <w:bottom w:val="nil"/>
              <w:right w:val="nil"/>
            </w:tcBorders>
          </w:tcPr>
          <w:p w:rsidR="00A46DCA" w:rsidRPr="004477D1"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(2 267)</w:t>
            </w:r>
          </w:p>
        </w:tc>
        <w:tc>
          <w:tcPr>
            <w:tcW w:w="760" w:type="dxa"/>
            <w:tcBorders>
              <w:top w:val="nil"/>
              <w:left w:val="nil"/>
              <w:bottom w:val="nil"/>
              <w:right w:val="nil"/>
            </w:tcBorders>
          </w:tcPr>
          <w:p w:rsidR="00A46DCA" w:rsidRPr="004477D1"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(2 331)</w:t>
            </w:r>
          </w:p>
        </w:tc>
      </w:tr>
      <w:tr w:rsidR="00A46DCA" w:rsidRPr="004477D1" w:rsidTr="007A7C8C">
        <w:tc>
          <w:tcPr>
            <w:cnfStyle w:val="001000000000" w:firstRow="0" w:lastRow="0" w:firstColumn="1" w:lastColumn="0" w:oddVBand="0" w:evenVBand="0" w:oddHBand="0" w:evenHBand="0" w:firstRowFirstColumn="0" w:firstRowLastColumn="0" w:lastRowFirstColumn="0" w:lastRowLastColumn="0"/>
            <w:tcW w:w="3402" w:type="dxa"/>
            <w:tcBorders>
              <w:top w:val="nil"/>
              <w:left w:val="nil"/>
              <w:bottom w:val="nil"/>
              <w:right w:val="nil"/>
            </w:tcBorders>
          </w:tcPr>
          <w:p w:rsidR="00A46DCA" w:rsidRPr="004477D1" w:rsidRDefault="00A46DCA" w:rsidP="00A26D04">
            <w:pPr>
              <w:keepLines w:val="0"/>
              <w:autoSpaceDE w:val="0"/>
              <w:autoSpaceDN w:val="0"/>
              <w:adjustRightInd w:val="0"/>
              <w:rPr>
                <w:rFonts w:eastAsiaTheme="minorEastAsia" w:cs="Calibri"/>
                <w:color w:val="000000"/>
                <w:szCs w:val="16"/>
                <w:lang w:eastAsia="en-AU"/>
              </w:rPr>
            </w:pPr>
            <w:r w:rsidRPr="004477D1">
              <w:rPr>
                <w:rFonts w:eastAsiaTheme="minorEastAsia" w:cs="Calibri"/>
                <w:color w:val="000000"/>
                <w:szCs w:val="16"/>
                <w:lang w:eastAsia="en-AU"/>
              </w:rPr>
              <w:t>Grants and subsidies</w:t>
            </w:r>
          </w:p>
        </w:tc>
        <w:tc>
          <w:tcPr>
            <w:tcW w:w="567" w:type="dxa"/>
            <w:tcBorders>
              <w:top w:val="nil"/>
              <w:left w:val="nil"/>
              <w:bottom w:val="nil"/>
              <w:right w:val="nil"/>
            </w:tcBorders>
          </w:tcPr>
          <w:p w:rsidR="00A46DCA" w:rsidRPr="004477D1" w:rsidRDefault="00A46DCA" w:rsidP="00A26D04">
            <w:pPr>
              <w:keepLines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4477D1">
              <w:rPr>
                <w:rFonts w:eastAsiaTheme="minorEastAsia" w:cs="Calibri"/>
                <w:color w:val="000000"/>
                <w:lang w:eastAsia="en-AU"/>
              </w:rPr>
              <w:t xml:space="preserve"> </w:t>
            </w:r>
          </w:p>
        </w:tc>
        <w:tc>
          <w:tcPr>
            <w:tcW w:w="760" w:type="dxa"/>
            <w:tcBorders>
              <w:top w:val="nil"/>
              <w:left w:val="nil"/>
              <w:bottom w:val="nil"/>
              <w:right w:val="nil"/>
            </w:tcBorders>
          </w:tcPr>
          <w:p w:rsidR="00A46DCA" w:rsidRPr="004477D1"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(11 294)</w:t>
            </w:r>
          </w:p>
        </w:tc>
        <w:tc>
          <w:tcPr>
            <w:tcW w:w="760" w:type="dxa"/>
            <w:tcBorders>
              <w:top w:val="nil"/>
              <w:left w:val="nil"/>
              <w:bottom w:val="nil"/>
              <w:right w:val="nil"/>
            </w:tcBorders>
          </w:tcPr>
          <w:p w:rsidR="00A46DCA" w:rsidRPr="004477D1"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(10 753)</w:t>
            </w:r>
          </w:p>
        </w:tc>
        <w:tc>
          <w:tcPr>
            <w:tcW w:w="760" w:type="dxa"/>
            <w:tcBorders>
              <w:top w:val="nil"/>
              <w:left w:val="nil"/>
              <w:bottom w:val="nil"/>
              <w:right w:val="nil"/>
            </w:tcBorders>
          </w:tcPr>
          <w:p w:rsidR="00A46DCA" w:rsidRPr="004477D1"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(12 316)</w:t>
            </w:r>
          </w:p>
        </w:tc>
        <w:tc>
          <w:tcPr>
            <w:tcW w:w="760" w:type="dxa"/>
            <w:tcBorders>
              <w:top w:val="nil"/>
              <w:left w:val="nil"/>
              <w:bottom w:val="nil"/>
              <w:right w:val="nil"/>
            </w:tcBorders>
          </w:tcPr>
          <w:p w:rsidR="00A46DCA" w:rsidRPr="004477D1"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(13 132)</w:t>
            </w:r>
          </w:p>
        </w:tc>
        <w:tc>
          <w:tcPr>
            <w:tcW w:w="760" w:type="dxa"/>
            <w:tcBorders>
              <w:top w:val="nil"/>
              <w:left w:val="nil"/>
              <w:bottom w:val="nil"/>
              <w:right w:val="nil"/>
            </w:tcBorders>
          </w:tcPr>
          <w:p w:rsidR="00A46DCA" w:rsidRPr="004477D1"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(13 505)</w:t>
            </w:r>
          </w:p>
        </w:tc>
      </w:tr>
      <w:tr w:rsidR="00A46DCA" w:rsidRPr="004477D1" w:rsidTr="007A7C8C">
        <w:tc>
          <w:tcPr>
            <w:cnfStyle w:val="001000000000" w:firstRow="0" w:lastRow="0" w:firstColumn="1" w:lastColumn="0" w:oddVBand="0" w:evenVBand="0" w:oddHBand="0" w:evenHBand="0" w:firstRowFirstColumn="0" w:firstRowLastColumn="0" w:lastRowFirstColumn="0" w:lastRowLastColumn="0"/>
            <w:tcW w:w="3402" w:type="dxa"/>
            <w:tcBorders>
              <w:top w:val="nil"/>
              <w:left w:val="nil"/>
              <w:bottom w:val="nil"/>
              <w:right w:val="nil"/>
            </w:tcBorders>
          </w:tcPr>
          <w:p w:rsidR="00A46DCA" w:rsidRPr="004477D1" w:rsidRDefault="00A46DCA" w:rsidP="00A26D04">
            <w:pPr>
              <w:keepLines w:val="0"/>
              <w:autoSpaceDE w:val="0"/>
              <w:autoSpaceDN w:val="0"/>
              <w:adjustRightInd w:val="0"/>
              <w:rPr>
                <w:rFonts w:eastAsiaTheme="minorEastAsia" w:cs="Calibri"/>
                <w:color w:val="000000"/>
                <w:szCs w:val="16"/>
                <w:vertAlign w:val="superscript"/>
                <w:lang w:eastAsia="en-AU"/>
              </w:rPr>
            </w:pPr>
            <w:r w:rsidRPr="004477D1">
              <w:rPr>
                <w:rFonts w:eastAsiaTheme="minorEastAsia" w:cs="Calibri"/>
                <w:color w:val="000000"/>
                <w:szCs w:val="16"/>
                <w:lang w:eastAsia="en-AU"/>
              </w:rPr>
              <w:t xml:space="preserve">Goods and services </w:t>
            </w:r>
            <w:r w:rsidRPr="004477D1">
              <w:rPr>
                <w:rFonts w:eastAsiaTheme="minorEastAsia" w:cs="Calibri"/>
                <w:color w:val="000000"/>
                <w:szCs w:val="16"/>
                <w:vertAlign w:val="superscript"/>
                <w:lang w:eastAsia="en-AU"/>
              </w:rPr>
              <w:t>(a)</w:t>
            </w:r>
          </w:p>
        </w:tc>
        <w:tc>
          <w:tcPr>
            <w:tcW w:w="567" w:type="dxa"/>
            <w:tcBorders>
              <w:top w:val="nil"/>
              <w:left w:val="nil"/>
              <w:bottom w:val="nil"/>
              <w:right w:val="nil"/>
            </w:tcBorders>
          </w:tcPr>
          <w:p w:rsidR="00A46DCA" w:rsidRPr="004477D1" w:rsidRDefault="00A46DCA" w:rsidP="00A26D04">
            <w:pPr>
              <w:keepLines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4477D1">
              <w:rPr>
                <w:rFonts w:eastAsiaTheme="minorEastAsia" w:cs="Calibri"/>
                <w:color w:val="000000"/>
                <w:lang w:eastAsia="en-AU"/>
              </w:rPr>
              <w:t xml:space="preserve"> </w:t>
            </w:r>
          </w:p>
        </w:tc>
        <w:tc>
          <w:tcPr>
            <w:tcW w:w="760" w:type="dxa"/>
            <w:tcBorders>
              <w:top w:val="nil"/>
              <w:left w:val="nil"/>
              <w:bottom w:val="nil"/>
              <w:right w:val="nil"/>
            </w:tcBorders>
          </w:tcPr>
          <w:p w:rsidR="00A46DCA" w:rsidRPr="004477D1"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(20 005)</w:t>
            </w:r>
          </w:p>
        </w:tc>
        <w:tc>
          <w:tcPr>
            <w:tcW w:w="760" w:type="dxa"/>
            <w:tcBorders>
              <w:top w:val="nil"/>
              <w:left w:val="nil"/>
              <w:bottom w:val="nil"/>
              <w:right w:val="nil"/>
            </w:tcBorders>
          </w:tcPr>
          <w:p w:rsidR="00A46DCA" w:rsidRPr="004477D1"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(21 055)</w:t>
            </w:r>
          </w:p>
        </w:tc>
        <w:tc>
          <w:tcPr>
            <w:tcW w:w="760" w:type="dxa"/>
            <w:tcBorders>
              <w:top w:val="nil"/>
              <w:left w:val="nil"/>
              <w:bottom w:val="nil"/>
              <w:right w:val="nil"/>
            </w:tcBorders>
          </w:tcPr>
          <w:p w:rsidR="00A46DCA" w:rsidRPr="004477D1"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(20 638)</w:t>
            </w:r>
          </w:p>
        </w:tc>
        <w:tc>
          <w:tcPr>
            <w:tcW w:w="760" w:type="dxa"/>
            <w:tcBorders>
              <w:top w:val="nil"/>
              <w:left w:val="nil"/>
              <w:bottom w:val="nil"/>
              <w:right w:val="nil"/>
            </w:tcBorders>
          </w:tcPr>
          <w:p w:rsidR="00A46DCA" w:rsidRPr="004477D1"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(20 576)</w:t>
            </w:r>
          </w:p>
        </w:tc>
        <w:tc>
          <w:tcPr>
            <w:tcW w:w="760" w:type="dxa"/>
            <w:tcBorders>
              <w:top w:val="nil"/>
              <w:left w:val="nil"/>
              <w:bottom w:val="nil"/>
              <w:right w:val="nil"/>
            </w:tcBorders>
          </w:tcPr>
          <w:p w:rsidR="00A46DCA" w:rsidRPr="004477D1"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(21 012)</w:t>
            </w:r>
          </w:p>
        </w:tc>
      </w:tr>
      <w:tr w:rsidR="00A46DCA" w:rsidRPr="004477D1" w:rsidTr="007A7C8C">
        <w:tc>
          <w:tcPr>
            <w:cnfStyle w:val="001000000000" w:firstRow="0" w:lastRow="0" w:firstColumn="1" w:lastColumn="0" w:oddVBand="0" w:evenVBand="0" w:oddHBand="0" w:evenHBand="0" w:firstRowFirstColumn="0" w:firstRowLastColumn="0" w:lastRowFirstColumn="0" w:lastRowLastColumn="0"/>
            <w:tcW w:w="3402" w:type="dxa"/>
            <w:tcBorders>
              <w:top w:val="nil"/>
              <w:left w:val="nil"/>
              <w:bottom w:val="nil"/>
              <w:right w:val="nil"/>
            </w:tcBorders>
          </w:tcPr>
          <w:p w:rsidR="00A46DCA" w:rsidRPr="004477D1" w:rsidRDefault="00A46DCA" w:rsidP="00A26D04">
            <w:pPr>
              <w:keepLines w:val="0"/>
              <w:autoSpaceDE w:val="0"/>
              <w:autoSpaceDN w:val="0"/>
              <w:adjustRightInd w:val="0"/>
              <w:rPr>
                <w:rFonts w:eastAsiaTheme="minorEastAsia" w:cs="Calibri"/>
                <w:color w:val="000000"/>
                <w:szCs w:val="16"/>
                <w:lang w:eastAsia="en-AU"/>
              </w:rPr>
            </w:pPr>
            <w:r w:rsidRPr="004477D1">
              <w:rPr>
                <w:rFonts w:eastAsiaTheme="minorEastAsia" w:cs="Calibri"/>
                <w:color w:val="000000"/>
                <w:szCs w:val="16"/>
                <w:lang w:eastAsia="en-AU"/>
              </w:rPr>
              <w:t>Other payments</w:t>
            </w:r>
          </w:p>
        </w:tc>
        <w:tc>
          <w:tcPr>
            <w:tcW w:w="567" w:type="dxa"/>
            <w:tcBorders>
              <w:top w:val="nil"/>
              <w:left w:val="nil"/>
              <w:bottom w:val="nil"/>
              <w:right w:val="nil"/>
            </w:tcBorders>
          </w:tcPr>
          <w:p w:rsidR="00A46DCA" w:rsidRPr="004477D1" w:rsidRDefault="00A46DCA" w:rsidP="00A26D04">
            <w:pPr>
              <w:keepLines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4477D1">
              <w:rPr>
                <w:rFonts w:eastAsiaTheme="minorEastAsia" w:cs="Calibri"/>
                <w:color w:val="000000"/>
                <w:lang w:eastAsia="en-AU"/>
              </w:rPr>
              <w:t xml:space="preserve"> </w:t>
            </w:r>
          </w:p>
        </w:tc>
        <w:tc>
          <w:tcPr>
            <w:tcW w:w="760" w:type="dxa"/>
            <w:tcBorders>
              <w:top w:val="nil"/>
              <w:left w:val="nil"/>
              <w:bottom w:val="nil"/>
              <w:right w:val="nil"/>
            </w:tcBorders>
          </w:tcPr>
          <w:p w:rsidR="00A46DCA" w:rsidRPr="004477D1"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(732)</w:t>
            </w:r>
          </w:p>
        </w:tc>
        <w:tc>
          <w:tcPr>
            <w:tcW w:w="760" w:type="dxa"/>
            <w:tcBorders>
              <w:top w:val="nil"/>
              <w:left w:val="nil"/>
              <w:bottom w:val="nil"/>
              <w:right w:val="nil"/>
            </w:tcBorders>
          </w:tcPr>
          <w:p w:rsidR="00A46DCA" w:rsidRPr="004477D1"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(731)</w:t>
            </w:r>
          </w:p>
        </w:tc>
        <w:tc>
          <w:tcPr>
            <w:tcW w:w="760" w:type="dxa"/>
            <w:tcBorders>
              <w:top w:val="nil"/>
              <w:left w:val="nil"/>
              <w:bottom w:val="nil"/>
              <w:right w:val="nil"/>
            </w:tcBorders>
          </w:tcPr>
          <w:p w:rsidR="00A46DCA" w:rsidRPr="004477D1"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(748)</w:t>
            </w:r>
          </w:p>
        </w:tc>
        <w:tc>
          <w:tcPr>
            <w:tcW w:w="760" w:type="dxa"/>
            <w:tcBorders>
              <w:top w:val="nil"/>
              <w:left w:val="nil"/>
              <w:bottom w:val="nil"/>
              <w:right w:val="nil"/>
            </w:tcBorders>
          </w:tcPr>
          <w:p w:rsidR="00A46DCA" w:rsidRPr="004477D1"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(782)</w:t>
            </w:r>
          </w:p>
        </w:tc>
        <w:tc>
          <w:tcPr>
            <w:tcW w:w="760" w:type="dxa"/>
            <w:tcBorders>
              <w:top w:val="nil"/>
              <w:left w:val="nil"/>
              <w:bottom w:val="nil"/>
              <w:right w:val="nil"/>
            </w:tcBorders>
          </w:tcPr>
          <w:p w:rsidR="00A46DCA" w:rsidRPr="004477D1"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(823)</w:t>
            </w:r>
          </w:p>
        </w:tc>
      </w:tr>
      <w:tr w:rsidR="00A46DCA" w:rsidRPr="004477D1" w:rsidTr="007A7C8C">
        <w:tc>
          <w:tcPr>
            <w:cnfStyle w:val="001000000000" w:firstRow="0" w:lastRow="0" w:firstColumn="1" w:lastColumn="0" w:oddVBand="0" w:evenVBand="0" w:oddHBand="0" w:evenHBand="0" w:firstRowFirstColumn="0" w:firstRowLastColumn="0" w:lastRowFirstColumn="0" w:lastRowLastColumn="0"/>
            <w:tcW w:w="3402" w:type="dxa"/>
            <w:tcBorders>
              <w:top w:val="single" w:sz="6" w:space="0" w:color="000000"/>
              <w:left w:val="nil"/>
              <w:bottom w:val="single" w:sz="6" w:space="0" w:color="000000"/>
              <w:right w:val="nil"/>
            </w:tcBorders>
          </w:tcPr>
          <w:p w:rsidR="00A46DCA" w:rsidRPr="004477D1" w:rsidRDefault="00A46DCA" w:rsidP="00A26D04">
            <w:pPr>
              <w:keepLines w:val="0"/>
              <w:autoSpaceDE w:val="0"/>
              <w:autoSpaceDN w:val="0"/>
              <w:adjustRightInd w:val="0"/>
              <w:rPr>
                <w:rFonts w:eastAsiaTheme="minorEastAsia" w:cs="Calibri"/>
                <w:b/>
                <w:bCs/>
                <w:color w:val="000000"/>
                <w:szCs w:val="16"/>
                <w:lang w:eastAsia="en-AU"/>
              </w:rPr>
            </w:pPr>
            <w:r w:rsidRPr="004477D1">
              <w:rPr>
                <w:rFonts w:eastAsiaTheme="minorEastAsia" w:cs="Calibri"/>
                <w:b/>
                <w:bCs/>
                <w:color w:val="000000"/>
                <w:szCs w:val="16"/>
                <w:lang w:eastAsia="en-AU"/>
              </w:rPr>
              <w:t>Total payments</w:t>
            </w:r>
          </w:p>
        </w:tc>
        <w:tc>
          <w:tcPr>
            <w:tcW w:w="567" w:type="dxa"/>
            <w:tcBorders>
              <w:top w:val="single" w:sz="6" w:space="0" w:color="000000"/>
              <w:left w:val="nil"/>
              <w:bottom w:val="single" w:sz="6" w:space="0" w:color="000000"/>
              <w:right w:val="nil"/>
            </w:tcBorders>
          </w:tcPr>
          <w:p w:rsidR="00A46DCA" w:rsidRPr="004477D1" w:rsidRDefault="00A46DCA" w:rsidP="00A26D04">
            <w:pPr>
              <w:keepLines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bCs/>
                <w:color w:val="000000"/>
                <w:lang w:eastAsia="en-AU"/>
              </w:rPr>
            </w:pPr>
            <w:r w:rsidRPr="004477D1">
              <w:rPr>
                <w:rFonts w:eastAsiaTheme="minorEastAsia" w:cs="Calibri"/>
                <w:bCs/>
                <w:color w:val="000000"/>
                <w:lang w:eastAsia="en-AU"/>
              </w:rPr>
              <w:t xml:space="preserve"> </w:t>
            </w:r>
          </w:p>
        </w:tc>
        <w:tc>
          <w:tcPr>
            <w:tcW w:w="760" w:type="dxa"/>
            <w:tcBorders>
              <w:top w:val="single" w:sz="6" w:space="0" w:color="000000"/>
              <w:left w:val="nil"/>
              <w:bottom w:val="single" w:sz="6" w:space="0" w:color="000000"/>
              <w:right w:val="nil"/>
            </w:tcBorders>
          </w:tcPr>
          <w:p w:rsidR="00A46DCA" w:rsidRPr="004477D1"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Pr>
                <w:rFonts w:eastAsiaTheme="minorEastAsia" w:cs="Calibri"/>
                <w:b/>
                <w:bCs/>
                <w:color w:val="000000"/>
                <w:szCs w:val="16"/>
                <w:lang w:eastAsia="en-AU"/>
              </w:rPr>
              <w:t>(60 054)</w:t>
            </w:r>
          </w:p>
        </w:tc>
        <w:tc>
          <w:tcPr>
            <w:tcW w:w="760" w:type="dxa"/>
            <w:tcBorders>
              <w:top w:val="single" w:sz="6" w:space="0" w:color="000000"/>
              <w:left w:val="nil"/>
              <w:bottom w:val="single" w:sz="6" w:space="0" w:color="000000"/>
              <w:right w:val="nil"/>
            </w:tcBorders>
          </w:tcPr>
          <w:p w:rsidR="00A46DCA" w:rsidRPr="004477D1"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Pr>
                <w:rFonts w:eastAsiaTheme="minorEastAsia" w:cs="Calibri"/>
                <w:b/>
                <w:bCs/>
                <w:color w:val="000000"/>
                <w:szCs w:val="16"/>
                <w:lang w:eastAsia="en-AU"/>
              </w:rPr>
              <w:t>(60 766)</w:t>
            </w:r>
          </w:p>
        </w:tc>
        <w:tc>
          <w:tcPr>
            <w:tcW w:w="760" w:type="dxa"/>
            <w:tcBorders>
              <w:top w:val="single" w:sz="6" w:space="0" w:color="000000"/>
              <w:left w:val="nil"/>
              <w:bottom w:val="single" w:sz="6" w:space="0" w:color="000000"/>
              <w:right w:val="nil"/>
            </w:tcBorders>
          </w:tcPr>
          <w:p w:rsidR="00A46DCA" w:rsidRPr="004477D1"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Pr>
                <w:rFonts w:eastAsiaTheme="minorEastAsia" w:cs="Calibri"/>
                <w:b/>
                <w:bCs/>
                <w:color w:val="000000"/>
                <w:szCs w:val="16"/>
                <w:lang w:eastAsia="en-AU"/>
              </w:rPr>
              <w:t>(63 457)</w:t>
            </w:r>
          </w:p>
        </w:tc>
        <w:tc>
          <w:tcPr>
            <w:tcW w:w="760" w:type="dxa"/>
            <w:tcBorders>
              <w:top w:val="single" w:sz="6" w:space="0" w:color="000000"/>
              <w:left w:val="nil"/>
              <w:bottom w:val="single" w:sz="6" w:space="0" w:color="000000"/>
              <w:right w:val="nil"/>
            </w:tcBorders>
          </w:tcPr>
          <w:p w:rsidR="00A46DCA" w:rsidRPr="004477D1"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Pr>
                <w:rFonts w:eastAsiaTheme="minorEastAsia" w:cs="Calibri"/>
                <w:b/>
                <w:bCs/>
                <w:color w:val="000000"/>
                <w:szCs w:val="16"/>
                <w:lang w:eastAsia="en-AU"/>
              </w:rPr>
              <w:t>(64 903)</w:t>
            </w:r>
          </w:p>
        </w:tc>
        <w:tc>
          <w:tcPr>
            <w:tcW w:w="760" w:type="dxa"/>
            <w:tcBorders>
              <w:top w:val="single" w:sz="6" w:space="0" w:color="000000"/>
              <w:left w:val="nil"/>
              <w:bottom w:val="single" w:sz="6" w:space="0" w:color="000000"/>
              <w:right w:val="nil"/>
            </w:tcBorders>
          </w:tcPr>
          <w:p w:rsidR="00A46DCA" w:rsidRPr="004477D1"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Pr>
                <w:rFonts w:eastAsiaTheme="minorEastAsia" w:cs="Calibri"/>
                <w:b/>
                <w:bCs/>
                <w:color w:val="000000"/>
                <w:szCs w:val="16"/>
                <w:lang w:eastAsia="en-AU"/>
              </w:rPr>
              <w:t>(66 617)</w:t>
            </w:r>
          </w:p>
        </w:tc>
      </w:tr>
      <w:tr w:rsidR="00A46DCA" w:rsidRPr="004477D1" w:rsidTr="007A7C8C">
        <w:tc>
          <w:tcPr>
            <w:cnfStyle w:val="001000000000" w:firstRow="0" w:lastRow="0" w:firstColumn="1" w:lastColumn="0" w:oddVBand="0" w:evenVBand="0" w:oddHBand="0" w:evenHBand="0" w:firstRowFirstColumn="0" w:firstRowLastColumn="0" w:lastRowFirstColumn="0" w:lastRowLastColumn="0"/>
            <w:tcW w:w="3402" w:type="dxa"/>
            <w:tcBorders>
              <w:top w:val="nil"/>
              <w:left w:val="nil"/>
              <w:bottom w:val="nil"/>
              <w:right w:val="nil"/>
            </w:tcBorders>
          </w:tcPr>
          <w:p w:rsidR="00A46DCA" w:rsidRPr="004477D1" w:rsidRDefault="00A46DCA" w:rsidP="00A26D04">
            <w:pPr>
              <w:keepLines w:val="0"/>
              <w:autoSpaceDE w:val="0"/>
              <w:autoSpaceDN w:val="0"/>
              <w:adjustRightInd w:val="0"/>
              <w:rPr>
                <w:rFonts w:eastAsiaTheme="minorEastAsia" w:cs="Calibri"/>
                <w:b/>
                <w:bCs/>
                <w:color w:val="000000"/>
                <w:szCs w:val="16"/>
                <w:lang w:eastAsia="en-AU"/>
              </w:rPr>
            </w:pPr>
            <w:r w:rsidRPr="004477D1">
              <w:rPr>
                <w:rFonts w:eastAsiaTheme="minorEastAsia" w:cs="Calibri"/>
                <w:b/>
                <w:bCs/>
                <w:color w:val="000000"/>
                <w:szCs w:val="16"/>
                <w:lang w:eastAsia="en-AU"/>
              </w:rPr>
              <w:t>Net cash flows from operating activities</w:t>
            </w:r>
          </w:p>
        </w:tc>
        <w:tc>
          <w:tcPr>
            <w:tcW w:w="567" w:type="dxa"/>
            <w:tcBorders>
              <w:top w:val="nil"/>
              <w:left w:val="nil"/>
              <w:bottom w:val="nil"/>
              <w:right w:val="nil"/>
            </w:tcBorders>
          </w:tcPr>
          <w:p w:rsidR="00A46DCA" w:rsidRPr="004477D1" w:rsidRDefault="00A46DCA" w:rsidP="00A26D04">
            <w:pPr>
              <w:keepLines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bCs/>
                <w:color w:val="000000"/>
                <w:lang w:eastAsia="en-AU"/>
              </w:rPr>
            </w:pPr>
            <w:r w:rsidRPr="004477D1">
              <w:rPr>
                <w:rFonts w:eastAsiaTheme="minorEastAsia" w:cs="Calibri"/>
                <w:bCs/>
                <w:color w:val="000000"/>
                <w:lang w:eastAsia="en-AU"/>
              </w:rPr>
              <w:t xml:space="preserve"> </w:t>
            </w:r>
          </w:p>
        </w:tc>
        <w:tc>
          <w:tcPr>
            <w:tcW w:w="760" w:type="dxa"/>
            <w:tcBorders>
              <w:top w:val="nil"/>
              <w:left w:val="nil"/>
              <w:bottom w:val="nil"/>
              <w:right w:val="nil"/>
            </w:tcBorders>
          </w:tcPr>
          <w:p w:rsidR="00A46DCA" w:rsidRPr="004477D1"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4477D1">
              <w:rPr>
                <w:rFonts w:eastAsiaTheme="minorEastAsia" w:cs="Calibri"/>
                <w:b/>
                <w:bCs/>
                <w:color w:val="000000"/>
                <w:szCs w:val="16"/>
                <w:lang w:eastAsia="en-AU"/>
              </w:rPr>
              <w:t>3 601</w:t>
            </w:r>
          </w:p>
        </w:tc>
        <w:tc>
          <w:tcPr>
            <w:tcW w:w="760" w:type="dxa"/>
            <w:tcBorders>
              <w:top w:val="nil"/>
              <w:left w:val="nil"/>
              <w:bottom w:val="nil"/>
              <w:right w:val="nil"/>
            </w:tcBorders>
          </w:tcPr>
          <w:p w:rsidR="00A46DCA" w:rsidRPr="004477D1"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4477D1">
              <w:rPr>
                <w:rFonts w:eastAsiaTheme="minorEastAsia" w:cs="Calibri"/>
                <w:b/>
                <w:bCs/>
                <w:color w:val="000000"/>
                <w:szCs w:val="16"/>
                <w:lang w:eastAsia="en-AU"/>
              </w:rPr>
              <w:t>3 893</w:t>
            </w:r>
          </w:p>
        </w:tc>
        <w:tc>
          <w:tcPr>
            <w:tcW w:w="760" w:type="dxa"/>
            <w:tcBorders>
              <w:top w:val="nil"/>
              <w:left w:val="nil"/>
              <w:bottom w:val="nil"/>
              <w:right w:val="nil"/>
            </w:tcBorders>
          </w:tcPr>
          <w:p w:rsidR="00A46DCA" w:rsidRPr="004477D1"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4477D1">
              <w:rPr>
                <w:rFonts w:eastAsiaTheme="minorEastAsia" w:cs="Calibri"/>
                <w:b/>
                <w:bCs/>
                <w:color w:val="000000"/>
                <w:szCs w:val="16"/>
                <w:lang w:eastAsia="en-AU"/>
              </w:rPr>
              <w:t>5 961</w:t>
            </w:r>
          </w:p>
        </w:tc>
        <w:tc>
          <w:tcPr>
            <w:tcW w:w="760" w:type="dxa"/>
            <w:tcBorders>
              <w:top w:val="nil"/>
              <w:left w:val="nil"/>
              <w:bottom w:val="nil"/>
              <w:right w:val="nil"/>
            </w:tcBorders>
          </w:tcPr>
          <w:p w:rsidR="00A46DCA" w:rsidRPr="004477D1"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4477D1">
              <w:rPr>
                <w:rFonts w:eastAsiaTheme="minorEastAsia" w:cs="Calibri"/>
                <w:b/>
                <w:bCs/>
                <w:color w:val="000000"/>
                <w:szCs w:val="16"/>
                <w:lang w:eastAsia="en-AU"/>
              </w:rPr>
              <w:t>4 122</w:t>
            </w:r>
          </w:p>
        </w:tc>
        <w:tc>
          <w:tcPr>
            <w:tcW w:w="760" w:type="dxa"/>
            <w:tcBorders>
              <w:top w:val="nil"/>
              <w:left w:val="nil"/>
              <w:bottom w:val="nil"/>
              <w:right w:val="nil"/>
            </w:tcBorders>
          </w:tcPr>
          <w:p w:rsidR="00A46DCA" w:rsidRPr="004477D1"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4477D1">
              <w:rPr>
                <w:rFonts w:eastAsiaTheme="minorEastAsia" w:cs="Calibri"/>
                <w:b/>
                <w:bCs/>
                <w:color w:val="000000"/>
                <w:szCs w:val="16"/>
                <w:lang w:eastAsia="en-AU"/>
              </w:rPr>
              <w:t>4 771</w:t>
            </w:r>
          </w:p>
        </w:tc>
      </w:tr>
      <w:tr w:rsidR="00A46DCA" w:rsidRPr="004477D1" w:rsidTr="007A7C8C">
        <w:tc>
          <w:tcPr>
            <w:cnfStyle w:val="001000000000" w:firstRow="0" w:lastRow="0" w:firstColumn="1" w:lastColumn="0" w:oddVBand="0" w:evenVBand="0" w:oddHBand="0" w:evenHBand="0" w:firstRowFirstColumn="0" w:firstRowLastColumn="0" w:lastRowFirstColumn="0" w:lastRowLastColumn="0"/>
            <w:tcW w:w="3402" w:type="dxa"/>
            <w:tcBorders>
              <w:top w:val="nil"/>
              <w:left w:val="nil"/>
              <w:bottom w:val="nil"/>
              <w:right w:val="nil"/>
            </w:tcBorders>
          </w:tcPr>
          <w:p w:rsidR="00A46DCA" w:rsidRPr="004477D1" w:rsidRDefault="00A46DCA" w:rsidP="00A26D04">
            <w:pPr>
              <w:keepLines w:val="0"/>
              <w:autoSpaceDE w:val="0"/>
              <w:autoSpaceDN w:val="0"/>
              <w:adjustRightInd w:val="0"/>
              <w:rPr>
                <w:rFonts w:eastAsiaTheme="minorEastAsia" w:cs="Calibri"/>
                <w:b/>
                <w:bCs/>
                <w:color w:val="000000"/>
                <w:szCs w:val="16"/>
                <w:lang w:eastAsia="en-AU"/>
              </w:rPr>
            </w:pPr>
            <w:r w:rsidRPr="004477D1">
              <w:rPr>
                <w:rFonts w:eastAsiaTheme="minorEastAsia" w:cs="Calibri"/>
                <w:b/>
                <w:bCs/>
                <w:color w:val="000000"/>
                <w:szCs w:val="16"/>
                <w:lang w:eastAsia="en-AU"/>
              </w:rPr>
              <w:t>Cash flows from investing activities</w:t>
            </w:r>
          </w:p>
        </w:tc>
        <w:tc>
          <w:tcPr>
            <w:tcW w:w="567" w:type="dxa"/>
            <w:tcBorders>
              <w:top w:val="nil"/>
              <w:left w:val="nil"/>
              <w:bottom w:val="nil"/>
              <w:right w:val="nil"/>
            </w:tcBorders>
          </w:tcPr>
          <w:p w:rsidR="00A46DCA" w:rsidRPr="004477D1" w:rsidRDefault="00A46DCA" w:rsidP="00A26D04">
            <w:pPr>
              <w:keepLines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bCs/>
                <w:color w:val="000000"/>
                <w:lang w:eastAsia="en-AU"/>
              </w:rPr>
            </w:pPr>
            <w:r w:rsidRPr="004477D1">
              <w:rPr>
                <w:rFonts w:eastAsiaTheme="minorEastAsia" w:cs="Calibri"/>
                <w:bCs/>
                <w:color w:val="000000"/>
                <w:lang w:eastAsia="en-AU"/>
              </w:rPr>
              <w:t xml:space="preserve"> </w:t>
            </w:r>
          </w:p>
        </w:tc>
        <w:tc>
          <w:tcPr>
            <w:tcW w:w="760" w:type="dxa"/>
            <w:tcBorders>
              <w:top w:val="nil"/>
              <w:left w:val="nil"/>
              <w:bottom w:val="nil"/>
              <w:right w:val="nil"/>
            </w:tcBorders>
          </w:tcPr>
          <w:p w:rsidR="00A46DCA" w:rsidRPr="004477D1"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4477D1">
              <w:rPr>
                <w:rFonts w:eastAsiaTheme="minorEastAsia" w:cs="Calibri"/>
                <w:b/>
                <w:bCs/>
                <w:color w:val="000000"/>
                <w:lang w:eastAsia="en-AU"/>
              </w:rPr>
              <w:t xml:space="preserve"> </w:t>
            </w:r>
          </w:p>
        </w:tc>
        <w:tc>
          <w:tcPr>
            <w:tcW w:w="760" w:type="dxa"/>
            <w:tcBorders>
              <w:top w:val="nil"/>
              <w:left w:val="nil"/>
              <w:bottom w:val="nil"/>
              <w:right w:val="nil"/>
            </w:tcBorders>
          </w:tcPr>
          <w:p w:rsidR="00A46DCA" w:rsidRPr="004477D1"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4477D1">
              <w:rPr>
                <w:rFonts w:eastAsiaTheme="minorEastAsia" w:cs="Calibri"/>
                <w:b/>
                <w:bCs/>
                <w:color w:val="000000"/>
                <w:lang w:eastAsia="en-AU"/>
              </w:rPr>
              <w:t xml:space="preserve"> </w:t>
            </w:r>
          </w:p>
        </w:tc>
        <w:tc>
          <w:tcPr>
            <w:tcW w:w="760" w:type="dxa"/>
            <w:tcBorders>
              <w:top w:val="nil"/>
              <w:left w:val="nil"/>
              <w:bottom w:val="nil"/>
              <w:right w:val="nil"/>
            </w:tcBorders>
          </w:tcPr>
          <w:p w:rsidR="00A46DCA" w:rsidRPr="004477D1"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4477D1">
              <w:rPr>
                <w:rFonts w:eastAsiaTheme="minorEastAsia" w:cs="Calibri"/>
                <w:b/>
                <w:bCs/>
                <w:color w:val="000000"/>
                <w:lang w:eastAsia="en-AU"/>
              </w:rPr>
              <w:t xml:space="preserve"> </w:t>
            </w:r>
          </w:p>
        </w:tc>
        <w:tc>
          <w:tcPr>
            <w:tcW w:w="760" w:type="dxa"/>
            <w:tcBorders>
              <w:top w:val="nil"/>
              <w:left w:val="nil"/>
              <w:bottom w:val="nil"/>
              <w:right w:val="nil"/>
            </w:tcBorders>
          </w:tcPr>
          <w:p w:rsidR="00A46DCA" w:rsidRPr="004477D1"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4477D1">
              <w:rPr>
                <w:rFonts w:eastAsiaTheme="minorEastAsia" w:cs="Calibri"/>
                <w:b/>
                <w:bCs/>
                <w:color w:val="000000"/>
                <w:lang w:eastAsia="en-AU"/>
              </w:rPr>
              <w:t xml:space="preserve"> </w:t>
            </w:r>
          </w:p>
        </w:tc>
        <w:tc>
          <w:tcPr>
            <w:tcW w:w="760" w:type="dxa"/>
            <w:tcBorders>
              <w:top w:val="nil"/>
              <w:left w:val="nil"/>
              <w:bottom w:val="nil"/>
              <w:right w:val="nil"/>
            </w:tcBorders>
          </w:tcPr>
          <w:p w:rsidR="00A46DCA" w:rsidRPr="004477D1"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4477D1">
              <w:rPr>
                <w:rFonts w:eastAsiaTheme="minorEastAsia" w:cs="Calibri"/>
                <w:b/>
                <w:bCs/>
                <w:color w:val="000000"/>
                <w:lang w:eastAsia="en-AU"/>
              </w:rPr>
              <w:t xml:space="preserve"> </w:t>
            </w:r>
          </w:p>
        </w:tc>
      </w:tr>
      <w:tr w:rsidR="00A46DCA" w:rsidRPr="004477D1" w:rsidTr="007A7C8C">
        <w:tc>
          <w:tcPr>
            <w:cnfStyle w:val="001000000000" w:firstRow="0" w:lastRow="0" w:firstColumn="1" w:lastColumn="0" w:oddVBand="0" w:evenVBand="0" w:oddHBand="0" w:evenHBand="0" w:firstRowFirstColumn="0" w:firstRowLastColumn="0" w:lastRowFirstColumn="0" w:lastRowLastColumn="0"/>
            <w:tcW w:w="3402" w:type="dxa"/>
            <w:tcBorders>
              <w:top w:val="nil"/>
              <w:left w:val="nil"/>
              <w:bottom w:val="nil"/>
              <w:right w:val="nil"/>
            </w:tcBorders>
          </w:tcPr>
          <w:p w:rsidR="00A46DCA" w:rsidRPr="004477D1" w:rsidRDefault="00A46DCA" w:rsidP="00A26D04">
            <w:pPr>
              <w:keepLines w:val="0"/>
              <w:autoSpaceDE w:val="0"/>
              <w:autoSpaceDN w:val="0"/>
              <w:adjustRightInd w:val="0"/>
              <w:rPr>
                <w:rFonts w:eastAsiaTheme="minorEastAsia" w:cs="Calibri"/>
                <w:color w:val="000000"/>
                <w:szCs w:val="16"/>
                <w:lang w:eastAsia="en-AU"/>
              </w:rPr>
            </w:pPr>
            <w:r w:rsidRPr="004477D1">
              <w:rPr>
                <w:rFonts w:eastAsiaTheme="minorEastAsia" w:cs="Calibri"/>
                <w:color w:val="000000"/>
                <w:szCs w:val="16"/>
                <w:lang w:eastAsia="en-AU"/>
              </w:rPr>
              <w:t>Purchases of non-financial assets</w:t>
            </w:r>
          </w:p>
        </w:tc>
        <w:tc>
          <w:tcPr>
            <w:tcW w:w="567" w:type="dxa"/>
            <w:tcBorders>
              <w:top w:val="nil"/>
              <w:left w:val="nil"/>
              <w:bottom w:val="nil"/>
              <w:right w:val="nil"/>
            </w:tcBorders>
          </w:tcPr>
          <w:p w:rsidR="00A46DCA" w:rsidRPr="004477D1" w:rsidRDefault="00A46DCA" w:rsidP="00A26D04">
            <w:pPr>
              <w:keepLines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4477D1">
              <w:rPr>
                <w:rFonts w:eastAsiaTheme="minorEastAsia" w:cs="Calibri"/>
                <w:color w:val="000000"/>
                <w:lang w:eastAsia="en-AU"/>
              </w:rPr>
              <w:t>4.3.6</w:t>
            </w:r>
          </w:p>
        </w:tc>
        <w:tc>
          <w:tcPr>
            <w:tcW w:w="760" w:type="dxa"/>
            <w:tcBorders>
              <w:top w:val="nil"/>
              <w:left w:val="nil"/>
              <w:bottom w:val="nil"/>
              <w:right w:val="nil"/>
            </w:tcBorders>
          </w:tcPr>
          <w:p w:rsidR="00A46DCA" w:rsidRPr="004477D1"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(8 780)</w:t>
            </w:r>
          </w:p>
        </w:tc>
        <w:tc>
          <w:tcPr>
            <w:tcW w:w="760" w:type="dxa"/>
            <w:tcBorders>
              <w:top w:val="nil"/>
              <w:left w:val="nil"/>
              <w:bottom w:val="nil"/>
              <w:right w:val="nil"/>
            </w:tcBorders>
          </w:tcPr>
          <w:p w:rsidR="00A46DCA" w:rsidRPr="004477D1"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(9 289)</w:t>
            </w:r>
          </w:p>
        </w:tc>
        <w:tc>
          <w:tcPr>
            <w:tcW w:w="760" w:type="dxa"/>
            <w:tcBorders>
              <w:top w:val="nil"/>
              <w:left w:val="nil"/>
              <w:bottom w:val="nil"/>
              <w:right w:val="nil"/>
            </w:tcBorders>
          </w:tcPr>
          <w:p w:rsidR="00A46DCA" w:rsidRPr="004477D1"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(8 602)</w:t>
            </w:r>
          </w:p>
        </w:tc>
        <w:tc>
          <w:tcPr>
            <w:tcW w:w="760" w:type="dxa"/>
            <w:tcBorders>
              <w:top w:val="nil"/>
              <w:left w:val="nil"/>
              <w:bottom w:val="nil"/>
              <w:right w:val="nil"/>
            </w:tcBorders>
          </w:tcPr>
          <w:p w:rsidR="00A46DCA" w:rsidRPr="004477D1"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(7 180)</w:t>
            </w:r>
          </w:p>
        </w:tc>
        <w:tc>
          <w:tcPr>
            <w:tcW w:w="760" w:type="dxa"/>
            <w:tcBorders>
              <w:top w:val="nil"/>
              <w:left w:val="nil"/>
              <w:bottom w:val="nil"/>
              <w:right w:val="nil"/>
            </w:tcBorders>
          </w:tcPr>
          <w:p w:rsidR="00A46DCA" w:rsidRPr="004477D1"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(7 656)</w:t>
            </w:r>
          </w:p>
        </w:tc>
      </w:tr>
      <w:tr w:rsidR="00A46DCA" w:rsidRPr="004477D1" w:rsidTr="007A7C8C">
        <w:tc>
          <w:tcPr>
            <w:cnfStyle w:val="001000000000" w:firstRow="0" w:lastRow="0" w:firstColumn="1" w:lastColumn="0" w:oddVBand="0" w:evenVBand="0" w:oddHBand="0" w:evenHBand="0" w:firstRowFirstColumn="0" w:firstRowLastColumn="0" w:lastRowFirstColumn="0" w:lastRowLastColumn="0"/>
            <w:tcW w:w="3402" w:type="dxa"/>
            <w:tcBorders>
              <w:top w:val="nil"/>
              <w:left w:val="nil"/>
              <w:bottom w:val="single" w:sz="6" w:space="0" w:color="000000"/>
              <w:right w:val="nil"/>
            </w:tcBorders>
          </w:tcPr>
          <w:p w:rsidR="00A46DCA" w:rsidRPr="004477D1" w:rsidRDefault="00A46DCA" w:rsidP="00A26D04">
            <w:pPr>
              <w:keepLines w:val="0"/>
              <w:autoSpaceDE w:val="0"/>
              <w:autoSpaceDN w:val="0"/>
              <w:adjustRightInd w:val="0"/>
              <w:rPr>
                <w:rFonts w:eastAsiaTheme="minorEastAsia" w:cs="Calibri"/>
                <w:color w:val="000000"/>
                <w:szCs w:val="16"/>
                <w:lang w:eastAsia="en-AU"/>
              </w:rPr>
            </w:pPr>
            <w:r w:rsidRPr="004477D1">
              <w:rPr>
                <w:rFonts w:eastAsiaTheme="minorEastAsia" w:cs="Calibri"/>
                <w:color w:val="000000"/>
                <w:szCs w:val="16"/>
                <w:lang w:eastAsia="en-AU"/>
              </w:rPr>
              <w:t>Sales of non-financial assets</w:t>
            </w:r>
          </w:p>
        </w:tc>
        <w:tc>
          <w:tcPr>
            <w:tcW w:w="567" w:type="dxa"/>
            <w:tcBorders>
              <w:top w:val="nil"/>
              <w:left w:val="nil"/>
              <w:bottom w:val="single" w:sz="6" w:space="0" w:color="000000"/>
              <w:right w:val="nil"/>
            </w:tcBorders>
          </w:tcPr>
          <w:p w:rsidR="00A46DCA" w:rsidRPr="004477D1" w:rsidRDefault="00A46DCA" w:rsidP="00A26D04">
            <w:pPr>
              <w:keepLines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4477D1">
              <w:rPr>
                <w:rFonts w:eastAsiaTheme="minorEastAsia" w:cs="Calibri"/>
                <w:color w:val="000000"/>
                <w:lang w:eastAsia="en-AU"/>
              </w:rPr>
              <w:t xml:space="preserve"> </w:t>
            </w:r>
          </w:p>
        </w:tc>
        <w:tc>
          <w:tcPr>
            <w:tcW w:w="760" w:type="dxa"/>
            <w:tcBorders>
              <w:top w:val="nil"/>
              <w:left w:val="nil"/>
              <w:bottom w:val="single" w:sz="6" w:space="0" w:color="000000"/>
              <w:right w:val="nil"/>
            </w:tcBorders>
          </w:tcPr>
          <w:p w:rsidR="00A46DCA" w:rsidRPr="004477D1"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503</w:t>
            </w:r>
          </w:p>
        </w:tc>
        <w:tc>
          <w:tcPr>
            <w:tcW w:w="760" w:type="dxa"/>
            <w:tcBorders>
              <w:top w:val="nil"/>
              <w:left w:val="nil"/>
              <w:bottom w:val="single" w:sz="6" w:space="0" w:color="000000"/>
              <w:right w:val="nil"/>
            </w:tcBorders>
          </w:tcPr>
          <w:p w:rsidR="00A46DCA" w:rsidRPr="004477D1"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532</w:t>
            </w:r>
          </w:p>
        </w:tc>
        <w:tc>
          <w:tcPr>
            <w:tcW w:w="760" w:type="dxa"/>
            <w:tcBorders>
              <w:top w:val="nil"/>
              <w:left w:val="nil"/>
              <w:bottom w:val="single" w:sz="6" w:space="0" w:color="000000"/>
              <w:right w:val="nil"/>
            </w:tcBorders>
          </w:tcPr>
          <w:p w:rsidR="00A46DCA" w:rsidRPr="004477D1"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789</w:t>
            </w:r>
          </w:p>
        </w:tc>
        <w:tc>
          <w:tcPr>
            <w:tcW w:w="760" w:type="dxa"/>
            <w:tcBorders>
              <w:top w:val="nil"/>
              <w:left w:val="nil"/>
              <w:bottom w:val="single" w:sz="6" w:space="0" w:color="000000"/>
              <w:right w:val="nil"/>
            </w:tcBorders>
          </w:tcPr>
          <w:p w:rsidR="00A46DCA" w:rsidRPr="004477D1"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506</w:t>
            </w:r>
          </w:p>
        </w:tc>
        <w:tc>
          <w:tcPr>
            <w:tcW w:w="760" w:type="dxa"/>
            <w:tcBorders>
              <w:top w:val="nil"/>
              <w:left w:val="nil"/>
              <w:bottom w:val="single" w:sz="6" w:space="0" w:color="000000"/>
              <w:right w:val="nil"/>
            </w:tcBorders>
          </w:tcPr>
          <w:p w:rsidR="00A46DCA" w:rsidRPr="004477D1"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536</w:t>
            </w:r>
          </w:p>
        </w:tc>
      </w:tr>
      <w:tr w:rsidR="00A46DCA" w:rsidRPr="004477D1" w:rsidTr="007A7C8C">
        <w:tc>
          <w:tcPr>
            <w:cnfStyle w:val="001000000000" w:firstRow="0" w:lastRow="0" w:firstColumn="1" w:lastColumn="0" w:oddVBand="0" w:evenVBand="0" w:oddHBand="0" w:evenHBand="0" w:firstRowFirstColumn="0" w:firstRowLastColumn="0" w:lastRowFirstColumn="0" w:lastRowLastColumn="0"/>
            <w:tcW w:w="3402" w:type="dxa"/>
            <w:tcBorders>
              <w:top w:val="nil"/>
              <w:left w:val="nil"/>
              <w:bottom w:val="nil"/>
              <w:right w:val="nil"/>
            </w:tcBorders>
          </w:tcPr>
          <w:p w:rsidR="00A46DCA" w:rsidRPr="004477D1" w:rsidRDefault="00A46DCA" w:rsidP="00A26D04">
            <w:pPr>
              <w:keepLines w:val="0"/>
              <w:autoSpaceDE w:val="0"/>
              <w:autoSpaceDN w:val="0"/>
              <w:adjustRightInd w:val="0"/>
              <w:rPr>
                <w:rFonts w:eastAsiaTheme="minorEastAsia" w:cs="Calibri"/>
                <w:color w:val="000000"/>
                <w:szCs w:val="16"/>
                <w:lang w:eastAsia="en-AU"/>
              </w:rPr>
            </w:pPr>
            <w:r w:rsidRPr="004477D1">
              <w:rPr>
                <w:rFonts w:eastAsiaTheme="minorEastAsia" w:cs="Calibri"/>
                <w:color w:val="000000"/>
                <w:szCs w:val="16"/>
                <w:lang w:eastAsia="en-AU"/>
              </w:rPr>
              <w:t xml:space="preserve">Cash flows from investments in </w:t>
            </w:r>
            <w:r>
              <w:rPr>
                <w:rFonts w:eastAsiaTheme="minorEastAsia" w:cs="Calibri"/>
                <w:color w:val="000000"/>
                <w:szCs w:val="16"/>
                <w:lang w:eastAsia="en-AU"/>
              </w:rPr>
              <w:br/>
            </w:r>
            <w:r w:rsidRPr="004477D1">
              <w:rPr>
                <w:rFonts w:eastAsiaTheme="minorEastAsia" w:cs="Calibri"/>
                <w:color w:val="000000"/>
                <w:szCs w:val="16"/>
                <w:lang w:eastAsia="en-AU"/>
              </w:rPr>
              <w:t>non-financial assets</w:t>
            </w:r>
          </w:p>
        </w:tc>
        <w:tc>
          <w:tcPr>
            <w:tcW w:w="567" w:type="dxa"/>
            <w:tcBorders>
              <w:top w:val="nil"/>
              <w:left w:val="nil"/>
              <w:bottom w:val="nil"/>
              <w:right w:val="nil"/>
            </w:tcBorders>
          </w:tcPr>
          <w:p w:rsidR="00A46DCA" w:rsidRPr="004477D1" w:rsidRDefault="00A46DCA" w:rsidP="00A26D04">
            <w:pPr>
              <w:keepLines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4477D1">
              <w:rPr>
                <w:rFonts w:eastAsiaTheme="minorEastAsia" w:cs="Calibri"/>
                <w:color w:val="000000"/>
                <w:lang w:eastAsia="en-AU"/>
              </w:rPr>
              <w:t xml:space="preserve"> </w:t>
            </w:r>
          </w:p>
        </w:tc>
        <w:tc>
          <w:tcPr>
            <w:tcW w:w="760" w:type="dxa"/>
            <w:tcBorders>
              <w:top w:val="nil"/>
              <w:left w:val="nil"/>
              <w:bottom w:val="nil"/>
              <w:right w:val="nil"/>
            </w:tcBorders>
          </w:tcPr>
          <w:p w:rsidR="00A46DCA" w:rsidRPr="004477D1"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(8 277)</w:t>
            </w:r>
          </w:p>
        </w:tc>
        <w:tc>
          <w:tcPr>
            <w:tcW w:w="760" w:type="dxa"/>
            <w:tcBorders>
              <w:top w:val="nil"/>
              <w:left w:val="nil"/>
              <w:bottom w:val="nil"/>
              <w:right w:val="nil"/>
            </w:tcBorders>
          </w:tcPr>
          <w:p w:rsidR="00A46DCA" w:rsidRPr="004477D1"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(8 757)</w:t>
            </w:r>
          </w:p>
        </w:tc>
        <w:tc>
          <w:tcPr>
            <w:tcW w:w="760" w:type="dxa"/>
            <w:tcBorders>
              <w:top w:val="nil"/>
              <w:left w:val="nil"/>
              <w:bottom w:val="nil"/>
              <w:right w:val="nil"/>
            </w:tcBorders>
          </w:tcPr>
          <w:p w:rsidR="00A46DCA" w:rsidRPr="004477D1"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(7 813)</w:t>
            </w:r>
          </w:p>
        </w:tc>
        <w:tc>
          <w:tcPr>
            <w:tcW w:w="760" w:type="dxa"/>
            <w:tcBorders>
              <w:top w:val="nil"/>
              <w:left w:val="nil"/>
              <w:bottom w:val="nil"/>
              <w:right w:val="nil"/>
            </w:tcBorders>
          </w:tcPr>
          <w:p w:rsidR="00A46DCA" w:rsidRPr="004477D1"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(6 675)</w:t>
            </w:r>
          </w:p>
        </w:tc>
        <w:tc>
          <w:tcPr>
            <w:tcW w:w="760" w:type="dxa"/>
            <w:tcBorders>
              <w:top w:val="nil"/>
              <w:left w:val="nil"/>
              <w:bottom w:val="nil"/>
              <w:right w:val="nil"/>
            </w:tcBorders>
          </w:tcPr>
          <w:p w:rsidR="00A46DCA" w:rsidRPr="004477D1"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(7 120)</w:t>
            </w:r>
          </w:p>
        </w:tc>
      </w:tr>
      <w:tr w:rsidR="00A46DCA" w:rsidRPr="004477D1" w:rsidTr="007A7C8C">
        <w:tc>
          <w:tcPr>
            <w:cnfStyle w:val="001000000000" w:firstRow="0" w:lastRow="0" w:firstColumn="1" w:lastColumn="0" w:oddVBand="0" w:evenVBand="0" w:oddHBand="0" w:evenHBand="0" w:firstRowFirstColumn="0" w:firstRowLastColumn="0" w:lastRowFirstColumn="0" w:lastRowLastColumn="0"/>
            <w:tcW w:w="3402" w:type="dxa"/>
            <w:tcBorders>
              <w:top w:val="nil"/>
              <w:left w:val="nil"/>
              <w:bottom w:val="single" w:sz="6" w:space="0" w:color="000000"/>
              <w:right w:val="nil"/>
            </w:tcBorders>
          </w:tcPr>
          <w:p w:rsidR="00A46DCA" w:rsidRPr="004477D1" w:rsidRDefault="00A46DCA" w:rsidP="00A26D04">
            <w:pPr>
              <w:keepLines w:val="0"/>
              <w:autoSpaceDE w:val="0"/>
              <w:autoSpaceDN w:val="0"/>
              <w:adjustRightInd w:val="0"/>
              <w:rPr>
                <w:rFonts w:eastAsiaTheme="minorEastAsia" w:cs="Calibri"/>
                <w:color w:val="000000"/>
                <w:szCs w:val="16"/>
                <w:vertAlign w:val="superscript"/>
                <w:lang w:eastAsia="en-AU"/>
              </w:rPr>
            </w:pPr>
            <w:r w:rsidRPr="004477D1">
              <w:rPr>
                <w:rFonts w:eastAsiaTheme="minorEastAsia" w:cs="Calibri"/>
                <w:color w:val="000000"/>
                <w:szCs w:val="16"/>
                <w:lang w:eastAsia="en-AU"/>
              </w:rPr>
              <w:t xml:space="preserve">Net cash flows from investments in financial assets for policy purposes </w:t>
            </w:r>
            <w:r w:rsidRPr="004477D1">
              <w:rPr>
                <w:rFonts w:eastAsiaTheme="minorEastAsia" w:cs="Calibri"/>
                <w:color w:val="000000"/>
                <w:szCs w:val="16"/>
                <w:vertAlign w:val="superscript"/>
                <w:lang w:eastAsia="en-AU"/>
              </w:rPr>
              <w:t>(b)</w:t>
            </w:r>
          </w:p>
        </w:tc>
        <w:tc>
          <w:tcPr>
            <w:tcW w:w="567" w:type="dxa"/>
            <w:tcBorders>
              <w:top w:val="nil"/>
              <w:left w:val="nil"/>
              <w:bottom w:val="single" w:sz="6" w:space="0" w:color="000000"/>
              <w:right w:val="nil"/>
            </w:tcBorders>
          </w:tcPr>
          <w:p w:rsidR="00A46DCA" w:rsidRPr="004477D1" w:rsidRDefault="00A46DCA" w:rsidP="00A26D04">
            <w:pPr>
              <w:keepLines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4477D1">
              <w:rPr>
                <w:rFonts w:eastAsiaTheme="minorEastAsia" w:cs="Calibri"/>
                <w:color w:val="000000"/>
                <w:lang w:eastAsia="en-AU"/>
              </w:rPr>
              <w:t xml:space="preserve"> </w:t>
            </w:r>
          </w:p>
        </w:tc>
        <w:tc>
          <w:tcPr>
            <w:tcW w:w="760" w:type="dxa"/>
            <w:tcBorders>
              <w:top w:val="nil"/>
              <w:left w:val="nil"/>
              <w:bottom w:val="single" w:sz="6" w:space="0" w:color="000000"/>
              <w:right w:val="nil"/>
            </w:tcBorders>
          </w:tcPr>
          <w:p w:rsidR="00A46DCA" w:rsidRPr="004477D1"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4477D1">
              <w:rPr>
                <w:rFonts w:eastAsiaTheme="minorEastAsia" w:cs="Calibri"/>
                <w:color w:val="000000"/>
                <w:szCs w:val="16"/>
                <w:lang w:eastAsia="en-AU"/>
              </w:rPr>
              <w:t>2 348</w:t>
            </w:r>
          </w:p>
        </w:tc>
        <w:tc>
          <w:tcPr>
            <w:tcW w:w="760" w:type="dxa"/>
            <w:tcBorders>
              <w:top w:val="nil"/>
              <w:left w:val="nil"/>
              <w:bottom w:val="single" w:sz="6" w:space="0" w:color="000000"/>
              <w:right w:val="nil"/>
            </w:tcBorders>
          </w:tcPr>
          <w:p w:rsidR="00A46DCA" w:rsidRPr="004477D1"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4477D1">
              <w:rPr>
                <w:rFonts w:eastAsiaTheme="minorEastAsia" w:cs="Calibri"/>
                <w:color w:val="000000"/>
                <w:szCs w:val="16"/>
                <w:lang w:eastAsia="en-AU"/>
              </w:rPr>
              <w:t>2 593</w:t>
            </w:r>
          </w:p>
        </w:tc>
        <w:tc>
          <w:tcPr>
            <w:tcW w:w="760" w:type="dxa"/>
            <w:tcBorders>
              <w:top w:val="nil"/>
              <w:left w:val="nil"/>
              <w:bottom w:val="single" w:sz="6" w:space="0" w:color="000000"/>
              <w:right w:val="nil"/>
            </w:tcBorders>
          </w:tcPr>
          <w:p w:rsidR="00A46DCA" w:rsidRPr="004477D1"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4477D1">
              <w:rPr>
                <w:rFonts w:eastAsiaTheme="minorEastAsia" w:cs="Calibri"/>
                <w:color w:val="000000"/>
                <w:szCs w:val="16"/>
                <w:lang w:eastAsia="en-AU"/>
              </w:rPr>
              <w:t>1 969</w:t>
            </w:r>
          </w:p>
        </w:tc>
        <w:tc>
          <w:tcPr>
            <w:tcW w:w="760" w:type="dxa"/>
            <w:tcBorders>
              <w:top w:val="nil"/>
              <w:left w:val="nil"/>
              <w:bottom w:val="single" w:sz="6" w:space="0" w:color="000000"/>
              <w:right w:val="nil"/>
            </w:tcBorders>
          </w:tcPr>
          <w:p w:rsidR="00A46DCA" w:rsidRPr="004477D1"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4477D1">
              <w:rPr>
                <w:rFonts w:eastAsiaTheme="minorEastAsia" w:cs="Calibri"/>
                <w:color w:val="000000"/>
                <w:szCs w:val="16"/>
                <w:lang w:eastAsia="en-AU"/>
              </w:rPr>
              <w:t>1 975</w:t>
            </w:r>
          </w:p>
        </w:tc>
        <w:tc>
          <w:tcPr>
            <w:tcW w:w="760" w:type="dxa"/>
            <w:tcBorders>
              <w:top w:val="nil"/>
              <w:left w:val="nil"/>
              <w:bottom w:val="single" w:sz="6" w:space="0" w:color="000000"/>
              <w:right w:val="nil"/>
            </w:tcBorders>
          </w:tcPr>
          <w:p w:rsidR="00A46DCA" w:rsidRPr="004477D1"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4477D1">
              <w:rPr>
                <w:rFonts w:eastAsiaTheme="minorEastAsia" w:cs="Calibri"/>
                <w:color w:val="000000"/>
                <w:szCs w:val="16"/>
                <w:lang w:eastAsia="en-AU"/>
              </w:rPr>
              <w:t>2 851</w:t>
            </w:r>
          </w:p>
        </w:tc>
      </w:tr>
      <w:tr w:rsidR="00A46DCA" w:rsidRPr="004477D1" w:rsidTr="007A7C8C">
        <w:tc>
          <w:tcPr>
            <w:cnfStyle w:val="001000000000" w:firstRow="0" w:lastRow="0" w:firstColumn="1" w:lastColumn="0" w:oddVBand="0" w:evenVBand="0" w:oddHBand="0" w:evenHBand="0" w:firstRowFirstColumn="0" w:firstRowLastColumn="0" w:lastRowFirstColumn="0" w:lastRowLastColumn="0"/>
            <w:tcW w:w="3402" w:type="dxa"/>
            <w:tcBorders>
              <w:top w:val="nil"/>
              <w:left w:val="nil"/>
              <w:bottom w:val="nil"/>
              <w:right w:val="nil"/>
            </w:tcBorders>
          </w:tcPr>
          <w:p w:rsidR="00A46DCA" w:rsidRPr="004477D1" w:rsidRDefault="00A46DCA" w:rsidP="00A26D04">
            <w:pPr>
              <w:keepLines w:val="0"/>
              <w:autoSpaceDE w:val="0"/>
              <w:autoSpaceDN w:val="0"/>
              <w:adjustRightInd w:val="0"/>
              <w:rPr>
                <w:rFonts w:eastAsiaTheme="minorEastAsia" w:cs="Calibri"/>
                <w:b/>
                <w:bCs/>
                <w:color w:val="000000"/>
                <w:szCs w:val="16"/>
                <w:lang w:eastAsia="en-AU"/>
              </w:rPr>
            </w:pPr>
            <w:r w:rsidRPr="004477D1">
              <w:rPr>
                <w:rFonts w:eastAsiaTheme="minorEastAsia" w:cs="Calibri"/>
                <w:b/>
                <w:bCs/>
                <w:color w:val="000000"/>
                <w:szCs w:val="16"/>
                <w:lang w:eastAsia="en-AU"/>
              </w:rPr>
              <w:t>Subtotal</w:t>
            </w:r>
          </w:p>
        </w:tc>
        <w:tc>
          <w:tcPr>
            <w:tcW w:w="567" w:type="dxa"/>
            <w:tcBorders>
              <w:top w:val="nil"/>
              <w:left w:val="nil"/>
              <w:bottom w:val="nil"/>
              <w:right w:val="nil"/>
            </w:tcBorders>
          </w:tcPr>
          <w:p w:rsidR="00A46DCA" w:rsidRPr="004477D1" w:rsidRDefault="00A46DCA" w:rsidP="00A26D04">
            <w:pPr>
              <w:keepLines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bCs/>
                <w:color w:val="000000"/>
                <w:lang w:eastAsia="en-AU"/>
              </w:rPr>
            </w:pPr>
            <w:r w:rsidRPr="004477D1">
              <w:rPr>
                <w:rFonts w:eastAsiaTheme="minorEastAsia" w:cs="Calibri"/>
                <w:bCs/>
                <w:color w:val="000000"/>
                <w:lang w:eastAsia="en-AU"/>
              </w:rPr>
              <w:t xml:space="preserve"> </w:t>
            </w:r>
          </w:p>
        </w:tc>
        <w:tc>
          <w:tcPr>
            <w:tcW w:w="760" w:type="dxa"/>
            <w:tcBorders>
              <w:top w:val="nil"/>
              <w:left w:val="nil"/>
              <w:bottom w:val="nil"/>
              <w:right w:val="nil"/>
            </w:tcBorders>
          </w:tcPr>
          <w:p w:rsidR="00A46DCA" w:rsidRPr="004477D1"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Pr>
                <w:rFonts w:eastAsiaTheme="minorEastAsia" w:cs="Calibri"/>
                <w:b/>
                <w:bCs/>
                <w:color w:val="000000"/>
                <w:szCs w:val="16"/>
                <w:lang w:eastAsia="en-AU"/>
              </w:rPr>
              <w:t>(5 930)</w:t>
            </w:r>
          </w:p>
        </w:tc>
        <w:tc>
          <w:tcPr>
            <w:tcW w:w="760" w:type="dxa"/>
            <w:tcBorders>
              <w:top w:val="nil"/>
              <w:left w:val="nil"/>
              <w:bottom w:val="nil"/>
              <w:right w:val="nil"/>
            </w:tcBorders>
          </w:tcPr>
          <w:p w:rsidR="00A46DCA" w:rsidRPr="004477D1"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Pr>
                <w:rFonts w:eastAsiaTheme="minorEastAsia" w:cs="Calibri"/>
                <w:b/>
                <w:bCs/>
                <w:color w:val="000000"/>
                <w:szCs w:val="16"/>
                <w:lang w:eastAsia="en-AU"/>
              </w:rPr>
              <w:t>(6 165)</w:t>
            </w:r>
          </w:p>
        </w:tc>
        <w:tc>
          <w:tcPr>
            <w:tcW w:w="760" w:type="dxa"/>
            <w:tcBorders>
              <w:top w:val="nil"/>
              <w:left w:val="nil"/>
              <w:bottom w:val="nil"/>
              <w:right w:val="nil"/>
            </w:tcBorders>
          </w:tcPr>
          <w:p w:rsidR="00A46DCA" w:rsidRPr="004477D1"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Pr>
                <w:rFonts w:eastAsiaTheme="minorEastAsia" w:cs="Calibri"/>
                <w:b/>
                <w:bCs/>
                <w:color w:val="000000"/>
                <w:szCs w:val="16"/>
                <w:lang w:eastAsia="en-AU"/>
              </w:rPr>
              <w:t>(5 844)</w:t>
            </w:r>
          </w:p>
        </w:tc>
        <w:tc>
          <w:tcPr>
            <w:tcW w:w="760" w:type="dxa"/>
            <w:tcBorders>
              <w:top w:val="nil"/>
              <w:left w:val="nil"/>
              <w:bottom w:val="nil"/>
              <w:right w:val="nil"/>
            </w:tcBorders>
          </w:tcPr>
          <w:p w:rsidR="00A46DCA" w:rsidRPr="004477D1"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Pr>
                <w:rFonts w:eastAsiaTheme="minorEastAsia" w:cs="Calibri"/>
                <w:b/>
                <w:bCs/>
                <w:color w:val="000000"/>
                <w:szCs w:val="16"/>
                <w:lang w:eastAsia="en-AU"/>
              </w:rPr>
              <w:t>(4 699)</w:t>
            </w:r>
          </w:p>
        </w:tc>
        <w:tc>
          <w:tcPr>
            <w:tcW w:w="760" w:type="dxa"/>
            <w:tcBorders>
              <w:top w:val="nil"/>
              <w:left w:val="nil"/>
              <w:bottom w:val="nil"/>
              <w:right w:val="nil"/>
            </w:tcBorders>
          </w:tcPr>
          <w:p w:rsidR="00A46DCA" w:rsidRPr="004477D1"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Pr>
                <w:rFonts w:eastAsiaTheme="minorEastAsia" w:cs="Calibri"/>
                <w:b/>
                <w:bCs/>
                <w:color w:val="000000"/>
                <w:szCs w:val="16"/>
                <w:lang w:eastAsia="en-AU"/>
              </w:rPr>
              <w:t>(4 269)</w:t>
            </w:r>
          </w:p>
        </w:tc>
      </w:tr>
      <w:tr w:rsidR="00A46DCA" w:rsidRPr="004477D1" w:rsidTr="007A7C8C">
        <w:tc>
          <w:tcPr>
            <w:cnfStyle w:val="001000000000" w:firstRow="0" w:lastRow="0" w:firstColumn="1" w:lastColumn="0" w:oddVBand="0" w:evenVBand="0" w:oddHBand="0" w:evenHBand="0" w:firstRowFirstColumn="0" w:firstRowLastColumn="0" w:lastRowFirstColumn="0" w:lastRowLastColumn="0"/>
            <w:tcW w:w="3402" w:type="dxa"/>
            <w:tcBorders>
              <w:top w:val="nil"/>
              <w:left w:val="nil"/>
              <w:bottom w:val="single" w:sz="6" w:space="0" w:color="000000"/>
              <w:right w:val="nil"/>
            </w:tcBorders>
          </w:tcPr>
          <w:p w:rsidR="00A46DCA" w:rsidRPr="004477D1" w:rsidRDefault="00A46DCA" w:rsidP="00A26D04">
            <w:pPr>
              <w:keepLines w:val="0"/>
              <w:autoSpaceDE w:val="0"/>
              <w:autoSpaceDN w:val="0"/>
              <w:adjustRightInd w:val="0"/>
              <w:rPr>
                <w:rFonts w:eastAsiaTheme="minorEastAsia" w:cs="Calibri"/>
                <w:color w:val="000000"/>
                <w:szCs w:val="16"/>
                <w:lang w:eastAsia="en-AU"/>
              </w:rPr>
            </w:pPr>
            <w:r w:rsidRPr="004477D1">
              <w:rPr>
                <w:rFonts w:eastAsiaTheme="minorEastAsia" w:cs="Calibri"/>
                <w:color w:val="000000"/>
                <w:szCs w:val="16"/>
                <w:lang w:eastAsia="en-AU"/>
              </w:rPr>
              <w:t>Net cash flows from investment in financial assets for liquidity management purposes</w:t>
            </w:r>
          </w:p>
        </w:tc>
        <w:tc>
          <w:tcPr>
            <w:tcW w:w="567" w:type="dxa"/>
            <w:tcBorders>
              <w:top w:val="nil"/>
              <w:left w:val="nil"/>
              <w:bottom w:val="single" w:sz="6" w:space="0" w:color="000000"/>
              <w:right w:val="nil"/>
            </w:tcBorders>
          </w:tcPr>
          <w:p w:rsidR="00A46DCA" w:rsidRPr="004477D1" w:rsidRDefault="00A46DCA" w:rsidP="00A26D04">
            <w:pPr>
              <w:keepLines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4477D1">
              <w:rPr>
                <w:rFonts w:eastAsiaTheme="minorEastAsia" w:cs="Calibri"/>
                <w:color w:val="000000"/>
                <w:lang w:eastAsia="en-AU"/>
              </w:rPr>
              <w:t xml:space="preserve"> </w:t>
            </w:r>
          </w:p>
        </w:tc>
        <w:tc>
          <w:tcPr>
            <w:tcW w:w="760" w:type="dxa"/>
            <w:tcBorders>
              <w:top w:val="nil"/>
              <w:left w:val="nil"/>
              <w:bottom w:val="single" w:sz="6" w:space="0" w:color="000000"/>
              <w:right w:val="nil"/>
            </w:tcBorders>
          </w:tcPr>
          <w:p w:rsidR="00A46DCA" w:rsidRPr="004477D1"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801</w:t>
            </w:r>
          </w:p>
        </w:tc>
        <w:tc>
          <w:tcPr>
            <w:tcW w:w="760" w:type="dxa"/>
            <w:tcBorders>
              <w:top w:val="nil"/>
              <w:left w:val="nil"/>
              <w:bottom w:val="single" w:sz="6" w:space="0" w:color="000000"/>
              <w:right w:val="nil"/>
            </w:tcBorders>
          </w:tcPr>
          <w:p w:rsidR="00A46DCA" w:rsidRPr="004477D1"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305</w:t>
            </w:r>
          </w:p>
        </w:tc>
        <w:tc>
          <w:tcPr>
            <w:tcW w:w="760" w:type="dxa"/>
            <w:tcBorders>
              <w:top w:val="nil"/>
              <w:left w:val="nil"/>
              <w:bottom w:val="single" w:sz="6" w:space="0" w:color="000000"/>
              <w:right w:val="nil"/>
            </w:tcBorders>
          </w:tcPr>
          <w:p w:rsidR="00A46DCA" w:rsidRPr="004477D1"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182</w:t>
            </w:r>
          </w:p>
        </w:tc>
        <w:tc>
          <w:tcPr>
            <w:tcW w:w="760" w:type="dxa"/>
            <w:tcBorders>
              <w:top w:val="nil"/>
              <w:left w:val="nil"/>
              <w:bottom w:val="single" w:sz="6" w:space="0" w:color="000000"/>
              <w:right w:val="nil"/>
            </w:tcBorders>
          </w:tcPr>
          <w:p w:rsidR="00A46DCA" w:rsidRPr="004477D1"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116</w:t>
            </w:r>
          </w:p>
        </w:tc>
        <w:tc>
          <w:tcPr>
            <w:tcW w:w="760" w:type="dxa"/>
            <w:tcBorders>
              <w:top w:val="nil"/>
              <w:left w:val="nil"/>
              <w:bottom w:val="single" w:sz="6" w:space="0" w:color="000000"/>
              <w:right w:val="nil"/>
            </w:tcBorders>
          </w:tcPr>
          <w:p w:rsidR="00A46DCA" w:rsidRPr="004477D1"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4</w:t>
            </w:r>
          </w:p>
        </w:tc>
      </w:tr>
      <w:tr w:rsidR="00A46DCA" w:rsidRPr="004477D1" w:rsidTr="007A7C8C">
        <w:tc>
          <w:tcPr>
            <w:cnfStyle w:val="001000000000" w:firstRow="0" w:lastRow="0" w:firstColumn="1" w:lastColumn="0" w:oddVBand="0" w:evenVBand="0" w:oddHBand="0" w:evenHBand="0" w:firstRowFirstColumn="0" w:firstRowLastColumn="0" w:lastRowFirstColumn="0" w:lastRowLastColumn="0"/>
            <w:tcW w:w="3402" w:type="dxa"/>
            <w:tcBorders>
              <w:top w:val="nil"/>
              <w:left w:val="nil"/>
              <w:bottom w:val="nil"/>
              <w:right w:val="nil"/>
            </w:tcBorders>
          </w:tcPr>
          <w:p w:rsidR="00A46DCA" w:rsidRPr="004477D1" w:rsidRDefault="00A46DCA" w:rsidP="00A26D04">
            <w:pPr>
              <w:keepLines w:val="0"/>
              <w:autoSpaceDE w:val="0"/>
              <w:autoSpaceDN w:val="0"/>
              <w:adjustRightInd w:val="0"/>
              <w:rPr>
                <w:rFonts w:eastAsiaTheme="minorEastAsia" w:cs="Calibri"/>
                <w:b/>
                <w:bCs/>
                <w:color w:val="000000"/>
                <w:szCs w:val="16"/>
                <w:lang w:eastAsia="en-AU"/>
              </w:rPr>
            </w:pPr>
            <w:r w:rsidRPr="004477D1">
              <w:rPr>
                <w:rFonts w:eastAsiaTheme="minorEastAsia" w:cs="Calibri"/>
                <w:b/>
                <w:bCs/>
                <w:color w:val="000000"/>
                <w:szCs w:val="16"/>
                <w:lang w:eastAsia="en-AU"/>
              </w:rPr>
              <w:t>Net cash flows from investing activities</w:t>
            </w:r>
          </w:p>
        </w:tc>
        <w:tc>
          <w:tcPr>
            <w:tcW w:w="567" w:type="dxa"/>
            <w:tcBorders>
              <w:top w:val="nil"/>
              <w:left w:val="nil"/>
              <w:bottom w:val="nil"/>
              <w:right w:val="nil"/>
            </w:tcBorders>
          </w:tcPr>
          <w:p w:rsidR="00A46DCA" w:rsidRPr="004477D1" w:rsidRDefault="00A46DCA" w:rsidP="00A26D04">
            <w:pPr>
              <w:keepLines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bCs/>
                <w:color w:val="000000"/>
                <w:lang w:eastAsia="en-AU"/>
              </w:rPr>
            </w:pPr>
            <w:r w:rsidRPr="004477D1">
              <w:rPr>
                <w:rFonts w:eastAsiaTheme="minorEastAsia" w:cs="Calibri"/>
                <w:bCs/>
                <w:color w:val="000000"/>
                <w:lang w:eastAsia="en-AU"/>
              </w:rPr>
              <w:t xml:space="preserve"> </w:t>
            </w:r>
          </w:p>
        </w:tc>
        <w:tc>
          <w:tcPr>
            <w:tcW w:w="760" w:type="dxa"/>
            <w:tcBorders>
              <w:top w:val="nil"/>
              <w:left w:val="nil"/>
              <w:bottom w:val="nil"/>
              <w:right w:val="nil"/>
            </w:tcBorders>
          </w:tcPr>
          <w:p w:rsidR="00A46DCA" w:rsidRPr="004477D1"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Pr>
                <w:rFonts w:eastAsiaTheme="minorEastAsia" w:cs="Calibri"/>
                <w:b/>
                <w:bCs/>
                <w:color w:val="000000"/>
                <w:szCs w:val="16"/>
                <w:lang w:eastAsia="en-AU"/>
              </w:rPr>
              <w:t>(5 129)</w:t>
            </w:r>
          </w:p>
        </w:tc>
        <w:tc>
          <w:tcPr>
            <w:tcW w:w="760" w:type="dxa"/>
            <w:tcBorders>
              <w:top w:val="nil"/>
              <w:left w:val="nil"/>
              <w:bottom w:val="nil"/>
              <w:right w:val="nil"/>
            </w:tcBorders>
          </w:tcPr>
          <w:p w:rsidR="00A46DCA" w:rsidRPr="004477D1"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Pr>
                <w:rFonts w:eastAsiaTheme="minorEastAsia" w:cs="Calibri"/>
                <w:b/>
                <w:bCs/>
                <w:color w:val="000000"/>
                <w:szCs w:val="16"/>
                <w:lang w:eastAsia="en-AU"/>
              </w:rPr>
              <w:t>(5 860)</w:t>
            </w:r>
          </w:p>
        </w:tc>
        <w:tc>
          <w:tcPr>
            <w:tcW w:w="760" w:type="dxa"/>
            <w:tcBorders>
              <w:top w:val="nil"/>
              <w:left w:val="nil"/>
              <w:bottom w:val="nil"/>
              <w:right w:val="nil"/>
            </w:tcBorders>
          </w:tcPr>
          <w:p w:rsidR="00A46DCA" w:rsidRPr="004477D1"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Pr>
                <w:rFonts w:eastAsiaTheme="minorEastAsia" w:cs="Calibri"/>
                <w:b/>
                <w:bCs/>
                <w:color w:val="000000"/>
                <w:szCs w:val="16"/>
                <w:lang w:eastAsia="en-AU"/>
              </w:rPr>
              <w:t>(5 662)</w:t>
            </w:r>
          </w:p>
        </w:tc>
        <w:tc>
          <w:tcPr>
            <w:tcW w:w="760" w:type="dxa"/>
            <w:tcBorders>
              <w:top w:val="nil"/>
              <w:left w:val="nil"/>
              <w:bottom w:val="nil"/>
              <w:right w:val="nil"/>
            </w:tcBorders>
          </w:tcPr>
          <w:p w:rsidR="00A46DCA" w:rsidRPr="004477D1"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Pr>
                <w:rFonts w:eastAsiaTheme="minorEastAsia" w:cs="Calibri"/>
                <w:b/>
                <w:bCs/>
                <w:color w:val="000000"/>
                <w:szCs w:val="16"/>
                <w:lang w:eastAsia="en-AU"/>
              </w:rPr>
              <w:t>(4 583)</w:t>
            </w:r>
          </w:p>
        </w:tc>
        <w:tc>
          <w:tcPr>
            <w:tcW w:w="760" w:type="dxa"/>
            <w:tcBorders>
              <w:top w:val="nil"/>
              <w:left w:val="nil"/>
              <w:bottom w:val="nil"/>
              <w:right w:val="nil"/>
            </w:tcBorders>
          </w:tcPr>
          <w:p w:rsidR="00A46DCA" w:rsidRPr="004477D1"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Pr>
                <w:rFonts w:eastAsiaTheme="minorEastAsia" w:cs="Calibri"/>
                <w:b/>
                <w:bCs/>
                <w:color w:val="000000"/>
                <w:szCs w:val="16"/>
                <w:lang w:eastAsia="en-AU"/>
              </w:rPr>
              <w:t>(4 265)</w:t>
            </w:r>
          </w:p>
        </w:tc>
      </w:tr>
      <w:tr w:rsidR="00A46DCA" w:rsidRPr="004477D1" w:rsidTr="007A7C8C">
        <w:tc>
          <w:tcPr>
            <w:cnfStyle w:val="001000000000" w:firstRow="0" w:lastRow="0" w:firstColumn="1" w:lastColumn="0" w:oddVBand="0" w:evenVBand="0" w:oddHBand="0" w:evenHBand="0" w:firstRowFirstColumn="0" w:firstRowLastColumn="0" w:lastRowFirstColumn="0" w:lastRowLastColumn="0"/>
            <w:tcW w:w="3402" w:type="dxa"/>
            <w:tcBorders>
              <w:top w:val="nil"/>
              <w:left w:val="nil"/>
              <w:bottom w:val="nil"/>
              <w:right w:val="nil"/>
            </w:tcBorders>
          </w:tcPr>
          <w:p w:rsidR="00A46DCA" w:rsidRPr="004477D1" w:rsidRDefault="00A46DCA" w:rsidP="00A26D04">
            <w:pPr>
              <w:keepLines w:val="0"/>
              <w:autoSpaceDE w:val="0"/>
              <w:autoSpaceDN w:val="0"/>
              <w:adjustRightInd w:val="0"/>
              <w:rPr>
                <w:rFonts w:eastAsiaTheme="minorEastAsia" w:cs="Calibri"/>
                <w:b/>
                <w:bCs/>
                <w:color w:val="000000"/>
                <w:szCs w:val="16"/>
                <w:lang w:eastAsia="en-AU"/>
              </w:rPr>
            </w:pPr>
            <w:r w:rsidRPr="004477D1">
              <w:rPr>
                <w:rFonts w:eastAsiaTheme="minorEastAsia" w:cs="Calibri"/>
                <w:b/>
                <w:bCs/>
                <w:color w:val="000000"/>
                <w:szCs w:val="16"/>
                <w:lang w:eastAsia="en-AU"/>
              </w:rPr>
              <w:t>Cash flows from financing activities</w:t>
            </w:r>
          </w:p>
        </w:tc>
        <w:tc>
          <w:tcPr>
            <w:tcW w:w="567" w:type="dxa"/>
            <w:tcBorders>
              <w:top w:val="nil"/>
              <w:left w:val="nil"/>
              <w:bottom w:val="nil"/>
              <w:right w:val="nil"/>
            </w:tcBorders>
          </w:tcPr>
          <w:p w:rsidR="00A46DCA" w:rsidRPr="004477D1" w:rsidRDefault="00A46DCA" w:rsidP="00A26D04">
            <w:pPr>
              <w:keepLines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bCs/>
                <w:color w:val="000000"/>
                <w:lang w:eastAsia="en-AU"/>
              </w:rPr>
            </w:pPr>
            <w:r w:rsidRPr="004477D1">
              <w:rPr>
                <w:rFonts w:eastAsiaTheme="minorEastAsia" w:cs="Calibri"/>
                <w:bCs/>
                <w:color w:val="000000"/>
                <w:lang w:eastAsia="en-AU"/>
              </w:rPr>
              <w:t xml:space="preserve"> </w:t>
            </w:r>
          </w:p>
        </w:tc>
        <w:tc>
          <w:tcPr>
            <w:tcW w:w="760" w:type="dxa"/>
            <w:tcBorders>
              <w:top w:val="nil"/>
              <w:left w:val="nil"/>
              <w:bottom w:val="nil"/>
              <w:right w:val="nil"/>
            </w:tcBorders>
          </w:tcPr>
          <w:p w:rsidR="00A46DCA" w:rsidRPr="004477D1"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4477D1">
              <w:rPr>
                <w:rFonts w:eastAsiaTheme="minorEastAsia" w:cs="Calibri"/>
                <w:b/>
                <w:bCs/>
                <w:color w:val="000000"/>
                <w:lang w:eastAsia="en-AU"/>
              </w:rPr>
              <w:t xml:space="preserve"> </w:t>
            </w:r>
          </w:p>
        </w:tc>
        <w:tc>
          <w:tcPr>
            <w:tcW w:w="760" w:type="dxa"/>
            <w:tcBorders>
              <w:top w:val="nil"/>
              <w:left w:val="nil"/>
              <w:bottom w:val="nil"/>
              <w:right w:val="nil"/>
            </w:tcBorders>
          </w:tcPr>
          <w:p w:rsidR="00A46DCA" w:rsidRPr="004477D1"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4477D1">
              <w:rPr>
                <w:rFonts w:eastAsiaTheme="minorEastAsia" w:cs="Calibri"/>
                <w:b/>
                <w:bCs/>
                <w:color w:val="000000"/>
                <w:lang w:eastAsia="en-AU"/>
              </w:rPr>
              <w:t xml:space="preserve"> </w:t>
            </w:r>
          </w:p>
        </w:tc>
        <w:tc>
          <w:tcPr>
            <w:tcW w:w="760" w:type="dxa"/>
            <w:tcBorders>
              <w:top w:val="nil"/>
              <w:left w:val="nil"/>
              <w:bottom w:val="nil"/>
              <w:right w:val="nil"/>
            </w:tcBorders>
          </w:tcPr>
          <w:p w:rsidR="00A46DCA" w:rsidRPr="004477D1"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4477D1">
              <w:rPr>
                <w:rFonts w:eastAsiaTheme="minorEastAsia" w:cs="Calibri"/>
                <w:b/>
                <w:bCs/>
                <w:color w:val="000000"/>
                <w:lang w:eastAsia="en-AU"/>
              </w:rPr>
              <w:t xml:space="preserve"> </w:t>
            </w:r>
          </w:p>
        </w:tc>
        <w:tc>
          <w:tcPr>
            <w:tcW w:w="760" w:type="dxa"/>
            <w:tcBorders>
              <w:top w:val="nil"/>
              <w:left w:val="nil"/>
              <w:bottom w:val="nil"/>
              <w:right w:val="nil"/>
            </w:tcBorders>
          </w:tcPr>
          <w:p w:rsidR="00A46DCA" w:rsidRPr="004477D1"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4477D1">
              <w:rPr>
                <w:rFonts w:eastAsiaTheme="minorEastAsia" w:cs="Calibri"/>
                <w:b/>
                <w:bCs/>
                <w:color w:val="000000"/>
                <w:lang w:eastAsia="en-AU"/>
              </w:rPr>
              <w:t xml:space="preserve"> </w:t>
            </w:r>
          </w:p>
        </w:tc>
        <w:tc>
          <w:tcPr>
            <w:tcW w:w="760" w:type="dxa"/>
            <w:tcBorders>
              <w:top w:val="nil"/>
              <w:left w:val="nil"/>
              <w:bottom w:val="nil"/>
              <w:right w:val="nil"/>
            </w:tcBorders>
          </w:tcPr>
          <w:p w:rsidR="00A46DCA" w:rsidRPr="004477D1"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4477D1">
              <w:rPr>
                <w:rFonts w:eastAsiaTheme="minorEastAsia" w:cs="Calibri"/>
                <w:b/>
                <w:bCs/>
                <w:color w:val="000000"/>
                <w:lang w:eastAsia="en-AU"/>
              </w:rPr>
              <w:t xml:space="preserve"> </w:t>
            </w:r>
          </w:p>
        </w:tc>
      </w:tr>
      <w:tr w:rsidR="00A46DCA" w:rsidRPr="004477D1" w:rsidTr="007A7C8C">
        <w:tc>
          <w:tcPr>
            <w:cnfStyle w:val="001000000000" w:firstRow="0" w:lastRow="0" w:firstColumn="1" w:lastColumn="0" w:oddVBand="0" w:evenVBand="0" w:oddHBand="0" w:evenHBand="0" w:firstRowFirstColumn="0" w:firstRowLastColumn="0" w:lastRowFirstColumn="0" w:lastRowLastColumn="0"/>
            <w:tcW w:w="3402" w:type="dxa"/>
            <w:tcBorders>
              <w:top w:val="nil"/>
              <w:left w:val="nil"/>
              <w:bottom w:val="nil"/>
              <w:right w:val="nil"/>
            </w:tcBorders>
          </w:tcPr>
          <w:p w:rsidR="00A46DCA" w:rsidRPr="004477D1" w:rsidRDefault="00A46DCA" w:rsidP="00A26D04">
            <w:pPr>
              <w:keepLines w:val="0"/>
              <w:autoSpaceDE w:val="0"/>
              <w:autoSpaceDN w:val="0"/>
              <w:adjustRightInd w:val="0"/>
              <w:rPr>
                <w:rFonts w:eastAsiaTheme="minorEastAsia" w:cs="Calibri"/>
                <w:color w:val="000000"/>
                <w:szCs w:val="16"/>
                <w:lang w:eastAsia="en-AU"/>
              </w:rPr>
            </w:pPr>
            <w:r w:rsidRPr="004477D1">
              <w:rPr>
                <w:rFonts w:eastAsiaTheme="minorEastAsia" w:cs="Calibri"/>
                <w:color w:val="000000"/>
                <w:szCs w:val="16"/>
                <w:lang w:eastAsia="en-AU"/>
              </w:rPr>
              <w:t>Advances received (net)</w:t>
            </w:r>
          </w:p>
        </w:tc>
        <w:tc>
          <w:tcPr>
            <w:tcW w:w="567" w:type="dxa"/>
            <w:tcBorders>
              <w:top w:val="nil"/>
              <w:left w:val="nil"/>
              <w:bottom w:val="nil"/>
              <w:right w:val="nil"/>
            </w:tcBorders>
          </w:tcPr>
          <w:p w:rsidR="00A46DCA" w:rsidRPr="004477D1" w:rsidRDefault="00A46DCA" w:rsidP="00A26D04">
            <w:pPr>
              <w:keepLines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4477D1">
              <w:rPr>
                <w:rFonts w:eastAsiaTheme="minorEastAsia" w:cs="Calibri"/>
                <w:color w:val="000000"/>
                <w:lang w:eastAsia="en-AU"/>
              </w:rPr>
              <w:t xml:space="preserve"> </w:t>
            </w:r>
          </w:p>
        </w:tc>
        <w:tc>
          <w:tcPr>
            <w:tcW w:w="760" w:type="dxa"/>
            <w:tcBorders>
              <w:top w:val="nil"/>
              <w:left w:val="nil"/>
              <w:bottom w:val="nil"/>
              <w:right w:val="nil"/>
            </w:tcBorders>
          </w:tcPr>
          <w:p w:rsidR="00A46DCA" w:rsidRPr="004477D1"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(2 649)</w:t>
            </w:r>
          </w:p>
        </w:tc>
        <w:tc>
          <w:tcPr>
            <w:tcW w:w="760" w:type="dxa"/>
            <w:tcBorders>
              <w:top w:val="nil"/>
              <w:left w:val="nil"/>
              <w:bottom w:val="nil"/>
              <w:right w:val="nil"/>
            </w:tcBorders>
          </w:tcPr>
          <w:p w:rsidR="00A46DCA" w:rsidRPr="004477D1"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(2 907)</w:t>
            </w:r>
          </w:p>
        </w:tc>
        <w:tc>
          <w:tcPr>
            <w:tcW w:w="760" w:type="dxa"/>
            <w:tcBorders>
              <w:top w:val="nil"/>
              <w:left w:val="nil"/>
              <w:bottom w:val="nil"/>
              <w:right w:val="nil"/>
            </w:tcBorders>
          </w:tcPr>
          <w:p w:rsidR="00A46DCA" w:rsidRPr="004477D1"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(1 648)</w:t>
            </w:r>
          </w:p>
        </w:tc>
        <w:tc>
          <w:tcPr>
            <w:tcW w:w="760" w:type="dxa"/>
            <w:tcBorders>
              <w:top w:val="nil"/>
              <w:left w:val="nil"/>
              <w:bottom w:val="nil"/>
              <w:right w:val="nil"/>
            </w:tcBorders>
          </w:tcPr>
          <w:p w:rsidR="00A46DCA" w:rsidRPr="004477D1"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(1 525)</w:t>
            </w:r>
          </w:p>
        </w:tc>
        <w:tc>
          <w:tcPr>
            <w:tcW w:w="760" w:type="dxa"/>
            <w:tcBorders>
              <w:top w:val="nil"/>
              <w:left w:val="nil"/>
              <w:bottom w:val="nil"/>
              <w:right w:val="nil"/>
            </w:tcBorders>
          </w:tcPr>
          <w:p w:rsidR="00A46DCA" w:rsidRPr="004477D1"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(1 592)</w:t>
            </w:r>
          </w:p>
        </w:tc>
      </w:tr>
      <w:tr w:rsidR="00A46DCA" w:rsidRPr="004477D1" w:rsidTr="007A7C8C">
        <w:tc>
          <w:tcPr>
            <w:cnfStyle w:val="001000000000" w:firstRow="0" w:lastRow="0" w:firstColumn="1" w:lastColumn="0" w:oddVBand="0" w:evenVBand="0" w:oddHBand="0" w:evenHBand="0" w:firstRowFirstColumn="0" w:firstRowLastColumn="0" w:lastRowFirstColumn="0" w:lastRowLastColumn="0"/>
            <w:tcW w:w="3402" w:type="dxa"/>
            <w:tcBorders>
              <w:top w:val="nil"/>
              <w:left w:val="nil"/>
              <w:bottom w:val="nil"/>
              <w:right w:val="nil"/>
            </w:tcBorders>
          </w:tcPr>
          <w:p w:rsidR="00A46DCA" w:rsidRPr="004477D1" w:rsidRDefault="00A46DCA" w:rsidP="00A26D04">
            <w:pPr>
              <w:keepLines w:val="0"/>
              <w:autoSpaceDE w:val="0"/>
              <w:autoSpaceDN w:val="0"/>
              <w:adjustRightInd w:val="0"/>
              <w:rPr>
                <w:rFonts w:eastAsiaTheme="minorEastAsia" w:cs="Calibri"/>
                <w:color w:val="000000"/>
                <w:szCs w:val="16"/>
                <w:lang w:eastAsia="en-AU"/>
              </w:rPr>
            </w:pPr>
            <w:r w:rsidRPr="004477D1">
              <w:rPr>
                <w:rFonts w:eastAsiaTheme="minorEastAsia" w:cs="Calibri"/>
                <w:color w:val="000000"/>
                <w:szCs w:val="16"/>
                <w:lang w:eastAsia="en-AU"/>
              </w:rPr>
              <w:t>Net borrowings</w:t>
            </w:r>
          </w:p>
        </w:tc>
        <w:tc>
          <w:tcPr>
            <w:tcW w:w="567" w:type="dxa"/>
            <w:tcBorders>
              <w:top w:val="nil"/>
              <w:left w:val="nil"/>
              <w:bottom w:val="nil"/>
              <w:right w:val="nil"/>
            </w:tcBorders>
          </w:tcPr>
          <w:p w:rsidR="00A46DCA" w:rsidRPr="004477D1" w:rsidRDefault="00A46DCA" w:rsidP="00A26D04">
            <w:pPr>
              <w:keepLines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4477D1">
              <w:rPr>
                <w:rFonts w:eastAsiaTheme="minorEastAsia" w:cs="Calibri"/>
                <w:color w:val="000000"/>
                <w:lang w:eastAsia="en-AU"/>
              </w:rPr>
              <w:t xml:space="preserve"> </w:t>
            </w:r>
          </w:p>
        </w:tc>
        <w:tc>
          <w:tcPr>
            <w:tcW w:w="760" w:type="dxa"/>
            <w:tcBorders>
              <w:top w:val="nil"/>
              <w:left w:val="nil"/>
              <w:bottom w:val="nil"/>
              <w:right w:val="nil"/>
            </w:tcBorders>
          </w:tcPr>
          <w:p w:rsidR="00A46DCA" w:rsidRPr="004477D1"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4477D1">
              <w:rPr>
                <w:rFonts w:eastAsiaTheme="minorEastAsia" w:cs="Calibri"/>
                <w:color w:val="000000"/>
                <w:szCs w:val="16"/>
                <w:lang w:eastAsia="en-AU"/>
              </w:rPr>
              <w:t>4 584</w:t>
            </w:r>
          </w:p>
        </w:tc>
        <w:tc>
          <w:tcPr>
            <w:tcW w:w="760" w:type="dxa"/>
            <w:tcBorders>
              <w:top w:val="nil"/>
              <w:left w:val="nil"/>
              <w:bottom w:val="nil"/>
              <w:right w:val="nil"/>
            </w:tcBorders>
          </w:tcPr>
          <w:p w:rsidR="00A46DCA" w:rsidRPr="004477D1"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4477D1">
              <w:rPr>
                <w:rFonts w:eastAsiaTheme="minorEastAsia" w:cs="Calibri"/>
                <w:color w:val="000000"/>
                <w:szCs w:val="16"/>
                <w:lang w:eastAsia="en-AU"/>
              </w:rPr>
              <w:t>4 121</w:t>
            </w:r>
          </w:p>
        </w:tc>
        <w:tc>
          <w:tcPr>
            <w:tcW w:w="760" w:type="dxa"/>
            <w:tcBorders>
              <w:top w:val="nil"/>
              <w:left w:val="nil"/>
              <w:bottom w:val="nil"/>
              <w:right w:val="nil"/>
            </w:tcBorders>
          </w:tcPr>
          <w:p w:rsidR="00A46DCA" w:rsidRPr="004477D1"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4477D1">
              <w:rPr>
                <w:rFonts w:eastAsiaTheme="minorEastAsia" w:cs="Calibri"/>
                <w:color w:val="000000"/>
                <w:szCs w:val="16"/>
                <w:lang w:eastAsia="en-AU"/>
              </w:rPr>
              <w:t>1 771</w:t>
            </w:r>
          </w:p>
        </w:tc>
        <w:tc>
          <w:tcPr>
            <w:tcW w:w="760" w:type="dxa"/>
            <w:tcBorders>
              <w:top w:val="nil"/>
              <w:left w:val="nil"/>
              <w:bottom w:val="nil"/>
              <w:right w:val="nil"/>
            </w:tcBorders>
          </w:tcPr>
          <w:p w:rsidR="00A46DCA" w:rsidRPr="004477D1"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4477D1">
              <w:rPr>
                <w:rFonts w:eastAsiaTheme="minorEastAsia" w:cs="Calibri"/>
                <w:color w:val="000000"/>
                <w:szCs w:val="16"/>
                <w:lang w:eastAsia="en-AU"/>
              </w:rPr>
              <w:t>2 513</w:t>
            </w:r>
          </w:p>
        </w:tc>
        <w:tc>
          <w:tcPr>
            <w:tcW w:w="760" w:type="dxa"/>
            <w:tcBorders>
              <w:top w:val="nil"/>
              <w:left w:val="nil"/>
              <w:bottom w:val="nil"/>
              <w:right w:val="nil"/>
            </w:tcBorders>
          </w:tcPr>
          <w:p w:rsidR="00A46DCA" w:rsidRPr="004477D1"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4477D1">
              <w:rPr>
                <w:rFonts w:eastAsiaTheme="minorEastAsia" w:cs="Calibri"/>
                <w:color w:val="000000"/>
                <w:szCs w:val="16"/>
                <w:lang w:eastAsia="en-AU"/>
              </w:rPr>
              <w:t>1 361</w:t>
            </w:r>
          </w:p>
        </w:tc>
      </w:tr>
      <w:tr w:rsidR="00A46DCA" w:rsidRPr="004477D1" w:rsidTr="007A7C8C">
        <w:tc>
          <w:tcPr>
            <w:cnfStyle w:val="001000000000" w:firstRow="0" w:lastRow="0" w:firstColumn="1" w:lastColumn="0" w:oddVBand="0" w:evenVBand="0" w:oddHBand="0" w:evenHBand="0" w:firstRowFirstColumn="0" w:firstRowLastColumn="0" w:lastRowFirstColumn="0" w:lastRowLastColumn="0"/>
            <w:tcW w:w="3402" w:type="dxa"/>
            <w:tcBorders>
              <w:top w:val="single" w:sz="6" w:space="0" w:color="000000"/>
              <w:left w:val="nil"/>
              <w:bottom w:val="single" w:sz="6" w:space="0" w:color="000000"/>
              <w:right w:val="nil"/>
            </w:tcBorders>
          </w:tcPr>
          <w:p w:rsidR="00A46DCA" w:rsidRPr="004477D1" w:rsidRDefault="00A46DCA" w:rsidP="00A26D04">
            <w:pPr>
              <w:keepLines w:val="0"/>
              <w:autoSpaceDE w:val="0"/>
              <w:autoSpaceDN w:val="0"/>
              <w:adjustRightInd w:val="0"/>
              <w:rPr>
                <w:rFonts w:eastAsiaTheme="minorEastAsia" w:cs="Calibri"/>
                <w:b/>
                <w:bCs/>
                <w:color w:val="000000"/>
                <w:szCs w:val="16"/>
                <w:lang w:eastAsia="en-AU"/>
              </w:rPr>
            </w:pPr>
            <w:r w:rsidRPr="004477D1">
              <w:rPr>
                <w:rFonts w:eastAsiaTheme="minorEastAsia" w:cs="Calibri"/>
                <w:b/>
                <w:bCs/>
                <w:color w:val="000000"/>
                <w:szCs w:val="16"/>
                <w:lang w:eastAsia="en-AU"/>
              </w:rPr>
              <w:t>Net cash flows from financing activities</w:t>
            </w:r>
          </w:p>
        </w:tc>
        <w:tc>
          <w:tcPr>
            <w:tcW w:w="567" w:type="dxa"/>
            <w:tcBorders>
              <w:top w:val="single" w:sz="6" w:space="0" w:color="000000"/>
              <w:left w:val="nil"/>
              <w:bottom w:val="single" w:sz="6" w:space="0" w:color="000000"/>
              <w:right w:val="nil"/>
            </w:tcBorders>
          </w:tcPr>
          <w:p w:rsidR="00A46DCA" w:rsidRPr="004477D1" w:rsidRDefault="00A46DCA" w:rsidP="00A26D04">
            <w:pPr>
              <w:keepLines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bCs/>
                <w:color w:val="000000"/>
                <w:lang w:eastAsia="en-AU"/>
              </w:rPr>
            </w:pPr>
            <w:r w:rsidRPr="004477D1">
              <w:rPr>
                <w:rFonts w:eastAsiaTheme="minorEastAsia" w:cs="Calibri"/>
                <w:bCs/>
                <w:color w:val="000000"/>
                <w:lang w:eastAsia="en-AU"/>
              </w:rPr>
              <w:t xml:space="preserve"> </w:t>
            </w:r>
          </w:p>
        </w:tc>
        <w:tc>
          <w:tcPr>
            <w:tcW w:w="760" w:type="dxa"/>
            <w:tcBorders>
              <w:top w:val="single" w:sz="6" w:space="0" w:color="000000"/>
              <w:left w:val="nil"/>
              <w:bottom w:val="single" w:sz="6" w:space="0" w:color="000000"/>
              <w:right w:val="nil"/>
            </w:tcBorders>
          </w:tcPr>
          <w:p w:rsidR="00A46DCA" w:rsidRPr="004477D1"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4477D1">
              <w:rPr>
                <w:rFonts w:eastAsiaTheme="minorEastAsia" w:cs="Calibri"/>
                <w:b/>
                <w:bCs/>
                <w:color w:val="000000"/>
                <w:szCs w:val="16"/>
                <w:lang w:eastAsia="en-AU"/>
              </w:rPr>
              <w:t>1 935</w:t>
            </w:r>
          </w:p>
        </w:tc>
        <w:tc>
          <w:tcPr>
            <w:tcW w:w="760" w:type="dxa"/>
            <w:tcBorders>
              <w:top w:val="single" w:sz="6" w:space="0" w:color="000000"/>
              <w:left w:val="nil"/>
              <w:bottom w:val="single" w:sz="6" w:space="0" w:color="000000"/>
              <w:right w:val="nil"/>
            </w:tcBorders>
          </w:tcPr>
          <w:p w:rsidR="00A46DCA" w:rsidRPr="004477D1"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4477D1">
              <w:rPr>
                <w:rFonts w:eastAsiaTheme="minorEastAsia" w:cs="Calibri"/>
                <w:b/>
                <w:bCs/>
                <w:color w:val="000000"/>
                <w:szCs w:val="16"/>
                <w:lang w:eastAsia="en-AU"/>
              </w:rPr>
              <w:t>1 214</w:t>
            </w:r>
          </w:p>
        </w:tc>
        <w:tc>
          <w:tcPr>
            <w:tcW w:w="760" w:type="dxa"/>
            <w:tcBorders>
              <w:top w:val="single" w:sz="6" w:space="0" w:color="000000"/>
              <w:left w:val="nil"/>
              <w:bottom w:val="single" w:sz="6" w:space="0" w:color="000000"/>
              <w:right w:val="nil"/>
            </w:tcBorders>
          </w:tcPr>
          <w:p w:rsidR="00A46DCA" w:rsidRPr="004477D1"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Pr>
                <w:rFonts w:eastAsiaTheme="minorEastAsia" w:cs="Calibri"/>
                <w:b/>
                <w:bCs/>
                <w:color w:val="000000"/>
                <w:szCs w:val="16"/>
                <w:lang w:eastAsia="en-AU"/>
              </w:rPr>
              <w:t>124</w:t>
            </w:r>
          </w:p>
        </w:tc>
        <w:tc>
          <w:tcPr>
            <w:tcW w:w="760" w:type="dxa"/>
            <w:tcBorders>
              <w:top w:val="single" w:sz="6" w:space="0" w:color="000000"/>
              <w:left w:val="nil"/>
              <w:bottom w:val="single" w:sz="6" w:space="0" w:color="000000"/>
              <w:right w:val="nil"/>
            </w:tcBorders>
          </w:tcPr>
          <w:p w:rsidR="00A46DCA" w:rsidRPr="004477D1"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Pr>
                <w:rFonts w:eastAsiaTheme="minorEastAsia" w:cs="Calibri"/>
                <w:b/>
                <w:bCs/>
                <w:color w:val="000000"/>
                <w:szCs w:val="16"/>
                <w:lang w:eastAsia="en-AU"/>
              </w:rPr>
              <w:t>988</w:t>
            </w:r>
          </w:p>
        </w:tc>
        <w:tc>
          <w:tcPr>
            <w:tcW w:w="760" w:type="dxa"/>
            <w:tcBorders>
              <w:top w:val="single" w:sz="6" w:space="0" w:color="000000"/>
              <w:left w:val="nil"/>
              <w:bottom w:val="single" w:sz="6" w:space="0" w:color="000000"/>
              <w:right w:val="nil"/>
            </w:tcBorders>
          </w:tcPr>
          <w:p w:rsidR="00A46DCA" w:rsidRPr="004477D1"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Pr>
                <w:rFonts w:eastAsiaTheme="minorEastAsia" w:cs="Calibri"/>
                <w:b/>
                <w:bCs/>
                <w:color w:val="000000"/>
                <w:szCs w:val="16"/>
                <w:lang w:eastAsia="en-AU"/>
              </w:rPr>
              <w:t>(231)</w:t>
            </w:r>
          </w:p>
        </w:tc>
      </w:tr>
      <w:tr w:rsidR="00A46DCA" w:rsidRPr="004477D1" w:rsidTr="007A7C8C">
        <w:tc>
          <w:tcPr>
            <w:cnfStyle w:val="001000000000" w:firstRow="0" w:lastRow="0" w:firstColumn="1" w:lastColumn="0" w:oddVBand="0" w:evenVBand="0" w:oddHBand="0" w:evenHBand="0" w:firstRowFirstColumn="0" w:firstRowLastColumn="0" w:lastRowFirstColumn="0" w:lastRowLastColumn="0"/>
            <w:tcW w:w="3402" w:type="dxa"/>
            <w:tcBorders>
              <w:top w:val="nil"/>
              <w:left w:val="nil"/>
              <w:bottom w:val="nil"/>
              <w:right w:val="nil"/>
            </w:tcBorders>
          </w:tcPr>
          <w:p w:rsidR="00A46DCA" w:rsidRPr="004477D1" w:rsidRDefault="00A46DCA" w:rsidP="00A26D04">
            <w:pPr>
              <w:keepLines w:val="0"/>
              <w:autoSpaceDE w:val="0"/>
              <w:autoSpaceDN w:val="0"/>
              <w:adjustRightInd w:val="0"/>
              <w:rPr>
                <w:rFonts w:eastAsiaTheme="minorEastAsia" w:cs="Calibri"/>
                <w:b/>
                <w:bCs/>
                <w:color w:val="000000"/>
                <w:szCs w:val="16"/>
                <w:lang w:eastAsia="en-AU"/>
              </w:rPr>
            </w:pPr>
            <w:r w:rsidRPr="004477D1">
              <w:rPr>
                <w:rFonts w:eastAsiaTheme="minorEastAsia" w:cs="Calibri"/>
                <w:b/>
                <w:bCs/>
                <w:color w:val="000000"/>
                <w:szCs w:val="16"/>
                <w:lang w:eastAsia="en-AU"/>
              </w:rPr>
              <w:t>Net increase/(decrease) in cash and cash equivalents</w:t>
            </w:r>
          </w:p>
        </w:tc>
        <w:tc>
          <w:tcPr>
            <w:tcW w:w="567" w:type="dxa"/>
            <w:tcBorders>
              <w:top w:val="nil"/>
              <w:left w:val="nil"/>
              <w:bottom w:val="nil"/>
              <w:right w:val="nil"/>
            </w:tcBorders>
          </w:tcPr>
          <w:p w:rsidR="00A46DCA" w:rsidRPr="004477D1" w:rsidRDefault="00A46DCA" w:rsidP="00A26D04">
            <w:pPr>
              <w:keepLines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bCs/>
                <w:color w:val="000000"/>
                <w:lang w:eastAsia="en-AU"/>
              </w:rPr>
            </w:pPr>
            <w:r w:rsidRPr="004477D1">
              <w:rPr>
                <w:rFonts w:eastAsiaTheme="minorEastAsia" w:cs="Calibri"/>
                <w:bCs/>
                <w:color w:val="000000"/>
                <w:lang w:eastAsia="en-AU"/>
              </w:rPr>
              <w:t xml:space="preserve"> </w:t>
            </w:r>
          </w:p>
        </w:tc>
        <w:tc>
          <w:tcPr>
            <w:tcW w:w="760" w:type="dxa"/>
            <w:tcBorders>
              <w:top w:val="nil"/>
              <w:left w:val="nil"/>
              <w:bottom w:val="nil"/>
              <w:right w:val="nil"/>
            </w:tcBorders>
          </w:tcPr>
          <w:p w:rsidR="00A46DCA" w:rsidRPr="004477D1"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Pr>
                <w:rFonts w:eastAsiaTheme="minorEastAsia" w:cs="Calibri"/>
                <w:b/>
                <w:bCs/>
                <w:color w:val="000000"/>
                <w:szCs w:val="16"/>
                <w:lang w:eastAsia="en-AU"/>
              </w:rPr>
              <w:t>408</w:t>
            </w:r>
          </w:p>
        </w:tc>
        <w:tc>
          <w:tcPr>
            <w:tcW w:w="760" w:type="dxa"/>
            <w:tcBorders>
              <w:top w:val="nil"/>
              <w:left w:val="nil"/>
              <w:bottom w:val="nil"/>
              <w:right w:val="nil"/>
            </w:tcBorders>
          </w:tcPr>
          <w:p w:rsidR="00A46DCA" w:rsidRPr="004477D1"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Pr>
                <w:rFonts w:eastAsiaTheme="minorEastAsia" w:cs="Calibri"/>
                <w:b/>
                <w:bCs/>
                <w:color w:val="000000"/>
                <w:szCs w:val="16"/>
                <w:lang w:eastAsia="en-AU"/>
              </w:rPr>
              <w:t>(753)</w:t>
            </w:r>
          </w:p>
        </w:tc>
        <w:tc>
          <w:tcPr>
            <w:tcW w:w="760" w:type="dxa"/>
            <w:tcBorders>
              <w:top w:val="nil"/>
              <w:left w:val="nil"/>
              <w:bottom w:val="nil"/>
              <w:right w:val="nil"/>
            </w:tcBorders>
          </w:tcPr>
          <w:p w:rsidR="00A46DCA" w:rsidRPr="004477D1"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Pr>
                <w:rFonts w:eastAsiaTheme="minorEastAsia" w:cs="Calibri"/>
                <w:b/>
                <w:bCs/>
                <w:color w:val="000000"/>
                <w:szCs w:val="16"/>
                <w:lang w:eastAsia="en-AU"/>
              </w:rPr>
              <w:t>422</w:t>
            </w:r>
          </w:p>
        </w:tc>
        <w:tc>
          <w:tcPr>
            <w:tcW w:w="760" w:type="dxa"/>
            <w:tcBorders>
              <w:top w:val="nil"/>
              <w:left w:val="nil"/>
              <w:bottom w:val="nil"/>
              <w:right w:val="nil"/>
            </w:tcBorders>
          </w:tcPr>
          <w:p w:rsidR="00A46DCA" w:rsidRPr="004477D1"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Pr>
                <w:rFonts w:eastAsiaTheme="minorEastAsia" w:cs="Calibri"/>
                <w:b/>
                <w:bCs/>
                <w:color w:val="000000"/>
                <w:szCs w:val="16"/>
                <w:lang w:eastAsia="en-AU"/>
              </w:rPr>
              <w:t>527</w:t>
            </w:r>
          </w:p>
        </w:tc>
        <w:tc>
          <w:tcPr>
            <w:tcW w:w="760" w:type="dxa"/>
            <w:tcBorders>
              <w:top w:val="nil"/>
              <w:left w:val="nil"/>
              <w:bottom w:val="nil"/>
              <w:right w:val="nil"/>
            </w:tcBorders>
          </w:tcPr>
          <w:p w:rsidR="00A46DCA" w:rsidRPr="004477D1"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Pr>
                <w:rFonts w:eastAsiaTheme="minorEastAsia" w:cs="Calibri"/>
                <w:b/>
                <w:bCs/>
                <w:color w:val="000000"/>
                <w:szCs w:val="16"/>
                <w:lang w:eastAsia="en-AU"/>
              </w:rPr>
              <w:t>274</w:t>
            </w:r>
          </w:p>
        </w:tc>
      </w:tr>
      <w:tr w:rsidR="00A46DCA" w:rsidRPr="004477D1" w:rsidTr="007A7C8C">
        <w:tc>
          <w:tcPr>
            <w:cnfStyle w:val="001000000000" w:firstRow="0" w:lastRow="0" w:firstColumn="1" w:lastColumn="0" w:oddVBand="0" w:evenVBand="0" w:oddHBand="0" w:evenHBand="0" w:firstRowFirstColumn="0" w:firstRowLastColumn="0" w:lastRowFirstColumn="0" w:lastRowLastColumn="0"/>
            <w:tcW w:w="3402" w:type="dxa"/>
            <w:tcBorders>
              <w:top w:val="nil"/>
              <w:left w:val="nil"/>
              <w:bottom w:val="nil"/>
              <w:right w:val="nil"/>
            </w:tcBorders>
          </w:tcPr>
          <w:p w:rsidR="00A46DCA" w:rsidRPr="004477D1" w:rsidRDefault="00A46DCA" w:rsidP="00A26D04">
            <w:pPr>
              <w:keepLines w:val="0"/>
              <w:autoSpaceDE w:val="0"/>
              <w:autoSpaceDN w:val="0"/>
              <w:adjustRightInd w:val="0"/>
              <w:rPr>
                <w:rFonts w:eastAsiaTheme="minorEastAsia" w:cs="Calibri"/>
                <w:color w:val="000000"/>
                <w:szCs w:val="16"/>
                <w:vertAlign w:val="superscript"/>
                <w:lang w:eastAsia="en-AU"/>
              </w:rPr>
            </w:pPr>
            <w:r w:rsidRPr="004477D1">
              <w:rPr>
                <w:rFonts w:eastAsiaTheme="minorEastAsia" w:cs="Calibri"/>
                <w:color w:val="000000"/>
                <w:szCs w:val="16"/>
                <w:lang w:eastAsia="en-AU"/>
              </w:rPr>
              <w:t xml:space="preserve">Cash and cash equivalents at beginning of reporting period </w:t>
            </w:r>
            <w:r w:rsidRPr="004477D1">
              <w:rPr>
                <w:rFonts w:eastAsiaTheme="minorEastAsia" w:cs="Calibri"/>
                <w:color w:val="000000"/>
                <w:szCs w:val="16"/>
                <w:vertAlign w:val="superscript"/>
                <w:lang w:eastAsia="en-AU"/>
              </w:rPr>
              <w:t>(c)</w:t>
            </w:r>
          </w:p>
        </w:tc>
        <w:tc>
          <w:tcPr>
            <w:tcW w:w="567" w:type="dxa"/>
            <w:tcBorders>
              <w:top w:val="nil"/>
              <w:left w:val="nil"/>
              <w:bottom w:val="nil"/>
              <w:right w:val="nil"/>
            </w:tcBorders>
          </w:tcPr>
          <w:p w:rsidR="00A46DCA" w:rsidRPr="004477D1" w:rsidRDefault="00A46DCA" w:rsidP="00A26D04">
            <w:pPr>
              <w:keepLines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4477D1">
              <w:rPr>
                <w:rFonts w:eastAsiaTheme="minorEastAsia" w:cs="Calibri"/>
                <w:color w:val="000000"/>
                <w:lang w:eastAsia="en-AU"/>
              </w:rPr>
              <w:t xml:space="preserve"> </w:t>
            </w:r>
          </w:p>
        </w:tc>
        <w:tc>
          <w:tcPr>
            <w:tcW w:w="760" w:type="dxa"/>
            <w:tcBorders>
              <w:top w:val="nil"/>
              <w:left w:val="nil"/>
              <w:bottom w:val="nil"/>
              <w:right w:val="nil"/>
            </w:tcBorders>
          </w:tcPr>
          <w:p w:rsidR="00A46DCA" w:rsidRPr="004477D1"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4477D1">
              <w:rPr>
                <w:rFonts w:eastAsiaTheme="minorEastAsia" w:cs="Calibri"/>
                <w:color w:val="000000"/>
                <w:szCs w:val="16"/>
                <w:lang w:eastAsia="en-AU"/>
              </w:rPr>
              <w:t>5 530</w:t>
            </w:r>
          </w:p>
        </w:tc>
        <w:tc>
          <w:tcPr>
            <w:tcW w:w="760" w:type="dxa"/>
            <w:tcBorders>
              <w:top w:val="nil"/>
              <w:left w:val="nil"/>
              <w:bottom w:val="nil"/>
              <w:right w:val="nil"/>
            </w:tcBorders>
          </w:tcPr>
          <w:p w:rsidR="00A46DCA" w:rsidRPr="004477D1"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4477D1">
              <w:rPr>
                <w:rFonts w:eastAsiaTheme="minorEastAsia" w:cs="Calibri"/>
                <w:color w:val="000000"/>
                <w:szCs w:val="16"/>
                <w:lang w:eastAsia="en-AU"/>
              </w:rPr>
              <w:t>5 530</w:t>
            </w:r>
          </w:p>
        </w:tc>
        <w:tc>
          <w:tcPr>
            <w:tcW w:w="760" w:type="dxa"/>
            <w:tcBorders>
              <w:top w:val="nil"/>
              <w:left w:val="nil"/>
              <w:bottom w:val="nil"/>
              <w:right w:val="nil"/>
            </w:tcBorders>
          </w:tcPr>
          <w:p w:rsidR="00A46DCA" w:rsidRPr="004477D1"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4477D1">
              <w:rPr>
                <w:rFonts w:eastAsiaTheme="minorEastAsia" w:cs="Calibri"/>
                <w:color w:val="000000"/>
                <w:szCs w:val="16"/>
                <w:lang w:eastAsia="en-AU"/>
              </w:rPr>
              <w:t>4 776</w:t>
            </w:r>
          </w:p>
        </w:tc>
        <w:tc>
          <w:tcPr>
            <w:tcW w:w="760" w:type="dxa"/>
            <w:tcBorders>
              <w:top w:val="nil"/>
              <w:left w:val="nil"/>
              <w:bottom w:val="nil"/>
              <w:right w:val="nil"/>
            </w:tcBorders>
          </w:tcPr>
          <w:p w:rsidR="00A46DCA" w:rsidRPr="004477D1"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4477D1">
              <w:rPr>
                <w:rFonts w:eastAsiaTheme="minorEastAsia" w:cs="Calibri"/>
                <w:color w:val="000000"/>
                <w:szCs w:val="16"/>
                <w:lang w:eastAsia="en-AU"/>
              </w:rPr>
              <w:t>5 199</w:t>
            </w:r>
          </w:p>
        </w:tc>
        <w:tc>
          <w:tcPr>
            <w:tcW w:w="760" w:type="dxa"/>
            <w:tcBorders>
              <w:top w:val="nil"/>
              <w:left w:val="nil"/>
              <w:bottom w:val="nil"/>
              <w:right w:val="nil"/>
            </w:tcBorders>
          </w:tcPr>
          <w:p w:rsidR="00A46DCA" w:rsidRPr="004477D1"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4477D1">
              <w:rPr>
                <w:rFonts w:eastAsiaTheme="minorEastAsia" w:cs="Calibri"/>
                <w:color w:val="000000"/>
                <w:szCs w:val="16"/>
                <w:lang w:eastAsia="en-AU"/>
              </w:rPr>
              <w:t>5 726</w:t>
            </w:r>
          </w:p>
        </w:tc>
      </w:tr>
      <w:tr w:rsidR="00A46DCA" w:rsidRPr="004477D1" w:rsidTr="007A7C8C">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tcBorders>
              <w:top w:val="single" w:sz="6" w:space="0" w:color="000000"/>
              <w:bottom w:val="single" w:sz="6" w:space="0" w:color="000000"/>
            </w:tcBorders>
          </w:tcPr>
          <w:p w:rsidR="00A46DCA" w:rsidRPr="004477D1" w:rsidRDefault="00A46DCA" w:rsidP="007A7C8C">
            <w:pPr>
              <w:rPr>
                <w:vertAlign w:val="superscript"/>
                <w:lang w:eastAsia="en-AU"/>
              </w:rPr>
            </w:pPr>
            <w:r w:rsidRPr="004477D1">
              <w:rPr>
                <w:lang w:eastAsia="en-AU"/>
              </w:rPr>
              <w:t xml:space="preserve">Cash and cash equivalents at end of reporting period </w:t>
            </w:r>
            <w:r w:rsidRPr="004477D1">
              <w:rPr>
                <w:vertAlign w:val="superscript"/>
                <w:lang w:eastAsia="en-AU"/>
              </w:rPr>
              <w:t>(c)(d)</w:t>
            </w:r>
          </w:p>
        </w:tc>
        <w:tc>
          <w:tcPr>
            <w:tcW w:w="567" w:type="dxa"/>
            <w:tcBorders>
              <w:top w:val="single" w:sz="6" w:space="0" w:color="000000"/>
              <w:bottom w:val="single" w:sz="6" w:space="0" w:color="000000"/>
            </w:tcBorders>
          </w:tcPr>
          <w:p w:rsidR="00A46DCA" w:rsidRPr="004477D1" w:rsidRDefault="00A46DCA" w:rsidP="007A7C8C">
            <w:pPr>
              <w:cnfStyle w:val="010000000000" w:firstRow="0" w:lastRow="1" w:firstColumn="0" w:lastColumn="0" w:oddVBand="0" w:evenVBand="0" w:oddHBand="0" w:evenHBand="0" w:firstRowFirstColumn="0" w:firstRowLastColumn="0" w:lastRowFirstColumn="0" w:lastRowLastColumn="0"/>
              <w:rPr>
                <w:lang w:eastAsia="en-AU"/>
              </w:rPr>
            </w:pPr>
            <w:r w:rsidRPr="004477D1">
              <w:rPr>
                <w:lang w:eastAsia="en-AU"/>
              </w:rPr>
              <w:t xml:space="preserve"> </w:t>
            </w:r>
          </w:p>
        </w:tc>
        <w:tc>
          <w:tcPr>
            <w:tcW w:w="760" w:type="dxa"/>
            <w:tcBorders>
              <w:top w:val="single" w:sz="6" w:space="0" w:color="000000"/>
              <w:bottom w:val="single" w:sz="6" w:space="0" w:color="000000"/>
            </w:tcBorders>
          </w:tcPr>
          <w:p w:rsidR="00A46DCA" w:rsidRPr="004477D1" w:rsidRDefault="00A46DCA" w:rsidP="007A7C8C">
            <w:pPr>
              <w:cnfStyle w:val="010000000000" w:firstRow="0" w:lastRow="1" w:firstColumn="0" w:lastColumn="0" w:oddVBand="0" w:evenVBand="0" w:oddHBand="0" w:evenHBand="0" w:firstRowFirstColumn="0" w:firstRowLastColumn="0" w:lastRowFirstColumn="0" w:lastRowLastColumn="0"/>
              <w:rPr>
                <w:lang w:eastAsia="en-AU"/>
              </w:rPr>
            </w:pPr>
            <w:r w:rsidRPr="004477D1">
              <w:rPr>
                <w:lang w:eastAsia="en-AU"/>
              </w:rPr>
              <w:t>5 937</w:t>
            </w:r>
          </w:p>
        </w:tc>
        <w:tc>
          <w:tcPr>
            <w:tcW w:w="760" w:type="dxa"/>
            <w:tcBorders>
              <w:top w:val="single" w:sz="6" w:space="0" w:color="000000"/>
              <w:bottom w:val="single" w:sz="6" w:space="0" w:color="000000"/>
            </w:tcBorders>
          </w:tcPr>
          <w:p w:rsidR="00A46DCA" w:rsidRPr="004477D1" w:rsidRDefault="00A46DCA" w:rsidP="007A7C8C">
            <w:pPr>
              <w:cnfStyle w:val="010000000000" w:firstRow="0" w:lastRow="1" w:firstColumn="0" w:lastColumn="0" w:oddVBand="0" w:evenVBand="0" w:oddHBand="0" w:evenHBand="0" w:firstRowFirstColumn="0" w:firstRowLastColumn="0" w:lastRowFirstColumn="0" w:lastRowLastColumn="0"/>
              <w:rPr>
                <w:lang w:eastAsia="en-AU"/>
              </w:rPr>
            </w:pPr>
            <w:r w:rsidRPr="004477D1">
              <w:rPr>
                <w:lang w:eastAsia="en-AU"/>
              </w:rPr>
              <w:t>4 776</w:t>
            </w:r>
          </w:p>
        </w:tc>
        <w:tc>
          <w:tcPr>
            <w:tcW w:w="760" w:type="dxa"/>
            <w:tcBorders>
              <w:top w:val="single" w:sz="6" w:space="0" w:color="000000"/>
              <w:bottom w:val="single" w:sz="6" w:space="0" w:color="000000"/>
            </w:tcBorders>
          </w:tcPr>
          <w:p w:rsidR="00A46DCA" w:rsidRPr="004477D1" w:rsidRDefault="00A46DCA" w:rsidP="007A7C8C">
            <w:pPr>
              <w:cnfStyle w:val="010000000000" w:firstRow="0" w:lastRow="1" w:firstColumn="0" w:lastColumn="0" w:oddVBand="0" w:evenVBand="0" w:oddHBand="0" w:evenHBand="0" w:firstRowFirstColumn="0" w:firstRowLastColumn="0" w:lastRowFirstColumn="0" w:lastRowLastColumn="0"/>
              <w:rPr>
                <w:lang w:eastAsia="en-AU"/>
              </w:rPr>
            </w:pPr>
            <w:r w:rsidRPr="004477D1">
              <w:rPr>
                <w:lang w:eastAsia="en-AU"/>
              </w:rPr>
              <w:t>5 199</w:t>
            </w:r>
          </w:p>
        </w:tc>
        <w:tc>
          <w:tcPr>
            <w:tcW w:w="760" w:type="dxa"/>
            <w:tcBorders>
              <w:top w:val="single" w:sz="6" w:space="0" w:color="000000"/>
              <w:bottom w:val="single" w:sz="6" w:space="0" w:color="000000"/>
            </w:tcBorders>
          </w:tcPr>
          <w:p w:rsidR="00A46DCA" w:rsidRPr="004477D1" w:rsidRDefault="00A46DCA" w:rsidP="007A7C8C">
            <w:pPr>
              <w:cnfStyle w:val="010000000000" w:firstRow="0" w:lastRow="1" w:firstColumn="0" w:lastColumn="0" w:oddVBand="0" w:evenVBand="0" w:oddHBand="0" w:evenHBand="0" w:firstRowFirstColumn="0" w:firstRowLastColumn="0" w:lastRowFirstColumn="0" w:lastRowLastColumn="0"/>
              <w:rPr>
                <w:lang w:eastAsia="en-AU"/>
              </w:rPr>
            </w:pPr>
            <w:r w:rsidRPr="004477D1">
              <w:rPr>
                <w:lang w:eastAsia="en-AU"/>
              </w:rPr>
              <w:t>5 726</w:t>
            </w:r>
          </w:p>
        </w:tc>
        <w:tc>
          <w:tcPr>
            <w:tcW w:w="760" w:type="dxa"/>
            <w:tcBorders>
              <w:top w:val="single" w:sz="6" w:space="0" w:color="000000"/>
              <w:bottom w:val="single" w:sz="6" w:space="0" w:color="000000"/>
            </w:tcBorders>
          </w:tcPr>
          <w:p w:rsidR="00A46DCA" w:rsidRPr="004477D1" w:rsidRDefault="00A46DCA" w:rsidP="007A7C8C">
            <w:pPr>
              <w:cnfStyle w:val="010000000000" w:firstRow="0" w:lastRow="1" w:firstColumn="0" w:lastColumn="0" w:oddVBand="0" w:evenVBand="0" w:oddHBand="0" w:evenHBand="0" w:firstRowFirstColumn="0" w:firstRowLastColumn="0" w:lastRowFirstColumn="0" w:lastRowLastColumn="0"/>
              <w:rPr>
                <w:lang w:eastAsia="en-AU"/>
              </w:rPr>
            </w:pPr>
            <w:r w:rsidRPr="004477D1">
              <w:rPr>
                <w:lang w:eastAsia="en-AU"/>
              </w:rPr>
              <w:t>6 000</w:t>
            </w:r>
          </w:p>
        </w:tc>
      </w:tr>
    </w:tbl>
    <w:p w:rsidR="002677DA" w:rsidRDefault="002677DA"/>
    <w:p w:rsidR="002677DA" w:rsidRDefault="002677DA" w:rsidP="002677DA">
      <w:pPr>
        <w:pStyle w:val="Heading10"/>
      </w:pPr>
      <w:r>
        <w:lastRenderedPageBreak/>
        <w:t xml:space="preserve">Estimated general government sector </w:t>
      </w:r>
      <w:r>
        <w:br/>
        <w:t xml:space="preserve">cash flow statement </w:t>
      </w:r>
      <w:r w:rsidRPr="002677DA">
        <w:rPr>
          <w:i/>
          <w:caps w:val="0"/>
          <w:sz w:val="22"/>
        </w:rPr>
        <w:t>(continued)</w:t>
      </w:r>
    </w:p>
    <w:p w:rsidR="002677DA" w:rsidRPr="004477D1" w:rsidRDefault="002677DA" w:rsidP="002677DA">
      <w:pPr>
        <w:pStyle w:val="TableHeading"/>
        <w:rPr>
          <w:bCs/>
          <w:lang w:val="en-US"/>
        </w:rPr>
      </w:pPr>
      <w:r>
        <w:t>For the financial year ended 30 June</w:t>
      </w:r>
      <w:r>
        <w:tab/>
        <w:t>($ million)</w:t>
      </w:r>
    </w:p>
    <w:tbl>
      <w:tblPr>
        <w:tblStyle w:val="DTFTable"/>
        <w:tblW w:w="7769" w:type="dxa"/>
        <w:tblInd w:w="45" w:type="dxa"/>
        <w:tblLayout w:type="fixed"/>
        <w:tblCellMar>
          <w:left w:w="45" w:type="dxa"/>
          <w:right w:w="45" w:type="dxa"/>
        </w:tblCellMar>
        <w:tblLook w:val="06E0" w:firstRow="1" w:lastRow="1" w:firstColumn="1" w:lastColumn="0" w:noHBand="1" w:noVBand="1"/>
      </w:tblPr>
      <w:tblGrid>
        <w:gridCol w:w="3402"/>
        <w:gridCol w:w="567"/>
        <w:gridCol w:w="760"/>
        <w:gridCol w:w="760"/>
        <w:gridCol w:w="760"/>
        <w:gridCol w:w="760"/>
        <w:gridCol w:w="760"/>
      </w:tblGrid>
      <w:tr w:rsidR="002677DA" w:rsidRPr="004477D1" w:rsidTr="004906A4">
        <w:trPr>
          <w:cnfStyle w:val="100000000000" w:firstRow="1" w:lastRow="0" w:firstColumn="0" w:lastColumn="0" w:oddVBand="0" w:evenVBand="0" w:oddHBand="0" w:evenHBand="0" w:firstRowFirstColumn="0" w:firstRowLastColumn="0" w:lastRowFirstColumn="0" w:lastRowLastColumn="0"/>
          <w:trHeight w:val="465"/>
          <w:tblHeader/>
        </w:trPr>
        <w:tc>
          <w:tcPr>
            <w:cnfStyle w:val="001000000000" w:firstRow="0" w:lastRow="0" w:firstColumn="1" w:lastColumn="0" w:oddVBand="0" w:evenVBand="0" w:oddHBand="0" w:evenHBand="0" w:firstRowFirstColumn="0" w:firstRowLastColumn="0" w:lastRowFirstColumn="0" w:lastRowLastColumn="0"/>
            <w:tcW w:w="3402" w:type="dxa"/>
            <w:tcBorders>
              <w:top w:val="nil"/>
              <w:left w:val="nil"/>
              <w:right w:val="nil"/>
            </w:tcBorders>
            <w:shd w:val="solid" w:color="000000" w:fill="auto"/>
          </w:tcPr>
          <w:p w:rsidR="002677DA" w:rsidRPr="004477D1" w:rsidRDefault="002677DA" w:rsidP="004906A4">
            <w:pPr>
              <w:autoSpaceDE w:val="0"/>
              <w:autoSpaceDN w:val="0"/>
              <w:adjustRightInd w:val="0"/>
              <w:rPr>
                <w:rFonts w:eastAsiaTheme="minorEastAsia" w:cs="Calibri"/>
                <w:iCs/>
                <w:color w:val="FFFFFF"/>
                <w:lang w:eastAsia="en-AU"/>
              </w:rPr>
            </w:pPr>
          </w:p>
        </w:tc>
        <w:tc>
          <w:tcPr>
            <w:tcW w:w="567" w:type="dxa"/>
            <w:tcBorders>
              <w:top w:val="nil"/>
              <w:left w:val="nil"/>
              <w:right w:val="nil"/>
            </w:tcBorders>
            <w:shd w:val="solid" w:color="000000" w:fill="auto"/>
          </w:tcPr>
          <w:p w:rsidR="002677DA" w:rsidRPr="004477D1" w:rsidRDefault="002677DA" w:rsidP="004906A4">
            <w:pPr>
              <w:keepLines w:val="0"/>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lang w:eastAsia="en-AU"/>
              </w:rPr>
            </w:pPr>
            <w:r w:rsidRPr="004477D1">
              <w:rPr>
                <w:rFonts w:eastAsiaTheme="minorEastAsia" w:cs="Calibri"/>
                <w:iCs/>
                <w:color w:val="FFFFFF"/>
                <w:szCs w:val="16"/>
                <w:lang w:eastAsia="en-AU"/>
              </w:rPr>
              <w:t>Notes</w:t>
            </w:r>
          </w:p>
        </w:tc>
        <w:tc>
          <w:tcPr>
            <w:tcW w:w="760" w:type="dxa"/>
            <w:tcBorders>
              <w:top w:val="nil"/>
              <w:left w:val="nil"/>
              <w:right w:val="nil"/>
            </w:tcBorders>
            <w:shd w:val="solid" w:color="000000" w:fill="auto"/>
          </w:tcPr>
          <w:p w:rsidR="002677DA" w:rsidRPr="004477D1" w:rsidRDefault="002677DA" w:rsidP="004906A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4477D1">
              <w:rPr>
                <w:rFonts w:eastAsiaTheme="minorEastAsia" w:cs="Calibri"/>
                <w:iCs/>
                <w:color w:val="FFFFFF"/>
                <w:szCs w:val="16"/>
                <w:lang w:eastAsia="en-AU"/>
              </w:rPr>
              <w:t xml:space="preserve">2017-18 </w:t>
            </w:r>
            <w:r>
              <w:rPr>
                <w:rFonts w:eastAsiaTheme="minorEastAsia" w:cs="Calibri"/>
                <w:iCs/>
                <w:color w:val="FFFFFF"/>
                <w:szCs w:val="16"/>
                <w:lang w:eastAsia="en-AU"/>
              </w:rPr>
              <w:br/>
            </w:r>
            <w:r w:rsidRPr="004477D1">
              <w:rPr>
                <w:rFonts w:eastAsiaTheme="minorEastAsia" w:cs="Calibri"/>
                <w:iCs/>
                <w:color w:val="FFFFFF"/>
                <w:szCs w:val="16"/>
                <w:lang w:eastAsia="en-AU"/>
              </w:rPr>
              <w:t>budget</w:t>
            </w:r>
          </w:p>
        </w:tc>
        <w:tc>
          <w:tcPr>
            <w:tcW w:w="760" w:type="dxa"/>
            <w:tcBorders>
              <w:top w:val="nil"/>
              <w:left w:val="nil"/>
              <w:right w:val="nil"/>
            </w:tcBorders>
            <w:shd w:val="solid" w:color="000000" w:fill="auto"/>
          </w:tcPr>
          <w:p w:rsidR="002677DA" w:rsidRPr="004477D1" w:rsidRDefault="002677DA" w:rsidP="004906A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4477D1">
              <w:rPr>
                <w:rFonts w:eastAsiaTheme="minorEastAsia" w:cs="Calibri"/>
                <w:iCs/>
                <w:color w:val="FFFFFF"/>
                <w:szCs w:val="16"/>
                <w:lang w:eastAsia="en-AU"/>
              </w:rPr>
              <w:t xml:space="preserve">2017-18 </w:t>
            </w:r>
            <w:r>
              <w:rPr>
                <w:rFonts w:eastAsiaTheme="minorEastAsia" w:cs="Calibri"/>
                <w:iCs/>
                <w:color w:val="FFFFFF"/>
                <w:szCs w:val="16"/>
                <w:lang w:eastAsia="en-AU"/>
              </w:rPr>
              <w:br/>
            </w:r>
            <w:r w:rsidRPr="004477D1">
              <w:rPr>
                <w:rFonts w:eastAsiaTheme="minorEastAsia" w:cs="Calibri"/>
                <w:iCs/>
                <w:color w:val="FFFFFF"/>
                <w:szCs w:val="16"/>
                <w:lang w:eastAsia="en-AU"/>
              </w:rPr>
              <w:t>revised</w:t>
            </w:r>
          </w:p>
        </w:tc>
        <w:tc>
          <w:tcPr>
            <w:tcW w:w="760" w:type="dxa"/>
            <w:tcBorders>
              <w:top w:val="nil"/>
              <w:left w:val="nil"/>
              <w:right w:val="nil"/>
            </w:tcBorders>
            <w:shd w:val="solid" w:color="000000" w:fill="auto"/>
          </w:tcPr>
          <w:p w:rsidR="002677DA" w:rsidRPr="004477D1" w:rsidRDefault="002677DA" w:rsidP="004906A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4477D1">
              <w:rPr>
                <w:rFonts w:eastAsiaTheme="minorEastAsia" w:cs="Calibri"/>
                <w:iCs/>
                <w:color w:val="FFFFFF"/>
                <w:szCs w:val="16"/>
                <w:lang w:eastAsia="en-AU"/>
              </w:rPr>
              <w:t xml:space="preserve">2018-19 </w:t>
            </w:r>
            <w:r>
              <w:rPr>
                <w:rFonts w:eastAsiaTheme="minorEastAsia" w:cs="Calibri"/>
                <w:iCs/>
                <w:color w:val="FFFFFF"/>
                <w:szCs w:val="16"/>
                <w:lang w:eastAsia="en-AU"/>
              </w:rPr>
              <w:br/>
            </w:r>
            <w:r w:rsidRPr="004477D1">
              <w:rPr>
                <w:rFonts w:eastAsiaTheme="minorEastAsia" w:cs="Calibri"/>
                <w:iCs/>
                <w:color w:val="FFFFFF"/>
                <w:szCs w:val="16"/>
                <w:lang w:eastAsia="en-AU"/>
              </w:rPr>
              <w:t>estimate</w:t>
            </w:r>
          </w:p>
        </w:tc>
        <w:tc>
          <w:tcPr>
            <w:tcW w:w="760" w:type="dxa"/>
            <w:tcBorders>
              <w:top w:val="nil"/>
              <w:left w:val="nil"/>
              <w:right w:val="nil"/>
            </w:tcBorders>
            <w:shd w:val="solid" w:color="000000" w:fill="auto"/>
          </w:tcPr>
          <w:p w:rsidR="002677DA" w:rsidRPr="004477D1" w:rsidRDefault="002677DA" w:rsidP="004906A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4477D1">
              <w:rPr>
                <w:rFonts w:eastAsiaTheme="minorEastAsia" w:cs="Calibri"/>
                <w:iCs/>
                <w:color w:val="FFFFFF"/>
                <w:szCs w:val="16"/>
                <w:lang w:eastAsia="en-AU"/>
              </w:rPr>
              <w:t xml:space="preserve">2019-20 </w:t>
            </w:r>
            <w:r>
              <w:rPr>
                <w:rFonts w:eastAsiaTheme="minorEastAsia" w:cs="Calibri"/>
                <w:iCs/>
                <w:color w:val="FFFFFF"/>
                <w:szCs w:val="16"/>
                <w:lang w:eastAsia="en-AU"/>
              </w:rPr>
              <w:br/>
            </w:r>
            <w:r w:rsidRPr="004477D1">
              <w:rPr>
                <w:rFonts w:eastAsiaTheme="minorEastAsia" w:cs="Calibri"/>
                <w:iCs/>
                <w:color w:val="FFFFFF"/>
                <w:szCs w:val="16"/>
                <w:lang w:eastAsia="en-AU"/>
              </w:rPr>
              <w:t>estimate</w:t>
            </w:r>
          </w:p>
        </w:tc>
        <w:tc>
          <w:tcPr>
            <w:tcW w:w="760" w:type="dxa"/>
            <w:tcBorders>
              <w:top w:val="nil"/>
              <w:left w:val="nil"/>
              <w:right w:val="nil"/>
            </w:tcBorders>
            <w:shd w:val="solid" w:color="000000" w:fill="auto"/>
          </w:tcPr>
          <w:p w:rsidR="002677DA" w:rsidRPr="004477D1" w:rsidRDefault="002677DA" w:rsidP="004906A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4477D1">
              <w:rPr>
                <w:rFonts w:eastAsiaTheme="minorEastAsia" w:cs="Calibri"/>
                <w:iCs/>
                <w:color w:val="FFFFFF"/>
                <w:szCs w:val="16"/>
                <w:lang w:eastAsia="en-AU"/>
              </w:rPr>
              <w:t xml:space="preserve">2020-21 </w:t>
            </w:r>
            <w:r>
              <w:rPr>
                <w:rFonts w:eastAsiaTheme="minorEastAsia" w:cs="Calibri"/>
                <w:iCs/>
                <w:color w:val="FFFFFF"/>
                <w:szCs w:val="16"/>
                <w:lang w:eastAsia="en-AU"/>
              </w:rPr>
              <w:br/>
            </w:r>
            <w:r w:rsidRPr="004477D1">
              <w:rPr>
                <w:rFonts w:eastAsiaTheme="minorEastAsia" w:cs="Calibri"/>
                <w:iCs/>
                <w:color w:val="FFFFFF"/>
                <w:szCs w:val="16"/>
                <w:lang w:eastAsia="en-AU"/>
              </w:rPr>
              <w:t>estimate</w:t>
            </w:r>
          </w:p>
        </w:tc>
      </w:tr>
      <w:tr w:rsidR="00A46DCA" w:rsidRPr="004477D1" w:rsidTr="00A26D04">
        <w:tc>
          <w:tcPr>
            <w:cnfStyle w:val="001000000000" w:firstRow="0" w:lastRow="0" w:firstColumn="1" w:lastColumn="0" w:oddVBand="0" w:evenVBand="0" w:oddHBand="0" w:evenHBand="0" w:firstRowFirstColumn="0" w:firstRowLastColumn="0" w:lastRowFirstColumn="0" w:lastRowLastColumn="0"/>
            <w:tcW w:w="3402" w:type="dxa"/>
            <w:tcBorders>
              <w:top w:val="nil"/>
              <w:left w:val="nil"/>
              <w:bottom w:val="nil"/>
              <w:right w:val="nil"/>
            </w:tcBorders>
          </w:tcPr>
          <w:p w:rsidR="00A46DCA" w:rsidRPr="004477D1" w:rsidRDefault="00A46DCA" w:rsidP="002677DA">
            <w:pPr>
              <w:keepLines w:val="0"/>
              <w:autoSpaceDE w:val="0"/>
              <w:autoSpaceDN w:val="0"/>
              <w:adjustRightInd w:val="0"/>
              <w:rPr>
                <w:rFonts w:eastAsiaTheme="minorEastAsia" w:cs="Calibri"/>
                <w:b/>
                <w:bCs/>
                <w:color w:val="000000"/>
                <w:szCs w:val="16"/>
                <w:lang w:eastAsia="en-AU"/>
              </w:rPr>
            </w:pPr>
            <w:r w:rsidRPr="004477D1">
              <w:rPr>
                <w:rFonts w:eastAsiaTheme="minorEastAsia" w:cs="Calibri"/>
                <w:b/>
                <w:bCs/>
                <w:color w:val="000000"/>
                <w:szCs w:val="16"/>
                <w:lang w:eastAsia="en-AU"/>
              </w:rPr>
              <w:t>FISCAL AGGREGATES</w:t>
            </w:r>
          </w:p>
        </w:tc>
        <w:tc>
          <w:tcPr>
            <w:tcW w:w="567" w:type="dxa"/>
            <w:tcBorders>
              <w:top w:val="nil"/>
              <w:left w:val="nil"/>
              <w:bottom w:val="nil"/>
              <w:right w:val="nil"/>
            </w:tcBorders>
          </w:tcPr>
          <w:p w:rsidR="00A46DCA" w:rsidRPr="004477D1" w:rsidRDefault="00A46DCA" w:rsidP="00A26D04">
            <w:pPr>
              <w:keepLines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bCs/>
                <w:color w:val="000000"/>
                <w:lang w:eastAsia="en-AU"/>
              </w:rPr>
            </w:pPr>
            <w:r w:rsidRPr="004477D1">
              <w:rPr>
                <w:rFonts w:eastAsiaTheme="minorEastAsia" w:cs="Calibri"/>
                <w:bCs/>
                <w:color w:val="000000"/>
                <w:lang w:eastAsia="en-AU"/>
              </w:rPr>
              <w:t xml:space="preserve"> </w:t>
            </w:r>
          </w:p>
        </w:tc>
        <w:tc>
          <w:tcPr>
            <w:tcW w:w="760" w:type="dxa"/>
            <w:tcBorders>
              <w:top w:val="nil"/>
              <w:left w:val="nil"/>
              <w:bottom w:val="nil"/>
              <w:right w:val="nil"/>
            </w:tcBorders>
          </w:tcPr>
          <w:p w:rsidR="00A46DCA" w:rsidRPr="004477D1"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4477D1">
              <w:rPr>
                <w:rFonts w:eastAsiaTheme="minorEastAsia" w:cs="Calibri"/>
                <w:b/>
                <w:bCs/>
                <w:color w:val="000000"/>
                <w:lang w:eastAsia="en-AU"/>
              </w:rPr>
              <w:t xml:space="preserve"> </w:t>
            </w:r>
          </w:p>
        </w:tc>
        <w:tc>
          <w:tcPr>
            <w:tcW w:w="760" w:type="dxa"/>
            <w:tcBorders>
              <w:top w:val="nil"/>
              <w:left w:val="nil"/>
              <w:bottom w:val="nil"/>
              <w:right w:val="nil"/>
            </w:tcBorders>
          </w:tcPr>
          <w:p w:rsidR="00A46DCA" w:rsidRPr="004477D1"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4477D1">
              <w:rPr>
                <w:rFonts w:eastAsiaTheme="minorEastAsia" w:cs="Calibri"/>
                <w:b/>
                <w:bCs/>
                <w:color w:val="000000"/>
                <w:lang w:eastAsia="en-AU"/>
              </w:rPr>
              <w:t xml:space="preserve"> </w:t>
            </w:r>
          </w:p>
        </w:tc>
        <w:tc>
          <w:tcPr>
            <w:tcW w:w="760" w:type="dxa"/>
            <w:tcBorders>
              <w:top w:val="nil"/>
              <w:left w:val="nil"/>
              <w:bottom w:val="nil"/>
              <w:right w:val="nil"/>
            </w:tcBorders>
          </w:tcPr>
          <w:p w:rsidR="00A46DCA" w:rsidRPr="004477D1"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4477D1">
              <w:rPr>
                <w:rFonts w:eastAsiaTheme="minorEastAsia" w:cs="Calibri"/>
                <w:b/>
                <w:bCs/>
                <w:color w:val="000000"/>
                <w:lang w:eastAsia="en-AU"/>
              </w:rPr>
              <w:t xml:space="preserve"> </w:t>
            </w:r>
          </w:p>
        </w:tc>
        <w:tc>
          <w:tcPr>
            <w:tcW w:w="760" w:type="dxa"/>
            <w:tcBorders>
              <w:top w:val="nil"/>
              <w:left w:val="nil"/>
              <w:bottom w:val="nil"/>
              <w:right w:val="nil"/>
            </w:tcBorders>
          </w:tcPr>
          <w:p w:rsidR="00A46DCA" w:rsidRPr="004477D1"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4477D1">
              <w:rPr>
                <w:rFonts w:eastAsiaTheme="minorEastAsia" w:cs="Calibri"/>
                <w:b/>
                <w:bCs/>
                <w:color w:val="000000"/>
                <w:lang w:eastAsia="en-AU"/>
              </w:rPr>
              <w:t xml:space="preserve"> </w:t>
            </w:r>
          </w:p>
        </w:tc>
        <w:tc>
          <w:tcPr>
            <w:tcW w:w="760" w:type="dxa"/>
            <w:tcBorders>
              <w:top w:val="nil"/>
              <w:left w:val="nil"/>
              <w:bottom w:val="nil"/>
              <w:right w:val="nil"/>
            </w:tcBorders>
          </w:tcPr>
          <w:p w:rsidR="00A46DCA" w:rsidRPr="004477D1"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4477D1">
              <w:rPr>
                <w:rFonts w:eastAsiaTheme="minorEastAsia" w:cs="Calibri"/>
                <w:b/>
                <w:bCs/>
                <w:color w:val="000000"/>
                <w:lang w:eastAsia="en-AU"/>
              </w:rPr>
              <w:t xml:space="preserve"> </w:t>
            </w:r>
          </w:p>
        </w:tc>
      </w:tr>
      <w:tr w:rsidR="00A46DCA" w:rsidRPr="004477D1" w:rsidTr="00A26D04">
        <w:tc>
          <w:tcPr>
            <w:cnfStyle w:val="001000000000" w:firstRow="0" w:lastRow="0" w:firstColumn="1" w:lastColumn="0" w:oddVBand="0" w:evenVBand="0" w:oddHBand="0" w:evenHBand="0" w:firstRowFirstColumn="0" w:firstRowLastColumn="0" w:lastRowFirstColumn="0" w:lastRowLastColumn="0"/>
            <w:tcW w:w="3402" w:type="dxa"/>
            <w:tcBorders>
              <w:top w:val="nil"/>
              <w:left w:val="nil"/>
              <w:bottom w:val="nil"/>
              <w:right w:val="nil"/>
            </w:tcBorders>
          </w:tcPr>
          <w:p w:rsidR="00A46DCA" w:rsidRPr="004477D1" w:rsidRDefault="00A46DCA" w:rsidP="00A26D04">
            <w:pPr>
              <w:keepLines w:val="0"/>
              <w:autoSpaceDE w:val="0"/>
              <w:autoSpaceDN w:val="0"/>
              <w:adjustRightInd w:val="0"/>
              <w:rPr>
                <w:rFonts w:eastAsiaTheme="minorEastAsia" w:cs="Calibri"/>
                <w:color w:val="000000"/>
                <w:szCs w:val="16"/>
                <w:lang w:eastAsia="en-AU"/>
              </w:rPr>
            </w:pPr>
            <w:r w:rsidRPr="004477D1">
              <w:rPr>
                <w:rFonts w:eastAsiaTheme="minorEastAsia" w:cs="Calibri"/>
                <w:color w:val="000000"/>
                <w:szCs w:val="16"/>
                <w:lang w:eastAsia="en-AU"/>
              </w:rPr>
              <w:t>Net cash flows from operating activities</w:t>
            </w:r>
          </w:p>
        </w:tc>
        <w:tc>
          <w:tcPr>
            <w:tcW w:w="567" w:type="dxa"/>
            <w:tcBorders>
              <w:top w:val="nil"/>
              <w:left w:val="nil"/>
              <w:bottom w:val="nil"/>
              <w:right w:val="nil"/>
            </w:tcBorders>
          </w:tcPr>
          <w:p w:rsidR="00A46DCA" w:rsidRPr="004477D1" w:rsidRDefault="00A46DCA" w:rsidP="00A26D04">
            <w:pPr>
              <w:keepLines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4477D1">
              <w:rPr>
                <w:rFonts w:eastAsiaTheme="minorEastAsia" w:cs="Calibri"/>
                <w:color w:val="000000"/>
                <w:lang w:eastAsia="en-AU"/>
              </w:rPr>
              <w:t xml:space="preserve"> </w:t>
            </w:r>
          </w:p>
        </w:tc>
        <w:tc>
          <w:tcPr>
            <w:tcW w:w="760" w:type="dxa"/>
            <w:tcBorders>
              <w:top w:val="nil"/>
              <w:left w:val="nil"/>
              <w:bottom w:val="nil"/>
              <w:right w:val="nil"/>
            </w:tcBorders>
          </w:tcPr>
          <w:p w:rsidR="00A46DCA" w:rsidRPr="004477D1"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4477D1">
              <w:rPr>
                <w:rFonts w:eastAsiaTheme="minorEastAsia" w:cs="Calibri"/>
                <w:color w:val="000000"/>
                <w:szCs w:val="16"/>
                <w:lang w:eastAsia="en-AU"/>
              </w:rPr>
              <w:t>3 601</w:t>
            </w:r>
          </w:p>
        </w:tc>
        <w:tc>
          <w:tcPr>
            <w:tcW w:w="760" w:type="dxa"/>
            <w:tcBorders>
              <w:top w:val="nil"/>
              <w:left w:val="nil"/>
              <w:bottom w:val="nil"/>
              <w:right w:val="nil"/>
            </w:tcBorders>
          </w:tcPr>
          <w:p w:rsidR="00A46DCA" w:rsidRPr="004477D1"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4477D1">
              <w:rPr>
                <w:rFonts w:eastAsiaTheme="minorEastAsia" w:cs="Calibri"/>
                <w:color w:val="000000"/>
                <w:szCs w:val="16"/>
                <w:lang w:eastAsia="en-AU"/>
              </w:rPr>
              <w:t>3 893</w:t>
            </w:r>
          </w:p>
        </w:tc>
        <w:tc>
          <w:tcPr>
            <w:tcW w:w="760" w:type="dxa"/>
            <w:tcBorders>
              <w:top w:val="nil"/>
              <w:left w:val="nil"/>
              <w:bottom w:val="nil"/>
              <w:right w:val="nil"/>
            </w:tcBorders>
          </w:tcPr>
          <w:p w:rsidR="00A46DCA" w:rsidRPr="004477D1"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4477D1">
              <w:rPr>
                <w:rFonts w:eastAsiaTheme="minorEastAsia" w:cs="Calibri"/>
                <w:color w:val="000000"/>
                <w:szCs w:val="16"/>
                <w:lang w:eastAsia="en-AU"/>
              </w:rPr>
              <w:t>5 961</w:t>
            </w:r>
          </w:p>
        </w:tc>
        <w:tc>
          <w:tcPr>
            <w:tcW w:w="760" w:type="dxa"/>
            <w:tcBorders>
              <w:top w:val="nil"/>
              <w:left w:val="nil"/>
              <w:bottom w:val="nil"/>
              <w:right w:val="nil"/>
            </w:tcBorders>
          </w:tcPr>
          <w:p w:rsidR="00A46DCA" w:rsidRPr="004477D1"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4477D1">
              <w:rPr>
                <w:rFonts w:eastAsiaTheme="minorEastAsia" w:cs="Calibri"/>
                <w:color w:val="000000"/>
                <w:szCs w:val="16"/>
                <w:lang w:eastAsia="en-AU"/>
              </w:rPr>
              <w:t>4 122</w:t>
            </w:r>
          </w:p>
        </w:tc>
        <w:tc>
          <w:tcPr>
            <w:tcW w:w="760" w:type="dxa"/>
            <w:tcBorders>
              <w:top w:val="nil"/>
              <w:left w:val="nil"/>
              <w:bottom w:val="nil"/>
              <w:right w:val="nil"/>
            </w:tcBorders>
          </w:tcPr>
          <w:p w:rsidR="00A46DCA" w:rsidRPr="004477D1"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4477D1">
              <w:rPr>
                <w:rFonts w:eastAsiaTheme="minorEastAsia" w:cs="Calibri"/>
                <w:color w:val="000000"/>
                <w:szCs w:val="16"/>
                <w:lang w:eastAsia="en-AU"/>
              </w:rPr>
              <w:t>4 771</w:t>
            </w:r>
          </w:p>
        </w:tc>
      </w:tr>
      <w:tr w:rsidR="00A46DCA" w:rsidRPr="004477D1" w:rsidTr="00A26D04">
        <w:tc>
          <w:tcPr>
            <w:cnfStyle w:val="001000000000" w:firstRow="0" w:lastRow="0" w:firstColumn="1" w:lastColumn="0" w:oddVBand="0" w:evenVBand="0" w:oddHBand="0" w:evenHBand="0" w:firstRowFirstColumn="0" w:firstRowLastColumn="0" w:lastRowFirstColumn="0" w:lastRowLastColumn="0"/>
            <w:tcW w:w="3402" w:type="dxa"/>
            <w:tcBorders>
              <w:top w:val="nil"/>
              <w:left w:val="nil"/>
              <w:bottom w:val="nil"/>
              <w:right w:val="nil"/>
            </w:tcBorders>
          </w:tcPr>
          <w:p w:rsidR="00A46DCA" w:rsidRPr="004477D1" w:rsidRDefault="00A46DCA" w:rsidP="00A26D04">
            <w:pPr>
              <w:keepLines w:val="0"/>
              <w:autoSpaceDE w:val="0"/>
              <w:autoSpaceDN w:val="0"/>
              <w:adjustRightInd w:val="0"/>
              <w:rPr>
                <w:rFonts w:eastAsiaTheme="minorEastAsia" w:cs="Calibri"/>
                <w:color w:val="000000"/>
                <w:szCs w:val="16"/>
                <w:lang w:eastAsia="en-AU"/>
              </w:rPr>
            </w:pPr>
            <w:r w:rsidRPr="004477D1">
              <w:rPr>
                <w:rFonts w:eastAsiaTheme="minorEastAsia" w:cs="Calibri"/>
                <w:color w:val="000000"/>
                <w:szCs w:val="16"/>
                <w:lang w:eastAsia="en-AU"/>
              </w:rPr>
              <w:t xml:space="preserve">Net cash flows from investments in </w:t>
            </w:r>
            <w:r>
              <w:rPr>
                <w:rFonts w:eastAsiaTheme="minorEastAsia" w:cs="Calibri"/>
                <w:color w:val="000000"/>
                <w:szCs w:val="16"/>
                <w:lang w:eastAsia="en-AU"/>
              </w:rPr>
              <w:br/>
            </w:r>
            <w:r w:rsidRPr="004477D1">
              <w:rPr>
                <w:rFonts w:eastAsiaTheme="minorEastAsia" w:cs="Calibri"/>
                <w:color w:val="000000"/>
                <w:szCs w:val="16"/>
                <w:lang w:eastAsia="en-AU"/>
              </w:rPr>
              <w:t>non-financial assets</w:t>
            </w:r>
          </w:p>
        </w:tc>
        <w:tc>
          <w:tcPr>
            <w:tcW w:w="567" w:type="dxa"/>
            <w:tcBorders>
              <w:top w:val="nil"/>
              <w:left w:val="nil"/>
              <w:bottom w:val="nil"/>
              <w:right w:val="nil"/>
            </w:tcBorders>
          </w:tcPr>
          <w:p w:rsidR="00A46DCA" w:rsidRPr="004477D1" w:rsidRDefault="00A46DCA" w:rsidP="00A26D04">
            <w:pPr>
              <w:keepLines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4477D1">
              <w:rPr>
                <w:rFonts w:eastAsiaTheme="minorEastAsia" w:cs="Calibri"/>
                <w:color w:val="000000"/>
                <w:lang w:eastAsia="en-AU"/>
              </w:rPr>
              <w:t xml:space="preserve"> </w:t>
            </w:r>
          </w:p>
        </w:tc>
        <w:tc>
          <w:tcPr>
            <w:tcW w:w="760" w:type="dxa"/>
            <w:tcBorders>
              <w:top w:val="nil"/>
              <w:left w:val="nil"/>
              <w:bottom w:val="nil"/>
              <w:right w:val="nil"/>
            </w:tcBorders>
          </w:tcPr>
          <w:p w:rsidR="00A46DCA" w:rsidRPr="004477D1"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(8 277)</w:t>
            </w:r>
          </w:p>
        </w:tc>
        <w:tc>
          <w:tcPr>
            <w:tcW w:w="760" w:type="dxa"/>
            <w:tcBorders>
              <w:top w:val="nil"/>
              <w:left w:val="nil"/>
              <w:bottom w:val="nil"/>
              <w:right w:val="nil"/>
            </w:tcBorders>
          </w:tcPr>
          <w:p w:rsidR="00A46DCA" w:rsidRPr="004477D1"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(8 757)</w:t>
            </w:r>
          </w:p>
        </w:tc>
        <w:tc>
          <w:tcPr>
            <w:tcW w:w="760" w:type="dxa"/>
            <w:tcBorders>
              <w:top w:val="nil"/>
              <w:left w:val="nil"/>
              <w:bottom w:val="nil"/>
              <w:right w:val="nil"/>
            </w:tcBorders>
          </w:tcPr>
          <w:p w:rsidR="00A46DCA" w:rsidRPr="004477D1"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(7 813)</w:t>
            </w:r>
          </w:p>
        </w:tc>
        <w:tc>
          <w:tcPr>
            <w:tcW w:w="760" w:type="dxa"/>
            <w:tcBorders>
              <w:top w:val="nil"/>
              <w:left w:val="nil"/>
              <w:bottom w:val="nil"/>
              <w:right w:val="nil"/>
            </w:tcBorders>
          </w:tcPr>
          <w:p w:rsidR="00A46DCA" w:rsidRPr="004477D1"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(6 675)</w:t>
            </w:r>
          </w:p>
        </w:tc>
        <w:tc>
          <w:tcPr>
            <w:tcW w:w="760" w:type="dxa"/>
            <w:tcBorders>
              <w:top w:val="nil"/>
              <w:left w:val="nil"/>
              <w:bottom w:val="nil"/>
              <w:right w:val="nil"/>
            </w:tcBorders>
          </w:tcPr>
          <w:p w:rsidR="00A46DCA" w:rsidRPr="004477D1"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(7 120)</w:t>
            </w:r>
          </w:p>
        </w:tc>
      </w:tr>
      <w:tr w:rsidR="00A46DCA" w:rsidRPr="004477D1" w:rsidTr="00A26D04">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tcBorders>
              <w:top w:val="single" w:sz="6" w:space="0" w:color="000000"/>
              <w:bottom w:val="single" w:sz="12" w:space="0" w:color="000000"/>
            </w:tcBorders>
          </w:tcPr>
          <w:p w:rsidR="00A46DCA" w:rsidRPr="004477D1" w:rsidRDefault="00A46DCA" w:rsidP="00A26D04">
            <w:pPr>
              <w:keepLines w:val="0"/>
              <w:autoSpaceDE w:val="0"/>
              <w:autoSpaceDN w:val="0"/>
              <w:adjustRightInd w:val="0"/>
              <w:rPr>
                <w:rFonts w:eastAsiaTheme="minorEastAsia" w:cs="Calibri"/>
                <w:bCs/>
                <w:color w:val="000000"/>
                <w:szCs w:val="16"/>
                <w:lang w:eastAsia="en-AU"/>
              </w:rPr>
            </w:pPr>
            <w:r w:rsidRPr="004477D1">
              <w:rPr>
                <w:rFonts w:eastAsiaTheme="minorEastAsia" w:cs="Calibri"/>
                <w:bCs/>
                <w:color w:val="000000"/>
                <w:szCs w:val="16"/>
                <w:lang w:eastAsia="en-AU"/>
              </w:rPr>
              <w:t>Cash surplus/(deficit)</w:t>
            </w:r>
          </w:p>
        </w:tc>
        <w:tc>
          <w:tcPr>
            <w:tcW w:w="567" w:type="dxa"/>
            <w:tcBorders>
              <w:top w:val="single" w:sz="6" w:space="0" w:color="000000"/>
              <w:bottom w:val="single" w:sz="12" w:space="0" w:color="000000"/>
            </w:tcBorders>
          </w:tcPr>
          <w:p w:rsidR="00A46DCA" w:rsidRPr="004477D1" w:rsidRDefault="00A46DCA" w:rsidP="00A26D04">
            <w:pPr>
              <w:keepLines w:val="0"/>
              <w:autoSpaceDE w:val="0"/>
              <w:autoSpaceDN w:val="0"/>
              <w:adjustRightInd w:val="0"/>
              <w:jc w:val="center"/>
              <w:cnfStyle w:val="010000000000" w:firstRow="0" w:lastRow="1" w:firstColumn="0" w:lastColumn="0" w:oddVBand="0" w:evenVBand="0" w:oddHBand="0" w:evenHBand="0" w:firstRowFirstColumn="0" w:firstRowLastColumn="0" w:lastRowFirstColumn="0" w:lastRowLastColumn="0"/>
              <w:rPr>
                <w:rFonts w:eastAsiaTheme="minorEastAsia" w:cs="Calibri"/>
                <w:b w:val="0"/>
                <w:bCs/>
                <w:color w:val="000000"/>
                <w:lang w:eastAsia="en-AU"/>
              </w:rPr>
            </w:pPr>
            <w:r w:rsidRPr="004477D1">
              <w:rPr>
                <w:rFonts w:eastAsiaTheme="minorEastAsia" w:cs="Calibri"/>
                <w:b w:val="0"/>
                <w:bCs/>
                <w:color w:val="000000"/>
                <w:lang w:eastAsia="en-AU"/>
              </w:rPr>
              <w:t xml:space="preserve"> </w:t>
            </w:r>
          </w:p>
        </w:tc>
        <w:tc>
          <w:tcPr>
            <w:tcW w:w="760" w:type="dxa"/>
            <w:tcBorders>
              <w:top w:val="single" w:sz="6" w:space="0" w:color="000000"/>
              <w:bottom w:val="single" w:sz="12" w:space="0" w:color="000000"/>
            </w:tcBorders>
          </w:tcPr>
          <w:p w:rsidR="00A46DCA" w:rsidRPr="004477D1" w:rsidRDefault="00A46DCA" w:rsidP="00A26D0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6"/>
                <w:lang w:eastAsia="en-AU"/>
              </w:rPr>
            </w:pPr>
            <w:r>
              <w:rPr>
                <w:rFonts w:eastAsiaTheme="minorEastAsia" w:cs="Calibri"/>
                <w:bCs/>
                <w:color w:val="000000"/>
                <w:szCs w:val="16"/>
                <w:lang w:eastAsia="en-AU"/>
              </w:rPr>
              <w:t>(4 676)</w:t>
            </w:r>
          </w:p>
        </w:tc>
        <w:tc>
          <w:tcPr>
            <w:tcW w:w="760" w:type="dxa"/>
            <w:tcBorders>
              <w:top w:val="single" w:sz="6" w:space="0" w:color="000000"/>
              <w:bottom w:val="single" w:sz="12" w:space="0" w:color="000000"/>
            </w:tcBorders>
          </w:tcPr>
          <w:p w:rsidR="00A46DCA" w:rsidRPr="004477D1" w:rsidRDefault="00A46DCA" w:rsidP="00A26D0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6"/>
                <w:lang w:eastAsia="en-AU"/>
              </w:rPr>
            </w:pPr>
            <w:r>
              <w:rPr>
                <w:rFonts w:eastAsiaTheme="minorEastAsia" w:cs="Calibri"/>
                <w:bCs/>
                <w:color w:val="000000"/>
                <w:szCs w:val="16"/>
                <w:lang w:eastAsia="en-AU"/>
              </w:rPr>
              <w:t>(4 864)</w:t>
            </w:r>
          </w:p>
        </w:tc>
        <w:tc>
          <w:tcPr>
            <w:tcW w:w="760" w:type="dxa"/>
            <w:tcBorders>
              <w:top w:val="single" w:sz="6" w:space="0" w:color="000000"/>
              <w:bottom w:val="single" w:sz="12" w:space="0" w:color="000000"/>
            </w:tcBorders>
          </w:tcPr>
          <w:p w:rsidR="00A46DCA" w:rsidRPr="004477D1" w:rsidRDefault="00A46DCA" w:rsidP="00A26D0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6"/>
                <w:lang w:eastAsia="en-AU"/>
              </w:rPr>
            </w:pPr>
            <w:r>
              <w:rPr>
                <w:rFonts w:eastAsiaTheme="minorEastAsia" w:cs="Calibri"/>
                <w:bCs/>
                <w:color w:val="000000"/>
                <w:szCs w:val="16"/>
                <w:lang w:eastAsia="en-AU"/>
              </w:rPr>
              <w:t>(1 852)</w:t>
            </w:r>
          </w:p>
        </w:tc>
        <w:tc>
          <w:tcPr>
            <w:tcW w:w="760" w:type="dxa"/>
            <w:tcBorders>
              <w:top w:val="single" w:sz="6" w:space="0" w:color="000000"/>
              <w:bottom w:val="single" w:sz="12" w:space="0" w:color="000000"/>
            </w:tcBorders>
          </w:tcPr>
          <w:p w:rsidR="00A46DCA" w:rsidRPr="004477D1" w:rsidRDefault="00A46DCA" w:rsidP="00A26D0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6"/>
                <w:lang w:eastAsia="en-AU"/>
              </w:rPr>
            </w:pPr>
            <w:r>
              <w:rPr>
                <w:rFonts w:eastAsiaTheme="minorEastAsia" w:cs="Calibri"/>
                <w:bCs/>
                <w:color w:val="000000"/>
                <w:szCs w:val="16"/>
                <w:lang w:eastAsia="en-AU"/>
              </w:rPr>
              <w:t>(2 552)</w:t>
            </w:r>
          </w:p>
        </w:tc>
        <w:tc>
          <w:tcPr>
            <w:tcW w:w="760" w:type="dxa"/>
            <w:tcBorders>
              <w:top w:val="single" w:sz="6" w:space="0" w:color="000000"/>
              <w:bottom w:val="single" w:sz="12" w:space="0" w:color="000000"/>
            </w:tcBorders>
          </w:tcPr>
          <w:p w:rsidR="00A46DCA" w:rsidRPr="004477D1" w:rsidRDefault="00A46DCA" w:rsidP="00A26D0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6"/>
                <w:lang w:eastAsia="en-AU"/>
              </w:rPr>
            </w:pPr>
            <w:r>
              <w:rPr>
                <w:rFonts w:eastAsiaTheme="minorEastAsia" w:cs="Calibri"/>
                <w:bCs/>
                <w:color w:val="000000"/>
                <w:szCs w:val="16"/>
                <w:lang w:eastAsia="en-AU"/>
              </w:rPr>
              <w:t>(2 349)</w:t>
            </w:r>
          </w:p>
        </w:tc>
      </w:tr>
    </w:tbl>
    <w:p w:rsidR="00A46DCA" w:rsidRPr="00D87D22" w:rsidRDefault="00A46DCA" w:rsidP="00A26D04">
      <w:pPr>
        <w:pStyle w:val="Source"/>
      </w:pPr>
      <w:r w:rsidRPr="00D87D22">
        <w:t>Source: Department of Treasury and Finance</w:t>
      </w:r>
    </w:p>
    <w:p w:rsidR="00A46DCA" w:rsidRDefault="00A46DCA" w:rsidP="00A26D04">
      <w:pPr>
        <w:pStyle w:val="Source"/>
      </w:pPr>
      <w:r>
        <w:t>The accompanying notes form part of these Estimated Financial Statements.</w:t>
      </w:r>
    </w:p>
    <w:p w:rsidR="00A46DCA" w:rsidRDefault="00A46DCA" w:rsidP="00A26D04">
      <w:pPr>
        <w:pStyle w:val="Note"/>
      </w:pPr>
      <w:r>
        <w:t>Notes:</w:t>
      </w:r>
    </w:p>
    <w:p w:rsidR="00A46DCA" w:rsidRDefault="00A46DCA" w:rsidP="00A26D04">
      <w:pPr>
        <w:pStyle w:val="Note"/>
      </w:pPr>
      <w:r>
        <w:t>(a)</w:t>
      </w:r>
      <w:r>
        <w:tab/>
        <w:t>Inclusive of goods and services tax.</w:t>
      </w:r>
    </w:p>
    <w:p w:rsidR="00A46DCA" w:rsidRPr="00BE2377" w:rsidRDefault="00A46DCA" w:rsidP="00A26D04">
      <w:pPr>
        <w:pStyle w:val="Note"/>
      </w:pPr>
      <w:r w:rsidRPr="00255709">
        <w:t>(b)</w:t>
      </w:r>
      <w:r w:rsidRPr="00255709">
        <w:tab/>
        <w:t xml:space="preserve">Includes net advances to </w:t>
      </w:r>
      <w:r>
        <w:t xml:space="preserve">PNFCs </w:t>
      </w:r>
      <w:r w:rsidRPr="00255709">
        <w:t>for policy purposes of $2 907 million in 2017-</w:t>
      </w:r>
      <w:r>
        <w:t>18, $1 648</w:t>
      </w:r>
      <w:r w:rsidRPr="00255709">
        <w:t> million in 2018-19,</w:t>
      </w:r>
      <w:r>
        <w:t xml:space="preserve"> $1 525</w:t>
      </w:r>
      <w:r w:rsidRPr="00255709">
        <w:t xml:space="preserve"> million in 2019-20</w:t>
      </w:r>
      <w:r>
        <w:t xml:space="preserve"> and $1 592</w:t>
      </w:r>
      <w:r w:rsidRPr="00255709">
        <w:t xml:space="preserve"> million in 2020-21.</w:t>
      </w:r>
    </w:p>
    <w:p w:rsidR="00A46DCA" w:rsidRDefault="00A46DCA" w:rsidP="00A26D04">
      <w:pPr>
        <w:pStyle w:val="Note"/>
      </w:pPr>
      <w:r>
        <w:t>(c)</w:t>
      </w:r>
      <w:r>
        <w:tab/>
      </w:r>
      <w:r w:rsidRPr="00812D30">
        <w:rPr>
          <w:i w:val="0"/>
        </w:rPr>
        <w:t>2017-18 Budget</w:t>
      </w:r>
      <w:r>
        <w:t xml:space="preserve"> figures have been restated to represent actual opening balances at 1 July 2017.</w:t>
      </w:r>
    </w:p>
    <w:p w:rsidR="00A46DCA" w:rsidRPr="00440998" w:rsidRDefault="00A46DCA" w:rsidP="00A26D04">
      <w:pPr>
        <w:pStyle w:val="Note"/>
      </w:pPr>
      <w:r w:rsidRPr="00011715">
        <w:t>(d)</w:t>
      </w:r>
      <w:r w:rsidRPr="00011715">
        <w:tab/>
        <w:t>Cash and cash equivalents at the end of the reporting period does not equal cash and depo</w:t>
      </w:r>
      <w:r>
        <w:t>sits on the balance sheet. This </w:t>
      </w:r>
      <w:r w:rsidRPr="00011715">
        <w:t>is due to overdrafts being included in the cash flow statement balances.</w:t>
      </w:r>
    </w:p>
    <w:p w:rsidR="00A46DCA" w:rsidRDefault="00A46DCA" w:rsidP="00A26D04"/>
    <w:p w:rsidR="00A46DCA" w:rsidRDefault="00A46DCA">
      <w:pPr>
        <w:keepLines w:val="0"/>
      </w:pPr>
      <w:r>
        <w:br w:type="page"/>
      </w:r>
    </w:p>
    <w:p w:rsidR="00A46DCA" w:rsidRDefault="00A46DCA" w:rsidP="00A26D04">
      <w:pPr>
        <w:pStyle w:val="Heading10"/>
      </w:pPr>
      <w:bookmarkStart w:id="25" w:name="_Toc500435577"/>
      <w:r>
        <w:lastRenderedPageBreak/>
        <w:t xml:space="preserve">Estimated general government sector </w:t>
      </w:r>
      <w:r>
        <w:br/>
        <w:t>statement of changes in equity</w:t>
      </w:r>
      <w:bookmarkEnd w:id="25"/>
    </w:p>
    <w:p w:rsidR="00A46DCA" w:rsidRPr="00AC137D" w:rsidRDefault="00A46DCA" w:rsidP="00A26D04">
      <w:pPr>
        <w:pStyle w:val="TableHeading"/>
        <w:rPr>
          <w:bCs/>
          <w:lang w:val="en-US"/>
        </w:rPr>
      </w:pPr>
      <w:r>
        <w:t>For the financial year ended 30 June</w:t>
      </w:r>
      <w:r>
        <w:tab/>
        <w:t>($ million)</w:t>
      </w:r>
    </w:p>
    <w:tbl>
      <w:tblPr>
        <w:tblStyle w:val="DTFTable"/>
        <w:tblW w:w="7767" w:type="dxa"/>
        <w:tblInd w:w="45" w:type="dxa"/>
        <w:tblLayout w:type="fixed"/>
        <w:tblCellMar>
          <w:left w:w="45" w:type="dxa"/>
          <w:right w:w="45" w:type="dxa"/>
        </w:tblCellMar>
        <w:tblLook w:val="06E0" w:firstRow="1" w:lastRow="1" w:firstColumn="1" w:lastColumn="0" w:noHBand="1" w:noVBand="1"/>
      </w:tblPr>
      <w:tblGrid>
        <w:gridCol w:w="4394"/>
        <w:gridCol w:w="1417"/>
        <w:gridCol w:w="1956"/>
      </w:tblGrid>
      <w:tr w:rsidR="00A46DCA" w:rsidRPr="00AC137D" w:rsidTr="002677DA">
        <w:trPr>
          <w:cnfStyle w:val="100000000000" w:firstRow="1" w:lastRow="0" w:firstColumn="0" w:lastColumn="0" w:oddVBand="0" w:evenVBand="0" w:oddHBand="0" w:evenHBand="0" w:firstRowFirstColumn="0" w:firstRowLastColumn="0" w:lastRowFirstColumn="0" w:lastRowLastColumn="0"/>
          <w:trHeight w:val="70"/>
          <w:tblHeader/>
        </w:trPr>
        <w:tc>
          <w:tcPr>
            <w:cnfStyle w:val="001000000000" w:firstRow="0" w:lastRow="0" w:firstColumn="1" w:lastColumn="0" w:oddVBand="0" w:evenVBand="0" w:oddHBand="0" w:evenHBand="0" w:firstRowFirstColumn="0" w:firstRowLastColumn="0" w:lastRowFirstColumn="0" w:lastRowLastColumn="0"/>
            <w:tcW w:w="4394" w:type="dxa"/>
            <w:tcBorders>
              <w:top w:val="nil"/>
              <w:left w:val="nil"/>
              <w:bottom w:val="nil"/>
              <w:right w:val="nil"/>
            </w:tcBorders>
            <w:shd w:val="solid" w:color="000000" w:fill="auto"/>
          </w:tcPr>
          <w:p w:rsidR="00A46DCA" w:rsidRPr="00AC137D" w:rsidRDefault="00A46DCA" w:rsidP="00A26D04">
            <w:pPr>
              <w:autoSpaceDE w:val="0"/>
              <w:autoSpaceDN w:val="0"/>
              <w:adjustRightInd w:val="0"/>
              <w:rPr>
                <w:rFonts w:eastAsiaTheme="minorEastAsia" w:cs="Calibri"/>
                <w:iCs/>
                <w:color w:val="FFFFFF"/>
                <w:lang w:eastAsia="en-AU"/>
              </w:rPr>
            </w:pPr>
            <w:r w:rsidRPr="00AC137D">
              <w:rPr>
                <w:rFonts w:eastAsiaTheme="minorEastAsia" w:cs="Calibri"/>
                <w:iCs/>
                <w:color w:val="FFFFFF"/>
                <w:lang w:eastAsia="en-AU"/>
              </w:rPr>
              <w:t xml:space="preserve"> </w:t>
            </w:r>
          </w:p>
        </w:tc>
        <w:tc>
          <w:tcPr>
            <w:tcW w:w="1417" w:type="dxa"/>
            <w:tcBorders>
              <w:top w:val="nil"/>
              <w:left w:val="nil"/>
              <w:bottom w:val="nil"/>
              <w:right w:val="nil"/>
            </w:tcBorders>
            <w:shd w:val="solid" w:color="000000" w:fill="auto"/>
          </w:tcPr>
          <w:p w:rsidR="00A46DCA" w:rsidRPr="00AC137D" w:rsidRDefault="00A46DCA" w:rsidP="00A26D0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21"/>
                <w:lang w:eastAsia="en-AU"/>
              </w:rPr>
            </w:pPr>
            <w:r w:rsidRPr="00AC137D">
              <w:rPr>
                <w:rFonts w:eastAsiaTheme="minorEastAsia" w:cs="Calibri"/>
                <w:iCs/>
                <w:color w:val="FFFFFF"/>
                <w:szCs w:val="21"/>
                <w:lang w:eastAsia="en-AU"/>
              </w:rPr>
              <w:t>Accumulated surplus/(deficit)</w:t>
            </w:r>
          </w:p>
        </w:tc>
        <w:tc>
          <w:tcPr>
            <w:tcW w:w="1956" w:type="dxa"/>
            <w:tcBorders>
              <w:top w:val="nil"/>
              <w:left w:val="nil"/>
              <w:bottom w:val="nil"/>
              <w:right w:val="nil"/>
            </w:tcBorders>
            <w:shd w:val="solid" w:color="000000" w:fill="auto"/>
          </w:tcPr>
          <w:p w:rsidR="00A46DCA" w:rsidRPr="00AC137D" w:rsidRDefault="00A46DCA" w:rsidP="00A26D0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21"/>
                <w:lang w:eastAsia="en-AU"/>
              </w:rPr>
            </w:pPr>
            <w:r w:rsidRPr="00AC137D">
              <w:rPr>
                <w:rFonts w:eastAsiaTheme="minorEastAsia" w:cs="Calibri"/>
                <w:iCs/>
                <w:color w:val="FFFFFF"/>
                <w:szCs w:val="21"/>
                <w:lang w:eastAsia="en-AU"/>
              </w:rPr>
              <w:t>Non-financial assets revaluation surplus</w:t>
            </w:r>
          </w:p>
        </w:tc>
      </w:tr>
      <w:tr w:rsidR="00A46DCA" w:rsidRPr="00AC137D" w:rsidTr="00A26D04">
        <w:tc>
          <w:tcPr>
            <w:cnfStyle w:val="001000000000" w:firstRow="0" w:lastRow="0" w:firstColumn="1" w:lastColumn="0" w:oddVBand="0" w:evenVBand="0" w:oddHBand="0" w:evenHBand="0" w:firstRowFirstColumn="0" w:firstRowLastColumn="0" w:lastRowFirstColumn="0" w:lastRowLastColumn="0"/>
            <w:tcW w:w="4394" w:type="dxa"/>
            <w:tcBorders>
              <w:top w:val="nil"/>
              <w:left w:val="nil"/>
              <w:bottom w:val="nil"/>
              <w:right w:val="nil"/>
            </w:tcBorders>
          </w:tcPr>
          <w:p w:rsidR="00A46DCA" w:rsidRPr="00AC137D" w:rsidRDefault="00A46DCA" w:rsidP="00A26D04">
            <w:pPr>
              <w:keepLines w:val="0"/>
              <w:autoSpaceDE w:val="0"/>
              <w:autoSpaceDN w:val="0"/>
              <w:adjustRightInd w:val="0"/>
              <w:rPr>
                <w:rFonts w:eastAsiaTheme="minorEastAsia" w:cs="Calibri"/>
                <w:b/>
                <w:bCs/>
                <w:color w:val="000000"/>
                <w:szCs w:val="20"/>
                <w:vertAlign w:val="superscript"/>
                <w:lang w:eastAsia="en-AU"/>
              </w:rPr>
            </w:pPr>
            <w:r w:rsidRPr="00AC137D">
              <w:rPr>
                <w:rFonts w:eastAsiaTheme="minorEastAsia" w:cs="Calibri"/>
                <w:b/>
                <w:bCs/>
                <w:color w:val="000000"/>
                <w:szCs w:val="20"/>
                <w:lang w:eastAsia="en-AU"/>
              </w:rPr>
              <w:t xml:space="preserve">2017-18 budget </w:t>
            </w:r>
            <w:r w:rsidRPr="00AC137D">
              <w:rPr>
                <w:rFonts w:eastAsiaTheme="minorEastAsia" w:cs="Calibri"/>
                <w:b/>
                <w:bCs/>
                <w:color w:val="000000"/>
                <w:szCs w:val="20"/>
                <w:vertAlign w:val="superscript"/>
                <w:lang w:eastAsia="en-AU"/>
              </w:rPr>
              <w:t>(a)</w:t>
            </w:r>
          </w:p>
        </w:tc>
        <w:tc>
          <w:tcPr>
            <w:tcW w:w="1417"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1"/>
                <w:lang w:eastAsia="en-AU"/>
              </w:rPr>
            </w:pPr>
            <w:r w:rsidRPr="00AC137D">
              <w:rPr>
                <w:rFonts w:eastAsiaTheme="minorEastAsia" w:cs="Calibri"/>
                <w:b/>
                <w:bCs/>
                <w:color w:val="000000"/>
                <w:szCs w:val="21"/>
                <w:lang w:eastAsia="en-AU"/>
              </w:rPr>
              <w:t xml:space="preserve"> </w:t>
            </w:r>
          </w:p>
        </w:tc>
        <w:tc>
          <w:tcPr>
            <w:tcW w:w="1956"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AC137D">
              <w:rPr>
                <w:rFonts w:eastAsiaTheme="minorEastAsia" w:cs="Calibri"/>
                <w:b/>
                <w:bCs/>
                <w:color w:val="000000"/>
                <w:lang w:eastAsia="en-AU"/>
              </w:rPr>
              <w:t xml:space="preserve"> </w:t>
            </w:r>
          </w:p>
        </w:tc>
      </w:tr>
      <w:tr w:rsidR="00A46DCA" w:rsidRPr="00AC137D" w:rsidTr="00A26D04">
        <w:tc>
          <w:tcPr>
            <w:cnfStyle w:val="001000000000" w:firstRow="0" w:lastRow="0" w:firstColumn="1" w:lastColumn="0" w:oddVBand="0" w:evenVBand="0" w:oddHBand="0" w:evenHBand="0" w:firstRowFirstColumn="0" w:firstRowLastColumn="0" w:lastRowFirstColumn="0" w:lastRowLastColumn="0"/>
            <w:tcW w:w="4394" w:type="dxa"/>
            <w:tcBorders>
              <w:top w:val="nil"/>
              <w:left w:val="nil"/>
              <w:bottom w:val="nil"/>
              <w:right w:val="nil"/>
            </w:tcBorders>
          </w:tcPr>
          <w:p w:rsidR="00A46DCA" w:rsidRPr="00AC137D" w:rsidRDefault="00A46DCA" w:rsidP="00A26D04">
            <w:pPr>
              <w:keepLines w:val="0"/>
              <w:autoSpaceDE w:val="0"/>
              <w:autoSpaceDN w:val="0"/>
              <w:adjustRightInd w:val="0"/>
              <w:rPr>
                <w:rFonts w:eastAsiaTheme="minorEastAsia" w:cs="Calibri"/>
                <w:color w:val="000000"/>
                <w:szCs w:val="21"/>
                <w:lang w:eastAsia="en-AU"/>
              </w:rPr>
            </w:pPr>
            <w:r w:rsidRPr="00AC137D">
              <w:rPr>
                <w:rFonts w:eastAsiaTheme="minorEastAsia" w:cs="Calibri"/>
                <w:color w:val="000000"/>
                <w:szCs w:val="21"/>
                <w:lang w:eastAsia="en-AU"/>
              </w:rPr>
              <w:t>Balance at 1 July 2017</w:t>
            </w:r>
          </w:p>
        </w:tc>
        <w:tc>
          <w:tcPr>
            <w:tcW w:w="1417"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51 464</w:t>
            </w:r>
          </w:p>
        </w:tc>
        <w:tc>
          <w:tcPr>
            <w:tcW w:w="1956"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55 745</w:t>
            </w:r>
          </w:p>
        </w:tc>
      </w:tr>
      <w:tr w:rsidR="00A46DCA" w:rsidRPr="00AC137D" w:rsidTr="00A26D04">
        <w:tc>
          <w:tcPr>
            <w:cnfStyle w:val="001000000000" w:firstRow="0" w:lastRow="0" w:firstColumn="1" w:lastColumn="0" w:oddVBand="0" w:evenVBand="0" w:oddHBand="0" w:evenHBand="0" w:firstRowFirstColumn="0" w:firstRowLastColumn="0" w:lastRowFirstColumn="0" w:lastRowLastColumn="0"/>
            <w:tcW w:w="4394" w:type="dxa"/>
            <w:tcBorders>
              <w:top w:val="nil"/>
              <w:left w:val="nil"/>
              <w:bottom w:val="nil"/>
              <w:right w:val="nil"/>
            </w:tcBorders>
          </w:tcPr>
          <w:p w:rsidR="00A46DCA" w:rsidRPr="00AC137D" w:rsidRDefault="00A46DCA" w:rsidP="00A26D04">
            <w:pPr>
              <w:keepLines w:val="0"/>
              <w:autoSpaceDE w:val="0"/>
              <w:autoSpaceDN w:val="0"/>
              <w:adjustRightInd w:val="0"/>
              <w:rPr>
                <w:rFonts w:eastAsiaTheme="minorEastAsia" w:cs="Calibri"/>
                <w:color w:val="000000"/>
                <w:szCs w:val="20"/>
                <w:lang w:eastAsia="en-AU"/>
              </w:rPr>
            </w:pPr>
            <w:r w:rsidRPr="00AC137D">
              <w:rPr>
                <w:rFonts w:eastAsiaTheme="minorEastAsia" w:cs="Calibri"/>
                <w:color w:val="000000"/>
                <w:szCs w:val="21"/>
                <w:lang w:eastAsia="en-AU"/>
              </w:rPr>
              <w:t xml:space="preserve">Net result for </w:t>
            </w:r>
            <w:r w:rsidRPr="00AC137D">
              <w:rPr>
                <w:rFonts w:eastAsiaTheme="minorEastAsia" w:cs="Calibri"/>
                <w:color w:val="000000"/>
                <w:szCs w:val="20"/>
                <w:lang w:eastAsia="en-AU"/>
              </w:rPr>
              <w:t>the year</w:t>
            </w:r>
          </w:p>
        </w:tc>
        <w:tc>
          <w:tcPr>
            <w:tcW w:w="1417"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sidRPr="00AC137D">
              <w:rPr>
                <w:rFonts w:eastAsiaTheme="minorEastAsia" w:cs="Calibri"/>
                <w:color w:val="000000"/>
                <w:szCs w:val="21"/>
                <w:lang w:eastAsia="en-AU"/>
              </w:rPr>
              <w:t>887</w:t>
            </w:r>
          </w:p>
        </w:tc>
        <w:tc>
          <w:tcPr>
            <w:tcW w:w="1956"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w:t>
            </w:r>
          </w:p>
        </w:tc>
      </w:tr>
      <w:tr w:rsidR="00A46DCA" w:rsidRPr="00AC137D" w:rsidTr="00A26D04">
        <w:tc>
          <w:tcPr>
            <w:cnfStyle w:val="001000000000" w:firstRow="0" w:lastRow="0" w:firstColumn="1" w:lastColumn="0" w:oddVBand="0" w:evenVBand="0" w:oddHBand="0" w:evenHBand="0" w:firstRowFirstColumn="0" w:firstRowLastColumn="0" w:lastRowFirstColumn="0" w:lastRowLastColumn="0"/>
            <w:tcW w:w="4394" w:type="dxa"/>
            <w:tcBorders>
              <w:top w:val="nil"/>
              <w:left w:val="nil"/>
              <w:bottom w:val="nil"/>
              <w:right w:val="nil"/>
            </w:tcBorders>
          </w:tcPr>
          <w:p w:rsidR="00A46DCA" w:rsidRPr="00AC137D" w:rsidRDefault="00A46DCA" w:rsidP="00A26D04">
            <w:pPr>
              <w:keepLines w:val="0"/>
              <w:autoSpaceDE w:val="0"/>
              <w:autoSpaceDN w:val="0"/>
              <w:adjustRightInd w:val="0"/>
              <w:rPr>
                <w:rFonts w:eastAsiaTheme="minorEastAsia" w:cs="Calibri"/>
                <w:color w:val="000000"/>
                <w:szCs w:val="21"/>
                <w:lang w:eastAsia="en-AU"/>
              </w:rPr>
            </w:pPr>
            <w:r w:rsidRPr="00AC137D">
              <w:rPr>
                <w:rFonts w:eastAsiaTheme="minorEastAsia" w:cs="Calibri"/>
                <w:color w:val="000000"/>
                <w:szCs w:val="21"/>
                <w:lang w:eastAsia="en-AU"/>
              </w:rPr>
              <w:t>Other comprehensive income for the year</w:t>
            </w:r>
          </w:p>
        </w:tc>
        <w:tc>
          <w:tcPr>
            <w:tcW w:w="1417"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sidRPr="00AC137D">
              <w:rPr>
                <w:rFonts w:eastAsiaTheme="minorEastAsia" w:cs="Calibri"/>
                <w:color w:val="000000"/>
                <w:szCs w:val="21"/>
                <w:lang w:eastAsia="en-AU"/>
              </w:rPr>
              <w:t>923</w:t>
            </w:r>
          </w:p>
        </w:tc>
        <w:tc>
          <w:tcPr>
            <w:tcW w:w="1956"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3 660</w:t>
            </w:r>
          </w:p>
        </w:tc>
      </w:tr>
      <w:tr w:rsidR="00A46DCA" w:rsidRPr="00AC137D" w:rsidTr="00A26D04">
        <w:tc>
          <w:tcPr>
            <w:cnfStyle w:val="001000000000" w:firstRow="0" w:lastRow="0" w:firstColumn="1" w:lastColumn="0" w:oddVBand="0" w:evenVBand="0" w:oddHBand="0" w:evenHBand="0" w:firstRowFirstColumn="0" w:firstRowLastColumn="0" w:lastRowFirstColumn="0" w:lastRowLastColumn="0"/>
            <w:tcW w:w="4394" w:type="dxa"/>
            <w:tcBorders>
              <w:top w:val="nil"/>
              <w:left w:val="nil"/>
              <w:bottom w:val="nil"/>
              <w:right w:val="nil"/>
            </w:tcBorders>
          </w:tcPr>
          <w:p w:rsidR="00A46DCA" w:rsidRPr="00AC137D" w:rsidRDefault="00A46DCA" w:rsidP="00A26D04">
            <w:pPr>
              <w:keepLines w:val="0"/>
              <w:autoSpaceDE w:val="0"/>
              <w:autoSpaceDN w:val="0"/>
              <w:adjustRightInd w:val="0"/>
              <w:rPr>
                <w:rFonts w:eastAsiaTheme="minorEastAsia" w:cs="Calibri"/>
                <w:color w:val="000000"/>
                <w:szCs w:val="14"/>
                <w:lang w:eastAsia="en-AU"/>
              </w:rPr>
            </w:pPr>
            <w:r w:rsidRPr="00AC137D">
              <w:rPr>
                <w:rFonts w:eastAsiaTheme="minorEastAsia" w:cs="Calibri"/>
                <w:color w:val="000000"/>
                <w:szCs w:val="21"/>
                <w:lang w:eastAsia="en-AU"/>
              </w:rPr>
              <w:t>Transfer to/(from) accumulated surplus</w:t>
            </w:r>
            <w:r w:rsidRPr="00AC137D">
              <w:rPr>
                <w:rFonts w:eastAsiaTheme="minorEastAsia" w:cs="Calibri"/>
                <w:color w:val="000000"/>
                <w:szCs w:val="14"/>
                <w:lang w:eastAsia="en-AU"/>
              </w:rPr>
              <w:t xml:space="preserve"> </w:t>
            </w:r>
          </w:p>
        </w:tc>
        <w:tc>
          <w:tcPr>
            <w:tcW w:w="1417"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w:t>
            </w:r>
          </w:p>
        </w:tc>
        <w:tc>
          <w:tcPr>
            <w:tcW w:w="1956"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w:t>
            </w:r>
          </w:p>
        </w:tc>
      </w:tr>
      <w:tr w:rsidR="00A46DCA" w:rsidRPr="00AC137D" w:rsidTr="00A26D04">
        <w:tc>
          <w:tcPr>
            <w:cnfStyle w:val="001000000000" w:firstRow="0" w:lastRow="0" w:firstColumn="1" w:lastColumn="0" w:oddVBand="0" w:evenVBand="0" w:oddHBand="0" w:evenHBand="0" w:firstRowFirstColumn="0" w:firstRowLastColumn="0" w:lastRowFirstColumn="0" w:lastRowLastColumn="0"/>
            <w:tcW w:w="4394" w:type="dxa"/>
            <w:tcBorders>
              <w:top w:val="nil"/>
              <w:left w:val="nil"/>
              <w:bottom w:val="nil"/>
              <w:right w:val="nil"/>
            </w:tcBorders>
          </w:tcPr>
          <w:p w:rsidR="00A46DCA" w:rsidRPr="00AC137D" w:rsidRDefault="00A46DCA" w:rsidP="00A26D04">
            <w:pPr>
              <w:keepLines w:val="0"/>
              <w:autoSpaceDE w:val="0"/>
              <w:autoSpaceDN w:val="0"/>
              <w:adjustRightInd w:val="0"/>
              <w:rPr>
                <w:rFonts w:eastAsiaTheme="minorEastAsia" w:cs="Calibri"/>
                <w:color w:val="000000"/>
                <w:szCs w:val="21"/>
                <w:lang w:eastAsia="en-AU"/>
              </w:rPr>
            </w:pPr>
            <w:r w:rsidRPr="00AC137D">
              <w:rPr>
                <w:rFonts w:eastAsiaTheme="minorEastAsia" w:cs="Calibri"/>
                <w:color w:val="000000"/>
                <w:szCs w:val="21"/>
                <w:lang w:eastAsia="en-AU"/>
              </w:rPr>
              <w:t>Transactions with owners in their capacity as owners</w:t>
            </w:r>
          </w:p>
        </w:tc>
        <w:tc>
          <w:tcPr>
            <w:tcW w:w="1417"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w:t>
            </w:r>
            <w:r w:rsidRPr="00AC137D">
              <w:rPr>
                <w:rFonts w:eastAsiaTheme="minorEastAsia" w:cs="Calibri"/>
                <w:color w:val="000000"/>
                <w:szCs w:val="21"/>
                <w:lang w:eastAsia="en-AU"/>
              </w:rPr>
              <w:t xml:space="preserve"> </w:t>
            </w:r>
          </w:p>
        </w:tc>
        <w:tc>
          <w:tcPr>
            <w:tcW w:w="1956"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w:t>
            </w:r>
            <w:r w:rsidRPr="00AC137D">
              <w:rPr>
                <w:rFonts w:eastAsiaTheme="minorEastAsia" w:cs="Calibri"/>
                <w:color w:val="000000"/>
                <w:szCs w:val="21"/>
                <w:lang w:eastAsia="en-AU"/>
              </w:rPr>
              <w:t xml:space="preserve"> </w:t>
            </w:r>
          </w:p>
        </w:tc>
      </w:tr>
      <w:tr w:rsidR="00A46DCA" w:rsidRPr="00AC137D" w:rsidTr="00A26D04">
        <w:tc>
          <w:tcPr>
            <w:cnfStyle w:val="001000000000" w:firstRow="0" w:lastRow="0" w:firstColumn="1" w:lastColumn="0" w:oddVBand="0" w:evenVBand="0" w:oddHBand="0" w:evenHBand="0" w:firstRowFirstColumn="0" w:firstRowLastColumn="0" w:lastRowFirstColumn="0" w:lastRowLastColumn="0"/>
            <w:tcW w:w="4394" w:type="dxa"/>
            <w:tcBorders>
              <w:top w:val="single" w:sz="6" w:space="0" w:color="000000"/>
              <w:left w:val="nil"/>
              <w:bottom w:val="single" w:sz="12" w:space="0" w:color="000000"/>
              <w:right w:val="nil"/>
            </w:tcBorders>
          </w:tcPr>
          <w:p w:rsidR="00A46DCA" w:rsidRPr="00AC137D" w:rsidRDefault="00A46DCA" w:rsidP="00A26D04">
            <w:pPr>
              <w:keepLines w:val="0"/>
              <w:autoSpaceDE w:val="0"/>
              <w:autoSpaceDN w:val="0"/>
              <w:adjustRightInd w:val="0"/>
              <w:rPr>
                <w:rFonts w:eastAsiaTheme="minorEastAsia" w:cs="Calibri"/>
                <w:b/>
                <w:bCs/>
                <w:color w:val="000000"/>
                <w:szCs w:val="21"/>
                <w:lang w:eastAsia="en-AU"/>
              </w:rPr>
            </w:pPr>
            <w:r w:rsidRPr="00AC137D">
              <w:rPr>
                <w:rFonts w:eastAsiaTheme="minorEastAsia" w:cs="Calibri"/>
                <w:b/>
                <w:bCs/>
                <w:color w:val="000000"/>
                <w:szCs w:val="21"/>
                <w:lang w:eastAsia="en-AU"/>
              </w:rPr>
              <w:t>Total equity as at 30 June 2018</w:t>
            </w:r>
          </w:p>
        </w:tc>
        <w:tc>
          <w:tcPr>
            <w:tcW w:w="1417" w:type="dxa"/>
            <w:tcBorders>
              <w:top w:val="single" w:sz="6" w:space="0" w:color="000000"/>
              <w:left w:val="nil"/>
              <w:bottom w:val="single" w:sz="12" w:space="0" w:color="000000"/>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1"/>
                <w:lang w:eastAsia="en-AU"/>
              </w:rPr>
            </w:pPr>
            <w:r>
              <w:rPr>
                <w:rFonts w:eastAsiaTheme="minorEastAsia" w:cs="Calibri"/>
                <w:b/>
                <w:bCs/>
                <w:color w:val="000000"/>
                <w:szCs w:val="21"/>
                <w:lang w:eastAsia="en-AU"/>
              </w:rPr>
              <w:t>53 275</w:t>
            </w:r>
          </w:p>
        </w:tc>
        <w:tc>
          <w:tcPr>
            <w:tcW w:w="1956" w:type="dxa"/>
            <w:tcBorders>
              <w:top w:val="single" w:sz="6" w:space="0" w:color="000000"/>
              <w:left w:val="nil"/>
              <w:bottom w:val="single" w:sz="12" w:space="0" w:color="000000"/>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1"/>
                <w:lang w:eastAsia="en-AU"/>
              </w:rPr>
            </w:pPr>
            <w:r>
              <w:rPr>
                <w:rFonts w:eastAsiaTheme="minorEastAsia" w:cs="Calibri"/>
                <w:b/>
                <w:bCs/>
                <w:color w:val="000000"/>
                <w:szCs w:val="21"/>
                <w:lang w:eastAsia="en-AU"/>
              </w:rPr>
              <w:t>59 405</w:t>
            </w:r>
          </w:p>
        </w:tc>
      </w:tr>
      <w:tr w:rsidR="00A46DCA" w:rsidRPr="00AC137D" w:rsidTr="00A26D04">
        <w:tc>
          <w:tcPr>
            <w:cnfStyle w:val="001000000000" w:firstRow="0" w:lastRow="0" w:firstColumn="1" w:lastColumn="0" w:oddVBand="0" w:evenVBand="0" w:oddHBand="0" w:evenHBand="0" w:firstRowFirstColumn="0" w:firstRowLastColumn="0" w:lastRowFirstColumn="0" w:lastRowLastColumn="0"/>
            <w:tcW w:w="4394" w:type="dxa"/>
            <w:tcBorders>
              <w:top w:val="nil"/>
              <w:left w:val="nil"/>
              <w:bottom w:val="nil"/>
              <w:right w:val="nil"/>
            </w:tcBorders>
          </w:tcPr>
          <w:p w:rsidR="00A46DCA" w:rsidRPr="00AC137D" w:rsidRDefault="00A46DCA" w:rsidP="00A26D04">
            <w:pPr>
              <w:keepLines w:val="0"/>
              <w:autoSpaceDE w:val="0"/>
              <w:autoSpaceDN w:val="0"/>
              <w:adjustRightInd w:val="0"/>
              <w:rPr>
                <w:rFonts w:eastAsiaTheme="minorEastAsia" w:cs="Calibri"/>
                <w:b/>
                <w:bCs/>
                <w:color w:val="000000"/>
                <w:szCs w:val="20"/>
                <w:lang w:eastAsia="en-AU"/>
              </w:rPr>
            </w:pPr>
            <w:r w:rsidRPr="00AC137D">
              <w:rPr>
                <w:rFonts w:eastAsiaTheme="minorEastAsia" w:cs="Calibri"/>
                <w:b/>
                <w:bCs/>
                <w:color w:val="000000"/>
                <w:szCs w:val="20"/>
                <w:lang w:eastAsia="en-AU"/>
              </w:rPr>
              <w:t>2017-18 revised</w:t>
            </w:r>
          </w:p>
        </w:tc>
        <w:tc>
          <w:tcPr>
            <w:tcW w:w="1417"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1"/>
                <w:lang w:eastAsia="en-AU"/>
              </w:rPr>
            </w:pPr>
            <w:r w:rsidRPr="00AC137D">
              <w:rPr>
                <w:rFonts w:eastAsiaTheme="minorEastAsia" w:cs="Calibri"/>
                <w:b/>
                <w:bCs/>
                <w:color w:val="000000"/>
                <w:szCs w:val="21"/>
                <w:lang w:eastAsia="en-AU"/>
              </w:rPr>
              <w:t xml:space="preserve"> </w:t>
            </w:r>
          </w:p>
        </w:tc>
        <w:tc>
          <w:tcPr>
            <w:tcW w:w="1956"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AC137D">
              <w:rPr>
                <w:rFonts w:eastAsiaTheme="minorEastAsia" w:cs="Calibri"/>
                <w:b/>
                <w:bCs/>
                <w:color w:val="000000"/>
                <w:lang w:eastAsia="en-AU"/>
              </w:rPr>
              <w:t xml:space="preserve"> </w:t>
            </w:r>
          </w:p>
        </w:tc>
      </w:tr>
      <w:tr w:rsidR="00A46DCA" w:rsidRPr="00AC137D" w:rsidTr="00A26D04">
        <w:tc>
          <w:tcPr>
            <w:cnfStyle w:val="001000000000" w:firstRow="0" w:lastRow="0" w:firstColumn="1" w:lastColumn="0" w:oddVBand="0" w:evenVBand="0" w:oddHBand="0" w:evenHBand="0" w:firstRowFirstColumn="0" w:firstRowLastColumn="0" w:lastRowFirstColumn="0" w:lastRowLastColumn="0"/>
            <w:tcW w:w="4394" w:type="dxa"/>
            <w:tcBorders>
              <w:top w:val="nil"/>
              <w:left w:val="nil"/>
              <w:bottom w:val="nil"/>
              <w:right w:val="nil"/>
            </w:tcBorders>
          </w:tcPr>
          <w:p w:rsidR="00A46DCA" w:rsidRPr="00AC137D" w:rsidRDefault="00A46DCA" w:rsidP="00A26D04">
            <w:pPr>
              <w:keepLines w:val="0"/>
              <w:autoSpaceDE w:val="0"/>
              <w:autoSpaceDN w:val="0"/>
              <w:adjustRightInd w:val="0"/>
              <w:rPr>
                <w:rFonts w:eastAsiaTheme="minorEastAsia" w:cs="Calibri"/>
                <w:color w:val="000000"/>
                <w:szCs w:val="21"/>
                <w:lang w:eastAsia="en-AU"/>
              </w:rPr>
            </w:pPr>
            <w:r w:rsidRPr="00AC137D">
              <w:rPr>
                <w:rFonts w:eastAsiaTheme="minorEastAsia" w:cs="Calibri"/>
                <w:color w:val="000000"/>
                <w:szCs w:val="21"/>
                <w:lang w:eastAsia="en-AU"/>
              </w:rPr>
              <w:t>Balance at 1 July 2017</w:t>
            </w:r>
          </w:p>
        </w:tc>
        <w:tc>
          <w:tcPr>
            <w:tcW w:w="1417"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51 464</w:t>
            </w:r>
          </w:p>
        </w:tc>
        <w:tc>
          <w:tcPr>
            <w:tcW w:w="1956"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55 745</w:t>
            </w:r>
          </w:p>
        </w:tc>
      </w:tr>
      <w:tr w:rsidR="00A46DCA" w:rsidRPr="00AC137D" w:rsidTr="00A26D04">
        <w:tc>
          <w:tcPr>
            <w:cnfStyle w:val="001000000000" w:firstRow="0" w:lastRow="0" w:firstColumn="1" w:lastColumn="0" w:oddVBand="0" w:evenVBand="0" w:oddHBand="0" w:evenHBand="0" w:firstRowFirstColumn="0" w:firstRowLastColumn="0" w:lastRowFirstColumn="0" w:lastRowLastColumn="0"/>
            <w:tcW w:w="4394" w:type="dxa"/>
            <w:tcBorders>
              <w:top w:val="nil"/>
              <w:left w:val="nil"/>
              <w:bottom w:val="nil"/>
              <w:right w:val="nil"/>
            </w:tcBorders>
          </w:tcPr>
          <w:p w:rsidR="00A46DCA" w:rsidRPr="00AC137D" w:rsidRDefault="00A46DCA" w:rsidP="00A26D04">
            <w:pPr>
              <w:keepLines w:val="0"/>
              <w:autoSpaceDE w:val="0"/>
              <w:autoSpaceDN w:val="0"/>
              <w:adjustRightInd w:val="0"/>
              <w:rPr>
                <w:rFonts w:eastAsiaTheme="minorEastAsia" w:cs="Calibri"/>
                <w:color w:val="000000"/>
                <w:szCs w:val="20"/>
                <w:lang w:eastAsia="en-AU"/>
              </w:rPr>
            </w:pPr>
            <w:r w:rsidRPr="00AC137D">
              <w:rPr>
                <w:rFonts w:eastAsiaTheme="minorEastAsia" w:cs="Calibri"/>
                <w:color w:val="000000"/>
                <w:szCs w:val="21"/>
                <w:lang w:eastAsia="en-AU"/>
              </w:rPr>
              <w:t xml:space="preserve">Net result for </w:t>
            </w:r>
            <w:r w:rsidRPr="00AC137D">
              <w:rPr>
                <w:rFonts w:eastAsiaTheme="minorEastAsia" w:cs="Calibri"/>
                <w:color w:val="000000"/>
                <w:szCs w:val="20"/>
                <w:lang w:eastAsia="en-AU"/>
              </w:rPr>
              <w:t>the year</w:t>
            </w:r>
          </w:p>
        </w:tc>
        <w:tc>
          <w:tcPr>
            <w:tcW w:w="1417"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1 460</w:t>
            </w:r>
          </w:p>
        </w:tc>
        <w:tc>
          <w:tcPr>
            <w:tcW w:w="1956"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w:t>
            </w:r>
          </w:p>
        </w:tc>
      </w:tr>
      <w:tr w:rsidR="00A46DCA" w:rsidRPr="00AC137D" w:rsidTr="00A26D04">
        <w:tc>
          <w:tcPr>
            <w:cnfStyle w:val="001000000000" w:firstRow="0" w:lastRow="0" w:firstColumn="1" w:lastColumn="0" w:oddVBand="0" w:evenVBand="0" w:oddHBand="0" w:evenHBand="0" w:firstRowFirstColumn="0" w:firstRowLastColumn="0" w:lastRowFirstColumn="0" w:lastRowLastColumn="0"/>
            <w:tcW w:w="4394" w:type="dxa"/>
            <w:tcBorders>
              <w:top w:val="nil"/>
              <w:left w:val="nil"/>
              <w:bottom w:val="nil"/>
              <w:right w:val="nil"/>
            </w:tcBorders>
          </w:tcPr>
          <w:p w:rsidR="00A46DCA" w:rsidRPr="00AC137D" w:rsidRDefault="00A46DCA" w:rsidP="00A26D04">
            <w:pPr>
              <w:keepLines w:val="0"/>
              <w:autoSpaceDE w:val="0"/>
              <w:autoSpaceDN w:val="0"/>
              <w:adjustRightInd w:val="0"/>
              <w:rPr>
                <w:rFonts w:eastAsiaTheme="minorEastAsia" w:cs="Calibri"/>
                <w:color w:val="000000"/>
                <w:szCs w:val="21"/>
                <w:lang w:eastAsia="en-AU"/>
              </w:rPr>
            </w:pPr>
            <w:r w:rsidRPr="00AC137D">
              <w:rPr>
                <w:rFonts w:eastAsiaTheme="minorEastAsia" w:cs="Calibri"/>
                <w:color w:val="000000"/>
                <w:szCs w:val="21"/>
                <w:lang w:eastAsia="en-AU"/>
              </w:rPr>
              <w:t>Other comprehensive income for the year</w:t>
            </w:r>
          </w:p>
        </w:tc>
        <w:tc>
          <w:tcPr>
            <w:tcW w:w="1417"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1 986</w:t>
            </w:r>
          </w:p>
        </w:tc>
        <w:tc>
          <w:tcPr>
            <w:tcW w:w="1956"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3 661</w:t>
            </w:r>
          </w:p>
        </w:tc>
      </w:tr>
      <w:tr w:rsidR="00A46DCA" w:rsidRPr="00AC137D" w:rsidTr="00A26D04">
        <w:tc>
          <w:tcPr>
            <w:cnfStyle w:val="001000000000" w:firstRow="0" w:lastRow="0" w:firstColumn="1" w:lastColumn="0" w:oddVBand="0" w:evenVBand="0" w:oddHBand="0" w:evenHBand="0" w:firstRowFirstColumn="0" w:firstRowLastColumn="0" w:lastRowFirstColumn="0" w:lastRowLastColumn="0"/>
            <w:tcW w:w="4394" w:type="dxa"/>
            <w:tcBorders>
              <w:top w:val="nil"/>
              <w:left w:val="nil"/>
              <w:bottom w:val="nil"/>
              <w:right w:val="nil"/>
            </w:tcBorders>
          </w:tcPr>
          <w:p w:rsidR="00A46DCA" w:rsidRPr="00AC137D" w:rsidRDefault="00A46DCA" w:rsidP="00A26D04">
            <w:pPr>
              <w:keepLines w:val="0"/>
              <w:autoSpaceDE w:val="0"/>
              <w:autoSpaceDN w:val="0"/>
              <w:adjustRightInd w:val="0"/>
              <w:rPr>
                <w:rFonts w:eastAsiaTheme="minorEastAsia" w:cs="Calibri"/>
                <w:color w:val="000000"/>
                <w:szCs w:val="14"/>
                <w:lang w:eastAsia="en-AU"/>
              </w:rPr>
            </w:pPr>
            <w:r w:rsidRPr="00AC137D">
              <w:rPr>
                <w:rFonts w:eastAsiaTheme="minorEastAsia" w:cs="Calibri"/>
                <w:color w:val="000000"/>
                <w:szCs w:val="21"/>
                <w:lang w:eastAsia="en-AU"/>
              </w:rPr>
              <w:t>Transfer to/(from) accumulated surplus</w:t>
            </w:r>
            <w:r w:rsidRPr="00AC137D">
              <w:rPr>
                <w:rFonts w:eastAsiaTheme="minorEastAsia" w:cs="Calibri"/>
                <w:color w:val="000000"/>
                <w:szCs w:val="14"/>
                <w:lang w:eastAsia="en-AU"/>
              </w:rPr>
              <w:t xml:space="preserve"> </w:t>
            </w:r>
          </w:p>
        </w:tc>
        <w:tc>
          <w:tcPr>
            <w:tcW w:w="1417"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w:t>
            </w:r>
          </w:p>
        </w:tc>
        <w:tc>
          <w:tcPr>
            <w:tcW w:w="1956"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w:t>
            </w:r>
          </w:p>
        </w:tc>
      </w:tr>
      <w:tr w:rsidR="00A46DCA" w:rsidRPr="00AC137D" w:rsidTr="00A26D04">
        <w:tc>
          <w:tcPr>
            <w:cnfStyle w:val="001000000000" w:firstRow="0" w:lastRow="0" w:firstColumn="1" w:lastColumn="0" w:oddVBand="0" w:evenVBand="0" w:oddHBand="0" w:evenHBand="0" w:firstRowFirstColumn="0" w:firstRowLastColumn="0" w:lastRowFirstColumn="0" w:lastRowLastColumn="0"/>
            <w:tcW w:w="4394" w:type="dxa"/>
            <w:tcBorders>
              <w:top w:val="nil"/>
              <w:left w:val="nil"/>
              <w:bottom w:val="nil"/>
              <w:right w:val="nil"/>
            </w:tcBorders>
          </w:tcPr>
          <w:p w:rsidR="00A46DCA" w:rsidRPr="00AC137D" w:rsidRDefault="00A46DCA" w:rsidP="00A26D04">
            <w:pPr>
              <w:keepLines w:val="0"/>
              <w:autoSpaceDE w:val="0"/>
              <w:autoSpaceDN w:val="0"/>
              <w:adjustRightInd w:val="0"/>
              <w:rPr>
                <w:rFonts w:eastAsiaTheme="minorEastAsia" w:cs="Calibri"/>
                <w:color w:val="000000"/>
                <w:szCs w:val="21"/>
                <w:lang w:eastAsia="en-AU"/>
              </w:rPr>
            </w:pPr>
            <w:r w:rsidRPr="00AC137D">
              <w:rPr>
                <w:rFonts w:eastAsiaTheme="minorEastAsia" w:cs="Calibri"/>
                <w:color w:val="000000"/>
                <w:szCs w:val="21"/>
                <w:lang w:eastAsia="en-AU"/>
              </w:rPr>
              <w:t>Transactions with owners in their capacity as owners</w:t>
            </w:r>
          </w:p>
        </w:tc>
        <w:tc>
          <w:tcPr>
            <w:tcW w:w="1417"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w:t>
            </w:r>
            <w:r w:rsidRPr="00AC137D">
              <w:rPr>
                <w:rFonts w:eastAsiaTheme="minorEastAsia" w:cs="Calibri"/>
                <w:color w:val="000000"/>
                <w:szCs w:val="21"/>
                <w:lang w:eastAsia="en-AU"/>
              </w:rPr>
              <w:t xml:space="preserve"> </w:t>
            </w:r>
          </w:p>
        </w:tc>
        <w:tc>
          <w:tcPr>
            <w:tcW w:w="1956"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w:t>
            </w:r>
            <w:r w:rsidRPr="00AC137D">
              <w:rPr>
                <w:rFonts w:eastAsiaTheme="minorEastAsia" w:cs="Calibri"/>
                <w:color w:val="000000"/>
                <w:szCs w:val="21"/>
                <w:lang w:eastAsia="en-AU"/>
              </w:rPr>
              <w:t xml:space="preserve"> </w:t>
            </w:r>
          </w:p>
        </w:tc>
      </w:tr>
      <w:tr w:rsidR="00A46DCA" w:rsidRPr="00AC137D" w:rsidTr="00A26D04">
        <w:tc>
          <w:tcPr>
            <w:cnfStyle w:val="001000000000" w:firstRow="0" w:lastRow="0" w:firstColumn="1" w:lastColumn="0" w:oddVBand="0" w:evenVBand="0" w:oddHBand="0" w:evenHBand="0" w:firstRowFirstColumn="0" w:firstRowLastColumn="0" w:lastRowFirstColumn="0" w:lastRowLastColumn="0"/>
            <w:tcW w:w="4394" w:type="dxa"/>
            <w:tcBorders>
              <w:top w:val="single" w:sz="6" w:space="0" w:color="000000"/>
              <w:left w:val="nil"/>
              <w:bottom w:val="single" w:sz="12" w:space="0" w:color="000000"/>
              <w:right w:val="nil"/>
            </w:tcBorders>
          </w:tcPr>
          <w:p w:rsidR="00A46DCA" w:rsidRPr="00AC137D" w:rsidRDefault="00A46DCA" w:rsidP="00A26D04">
            <w:pPr>
              <w:keepLines w:val="0"/>
              <w:autoSpaceDE w:val="0"/>
              <w:autoSpaceDN w:val="0"/>
              <w:adjustRightInd w:val="0"/>
              <w:rPr>
                <w:rFonts w:eastAsiaTheme="minorEastAsia" w:cs="Calibri"/>
                <w:b/>
                <w:bCs/>
                <w:color w:val="000000"/>
                <w:szCs w:val="21"/>
                <w:lang w:eastAsia="en-AU"/>
              </w:rPr>
            </w:pPr>
            <w:r w:rsidRPr="00AC137D">
              <w:rPr>
                <w:rFonts w:eastAsiaTheme="minorEastAsia" w:cs="Calibri"/>
                <w:b/>
                <w:bCs/>
                <w:color w:val="000000"/>
                <w:szCs w:val="21"/>
                <w:lang w:eastAsia="en-AU"/>
              </w:rPr>
              <w:t>Total equity as at 30 June 2018</w:t>
            </w:r>
          </w:p>
        </w:tc>
        <w:tc>
          <w:tcPr>
            <w:tcW w:w="1417" w:type="dxa"/>
            <w:tcBorders>
              <w:top w:val="single" w:sz="6" w:space="0" w:color="000000"/>
              <w:left w:val="nil"/>
              <w:bottom w:val="single" w:sz="12" w:space="0" w:color="000000"/>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1"/>
                <w:lang w:eastAsia="en-AU"/>
              </w:rPr>
            </w:pPr>
            <w:r>
              <w:rPr>
                <w:rFonts w:eastAsiaTheme="minorEastAsia" w:cs="Calibri"/>
                <w:b/>
                <w:bCs/>
                <w:color w:val="000000"/>
                <w:szCs w:val="21"/>
                <w:lang w:eastAsia="en-AU"/>
              </w:rPr>
              <w:t>54 911</w:t>
            </w:r>
          </w:p>
        </w:tc>
        <w:tc>
          <w:tcPr>
            <w:tcW w:w="1956" w:type="dxa"/>
            <w:tcBorders>
              <w:top w:val="single" w:sz="6" w:space="0" w:color="000000"/>
              <w:left w:val="nil"/>
              <w:bottom w:val="single" w:sz="12" w:space="0" w:color="000000"/>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1"/>
                <w:lang w:eastAsia="en-AU"/>
              </w:rPr>
            </w:pPr>
            <w:r>
              <w:rPr>
                <w:rFonts w:eastAsiaTheme="minorEastAsia" w:cs="Calibri"/>
                <w:b/>
                <w:bCs/>
                <w:color w:val="000000"/>
                <w:szCs w:val="21"/>
                <w:lang w:eastAsia="en-AU"/>
              </w:rPr>
              <w:t>59 406</w:t>
            </w:r>
          </w:p>
        </w:tc>
      </w:tr>
      <w:tr w:rsidR="00A46DCA" w:rsidRPr="00AC137D" w:rsidTr="00A26D04">
        <w:tc>
          <w:tcPr>
            <w:cnfStyle w:val="001000000000" w:firstRow="0" w:lastRow="0" w:firstColumn="1" w:lastColumn="0" w:oddVBand="0" w:evenVBand="0" w:oddHBand="0" w:evenHBand="0" w:firstRowFirstColumn="0" w:firstRowLastColumn="0" w:lastRowFirstColumn="0" w:lastRowLastColumn="0"/>
            <w:tcW w:w="4394" w:type="dxa"/>
            <w:tcBorders>
              <w:top w:val="nil"/>
              <w:left w:val="nil"/>
              <w:bottom w:val="nil"/>
              <w:right w:val="nil"/>
            </w:tcBorders>
          </w:tcPr>
          <w:p w:rsidR="00A46DCA" w:rsidRPr="00AC137D" w:rsidRDefault="00A46DCA" w:rsidP="00A26D04">
            <w:pPr>
              <w:keepLines w:val="0"/>
              <w:autoSpaceDE w:val="0"/>
              <w:autoSpaceDN w:val="0"/>
              <w:adjustRightInd w:val="0"/>
              <w:rPr>
                <w:rFonts w:eastAsiaTheme="minorEastAsia" w:cs="Calibri"/>
                <w:b/>
                <w:bCs/>
                <w:color w:val="000000"/>
                <w:szCs w:val="20"/>
                <w:lang w:eastAsia="en-AU"/>
              </w:rPr>
            </w:pPr>
            <w:r w:rsidRPr="00AC137D">
              <w:rPr>
                <w:rFonts w:eastAsiaTheme="minorEastAsia" w:cs="Calibri"/>
                <w:b/>
                <w:bCs/>
                <w:color w:val="000000"/>
                <w:szCs w:val="20"/>
                <w:lang w:eastAsia="en-AU"/>
              </w:rPr>
              <w:t>2018-19 estimate</w:t>
            </w:r>
          </w:p>
        </w:tc>
        <w:tc>
          <w:tcPr>
            <w:tcW w:w="1417"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1"/>
                <w:lang w:eastAsia="en-AU"/>
              </w:rPr>
            </w:pPr>
            <w:r w:rsidRPr="00AC137D">
              <w:rPr>
                <w:rFonts w:eastAsiaTheme="minorEastAsia" w:cs="Calibri"/>
                <w:b/>
                <w:bCs/>
                <w:color w:val="000000"/>
                <w:szCs w:val="21"/>
                <w:lang w:eastAsia="en-AU"/>
              </w:rPr>
              <w:t xml:space="preserve"> </w:t>
            </w:r>
          </w:p>
        </w:tc>
        <w:tc>
          <w:tcPr>
            <w:tcW w:w="1956"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AC137D">
              <w:rPr>
                <w:rFonts w:eastAsiaTheme="minorEastAsia" w:cs="Calibri"/>
                <w:b/>
                <w:bCs/>
                <w:color w:val="000000"/>
                <w:lang w:eastAsia="en-AU"/>
              </w:rPr>
              <w:t xml:space="preserve"> </w:t>
            </w:r>
          </w:p>
        </w:tc>
      </w:tr>
      <w:tr w:rsidR="00A46DCA" w:rsidRPr="00AC137D" w:rsidTr="00A26D04">
        <w:tc>
          <w:tcPr>
            <w:cnfStyle w:val="001000000000" w:firstRow="0" w:lastRow="0" w:firstColumn="1" w:lastColumn="0" w:oddVBand="0" w:evenVBand="0" w:oddHBand="0" w:evenHBand="0" w:firstRowFirstColumn="0" w:firstRowLastColumn="0" w:lastRowFirstColumn="0" w:lastRowLastColumn="0"/>
            <w:tcW w:w="4394" w:type="dxa"/>
            <w:tcBorders>
              <w:top w:val="nil"/>
              <w:left w:val="nil"/>
              <w:bottom w:val="nil"/>
              <w:right w:val="nil"/>
            </w:tcBorders>
          </w:tcPr>
          <w:p w:rsidR="00A46DCA" w:rsidRPr="00AC137D" w:rsidRDefault="00A46DCA" w:rsidP="00A26D04">
            <w:pPr>
              <w:keepLines w:val="0"/>
              <w:autoSpaceDE w:val="0"/>
              <w:autoSpaceDN w:val="0"/>
              <w:adjustRightInd w:val="0"/>
              <w:rPr>
                <w:rFonts w:eastAsiaTheme="minorEastAsia" w:cs="Calibri"/>
                <w:color w:val="000000"/>
                <w:szCs w:val="21"/>
                <w:lang w:eastAsia="en-AU"/>
              </w:rPr>
            </w:pPr>
            <w:r w:rsidRPr="00AC137D">
              <w:rPr>
                <w:rFonts w:eastAsiaTheme="minorEastAsia" w:cs="Calibri"/>
                <w:color w:val="000000"/>
                <w:szCs w:val="21"/>
                <w:lang w:eastAsia="en-AU"/>
              </w:rPr>
              <w:t>Balance at 1 July 2018</w:t>
            </w:r>
          </w:p>
        </w:tc>
        <w:tc>
          <w:tcPr>
            <w:tcW w:w="1417"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54 911</w:t>
            </w:r>
          </w:p>
        </w:tc>
        <w:tc>
          <w:tcPr>
            <w:tcW w:w="1956"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59 406</w:t>
            </w:r>
          </w:p>
        </w:tc>
      </w:tr>
      <w:tr w:rsidR="00A46DCA" w:rsidRPr="00AC137D" w:rsidTr="00A26D04">
        <w:tc>
          <w:tcPr>
            <w:cnfStyle w:val="001000000000" w:firstRow="0" w:lastRow="0" w:firstColumn="1" w:lastColumn="0" w:oddVBand="0" w:evenVBand="0" w:oddHBand="0" w:evenHBand="0" w:firstRowFirstColumn="0" w:firstRowLastColumn="0" w:lastRowFirstColumn="0" w:lastRowLastColumn="0"/>
            <w:tcW w:w="4394" w:type="dxa"/>
            <w:tcBorders>
              <w:top w:val="nil"/>
              <w:left w:val="nil"/>
              <w:bottom w:val="nil"/>
              <w:right w:val="nil"/>
            </w:tcBorders>
          </w:tcPr>
          <w:p w:rsidR="00A46DCA" w:rsidRPr="00AC137D" w:rsidRDefault="00A46DCA" w:rsidP="00A26D04">
            <w:pPr>
              <w:keepLines w:val="0"/>
              <w:autoSpaceDE w:val="0"/>
              <w:autoSpaceDN w:val="0"/>
              <w:adjustRightInd w:val="0"/>
              <w:rPr>
                <w:rFonts w:eastAsiaTheme="minorEastAsia" w:cs="Calibri"/>
                <w:color w:val="000000"/>
                <w:szCs w:val="20"/>
                <w:lang w:eastAsia="en-AU"/>
              </w:rPr>
            </w:pPr>
            <w:r w:rsidRPr="00AC137D">
              <w:rPr>
                <w:rFonts w:eastAsiaTheme="minorEastAsia" w:cs="Calibri"/>
                <w:color w:val="000000"/>
                <w:szCs w:val="21"/>
                <w:lang w:eastAsia="en-AU"/>
              </w:rPr>
              <w:t xml:space="preserve">Net result for </w:t>
            </w:r>
            <w:r w:rsidRPr="00AC137D">
              <w:rPr>
                <w:rFonts w:eastAsiaTheme="minorEastAsia" w:cs="Calibri"/>
                <w:color w:val="000000"/>
                <w:szCs w:val="20"/>
                <w:lang w:eastAsia="en-AU"/>
              </w:rPr>
              <w:t>the year</w:t>
            </w:r>
          </w:p>
        </w:tc>
        <w:tc>
          <w:tcPr>
            <w:tcW w:w="1417"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1 977</w:t>
            </w:r>
          </w:p>
        </w:tc>
        <w:tc>
          <w:tcPr>
            <w:tcW w:w="1956"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w:t>
            </w:r>
          </w:p>
        </w:tc>
      </w:tr>
      <w:tr w:rsidR="00A46DCA" w:rsidRPr="00AC137D" w:rsidTr="00A26D04">
        <w:tc>
          <w:tcPr>
            <w:cnfStyle w:val="001000000000" w:firstRow="0" w:lastRow="0" w:firstColumn="1" w:lastColumn="0" w:oddVBand="0" w:evenVBand="0" w:oddHBand="0" w:evenHBand="0" w:firstRowFirstColumn="0" w:firstRowLastColumn="0" w:lastRowFirstColumn="0" w:lastRowLastColumn="0"/>
            <w:tcW w:w="4394" w:type="dxa"/>
            <w:tcBorders>
              <w:top w:val="nil"/>
              <w:left w:val="nil"/>
              <w:bottom w:val="nil"/>
              <w:right w:val="nil"/>
            </w:tcBorders>
          </w:tcPr>
          <w:p w:rsidR="00A46DCA" w:rsidRPr="00AC137D" w:rsidRDefault="00A46DCA" w:rsidP="00A26D04">
            <w:pPr>
              <w:keepLines w:val="0"/>
              <w:autoSpaceDE w:val="0"/>
              <w:autoSpaceDN w:val="0"/>
              <w:adjustRightInd w:val="0"/>
              <w:rPr>
                <w:rFonts w:eastAsiaTheme="minorEastAsia" w:cs="Calibri"/>
                <w:color w:val="000000"/>
                <w:szCs w:val="21"/>
                <w:lang w:eastAsia="en-AU"/>
              </w:rPr>
            </w:pPr>
            <w:r w:rsidRPr="00AC137D">
              <w:rPr>
                <w:rFonts w:eastAsiaTheme="minorEastAsia" w:cs="Calibri"/>
                <w:color w:val="000000"/>
                <w:szCs w:val="21"/>
                <w:lang w:eastAsia="en-AU"/>
              </w:rPr>
              <w:t>Other comprehensive income for the year</w:t>
            </w:r>
          </w:p>
        </w:tc>
        <w:tc>
          <w:tcPr>
            <w:tcW w:w="1417"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sidRPr="00AC137D">
              <w:rPr>
                <w:rFonts w:eastAsiaTheme="minorEastAsia" w:cs="Calibri"/>
                <w:color w:val="000000"/>
                <w:szCs w:val="21"/>
                <w:lang w:eastAsia="en-AU"/>
              </w:rPr>
              <w:t>942</w:t>
            </w:r>
          </w:p>
        </w:tc>
        <w:tc>
          <w:tcPr>
            <w:tcW w:w="1956"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sidRPr="00AC137D">
              <w:rPr>
                <w:rFonts w:eastAsiaTheme="minorEastAsia" w:cs="Calibri"/>
                <w:color w:val="000000"/>
                <w:szCs w:val="21"/>
                <w:lang w:eastAsia="en-AU"/>
              </w:rPr>
              <w:t>649</w:t>
            </w:r>
          </w:p>
        </w:tc>
      </w:tr>
      <w:tr w:rsidR="00A46DCA" w:rsidRPr="00AC137D" w:rsidTr="00A26D04">
        <w:tc>
          <w:tcPr>
            <w:cnfStyle w:val="001000000000" w:firstRow="0" w:lastRow="0" w:firstColumn="1" w:lastColumn="0" w:oddVBand="0" w:evenVBand="0" w:oddHBand="0" w:evenHBand="0" w:firstRowFirstColumn="0" w:firstRowLastColumn="0" w:lastRowFirstColumn="0" w:lastRowLastColumn="0"/>
            <w:tcW w:w="4394" w:type="dxa"/>
            <w:tcBorders>
              <w:top w:val="nil"/>
              <w:left w:val="nil"/>
              <w:bottom w:val="nil"/>
              <w:right w:val="nil"/>
            </w:tcBorders>
          </w:tcPr>
          <w:p w:rsidR="00A46DCA" w:rsidRPr="00AC137D" w:rsidRDefault="00A46DCA" w:rsidP="00A26D04">
            <w:pPr>
              <w:keepLines w:val="0"/>
              <w:autoSpaceDE w:val="0"/>
              <w:autoSpaceDN w:val="0"/>
              <w:adjustRightInd w:val="0"/>
              <w:rPr>
                <w:rFonts w:eastAsiaTheme="minorEastAsia" w:cs="Calibri"/>
                <w:color w:val="000000"/>
                <w:szCs w:val="14"/>
                <w:lang w:eastAsia="en-AU"/>
              </w:rPr>
            </w:pPr>
            <w:r w:rsidRPr="00AC137D">
              <w:rPr>
                <w:rFonts w:eastAsiaTheme="minorEastAsia" w:cs="Calibri"/>
                <w:color w:val="000000"/>
                <w:szCs w:val="21"/>
                <w:lang w:eastAsia="en-AU"/>
              </w:rPr>
              <w:t>Transfer to/(from) accumulated surplus</w:t>
            </w:r>
            <w:r w:rsidRPr="00AC137D">
              <w:rPr>
                <w:rFonts w:eastAsiaTheme="minorEastAsia" w:cs="Calibri"/>
                <w:color w:val="000000"/>
                <w:szCs w:val="14"/>
                <w:lang w:eastAsia="en-AU"/>
              </w:rPr>
              <w:t xml:space="preserve"> </w:t>
            </w:r>
          </w:p>
        </w:tc>
        <w:tc>
          <w:tcPr>
            <w:tcW w:w="1417"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w:t>
            </w:r>
            <w:r w:rsidRPr="00AC137D">
              <w:rPr>
                <w:rFonts w:eastAsiaTheme="minorEastAsia" w:cs="Calibri"/>
                <w:color w:val="000000"/>
                <w:szCs w:val="21"/>
                <w:lang w:eastAsia="en-AU"/>
              </w:rPr>
              <w:t xml:space="preserve"> </w:t>
            </w:r>
          </w:p>
        </w:tc>
        <w:tc>
          <w:tcPr>
            <w:tcW w:w="1956"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w:t>
            </w:r>
            <w:r w:rsidRPr="00AC137D">
              <w:rPr>
                <w:rFonts w:eastAsiaTheme="minorEastAsia" w:cs="Calibri"/>
                <w:color w:val="000000"/>
                <w:szCs w:val="21"/>
                <w:lang w:eastAsia="en-AU"/>
              </w:rPr>
              <w:t xml:space="preserve"> </w:t>
            </w:r>
          </w:p>
        </w:tc>
      </w:tr>
      <w:tr w:rsidR="00A46DCA" w:rsidRPr="00AC137D" w:rsidTr="00A26D04">
        <w:tc>
          <w:tcPr>
            <w:cnfStyle w:val="001000000000" w:firstRow="0" w:lastRow="0" w:firstColumn="1" w:lastColumn="0" w:oddVBand="0" w:evenVBand="0" w:oddHBand="0" w:evenHBand="0" w:firstRowFirstColumn="0" w:firstRowLastColumn="0" w:lastRowFirstColumn="0" w:lastRowLastColumn="0"/>
            <w:tcW w:w="4394" w:type="dxa"/>
            <w:tcBorders>
              <w:top w:val="nil"/>
              <w:left w:val="nil"/>
              <w:bottom w:val="nil"/>
              <w:right w:val="nil"/>
            </w:tcBorders>
          </w:tcPr>
          <w:p w:rsidR="00A46DCA" w:rsidRPr="00AC137D" w:rsidRDefault="00A46DCA" w:rsidP="00A26D04">
            <w:pPr>
              <w:keepLines w:val="0"/>
              <w:autoSpaceDE w:val="0"/>
              <w:autoSpaceDN w:val="0"/>
              <w:adjustRightInd w:val="0"/>
              <w:rPr>
                <w:rFonts w:eastAsiaTheme="minorEastAsia" w:cs="Calibri"/>
                <w:color w:val="000000"/>
                <w:szCs w:val="21"/>
                <w:lang w:eastAsia="en-AU"/>
              </w:rPr>
            </w:pPr>
            <w:r w:rsidRPr="00AC137D">
              <w:rPr>
                <w:rFonts w:eastAsiaTheme="minorEastAsia" w:cs="Calibri"/>
                <w:color w:val="000000"/>
                <w:szCs w:val="21"/>
                <w:lang w:eastAsia="en-AU"/>
              </w:rPr>
              <w:t>Transactions with owners in their capacity as owners</w:t>
            </w:r>
          </w:p>
        </w:tc>
        <w:tc>
          <w:tcPr>
            <w:tcW w:w="1417"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w:t>
            </w:r>
            <w:r w:rsidRPr="00AC137D">
              <w:rPr>
                <w:rFonts w:eastAsiaTheme="minorEastAsia" w:cs="Calibri"/>
                <w:color w:val="000000"/>
                <w:szCs w:val="21"/>
                <w:lang w:eastAsia="en-AU"/>
              </w:rPr>
              <w:t xml:space="preserve"> </w:t>
            </w:r>
          </w:p>
        </w:tc>
        <w:tc>
          <w:tcPr>
            <w:tcW w:w="1956"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w:t>
            </w:r>
            <w:r w:rsidRPr="00AC137D">
              <w:rPr>
                <w:rFonts w:eastAsiaTheme="minorEastAsia" w:cs="Calibri"/>
                <w:color w:val="000000"/>
                <w:szCs w:val="21"/>
                <w:lang w:eastAsia="en-AU"/>
              </w:rPr>
              <w:t xml:space="preserve"> </w:t>
            </w:r>
          </w:p>
        </w:tc>
      </w:tr>
      <w:tr w:rsidR="00A46DCA" w:rsidRPr="00AC137D" w:rsidTr="00A26D04">
        <w:tc>
          <w:tcPr>
            <w:cnfStyle w:val="001000000000" w:firstRow="0" w:lastRow="0" w:firstColumn="1" w:lastColumn="0" w:oddVBand="0" w:evenVBand="0" w:oddHBand="0" w:evenHBand="0" w:firstRowFirstColumn="0" w:firstRowLastColumn="0" w:lastRowFirstColumn="0" w:lastRowLastColumn="0"/>
            <w:tcW w:w="4394" w:type="dxa"/>
            <w:tcBorders>
              <w:top w:val="single" w:sz="6" w:space="0" w:color="000000"/>
              <w:left w:val="nil"/>
              <w:bottom w:val="single" w:sz="12" w:space="0" w:color="000000"/>
              <w:right w:val="nil"/>
            </w:tcBorders>
          </w:tcPr>
          <w:p w:rsidR="00A46DCA" w:rsidRPr="00AC137D" w:rsidRDefault="00A46DCA" w:rsidP="00A26D04">
            <w:pPr>
              <w:keepLines w:val="0"/>
              <w:autoSpaceDE w:val="0"/>
              <w:autoSpaceDN w:val="0"/>
              <w:adjustRightInd w:val="0"/>
              <w:rPr>
                <w:rFonts w:eastAsiaTheme="minorEastAsia" w:cs="Calibri"/>
                <w:b/>
                <w:bCs/>
                <w:color w:val="000000"/>
                <w:szCs w:val="21"/>
                <w:lang w:eastAsia="en-AU"/>
              </w:rPr>
            </w:pPr>
            <w:r w:rsidRPr="00AC137D">
              <w:rPr>
                <w:rFonts w:eastAsiaTheme="minorEastAsia" w:cs="Calibri"/>
                <w:b/>
                <w:bCs/>
                <w:color w:val="000000"/>
                <w:szCs w:val="21"/>
                <w:lang w:eastAsia="en-AU"/>
              </w:rPr>
              <w:t>Total equity as at 30 June 2019</w:t>
            </w:r>
          </w:p>
        </w:tc>
        <w:tc>
          <w:tcPr>
            <w:tcW w:w="1417" w:type="dxa"/>
            <w:tcBorders>
              <w:top w:val="single" w:sz="6" w:space="0" w:color="000000"/>
              <w:left w:val="nil"/>
              <w:bottom w:val="single" w:sz="12" w:space="0" w:color="000000"/>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1"/>
                <w:lang w:eastAsia="en-AU"/>
              </w:rPr>
            </w:pPr>
            <w:r>
              <w:rPr>
                <w:rFonts w:eastAsiaTheme="minorEastAsia" w:cs="Calibri"/>
                <w:b/>
                <w:bCs/>
                <w:color w:val="000000"/>
                <w:szCs w:val="21"/>
                <w:lang w:eastAsia="en-AU"/>
              </w:rPr>
              <w:t>57 830</w:t>
            </w:r>
          </w:p>
        </w:tc>
        <w:tc>
          <w:tcPr>
            <w:tcW w:w="1956" w:type="dxa"/>
            <w:tcBorders>
              <w:top w:val="single" w:sz="6" w:space="0" w:color="000000"/>
              <w:left w:val="nil"/>
              <w:bottom w:val="single" w:sz="12" w:space="0" w:color="000000"/>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1"/>
                <w:lang w:eastAsia="en-AU"/>
              </w:rPr>
            </w:pPr>
            <w:r>
              <w:rPr>
                <w:rFonts w:eastAsiaTheme="minorEastAsia" w:cs="Calibri"/>
                <w:b/>
                <w:bCs/>
                <w:color w:val="000000"/>
                <w:szCs w:val="21"/>
                <w:lang w:eastAsia="en-AU"/>
              </w:rPr>
              <w:t>60 055</w:t>
            </w:r>
          </w:p>
        </w:tc>
      </w:tr>
      <w:tr w:rsidR="00A46DCA" w:rsidRPr="00AC137D" w:rsidTr="00A26D04">
        <w:tc>
          <w:tcPr>
            <w:cnfStyle w:val="001000000000" w:firstRow="0" w:lastRow="0" w:firstColumn="1" w:lastColumn="0" w:oddVBand="0" w:evenVBand="0" w:oddHBand="0" w:evenHBand="0" w:firstRowFirstColumn="0" w:firstRowLastColumn="0" w:lastRowFirstColumn="0" w:lastRowLastColumn="0"/>
            <w:tcW w:w="4394" w:type="dxa"/>
            <w:tcBorders>
              <w:top w:val="nil"/>
              <w:left w:val="nil"/>
              <w:bottom w:val="nil"/>
              <w:right w:val="nil"/>
            </w:tcBorders>
          </w:tcPr>
          <w:p w:rsidR="00A46DCA" w:rsidRPr="00AC137D" w:rsidRDefault="00A46DCA" w:rsidP="00A26D04">
            <w:pPr>
              <w:keepLines w:val="0"/>
              <w:autoSpaceDE w:val="0"/>
              <w:autoSpaceDN w:val="0"/>
              <w:adjustRightInd w:val="0"/>
              <w:rPr>
                <w:rFonts w:eastAsiaTheme="minorEastAsia" w:cs="Calibri"/>
                <w:b/>
                <w:bCs/>
                <w:color w:val="000000"/>
                <w:szCs w:val="20"/>
                <w:lang w:eastAsia="en-AU"/>
              </w:rPr>
            </w:pPr>
            <w:r w:rsidRPr="00AC137D">
              <w:rPr>
                <w:rFonts w:eastAsiaTheme="minorEastAsia" w:cs="Calibri"/>
                <w:b/>
                <w:bCs/>
                <w:color w:val="000000"/>
                <w:szCs w:val="20"/>
                <w:lang w:eastAsia="en-AU"/>
              </w:rPr>
              <w:t>2019-20 estimate</w:t>
            </w:r>
          </w:p>
        </w:tc>
        <w:tc>
          <w:tcPr>
            <w:tcW w:w="1417"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1"/>
                <w:lang w:eastAsia="en-AU"/>
              </w:rPr>
            </w:pPr>
            <w:r w:rsidRPr="00AC137D">
              <w:rPr>
                <w:rFonts w:eastAsiaTheme="minorEastAsia" w:cs="Calibri"/>
                <w:b/>
                <w:bCs/>
                <w:color w:val="000000"/>
                <w:szCs w:val="21"/>
                <w:lang w:eastAsia="en-AU"/>
              </w:rPr>
              <w:t xml:space="preserve"> </w:t>
            </w:r>
          </w:p>
        </w:tc>
        <w:tc>
          <w:tcPr>
            <w:tcW w:w="1956"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AC137D">
              <w:rPr>
                <w:rFonts w:eastAsiaTheme="minorEastAsia" w:cs="Calibri"/>
                <w:b/>
                <w:bCs/>
                <w:color w:val="000000"/>
                <w:lang w:eastAsia="en-AU"/>
              </w:rPr>
              <w:t xml:space="preserve"> </w:t>
            </w:r>
          </w:p>
        </w:tc>
      </w:tr>
      <w:tr w:rsidR="00A46DCA" w:rsidRPr="00AC137D" w:rsidTr="00A26D04">
        <w:tc>
          <w:tcPr>
            <w:cnfStyle w:val="001000000000" w:firstRow="0" w:lastRow="0" w:firstColumn="1" w:lastColumn="0" w:oddVBand="0" w:evenVBand="0" w:oddHBand="0" w:evenHBand="0" w:firstRowFirstColumn="0" w:firstRowLastColumn="0" w:lastRowFirstColumn="0" w:lastRowLastColumn="0"/>
            <w:tcW w:w="4394" w:type="dxa"/>
            <w:tcBorders>
              <w:top w:val="nil"/>
              <w:left w:val="nil"/>
              <w:bottom w:val="nil"/>
              <w:right w:val="nil"/>
            </w:tcBorders>
          </w:tcPr>
          <w:p w:rsidR="00A46DCA" w:rsidRPr="00AC137D" w:rsidRDefault="00A46DCA" w:rsidP="00A26D04">
            <w:pPr>
              <w:keepLines w:val="0"/>
              <w:autoSpaceDE w:val="0"/>
              <w:autoSpaceDN w:val="0"/>
              <w:adjustRightInd w:val="0"/>
              <w:rPr>
                <w:rFonts w:eastAsiaTheme="minorEastAsia" w:cs="Calibri"/>
                <w:color w:val="000000"/>
                <w:szCs w:val="21"/>
                <w:lang w:eastAsia="en-AU"/>
              </w:rPr>
            </w:pPr>
            <w:r w:rsidRPr="00AC137D">
              <w:rPr>
                <w:rFonts w:eastAsiaTheme="minorEastAsia" w:cs="Calibri"/>
                <w:color w:val="000000"/>
                <w:szCs w:val="21"/>
                <w:lang w:eastAsia="en-AU"/>
              </w:rPr>
              <w:t>Balance at 1 July 2019</w:t>
            </w:r>
          </w:p>
        </w:tc>
        <w:tc>
          <w:tcPr>
            <w:tcW w:w="1417"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57 830</w:t>
            </w:r>
          </w:p>
        </w:tc>
        <w:tc>
          <w:tcPr>
            <w:tcW w:w="1956"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60 055</w:t>
            </w:r>
          </w:p>
        </w:tc>
      </w:tr>
      <w:tr w:rsidR="00A46DCA" w:rsidRPr="00AC137D" w:rsidTr="00A26D04">
        <w:tc>
          <w:tcPr>
            <w:cnfStyle w:val="001000000000" w:firstRow="0" w:lastRow="0" w:firstColumn="1" w:lastColumn="0" w:oddVBand="0" w:evenVBand="0" w:oddHBand="0" w:evenHBand="0" w:firstRowFirstColumn="0" w:firstRowLastColumn="0" w:lastRowFirstColumn="0" w:lastRowLastColumn="0"/>
            <w:tcW w:w="4394" w:type="dxa"/>
            <w:tcBorders>
              <w:top w:val="nil"/>
              <w:left w:val="nil"/>
              <w:bottom w:val="nil"/>
              <w:right w:val="nil"/>
            </w:tcBorders>
          </w:tcPr>
          <w:p w:rsidR="00A46DCA" w:rsidRPr="00AC137D" w:rsidRDefault="00A46DCA" w:rsidP="00A26D04">
            <w:pPr>
              <w:keepLines w:val="0"/>
              <w:autoSpaceDE w:val="0"/>
              <w:autoSpaceDN w:val="0"/>
              <w:adjustRightInd w:val="0"/>
              <w:rPr>
                <w:rFonts w:eastAsiaTheme="minorEastAsia" w:cs="Calibri"/>
                <w:color w:val="000000"/>
                <w:szCs w:val="20"/>
                <w:lang w:eastAsia="en-AU"/>
              </w:rPr>
            </w:pPr>
            <w:r w:rsidRPr="00AC137D">
              <w:rPr>
                <w:rFonts w:eastAsiaTheme="minorEastAsia" w:cs="Calibri"/>
                <w:color w:val="000000"/>
                <w:szCs w:val="21"/>
                <w:lang w:eastAsia="en-AU"/>
              </w:rPr>
              <w:t xml:space="preserve">Net result for </w:t>
            </w:r>
            <w:r w:rsidRPr="00AC137D">
              <w:rPr>
                <w:rFonts w:eastAsiaTheme="minorEastAsia" w:cs="Calibri"/>
                <w:color w:val="000000"/>
                <w:szCs w:val="20"/>
                <w:lang w:eastAsia="en-AU"/>
              </w:rPr>
              <w:t>the year</w:t>
            </w:r>
          </w:p>
        </w:tc>
        <w:tc>
          <w:tcPr>
            <w:tcW w:w="1417"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1 722</w:t>
            </w:r>
          </w:p>
        </w:tc>
        <w:tc>
          <w:tcPr>
            <w:tcW w:w="1956"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w:t>
            </w:r>
          </w:p>
        </w:tc>
      </w:tr>
      <w:tr w:rsidR="00A46DCA" w:rsidRPr="00AC137D" w:rsidTr="00A26D04">
        <w:tc>
          <w:tcPr>
            <w:cnfStyle w:val="001000000000" w:firstRow="0" w:lastRow="0" w:firstColumn="1" w:lastColumn="0" w:oddVBand="0" w:evenVBand="0" w:oddHBand="0" w:evenHBand="0" w:firstRowFirstColumn="0" w:firstRowLastColumn="0" w:lastRowFirstColumn="0" w:lastRowLastColumn="0"/>
            <w:tcW w:w="4394" w:type="dxa"/>
            <w:tcBorders>
              <w:top w:val="nil"/>
              <w:left w:val="nil"/>
              <w:bottom w:val="nil"/>
              <w:right w:val="nil"/>
            </w:tcBorders>
          </w:tcPr>
          <w:p w:rsidR="00A46DCA" w:rsidRPr="00AC137D" w:rsidRDefault="00A46DCA" w:rsidP="00A26D04">
            <w:pPr>
              <w:keepLines w:val="0"/>
              <w:autoSpaceDE w:val="0"/>
              <w:autoSpaceDN w:val="0"/>
              <w:adjustRightInd w:val="0"/>
              <w:rPr>
                <w:rFonts w:eastAsiaTheme="minorEastAsia" w:cs="Calibri"/>
                <w:color w:val="000000"/>
                <w:szCs w:val="21"/>
                <w:lang w:eastAsia="en-AU"/>
              </w:rPr>
            </w:pPr>
            <w:r w:rsidRPr="00AC137D">
              <w:rPr>
                <w:rFonts w:eastAsiaTheme="minorEastAsia" w:cs="Calibri"/>
                <w:color w:val="000000"/>
                <w:szCs w:val="21"/>
                <w:lang w:eastAsia="en-AU"/>
              </w:rPr>
              <w:t>Other comprehensive income for the year</w:t>
            </w:r>
          </w:p>
        </w:tc>
        <w:tc>
          <w:tcPr>
            <w:tcW w:w="1417"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sidRPr="00AC137D">
              <w:rPr>
                <w:rFonts w:eastAsiaTheme="minorEastAsia" w:cs="Calibri"/>
                <w:color w:val="000000"/>
                <w:szCs w:val="21"/>
                <w:lang w:eastAsia="en-AU"/>
              </w:rPr>
              <w:t>922</w:t>
            </w:r>
          </w:p>
        </w:tc>
        <w:tc>
          <w:tcPr>
            <w:tcW w:w="1956"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7 844</w:t>
            </w:r>
          </w:p>
        </w:tc>
      </w:tr>
      <w:tr w:rsidR="00A46DCA" w:rsidRPr="00AC137D" w:rsidTr="00A26D04">
        <w:tc>
          <w:tcPr>
            <w:cnfStyle w:val="001000000000" w:firstRow="0" w:lastRow="0" w:firstColumn="1" w:lastColumn="0" w:oddVBand="0" w:evenVBand="0" w:oddHBand="0" w:evenHBand="0" w:firstRowFirstColumn="0" w:firstRowLastColumn="0" w:lastRowFirstColumn="0" w:lastRowLastColumn="0"/>
            <w:tcW w:w="4394" w:type="dxa"/>
            <w:tcBorders>
              <w:top w:val="nil"/>
              <w:left w:val="nil"/>
              <w:bottom w:val="nil"/>
              <w:right w:val="nil"/>
            </w:tcBorders>
          </w:tcPr>
          <w:p w:rsidR="00A46DCA" w:rsidRPr="00AC137D" w:rsidRDefault="00A46DCA" w:rsidP="00A26D04">
            <w:pPr>
              <w:keepLines w:val="0"/>
              <w:autoSpaceDE w:val="0"/>
              <w:autoSpaceDN w:val="0"/>
              <w:adjustRightInd w:val="0"/>
              <w:rPr>
                <w:rFonts w:eastAsiaTheme="minorEastAsia" w:cs="Calibri"/>
                <w:color w:val="000000"/>
                <w:szCs w:val="14"/>
                <w:lang w:eastAsia="en-AU"/>
              </w:rPr>
            </w:pPr>
            <w:r w:rsidRPr="00AC137D">
              <w:rPr>
                <w:rFonts w:eastAsiaTheme="minorEastAsia" w:cs="Calibri"/>
                <w:color w:val="000000"/>
                <w:szCs w:val="21"/>
                <w:lang w:eastAsia="en-AU"/>
              </w:rPr>
              <w:t>Transfer to/(from) accumulated surplus</w:t>
            </w:r>
            <w:r w:rsidRPr="00AC137D">
              <w:rPr>
                <w:rFonts w:eastAsiaTheme="minorEastAsia" w:cs="Calibri"/>
                <w:color w:val="000000"/>
                <w:szCs w:val="14"/>
                <w:lang w:eastAsia="en-AU"/>
              </w:rPr>
              <w:t xml:space="preserve"> </w:t>
            </w:r>
          </w:p>
        </w:tc>
        <w:tc>
          <w:tcPr>
            <w:tcW w:w="1417"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w:t>
            </w:r>
            <w:r w:rsidRPr="00AC137D">
              <w:rPr>
                <w:rFonts w:eastAsiaTheme="minorEastAsia" w:cs="Calibri"/>
                <w:color w:val="000000"/>
                <w:szCs w:val="21"/>
                <w:lang w:eastAsia="en-AU"/>
              </w:rPr>
              <w:t xml:space="preserve"> </w:t>
            </w:r>
          </w:p>
        </w:tc>
        <w:tc>
          <w:tcPr>
            <w:tcW w:w="1956"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w:t>
            </w:r>
            <w:r w:rsidRPr="00AC137D">
              <w:rPr>
                <w:rFonts w:eastAsiaTheme="minorEastAsia" w:cs="Calibri"/>
                <w:color w:val="000000"/>
                <w:szCs w:val="21"/>
                <w:lang w:eastAsia="en-AU"/>
              </w:rPr>
              <w:t xml:space="preserve"> </w:t>
            </w:r>
          </w:p>
        </w:tc>
      </w:tr>
      <w:tr w:rsidR="00A46DCA" w:rsidRPr="00AC137D" w:rsidTr="00A26D04">
        <w:tc>
          <w:tcPr>
            <w:cnfStyle w:val="001000000000" w:firstRow="0" w:lastRow="0" w:firstColumn="1" w:lastColumn="0" w:oddVBand="0" w:evenVBand="0" w:oddHBand="0" w:evenHBand="0" w:firstRowFirstColumn="0" w:firstRowLastColumn="0" w:lastRowFirstColumn="0" w:lastRowLastColumn="0"/>
            <w:tcW w:w="4394" w:type="dxa"/>
            <w:tcBorders>
              <w:top w:val="nil"/>
              <w:left w:val="nil"/>
              <w:bottom w:val="nil"/>
              <w:right w:val="nil"/>
            </w:tcBorders>
          </w:tcPr>
          <w:p w:rsidR="00A46DCA" w:rsidRPr="00AC137D" w:rsidRDefault="00A46DCA" w:rsidP="00A26D04">
            <w:pPr>
              <w:keepLines w:val="0"/>
              <w:autoSpaceDE w:val="0"/>
              <w:autoSpaceDN w:val="0"/>
              <w:adjustRightInd w:val="0"/>
              <w:rPr>
                <w:rFonts w:eastAsiaTheme="minorEastAsia" w:cs="Calibri"/>
                <w:color w:val="000000"/>
                <w:szCs w:val="21"/>
                <w:lang w:eastAsia="en-AU"/>
              </w:rPr>
            </w:pPr>
            <w:r w:rsidRPr="00AC137D">
              <w:rPr>
                <w:rFonts w:eastAsiaTheme="minorEastAsia" w:cs="Calibri"/>
                <w:color w:val="000000"/>
                <w:szCs w:val="21"/>
                <w:lang w:eastAsia="en-AU"/>
              </w:rPr>
              <w:t>Transactions with owners in their capacity as owners</w:t>
            </w:r>
          </w:p>
        </w:tc>
        <w:tc>
          <w:tcPr>
            <w:tcW w:w="1417"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w:t>
            </w:r>
            <w:r w:rsidRPr="00AC137D">
              <w:rPr>
                <w:rFonts w:eastAsiaTheme="minorEastAsia" w:cs="Calibri"/>
                <w:color w:val="000000"/>
                <w:szCs w:val="21"/>
                <w:lang w:eastAsia="en-AU"/>
              </w:rPr>
              <w:t xml:space="preserve"> </w:t>
            </w:r>
          </w:p>
        </w:tc>
        <w:tc>
          <w:tcPr>
            <w:tcW w:w="1956"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w:t>
            </w:r>
            <w:r w:rsidRPr="00AC137D">
              <w:rPr>
                <w:rFonts w:eastAsiaTheme="minorEastAsia" w:cs="Calibri"/>
                <w:color w:val="000000"/>
                <w:szCs w:val="21"/>
                <w:lang w:eastAsia="en-AU"/>
              </w:rPr>
              <w:t xml:space="preserve"> </w:t>
            </w:r>
          </w:p>
        </w:tc>
      </w:tr>
      <w:tr w:rsidR="00A46DCA" w:rsidRPr="00AC137D" w:rsidTr="00A26D04">
        <w:tc>
          <w:tcPr>
            <w:cnfStyle w:val="001000000000" w:firstRow="0" w:lastRow="0" w:firstColumn="1" w:lastColumn="0" w:oddVBand="0" w:evenVBand="0" w:oddHBand="0" w:evenHBand="0" w:firstRowFirstColumn="0" w:firstRowLastColumn="0" w:lastRowFirstColumn="0" w:lastRowLastColumn="0"/>
            <w:tcW w:w="4394" w:type="dxa"/>
            <w:tcBorders>
              <w:top w:val="single" w:sz="6" w:space="0" w:color="000000"/>
              <w:left w:val="nil"/>
              <w:bottom w:val="single" w:sz="12" w:space="0" w:color="000000"/>
              <w:right w:val="nil"/>
            </w:tcBorders>
          </w:tcPr>
          <w:p w:rsidR="00A46DCA" w:rsidRPr="00AC137D" w:rsidRDefault="00A46DCA" w:rsidP="00A26D04">
            <w:pPr>
              <w:keepLines w:val="0"/>
              <w:autoSpaceDE w:val="0"/>
              <w:autoSpaceDN w:val="0"/>
              <w:adjustRightInd w:val="0"/>
              <w:rPr>
                <w:rFonts w:eastAsiaTheme="minorEastAsia" w:cs="Calibri"/>
                <w:b/>
                <w:bCs/>
                <w:color w:val="000000"/>
                <w:szCs w:val="21"/>
                <w:lang w:eastAsia="en-AU"/>
              </w:rPr>
            </w:pPr>
            <w:r w:rsidRPr="00AC137D">
              <w:rPr>
                <w:rFonts w:eastAsiaTheme="minorEastAsia" w:cs="Calibri"/>
                <w:b/>
                <w:bCs/>
                <w:color w:val="000000"/>
                <w:szCs w:val="21"/>
                <w:lang w:eastAsia="en-AU"/>
              </w:rPr>
              <w:t>Total equity as at 30 June 2020</w:t>
            </w:r>
          </w:p>
        </w:tc>
        <w:tc>
          <w:tcPr>
            <w:tcW w:w="1417" w:type="dxa"/>
            <w:tcBorders>
              <w:top w:val="single" w:sz="6" w:space="0" w:color="000000"/>
              <w:left w:val="nil"/>
              <w:bottom w:val="single" w:sz="12" w:space="0" w:color="000000"/>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1"/>
                <w:lang w:eastAsia="en-AU"/>
              </w:rPr>
            </w:pPr>
            <w:r>
              <w:rPr>
                <w:rFonts w:eastAsiaTheme="minorEastAsia" w:cs="Calibri"/>
                <w:b/>
                <w:bCs/>
                <w:color w:val="000000"/>
                <w:szCs w:val="21"/>
                <w:lang w:eastAsia="en-AU"/>
              </w:rPr>
              <w:t>60 474</w:t>
            </w:r>
          </w:p>
        </w:tc>
        <w:tc>
          <w:tcPr>
            <w:tcW w:w="1956" w:type="dxa"/>
            <w:tcBorders>
              <w:top w:val="single" w:sz="6" w:space="0" w:color="000000"/>
              <w:left w:val="nil"/>
              <w:bottom w:val="single" w:sz="12" w:space="0" w:color="000000"/>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1"/>
                <w:lang w:eastAsia="en-AU"/>
              </w:rPr>
            </w:pPr>
            <w:r>
              <w:rPr>
                <w:rFonts w:eastAsiaTheme="minorEastAsia" w:cs="Calibri"/>
                <w:b/>
                <w:bCs/>
                <w:color w:val="000000"/>
                <w:szCs w:val="21"/>
                <w:lang w:eastAsia="en-AU"/>
              </w:rPr>
              <w:t>67 899</w:t>
            </w:r>
          </w:p>
        </w:tc>
      </w:tr>
      <w:tr w:rsidR="00A46DCA" w:rsidRPr="00AC137D" w:rsidTr="00A26D04">
        <w:tc>
          <w:tcPr>
            <w:cnfStyle w:val="001000000000" w:firstRow="0" w:lastRow="0" w:firstColumn="1" w:lastColumn="0" w:oddVBand="0" w:evenVBand="0" w:oddHBand="0" w:evenHBand="0" w:firstRowFirstColumn="0" w:firstRowLastColumn="0" w:lastRowFirstColumn="0" w:lastRowLastColumn="0"/>
            <w:tcW w:w="4394" w:type="dxa"/>
            <w:tcBorders>
              <w:top w:val="nil"/>
              <w:left w:val="nil"/>
              <w:bottom w:val="nil"/>
              <w:right w:val="nil"/>
            </w:tcBorders>
          </w:tcPr>
          <w:p w:rsidR="00A46DCA" w:rsidRPr="00AC137D" w:rsidRDefault="00A46DCA" w:rsidP="00A26D04">
            <w:pPr>
              <w:keepLines w:val="0"/>
              <w:autoSpaceDE w:val="0"/>
              <w:autoSpaceDN w:val="0"/>
              <w:adjustRightInd w:val="0"/>
              <w:rPr>
                <w:rFonts w:eastAsiaTheme="minorEastAsia" w:cs="Calibri"/>
                <w:b/>
                <w:bCs/>
                <w:color w:val="000000"/>
                <w:szCs w:val="20"/>
                <w:lang w:eastAsia="en-AU"/>
              </w:rPr>
            </w:pPr>
            <w:r w:rsidRPr="00AC137D">
              <w:rPr>
                <w:rFonts w:eastAsiaTheme="minorEastAsia" w:cs="Calibri"/>
                <w:b/>
                <w:bCs/>
                <w:color w:val="000000"/>
                <w:szCs w:val="20"/>
                <w:lang w:eastAsia="en-AU"/>
              </w:rPr>
              <w:t>2020-21 estimate</w:t>
            </w:r>
          </w:p>
        </w:tc>
        <w:tc>
          <w:tcPr>
            <w:tcW w:w="1417"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1"/>
                <w:lang w:eastAsia="en-AU"/>
              </w:rPr>
            </w:pPr>
            <w:r w:rsidRPr="00AC137D">
              <w:rPr>
                <w:rFonts w:eastAsiaTheme="minorEastAsia" w:cs="Calibri"/>
                <w:b/>
                <w:bCs/>
                <w:color w:val="000000"/>
                <w:szCs w:val="21"/>
                <w:lang w:eastAsia="en-AU"/>
              </w:rPr>
              <w:t xml:space="preserve"> </w:t>
            </w:r>
          </w:p>
        </w:tc>
        <w:tc>
          <w:tcPr>
            <w:tcW w:w="1956"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AC137D">
              <w:rPr>
                <w:rFonts w:eastAsiaTheme="minorEastAsia" w:cs="Calibri"/>
                <w:b/>
                <w:bCs/>
                <w:color w:val="000000"/>
                <w:lang w:eastAsia="en-AU"/>
              </w:rPr>
              <w:t xml:space="preserve"> </w:t>
            </w:r>
          </w:p>
        </w:tc>
      </w:tr>
      <w:tr w:rsidR="00A46DCA" w:rsidRPr="00AC137D" w:rsidTr="00A26D04">
        <w:tc>
          <w:tcPr>
            <w:cnfStyle w:val="001000000000" w:firstRow="0" w:lastRow="0" w:firstColumn="1" w:lastColumn="0" w:oddVBand="0" w:evenVBand="0" w:oddHBand="0" w:evenHBand="0" w:firstRowFirstColumn="0" w:firstRowLastColumn="0" w:lastRowFirstColumn="0" w:lastRowLastColumn="0"/>
            <w:tcW w:w="4394" w:type="dxa"/>
            <w:tcBorders>
              <w:top w:val="nil"/>
              <w:left w:val="nil"/>
              <w:bottom w:val="nil"/>
              <w:right w:val="nil"/>
            </w:tcBorders>
          </w:tcPr>
          <w:p w:rsidR="00A46DCA" w:rsidRPr="00AC137D" w:rsidRDefault="00A46DCA" w:rsidP="00A26D04">
            <w:pPr>
              <w:keepLines w:val="0"/>
              <w:autoSpaceDE w:val="0"/>
              <w:autoSpaceDN w:val="0"/>
              <w:adjustRightInd w:val="0"/>
              <w:rPr>
                <w:rFonts w:eastAsiaTheme="minorEastAsia" w:cs="Calibri"/>
                <w:color w:val="000000"/>
                <w:szCs w:val="21"/>
                <w:lang w:eastAsia="en-AU"/>
              </w:rPr>
            </w:pPr>
            <w:r w:rsidRPr="00AC137D">
              <w:rPr>
                <w:rFonts w:eastAsiaTheme="minorEastAsia" w:cs="Calibri"/>
                <w:color w:val="000000"/>
                <w:szCs w:val="21"/>
                <w:lang w:eastAsia="en-AU"/>
              </w:rPr>
              <w:t>Balance at 1 July 2020</w:t>
            </w:r>
          </w:p>
        </w:tc>
        <w:tc>
          <w:tcPr>
            <w:tcW w:w="1417"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60 474</w:t>
            </w:r>
          </w:p>
        </w:tc>
        <w:tc>
          <w:tcPr>
            <w:tcW w:w="1956"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67 899</w:t>
            </w:r>
          </w:p>
        </w:tc>
      </w:tr>
      <w:tr w:rsidR="00A46DCA" w:rsidRPr="00AC137D" w:rsidTr="00A26D04">
        <w:tc>
          <w:tcPr>
            <w:cnfStyle w:val="001000000000" w:firstRow="0" w:lastRow="0" w:firstColumn="1" w:lastColumn="0" w:oddVBand="0" w:evenVBand="0" w:oddHBand="0" w:evenHBand="0" w:firstRowFirstColumn="0" w:firstRowLastColumn="0" w:lastRowFirstColumn="0" w:lastRowLastColumn="0"/>
            <w:tcW w:w="4394" w:type="dxa"/>
            <w:tcBorders>
              <w:top w:val="nil"/>
              <w:left w:val="nil"/>
              <w:bottom w:val="nil"/>
              <w:right w:val="nil"/>
            </w:tcBorders>
          </w:tcPr>
          <w:p w:rsidR="00A46DCA" w:rsidRPr="00AC137D" w:rsidRDefault="00A46DCA" w:rsidP="00A26D04">
            <w:pPr>
              <w:keepLines w:val="0"/>
              <w:autoSpaceDE w:val="0"/>
              <w:autoSpaceDN w:val="0"/>
              <w:adjustRightInd w:val="0"/>
              <w:rPr>
                <w:rFonts w:eastAsiaTheme="minorEastAsia" w:cs="Calibri"/>
                <w:color w:val="000000"/>
                <w:szCs w:val="20"/>
                <w:lang w:eastAsia="en-AU"/>
              </w:rPr>
            </w:pPr>
            <w:r w:rsidRPr="00AC137D">
              <w:rPr>
                <w:rFonts w:eastAsiaTheme="minorEastAsia" w:cs="Calibri"/>
                <w:color w:val="000000"/>
                <w:szCs w:val="21"/>
                <w:lang w:eastAsia="en-AU"/>
              </w:rPr>
              <w:t xml:space="preserve">Net result for </w:t>
            </w:r>
            <w:r w:rsidRPr="00AC137D">
              <w:rPr>
                <w:rFonts w:eastAsiaTheme="minorEastAsia" w:cs="Calibri"/>
                <w:color w:val="000000"/>
                <w:szCs w:val="20"/>
                <w:lang w:eastAsia="en-AU"/>
              </w:rPr>
              <w:t>the year</w:t>
            </w:r>
          </w:p>
        </w:tc>
        <w:tc>
          <w:tcPr>
            <w:tcW w:w="1417"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2 374</w:t>
            </w:r>
          </w:p>
        </w:tc>
        <w:tc>
          <w:tcPr>
            <w:tcW w:w="1956"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w:t>
            </w:r>
          </w:p>
        </w:tc>
      </w:tr>
      <w:tr w:rsidR="00A46DCA" w:rsidRPr="00AC137D" w:rsidTr="00A26D04">
        <w:tc>
          <w:tcPr>
            <w:cnfStyle w:val="001000000000" w:firstRow="0" w:lastRow="0" w:firstColumn="1" w:lastColumn="0" w:oddVBand="0" w:evenVBand="0" w:oddHBand="0" w:evenHBand="0" w:firstRowFirstColumn="0" w:firstRowLastColumn="0" w:lastRowFirstColumn="0" w:lastRowLastColumn="0"/>
            <w:tcW w:w="4394" w:type="dxa"/>
            <w:tcBorders>
              <w:top w:val="nil"/>
              <w:left w:val="nil"/>
              <w:bottom w:val="nil"/>
              <w:right w:val="nil"/>
            </w:tcBorders>
          </w:tcPr>
          <w:p w:rsidR="00A46DCA" w:rsidRPr="00AC137D" w:rsidRDefault="00A46DCA" w:rsidP="00A26D04">
            <w:pPr>
              <w:keepLines w:val="0"/>
              <w:autoSpaceDE w:val="0"/>
              <w:autoSpaceDN w:val="0"/>
              <w:adjustRightInd w:val="0"/>
              <w:rPr>
                <w:rFonts w:eastAsiaTheme="minorEastAsia" w:cs="Calibri"/>
                <w:color w:val="000000"/>
                <w:szCs w:val="21"/>
                <w:lang w:eastAsia="en-AU"/>
              </w:rPr>
            </w:pPr>
            <w:r w:rsidRPr="00AC137D">
              <w:rPr>
                <w:rFonts w:eastAsiaTheme="minorEastAsia" w:cs="Calibri"/>
                <w:color w:val="000000"/>
                <w:szCs w:val="21"/>
                <w:lang w:eastAsia="en-AU"/>
              </w:rPr>
              <w:t>Other comprehensive income for the year</w:t>
            </w:r>
          </w:p>
        </w:tc>
        <w:tc>
          <w:tcPr>
            <w:tcW w:w="1417"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sidRPr="00AC137D">
              <w:rPr>
                <w:rFonts w:eastAsiaTheme="minorEastAsia" w:cs="Calibri"/>
                <w:color w:val="000000"/>
                <w:szCs w:val="21"/>
                <w:lang w:eastAsia="en-AU"/>
              </w:rPr>
              <w:t>956</w:t>
            </w:r>
          </w:p>
        </w:tc>
        <w:tc>
          <w:tcPr>
            <w:tcW w:w="1956"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1 507</w:t>
            </w:r>
          </w:p>
        </w:tc>
      </w:tr>
      <w:tr w:rsidR="00A46DCA" w:rsidRPr="00AC137D" w:rsidTr="00A26D04">
        <w:tc>
          <w:tcPr>
            <w:cnfStyle w:val="001000000000" w:firstRow="0" w:lastRow="0" w:firstColumn="1" w:lastColumn="0" w:oddVBand="0" w:evenVBand="0" w:oddHBand="0" w:evenHBand="0" w:firstRowFirstColumn="0" w:firstRowLastColumn="0" w:lastRowFirstColumn="0" w:lastRowLastColumn="0"/>
            <w:tcW w:w="4394" w:type="dxa"/>
            <w:tcBorders>
              <w:top w:val="nil"/>
              <w:left w:val="nil"/>
              <w:bottom w:val="nil"/>
              <w:right w:val="nil"/>
            </w:tcBorders>
          </w:tcPr>
          <w:p w:rsidR="00A46DCA" w:rsidRPr="00AC137D" w:rsidRDefault="00A46DCA" w:rsidP="00A26D04">
            <w:pPr>
              <w:keepLines w:val="0"/>
              <w:autoSpaceDE w:val="0"/>
              <w:autoSpaceDN w:val="0"/>
              <w:adjustRightInd w:val="0"/>
              <w:rPr>
                <w:rFonts w:eastAsiaTheme="minorEastAsia" w:cs="Calibri"/>
                <w:color w:val="000000"/>
                <w:szCs w:val="14"/>
                <w:lang w:eastAsia="en-AU"/>
              </w:rPr>
            </w:pPr>
            <w:r w:rsidRPr="00AC137D">
              <w:rPr>
                <w:rFonts w:eastAsiaTheme="minorEastAsia" w:cs="Calibri"/>
                <w:color w:val="000000"/>
                <w:szCs w:val="21"/>
                <w:lang w:eastAsia="en-AU"/>
              </w:rPr>
              <w:t>Transfer to/(from) accumulated surplus</w:t>
            </w:r>
            <w:r w:rsidRPr="00AC137D">
              <w:rPr>
                <w:rFonts w:eastAsiaTheme="minorEastAsia" w:cs="Calibri"/>
                <w:color w:val="000000"/>
                <w:szCs w:val="14"/>
                <w:lang w:eastAsia="en-AU"/>
              </w:rPr>
              <w:t xml:space="preserve"> </w:t>
            </w:r>
          </w:p>
        </w:tc>
        <w:tc>
          <w:tcPr>
            <w:tcW w:w="1417"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w:t>
            </w:r>
            <w:r w:rsidRPr="00AC137D">
              <w:rPr>
                <w:rFonts w:eastAsiaTheme="minorEastAsia" w:cs="Calibri"/>
                <w:color w:val="000000"/>
                <w:szCs w:val="21"/>
                <w:lang w:eastAsia="en-AU"/>
              </w:rPr>
              <w:t xml:space="preserve"> </w:t>
            </w:r>
          </w:p>
        </w:tc>
        <w:tc>
          <w:tcPr>
            <w:tcW w:w="1956"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w:t>
            </w:r>
            <w:r w:rsidRPr="00AC137D">
              <w:rPr>
                <w:rFonts w:eastAsiaTheme="minorEastAsia" w:cs="Calibri"/>
                <w:color w:val="000000"/>
                <w:szCs w:val="21"/>
                <w:lang w:eastAsia="en-AU"/>
              </w:rPr>
              <w:t xml:space="preserve"> </w:t>
            </w:r>
          </w:p>
        </w:tc>
      </w:tr>
      <w:tr w:rsidR="00A46DCA" w:rsidRPr="00AC137D" w:rsidTr="00A26D04">
        <w:tc>
          <w:tcPr>
            <w:cnfStyle w:val="001000000000" w:firstRow="0" w:lastRow="0" w:firstColumn="1" w:lastColumn="0" w:oddVBand="0" w:evenVBand="0" w:oddHBand="0" w:evenHBand="0" w:firstRowFirstColumn="0" w:firstRowLastColumn="0" w:lastRowFirstColumn="0" w:lastRowLastColumn="0"/>
            <w:tcW w:w="4394" w:type="dxa"/>
            <w:tcBorders>
              <w:top w:val="nil"/>
              <w:left w:val="nil"/>
              <w:bottom w:val="nil"/>
              <w:right w:val="nil"/>
            </w:tcBorders>
          </w:tcPr>
          <w:p w:rsidR="00A46DCA" w:rsidRPr="00AC137D" w:rsidRDefault="00A46DCA" w:rsidP="00A26D04">
            <w:pPr>
              <w:keepLines w:val="0"/>
              <w:autoSpaceDE w:val="0"/>
              <w:autoSpaceDN w:val="0"/>
              <w:adjustRightInd w:val="0"/>
              <w:rPr>
                <w:rFonts w:eastAsiaTheme="minorEastAsia" w:cs="Calibri"/>
                <w:color w:val="000000"/>
                <w:szCs w:val="21"/>
                <w:lang w:eastAsia="en-AU"/>
              </w:rPr>
            </w:pPr>
            <w:r w:rsidRPr="00AC137D">
              <w:rPr>
                <w:rFonts w:eastAsiaTheme="minorEastAsia" w:cs="Calibri"/>
                <w:color w:val="000000"/>
                <w:szCs w:val="21"/>
                <w:lang w:eastAsia="en-AU"/>
              </w:rPr>
              <w:t>Transactions with owners in their capacity as owners</w:t>
            </w:r>
          </w:p>
        </w:tc>
        <w:tc>
          <w:tcPr>
            <w:tcW w:w="1417"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w:t>
            </w:r>
            <w:r w:rsidRPr="00AC137D">
              <w:rPr>
                <w:rFonts w:eastAsiaTheme="minorEastAsia" w:cs="Calibri"/>
                <w:color w:val="000000"/>
                <w:szCs w:val="21"/>
                <w:lang w:eastAsia="en-AU"/>
              </w:rPr>
              <w:t xml:space="preserve"> </w:t>
            </w:r>
          </w:p>
        </w:tc>
        <w:tc>
          <w:tcPr>
            <w:tcW w:w="1956"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w:t>
            </w:r>
            <w:r w:rsidRPr="00AC137D">
              <w:rPr>
                <w:rFonts w:eastAsiaTheme="minorEastAsia" w:cs="Calibri"/>
                <w:color w:val="000000"/>
                <w:szCs w:val="21"/>
                <w:lang w:eastAsia="en-AU"/>
              </w:rPr>
              <w:t xml:space="preserve"> </w:t>
            </w:r>
          </w:p>
        </w:tc>
      </w:tr>
      <w:tr w:rsidR="00A46DCA" w:rsidRPr="00AC137D" w:rsidTr="00A26D04">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4" w:type="dxa"/>
            <w:tcBorders>
              <w:top w:val="single" w:sz="6" w:space="0" w:color="000000"/>
              <w:bottom w:val="single" w:sz="12" w:space="0" w:color="000000"/>
            </w:tcBorders>
          </w:tcPr>
          <w:p w:rsidR="00A46DCA" w:rsidRPr="00AC137D" w:rsidRDefault="00A46DCA" w:rsidP="00A26D04">
            <w:pPr>
              <w:keepLines w:val="0"/>
              <w:autoSpaceDE w:val="0"/>
              <w:autoSpaceDN w:val="0"/>
              <w:adjustRightInd w:val="0"/>
              <w:rPr>
                <w:rFonts w:eastAsiaTheme="minorEastAsia" w:cs="Calibri"/>
                <w:bCs/>
                <w:color w:val="000000"/>
                <w:szCs w:val="21"/>
                <w:lang w:eastAsia="en-AU"/>
              </w:rPr>
            </w:pPr>
            <w:r w:rsidRPr="00AC137D">
              <w:rPr>
                <w:rFonts w:eastAsiaTheme="minorEastAsia" w:cs="Calibri"/>
                <w:bCs/>
                <w:color w:val="000000"/>
                <w:szCs w:val="21"/>
                <w:lang w:eastAsia="en-AU"/>
              </w:rPr>
              <w:t>Total equity as at 30 June 2021</w:t>
            </w:r>
          </w:p>
        </w:tc>
        <w:tc>
          <w:tcPr>
            <w:tcW w:w="1417" w:type="dxa"/>
            <w:tcBorders>
              <w:top w:val="single" w:sz="6" w:space="0" w:color="000000"/>
              <w:bottom w:val="single" w:sz="12" w:space="0" w:color="000000"/>
            </w:tcBorders>
          </w:tcPr>
          <w:p w:rsidR="00A46DCA" w:rsidRPr="00AC137D" w:rsidRDefault="00A46DCA" w:rsidP="00A26D0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21"/>
                <w:lang w:eastAsia="en-AU"/>
              </w:rPr>
            </w:pPr>
            <w:r>
              <w:rPr>
                <w:rFonts w:eastAsiaTheme="minorEastAsia" w:cs="Calibri"/>
                <w:bCs/>
                <w:color w:val="000000"/>
                <w:szCs w:val="21"/>
                <w:lang w:eastAsia="en-AU"/>
              </w:rPr>
              <w:t>63 804</w:t>
            </w:r>
          </w:p>
        </w:tc>
        <w:tc>
          <w:tcPr>
            <w:tcW w:w="1956" w:type="dxa"/>
            <w:tcBorders>
              <w:top w:val="single" w:sz="6" w:space="0" w:color="000000"/>
              <w:bottom w:val="single" w:sz="12" w:space="0" w:color="000000"/>
            </w:tcBorders>
          </w:tcPr>
          <w:p w:rsidR="00A46DCA" w:rsidRPr="00AC137D" w:rsidRDefault="00A46DCA" w:rsidP="00A26D0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21"/>
                <w:lang w:eastAsia="en-AU"/>
              </w:rPr>
            </w:pPr>
            <w:r>
              <w:rPr>
                <w:rFonts w:eastAsiaTheme="minorEastAsia" w:cs="Calibri"/>
                <w:bCs/>
                <w:color w:val="000000"/>
                <w:szCs w:val="21"/>
                <w:lang w:eastAsia="en-AU"/>
              </w:rPr>
              <w:t>69 406</w:t>
            </w:r>
          </w:p>
        </w:tc>
      </w:tr>
    </w:tbl>
    <w:p w:rsidR="00A46DCA" w:rsidRDefault="00A46DCA" w:rsidP="00A26D04">
      <w:pPr>
        <w:pStyle w:val="Source"/>
      </w:pPr>
      <w:r w:rsidRPr="00D87D22">
        <w:t>Source: Dep</w:t>
      </w:r>
      <w:r>
        <w:t>artment of Treasury and Finance</w:t>
      </w:r>
      <w:r w:rsidRPr="009D4AF9">
        <w:t xml:space="preserve"> </w:t>
      </w:r>
    </w:p>
    <w:p w:rsidR="00A46DCA" w:rsidRDefault="00A46DCA" w:rsidP="00A26D04">
      <w:pPr>
        <w:pStyle w:val="Source"/>
      </w:pPr>
      <w:r>
        <w:t>The accompanying notes form part of these Estimated Financial Statements.</w:t>
      </w:r>
    </w:p>
    <w:p w:rsidR="00A46DCA" w:rsidRDefault="00A46DCA" w:rsidP="00A26D04">
      <w:pPr>
        <w:pStyle w:val="Note"/>
      </w:pPr>
      <w:r>
        <w:t>Note:</w:t>
      </w:r>
    </w:p>
    <w:p w:rsidR="00A46DCA" w:rsidRPr="00926603" w:rsidRDefault="00A46DCA" w:rsidP="00A26D04">
      <w:pPr>
        <w:pStyle w:val="Note"/>
      </w:pPr>
      <w:r w:rsidRPr="00926603">
        <w:t>(a)</w:t>
      </w:r>
      <w:r w:rsidRPr="00926603">
        <w:tab/>
        <w:t>Balances represent actual</w:t>
      </w:r>
      <w:r>
        <w:t xml:space="preserve"> opening balances at 1 July 2017 plus 2017-18</w:t>
      </w:r>
      <w:r w:rsidRPr="00926603">
        <w:t xml:space="preserve"> budgeted movements.</w:t>
      </w:r>
    </w:p>
    <w:p w:rsidR="00A46DCA" w:rsidRDefault="00A46DCA" w:rsidP="00A26D04">
      <w:pPr>
        <w:keepLines w:val="0"/>
      </w:pPr>
      <w:r>
        <w:br w:type="page"/>
      </w:r>
    </w:p>
    <w:p w:rsidR="00A46DCA" w:rsidRDefault="00A46DCA" w:rsidP="00A26D04">
      <w:pPr>
        <w:pStyle w:val="Heading10"/>
      </w:pPr>
      <w:r>
        <w:lastRenderedPageBreak/>
        <w:br/>
      </w:r>
    </w:p>
    <w:p w:rsidR="00A46DCA" w:rsidRPr="00AC137D" w:rsidRDefault="00A46DCA" w:rsidP="00A26D04">
      <w:pPr>
        <w:pStyle w:val="TableHeading"/>
        <w:rPr>
          <w:bCs/>
          <w:lang w:val="en-US"/>
        </w:rPr>
      </w:pPr>
    </w:p>
    <w:tbl>
      <w:tblPr>
        <w:tblStyle w:val="DTFTable"/>
        <w:tblW w:w="7773" w:type="dxa"/>
        <w:tblInd w:w="45" w:type="dxa"/>
        <w:tblLayout w:type="fixed"/>
        <w:tblCellMar>
          <w:left w:w="45" w:type="dxa"/>
          <w:right w:w="45" w:type="dxa"/>
        </w:tblCellMar>
        <w:tblLook w:val="06A0" w:firstRow="1" w:lastRow="0" w:firstColumn="1" w:lastColumn="0" w:noHBand="1" w:noVBand="1"/>
      </w:tblPr>
      <w:tblGrid>
        <w:gridCol w:w="2591"/>
        <w:gridCol w:w="2591"/>
        <w:gridCol w:w="2591"/>
      </w:tblGrid>
      <w:tr w:rsidR="00A46DCA" w:rsidRPr="00AC137D" w:rsidTr="002677DA">
        <w:trPr>
          <w:cnfStyle w:val="100000000000" w:firstRow="1" w:lastRow="0" w:firstColumn="0" w:lastColumn="0" w:oddVBand="0" w:evenVBand="0" w:oddHBand="0" w:evenHBand="0" w:firstRowFirstColumn="0" w:firstRowLastColumn="0" w:lastRowFirstColumn="0" w:lastRowLastColumn="0"/>
          <w:trHeight w:val="181"/>
          <w:tblHeader/>
        </w:trPr>
        <w:tc>
          <w:tcPr>
            <w:cnfStyle w:val="001000000000" w:firstRow="0" w:lastRow="0" w:firstColumn="1" w:lastColumn="0" w:oddVBand="0" w:evenVBand="0" w:oddHBand="0" w:evenHBand="0" w:firstRowFirstColumn="0" w:firstRowLastColumn="0" w:lastRowFirstColumn="0" w:lastRowLastColumn="0"/>
            <w:tcW w:w="2591" w:type="dxa"/>
            <w:tcBorders>
              <w:top w:val="nil"/>
              <w:left w:val="nil"/>
              <w:bottom w:val="nil"/>
              <w:right w:val="nil"/>
            </w:tcBorders>
            <w:shd w:val="solid" w:color="000000" w:fill="auto"/>
          </w:tcPr>
          <w:p w:rsidR="00A46DCA" w:rsidRPr="00AC137D" w:rsidRDefault="00A46DCA" w:rsidP="00A26D04">
            <w:pPr>
              <w:keepLines w:val="0"/>
              <w:autoSpaceDE w:val="0"/>
              <w:autoSpaceDN w:val="0"/>
              <w:adjustRightInd w:val="0"/>
              <w:jc w:val="right"/>
              <w:rPr>
                <w:rFonts w:eastAsiaTheme="minorEastAsia" w:cs="Calibri"/>
                <w:iCs/>
                <w:color w:val="FFFFFF"/>
                <w:szCs w:val="21"/>
                <w:lang w:eastAsia="en-AU"/>
              </w:rPr>
            </w:pPr>
            <w:r w:rsidRPr="00AC137D">
              <w:rPr>
                <w:rFonts w:eastAsiaTheme="minorEastAsia" w:cs="Calibri"/>
                <w:iCs/>
                <w:color w:val="FFFFFF"/>
                <w:szCs w:val="21"/>
                <w:lang w:eastAsia="en-AU"/>
              </w:rPr>
              <w:t xml:space="preserve">Investment in other sector </w:t>
            </w:r>
            <w:r>
              <w:rPr>
                <w:rFonts w:eastAsiaTheme="minorEastAsia" w:cs="Calibri"/>
                <w:iCs/>
                <w:color w:val="FFFFFF"/>
                <w:szCs w:val="21"/>
                <w:lang w:eastAsia="en-AU"/>
              </w:rPr>
              <w:br/>
            </w:r>
            <w:r w:rsidRPr="00AC137D">
              <w:rPr>
                <w:rFonts w:eastAsiaTheme="minorEastAsia" w:cs="Calibri"/>
                <w:iCs/>
                <w:color w:val="FFFFFF"/>
                <w:szCs w:val="21"/>
                <w:lang w:eastAsia="en-AU"/>
              </w:rPr>
              <w:t>entities revaluation surplus</w:t>
            </w:r>
          </w:p>
        </w:tc>
        <w:tc>
          <w:tcPr>
            <w:tcW w:w="2591" w:type="dxa"/>
            <w:tcBorders>
              <w:top w:val="nil"/>
              <w:left w:val="nil"/>
              <w:bottom w:val="nil"/>
              <w:right w:val="nil"/>
            </w:tcBorders>
            <w:shd w:val="solid" w:color="000000" w:fill="auto"/>
          </w:tcPr>
          <w:p w:rsidR="00A46DCA" w:rsidRPr="00AC137D" w:rsidRDefault="00A46DCA" w:rsidP="00A26D0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21"/>
                <w:lang w:eastAsia="en-AU"/>
              </w:rPr>
            </w:pPr>
            <w:r w:rsidRPr="00AC137D">
              <w:rPr>
                <w:rFonts w:eastAsiaTheme="minorEastAsia" w:cs="Calibri"/>
                <w:iCs/>
                <w:color w:val="FFFFFF"/>
                <w:szCs w:val="21"/>
                <w:lang w:eastAsia="en-AU"/>
              </w:rPr>
              <w:t xml:space="preserve">Other </w:t>
            </w:r>
            <w:r>
              <w:rPr>
                <w:rFonts w:eastAsiaTheme="minorEastAsia" w:cs="Calibri"/>
                <w:iCs/>
                <w:color w:val="FFFFFF"/>
                <w:szCs w:val="21"/>
                <w:lang w:eastAsia="en-AU"/>
              </w:rPr>
              <w:br/>
            </w:r>
            <w:r w:rsidRPr="00AC137D">
              <w:rPr>
                <w:rFonts w:eastAsiaTheme="minorEastAsia" w:cs="Calibri"/>
                <w:iCs/>
                <w:color w:val="FFFFFF"/>
                <w:szCs w:val="21"/>
                <w:lang w:eastAsia="en-AU"/>
              </w:rPr>
              <w:t>reserves</w:t>
            </w:r>
          </w:p>
        </w:tc>
        <w:tc>
          <w:tcPr>
            <w:tcW w:w="2591" w:type="dxa"/>
            <w:tcBorders>
              <w:top w:val="nil"/>
              <w:left w:val="nil"/>
              <w:bottom w:val="nil"/>
              <w:right w:val="nil"/>
            </w:tcBorders>
            <w:shd w:val="solid" w:color="000000" w:fill="auto"/>
          </w:tcPr>
          <w:p w:rsidR="00A46DCA" w:rsidRPr="00AC137D" w:rsidRDefault="00A46DCA" w:rsidP="00A26D0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21"/>
                <w:lang w:eastAsia="en-AU"/>
              </w:rPr>
            </w:pPr>
            <w:r w:rsidRPr="00AC137D">
              <w:rPr>
                <w:rFonts w:eastAsiaTheme="minorEastAsia" w:cs="Calibri"/>
                <w:iCs/>
                <w:color w:val="FFFFFF"/>
                <w:szCs w:val="21"/>
                <w:lang w:eastAsia="en-AU"/>
              </w:rPr>
              <w:t>Total</w:t>
            </w:r>
          </w:p>
        </w:tc>
      </w:tr>
      <w:tr w:rsidR="00A46DCA" w:rsidRPr="00AC137D" w:rsidTr="00A26D04">
        <w:tc>
          <w:tcPr>
            <w:cnfStyle w:val="001000000000" w:firstRow="0" w:lastRow="0" w:firstColumn="1" w:lastColumn="0" w:oddVBand="0" w:evenVBand="0" w:oddHBand="0" w:evenHBand="0" w:firstRowFirstColumn="0" w:firstRowLastColumn="0" w:lastRowFirstColumn="0" w:lastRowLastColumn="0"/>
            <w:tcW w:w="2591" w:type="dxa"/>
            <w:tcBorders>
              <w:top w:val="nil"/>
              <w:left w:val="nil"/>
              <w:bottom w:val="nil"/>
              <w:right w:val="nil"/>
            </w:tcBorders>
          </w:tcPr>
          <w:p w:rsidR="00A46DCA" w:rsidRPr="00AC137D" w:rsidRDefault="00A46DCA" w:rsidP="00A26D04">
            <w:pPr>
              <w:keepLines w:val="0"/>
              <w:autoSpaceDE w:val="0"/>
              <w:autoSpaceDN w:val="0"/>
              <w:adjustRightInd w:val="0"/>
              <w:jc w:val="right"/>
              <w:rPr>
                <w:rFonts w:eastAsiaTheme="minorEastAsia" w:cs="Calibri"/>
                <w:b/>
                <w:bCs/>
                <w:color w:val="000000"/>
                <w:lang w:eastAsia="en-AU"/>
              </w:rPr>
            </w:pPr>
            <w:r w:rsidRPr="00AC137D">
              <w:rPr>
                <w:rFonts w:eastAsiaTheme="minorEastAsia" w:cs="Calibri"/>
                <w:b/>
                <w:bCs/>
                <w:color w:val="000000"/>
                <w:lang w:eastAsia="en-AU"/>
              </w:rPr>
              <w:t xml:space="preserve"> </w:t>
            </w:r>
          </w:p>
        </w:tc>
        <w:tc>
          <w:tcPr>
            <w:tcW w:w="2591"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1"/>
                <w:lang w:eastAsia="en-AU"/>
              </w:rPr>
            </w:pPr>
            <w:r w:rsidRPr="00AC137D">
              <w:rPr>
                <w:rFonts w:eastAsiaTheme="minorEastAsia" w:cs="Calibri"/>
                <w:b/>
                <w:bCs/>
                <w:color w:val="000000"/>
                <w:szCs w:val="21"/>
                <w:lang w:eastAsia="en-AU"/>
              </w:rPr>
              <w:t xml:space="preserve"> </w:t>
            </w:r>
          </w:p>
        </w:tc>
        <w:tc>
          <w:tcPr>
            <w:tcW w:w="2591"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1"/>
                <w:lang w:eastAsia="en-AU"/>
              </w:rPr>
            </w:pPr>
            <w:r w:rsidRPr="00AC137D">
              <w:rPr>
                <w:rFonts w:eastAsiaTheme="minorEastAsia" w:cs="Calibri"/>
                <w:b/>
                <w:bCs/>
                <w:color w:val="000000"/>
                <w:szCs w:val="21"/>
                <w:lang w:eastAsia="en-AU"/>
              </w:rPr>
              <w:t xml:space="preserve"> </w:t>
            </w:r>
          </w:p>
        </w:tc>
      </w:tr>
      <w:tr w:rsidR="00A46DCA" w:rsidRPr="00AC137D" w:rsidTr="00A26D04">
        <w:tc>
          <w:tcPr>
            <w:cnfStyle w:val="001000000000" w:firstRow="0" w:lastRow="0" w:firstColumn="1" w:lastColumn="0" w:oddVBand="0" w:evenVBand="0" w:oddHBand="0" w:evenHBand="0" w:firstRowFirstColumn="0" w:firstRowLastColumn="0" w:lastRowFirstColumn="0" w:lastRowLastColumn="0"/>
            <w:tcW w:w="2591" w:type="dxa"/>
            <w:tcBorders>
              <w:top w:val="nil"/>
              <w:left w:val="nil"/>
              <w:bottom w:val="nil"/>
              <w:right w:val="nil"/>
            </w:tcBorders>
          </w:tcPr>
          <w:p w:rsidR="00A46DCA" w:rsidRPr="00AC137D" w:rsidRDefault="00A46DCA" w:rsidP="00A26D04">
            <w:pPr>
              <w:keepLines w:val="0"/>
              <w:autoSpaceDE w:val="0"/>
              <w:autoSpaceDN w:val="0"/>
              <w:adjustRightInd w:val="0"/>
              <w:jc w:val="right"/>
              <w:rPr>
                <w:rFonts w:eastAsiaTheme="minorEastAsia" w:cs="Calibri"/>
                <w:color w:val="000000"/>
                <w:szCs w:val="21"/>
                <w:lang w:eastAsia="en-AU"/>
              </w:rPr>
            </w:pPr>
            <w:r>
              <w:rPr>
                <w:rFonts w:eastAsiaTheme="minorEastAsia" w:cs="Calibri"/>
                <w:color w:val="000000"/>
                <w:szCs w:val="21"/>
                <w:lang w:eastAsia="en-AU"/>
              </w:rPr>
              <w:t>60 149</w:t>
            </w:r>
          </w:p>
        </w:tc>
        <w:tc>
          <w:tcPr>
            <w:tcW w:w="2591"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sidRPr="00AC137D">
              <w:rPr>
                <w:rFonts w:eastAsiaTheme="minorEastAsia" w:cs="Calibri"/>
                <w:color w:val="000000"/>
                <w:szCs w:val="21"/>
                <w:lang w:eastAsia="en-AU"/>
              </w:rPr>
              <w:t>669</w:t>
            </w:r>
          </w:p>
        </w:tc>
        <w:tc>
          <w:tcPr>
            <w:tcW w:w="2591"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168 027</w:t>
            </w:r>
          </w:p>
        </w:tc>
      </w:tr>
      <w:tr w:rsidR="00A46DCA" w:rsidRPr="00AC137D" w:rsidTr="00A26D04">
        <w:tc>
          <w:tcPr>
            <w:cnfStyle w:val="001000000000" w:firstRow="0" w:lastRow="0" w:firstColumn="1" w:lastColumn="0" w:oddVBand="0" w:evenVBand="0" w:oddHBand="0" w:evenHBand="0" w:firstRowFirstColumn="0" w:firstRowLastColumn="0" w:lastRowFirstColumn="0" w:lastRowLastColumn="0"/>
            <w:tcW w:w="2591" w:type="dxa"/>
            <w:tcBorders>
              <w:top w:val="nil"/>
              <w:left w:val="nil"/>
              <w:bottom w:val="nil"/>
              <w:right w:val="nil"/>
            </w:tcBorders>
          </w:tcPr>
          <w:p w:rsidR="00A46DCA" w:rsidRPr="00AC137D" w:rsidRDefault="00A46DCA" w:rsidP="00A26D04">
            <w:pPr>
              <w:keepLines w:val="0"/>
              <w:autoSpaceDE w:val="0"/>
              <w:autoSpaceDN w:val="0"/>
              <w:adjustRightInd w:val="0"/>
              <w:jc w:val="right"/>
              <w:rPr>
                <w:rFonts w:eastAsiaTheme="minorEastAsia" w:cs="Calibri"/>
                <w:color w:val="000000"/>
                <w:szCs w:val="21"/>
                <w:lang w:eastAsia="en-AU"/>
              </w:rPr>
            </w:pPr>
            <w:r>
              <w:rPr>
                <w:rFonts w:eastAsiaTheme="minorEastAsia" w:cs="Calibri"/>
                <w:color w:val="000000"/>
                <w:szCs w:val="21"/>
                <w:lang w:eastAsia="en-AU"/>
              </w:rPr>
              <w:t>..</w:t>
            </w:r>
          </w:p>
        </w:tc>
        <w:tc>
          <w:tcPr>
            <w:tcW w:w="2591"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w:t>
            </w:r>
          </w:p>
        </w:tc>
        <w:tc>
          <w:tcPr>
            <w:tcW w:w="2591"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sidRPr="00AC137D">
              <w:rPr>
                <w:rFonts w:eastAsiaTheme="minorEastAsia" w:cs="Calibri"/>
                <w:color w:val="000000"/>
                <w:szCs w:val="21"/>
                <w:lang w:eastAsia="en-AU"/>
              </w:rPr>
              <w:t>887</w:t>
            </w:r>
          </w:p>
        </w:tc>
      </w:tr>
      <w:tr w:rsidR="00A46DCA" w:rsidRPr="00AC137D" w:rsidTr="00A26D04">
        <w:tc>
          <w:tcPr>
            <w:cnfStyle w:val="001000000000" w:firstRow="0" w:lastRow="0" w:firstColumn="1" w:lastColumn="0" w:oddVBand="0" w:evenVBand="0" w:oddHBand="0" w:evenHBand="0" w:firstRowFirstColumn="0" w:firstRowLastColumn="0" w:lastRowFirstColumn="0" w:lastRowLastColumn="0"/>
            <w:tcW w:w="2591" w:type="dxa"/>
            <w:tcBorders>
              <w:top w:val="nil"/>
              <w:left w:val="nil"/>
              <w:bottom w:val="nil"/>
              <w:right w:val="nil"/>
            </w:tcBorders>
          </w:tcPr>
          <w:p w:rsidR="00A46DCA" w:rsidRPr="00AC137D" w:rsidRDefault="00A46DCA" w:rsidP="00A26D04">
            <w:pPr>
              <w:keepLines w:val="0"/>
              <w:autoSpaceDE w:val="0"/>
              <w:autoSpaceDN w:val="0"/>
              <w:adjustRightInd w:val="0"/>
              <w:jc w:val="right"/>
              <w:rPr>
                <w:rFonts w:eastAsiaTheme="minorEastAsia" w:cs="Calibri"/>
                <w:color w:val="000000"/>
                <w:szCs w:val="21"/>
                <w:lang w:eastAsia="en-AU"/>
              </w:rPr>
            </w:pPr>
            <w:r>
              <w:rPr>
                <w:rFonts w:eastAsiaTheme="minorEastAsia" w:cs="Calibri"/>
                <w:color w:val="000000"/>
                <w:szCs w:val="21"/>
                <w:lang w:eastAsia="en-AU"/>
              </w:rPr>
              <w:t>(966)</w:t>
            </w:r>
          </w:p>
        </w:tc>
        <w:tc>
          <w:tcPr>
            <w:tcW w:w="2591"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sidRPr="00AC137D">
              <w:rPr>
                <w:rFonts w:eastAsiaTheme="minorEastAsia" w:cs="Calibri"/>
                <w:color w:val="000000"/>
                <w:szCs w:val="21"/>
                <w:lang w:eastAsia="en-AU"/>
              </w:rPr>
              <w:t>1</w:t>
            </w:r>
          </w:p>
        </w:tc>
        <w:tc>
          <w:tcPr>
            <w:tcW w:w="2591"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3 617</w:t>
            </w:r>
          </w:p>
        </w:tc>
      </w:tr>
      <w:tr w:rsidR="00A46DCA" w:rsidRPr="00AC137D" w:rsidTr="00A26D04">
        <w:tc>
          <w:tcPr>
            <w:cnfStyle w:val="001000000000" w:firstRow="0" w:lastRow="0" w:firstColumn="1" w:lastColumn="0" w:oddVBand="0" w:evenVBand="0" w:oddHBand="0" w:evenHBand="0" w:firstRowFirstColumn="0" w:firstRowLastColumn="0" w:lastRowFirstColumn="0" w:lastRowLastColumn="0"/>
            <w:tcW w:w="2591" w:type="dxa"/>
            <w:tcBorders>
              <w:top w:val="nil"/>
              <w:left w:val="nil"/>
              <w:bottom w:val="nil"/>
              <w:right w:val="nil"/>
            </w:tcBorders>
          </w:tcPr>
          <w:p w:rsidR="00A46DCA" w:rsidRPr="00AC137D" w:rsidRDefault="00A46DCA" w:rsidP="00A26D04">
            <w:pPr>
              <w:keepLines w:val="0"/>
              <w:autoSpaceDE w:val="0"/>
              <w:autoSpaceDN w:val="0"/>
              <w:adjustRightInd w:val="0"/>
              <w:jc w:val="right"/>
              <w:rPr>
                <w:rFonts w:eastAsiaTheme="minorEastAsia" w:cs="Calibri"/>
                <w:color w:val="000000"/>
                <w:szCs w:val="21"/>
                <w:lang w:eastAsia="en-AU"/>
              </w:rPr>
            </w:pPr>
            <w:r>
              <w:rPr>
                <w:rFonts w:eastAsiaTheme="minorEastAsia" w:cs="Calibri"/>
                <w:color w:val="000000"/>
                <w:szCs w:val="21"/>
                <w:lang w:eastAsia="en-AU"/>
              </w:rPr>
              <w:t>..</w:t>
            </w:r>
          </w:p>
        </w:tc>
        <w:tc>
          <w:tcPr>
            <w:tcW w:w="2591"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w:t>
            </w:r>
          </w:p>
        </w:tc>
        <w:tc>
          <w:tcPr>
            <w:tcW w:w="2591"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w:t>
            </w:r>
          </w:p>
        </w:tc>
      </w:tr>
      <w:tr w:rsidR="00A46DCA" w:rsidRPr="00AC137D" w:rsidTr="00A26D04">
        <w:tc>
          <w:tcPr>
            <w:cnfStyle w:val="001000000000" w:firstRow="0" w:lastRow="0" w:firstColumn="1" w:lastColumn="0" w:oddVBand="0" w:evenVBand="0" w:oddHBand="0" w:evenHBand="0" w:firstRowFirstColumn="0" w:firstRowLastColumn="0" w:lastRowFirstColumn="0" w:lastRowLastColumn="0"/>
            <w:tcW w:w="2591" w:type="dxa"/>
            <w:tcBorders>
              <w:top w:val="nil"/>
              <w:left w:val="nil"/>
              <w:bottom w:val="nil"/>
              <w:right w:val="nil"/>
            </w:tcBorders>
          </w:tcPr>
          <w:p w:rsidR="00A46DCA" w:rsidRPr="00AC137D" w:rsidRDefault="00A46DCA" w:rsidP="00A26D04">
            <w:pPr>
              <w:keepLines w:val="0"/>
              <w:autoSpaceDE w:val="0"/>
              <w:autoSpaceDN w:val="0"/>
              <w:adjustRightInd w:val="0"/>
              <w:jc w:val="right"/>
              <w:rPr>
                <w:rFonts w:eastAsiaTheme="minorEastAsia" w:cs="Calibri"/>
                <w:color w:val="000000"/>
                <w:szCs w:val="21"/>
                <w:lang w:eastAsia="en-AU"/>
              </w:rPr>
            </w:pPr>
            <w:r>
              <w:rPr>
                <w:rFonts w:eastAsiaTheme="minorEastAsia" w:cs="Calibri"/>
                <w:color w:val="000000"/>
                <w:szCs w:val="21"/>
                <w:lang w:eastAsia="en-AU"/>
              </w:rPr>
              <w:t>..</w:t>
            </w:r>
            <w:r w:rsidRPr="00AC137D">
              <w:rPr>
                <w:rFonts w:eastAsiaTheme="minorEastAsia" w:cs="Calibri"/>
                <w:color w:val="000000"/>
                <w:szCs w:val="21"/>
                <w:lang w:eastAsia="en-AU"/>
              </w:rPr>
              <w:t xml:space="preserve"> </w:t>
            </w:r>
          </w:p>
        </w:tc>
        <w:tc>
          <w:tcPr>
            <w:tcW w:w="2591"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w:t>
            </w:r>
            <w:r w:rsidRPr="00AC137D">
              <w:rPr>
                <w:rFonts w:eastAsiaTheme="minorEastAsia" w:cs="Calibri"/>
                <w:color w:val="000000"/>
                <w:szCs w:val="21"/>
                <w:lang w:eastAsia="en-AU"/>
              </w:rPr>
              <w:t xml:space="preserve"> </w:t>
            </w:r>
          </w:p>
        </w:tc>
        <w:tc>
          <w:tcPr>
            <w:tcW w:w="2591"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w:t>
            </w:r>
            <w:r w:rsidRPr="00AC137D">
              <w:rPr>
                <w:rFonts w:eastAsiaTheme="minorEastAsia" w:cs="Calibri"/>
                <w:color w:val="000000"/>
                <w:szCs w:val="21"/>
                <w:lang w:eastAsia="en-AU"/>
              </w:rPr>
              <w:t xml:space="preserve"> </w:t>
            </w:r>
          </w:p>
        </w:tc>
      </w:tr>
      <w:tr w:rsidR="00A46DCA" w:rsidRPr="00AC137D" w:rsidTr="00A26D04">
        <w:tc>
          <w:tcPr>
            <w:cnfStyle w:val="001000000000" w:firstRow="0" w:lastRow="0" w:firstColumn="1" w:lastColumn="0" w:oddVBand="0" w:evenVBand="0" w:oddHBand="0" w:evenHBand="0" w:firstRowFirstColumn="0" w:firstRowLastColumn="0" w:lastRowFirstColumn="0" w:lastRowLastColumn="0"/>
            <w:tcW w:w="2591" w:type="dxa"/>
            <w:tcBorders>
              <w:top w:val="single" w:sz="6" w:space="0" w:color="000000"/>
              <w:left w:val="nil"/>
              <w:bottom w:val="single" w:sz="12" w:space="0" w:color="000000"/>
              <w:right w:val="nil"/>
            </w:tcBorders>
          </w:tcPr>
          <w:p w:rsidR="00A46DCA" w:rsidRPr="00AC137D" w:rsidRDefault="00A46DCA" w:rsidP="00A26D04">
            <w:pPr>
              <w:keepLines w:val="0"/>
              <w:autoSpaceDE w:val="0"/>
              <w:autoSpaceDN w:val="0"/>
              <w:adjustRightInd w:val="0"/>
              <w:jc w:val="right"/>
              <w:rPr>
                <w:rFonts w:eastAsiaTheme="minorEastAsia" w:cs="Calibri"/>
                <w:b/>
                <w:bCs/>
                <w:color w:val="000000"/>
                <w:szCs w:val="21"/>
                <w:lang w:eastAsia="en-AU"/>
              </w:rPr>
            </w:pPr>
            <w:r>
              <w:rPr>
                <w:rFonts w:eastAsiaTheme="minorEastAsia" w:cs="Calibri"/>
                <w:b/>
                <w:bCs/>
                <w:color w:val="000000"/>
                <w:szCs w:val="21"/>
                <w:lang w:eastAsia="en-AU"/>
              </w:rPr>
              <w:t>59 183</w:t>
            </w:r>
          </w:p>
        </w:tc>
        <w:tc>
          <w:tcPr>
            <w:tcW w:w="2591" w:type="dxa"/>
            <w:tcBorders>
              <w:top w:val="single" w:sz="6" w:space="0" w:color="000000"/>
              <w:left w:val="nil"/>
              <w:bottom w:val="single" w:sz="12" w:space="0" w:color="000000"/>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1"/>
                <w:lang w:eastAsia="en-AU"/>
              </w:rPr>
            </w:pPr>
            <w:r w:rsidRPr="00AC137D">
              <w:rPr>
                <w:rFonts w:eastAsiaTheme="minorEastAsia" w:cs="Calibri"/>
                <w:b/>
                <w:bCs/>
                <w:color w:val="000000"/>
                <w:szCs w:val="21"/>
                <w:lang w:eastAsia="en-AU"/>
              </w:rPr>
              <w:t>669</w:t>
            </w:r>
          </w:p>
        </w:tc>
        <w:tc>
          <w:tcPr>
            <w:tcW w:w="2591" w:type="dxa"/>
            <w:tcBorders>
              <w:top w:val="single" w:sz="6" w:space="0" w:color="000000"/>
              <w:left w:val="nil"/>
              <w:bottom w:val="single" w:sz="12" w:space="0" w:color="000000"/>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1"/>
                <w:lang w:eastAsia="en-AU"/>
              </w:rPr>
            </w:pPr>
            <w:r>
              <w:rPr>
                <w:rFonts w:eastAsiaTheme="minorEastAsia" w:cs="Calibri"/>
                <w:b/>
                <w:bCs/>
                <w:color w:val="000000"/>
                <w:szCs w:val="21"/>
                <w:lang w:eastAsia="en-AU"/>
              </w:rPr>
              <w:t>172 532</w:t>
            </w:r>
          </w:p>
        </w:tc>
      </w:tr>
      <w:tr w:rsidR="00A46DCA" w:rsidRPr="00AC137D" w:rsidTr="00A26D04">
        <w:tc>
          <w:tcPr>
            <w:cnfStyle w:val="001000000000" w:firstRow="0" w:lastRow="0" w:firstColumn="1" w:lastColumn="0" w:oddVBand="0" w:evenVBand="0" w:oddHBand="0" w:evenHBand="0" w:firstRowFirstColumn="0" w:firstRowLastColumn="0" w:lastRowFirstColumn="0" w:lastRowLastColumn="0"/>
            <w:tcW w:w="2591" w:type="dxa"/>
            <w:tcBorders>
              <w:top w:val="nil"/>
              <w:left w:val="nil"/>
              <w:bottom w:val="nil"/>
              <w:right w:val="nil"/>
            </w:tcBorders>
          </w:tcPr>
          <w:p w:rsidR="00A46DCA" w:rsidRPr="00AC137D" w:rsidRDefault="00A46DCA" w:rsidP="00A26D04">
            <w:pPr>
              <w:keepLines w:val="0"/>
              <w:autoSpaceDE w:val="0"/>
              <w:autoSpaceDN w:val="0"/>
              <w:adjustRightInd w:val="0"/>
              <w:jc w:val="right"/>
              <w:rPr>
                <w:rFonts w:eastAsiaTheme="minorEastAsia" w:cs="Calibri"/>
                <w:b/>
                <w:bCs/>
                <w:color w:val="000000"/>
                <w:lang w:eastAsia="en-AU"/>
              </w:rPr>
            </w:pPr>
            <w:r w:rsidRPr="00AC137D">
              <w:rPr>
                <w:rFonts w:eastAsiaTheme="minorEastAsia" w:cs="Calibri"/>
                <w:b/>
                <w:bCs/>
                <w:color w:val="000000"/>
                <w:lang w:eastAsia="en-AU"/>
              </w:rPr>
              <w:t xml:space="preserve"> </w:t>
            </w:r>
          </w:p>
        </w:tc>
        <w:tc>
          <w:tcPr>
            <w:tcW w:w="2591"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1"/>
                <w:lang w:eastAsia="en-AU"/>
              </w:rPr>
            </w:pPr>
            <w:r w:rsidRPr="00AC137D">
              <w:rPr>
                <w:rFonts w:eastAsiaTheme="minorEastAsia" w:cs="Calibri"/>
                <w:b/>
                <w:bCs/>
                <w:color w:val="000000"/>
                <w:szCs w:val="21"/>
                <w:lang w:eastAsia="en-AU"/>
              </w:rPr>
              <w:t xml:space="preserve"> </w:t>
            </w:r>
          </w:p>
        </w:tc>
        <w:tc>
          <w:tcPr>
            <w:tcW w:w="2591"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1"/>
                <w:lang w:eastAsia="en-AU"/>
              </w:rPr>
            </w:pPr>
            <w:r w:rsidRPr="00AC137D">
              <w:rPr>
                <w:rFonts w:eastAsiaTheme="minorEastAsia" w:cs="Calibri"/>
                <w:b/>
                <w:bCs/>
                <w:color w:val="000000"/>
                <w:szCs w:val="21"/>
                <w:lang w:eastAsia="en-AU"/>
              </w:rPr>
              <w:t xml:space="preserve"> </w:t>
            </w:r>
          </w:p>
        </w:tc>
      </w:tr>
      <w:tr w:rsidR="00A46DCA" w:rsidRPr="00AC137D" w:rsidTr="00A26D04">
        <w:tc>
          <w:tcPr>
            <w:cnfStyle w:val="001000000000" w:firstRow="0" w:lastRow="0" w:firstColumn="1" w:lastColumn="0" w:oddVBand="0" w:evenVBand="0" w:oddHBand="0" w:evenHBand="0" w:firstRowFirstColumn="0" w:firstRowLastColumn="0" w:lastRowFirstColumn="0" w:lastRowLastColumn="0"/>
            <w:tcW w:w="2591" w:type="dxa"/>
            <w:tcBorders>
              <w:top w:val="nil"/>
              <w:left w:val="nil"/>
              <w:bottom w:val="nil"/>
              <w:right w:val="nil"/>
            </w:tcBorders>
          </w:tcPr>
          <w:p w:rsidR="00A46DCA" w:rsidRPr="00AC137D" w:rsidRDefault="00A46DCA" w:rsidP="00A26D04">
            <w:pPr>
              <w:keepLines w:val="0"/>
              <w:autoSpaceDE w:val="0"/>
              <w:autoSpaceDN w:val="0"/>
              <w:adjustRightInd w:val="0"/>
              <w:jc w:val="right"/>
              <w:rPr>
                <w:rFonts w:eastAsiaTheme="minorEastAsia" w:cs="Calibri"/>
                <w:color w:val="000000"/>
                <w:szCs w:val="21"/>
                <w:lang w:eastAsia="en-AU"/>
              </w:rPr>
            </w:pPr>
            <w:r>
              <w:rPr>
                <w:rFonts w:eastAsiaTheme="minorEastAsia" w:cs="Calibri"/>
                <w:color w:val="000000"/>
                <w:szCs w:val="21"/>
                <w:lang w:eastAsia="en-AU"/>
              </w:rPr>
              <w:t>60 149</w:t>
            </w:r>
          </w:p>
        </w:tc>
        <w:tc>
          <w:tcPr>
            <w:tcW w:w="2591"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sidRPr="00AC137D">
              <w:rPr>
                <w:rFonts w:eastAsiaTheme="minorEastAsia" w:cs="Calibri"/>
                <w:color w:val="000000"/>
                <w:szCs w:val="21"/>
                <w:lang w:eastAsia="en-AU"/>
              </w:rPr>
              <w:t>669</w:t>
            </w:r>
          </w:p>
        </w:tc>
        <w:tc>
          <w:tcPr>
            <w:tcW w:w="2591"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168 027</w:t>
            </w:r>
          </w:p>
        </w:tc>
      </w:tr>
      <w:tr w:rsidR="00A46DCA" w:rsidRPr="00AC137D" w:rsidTr="00A26D04">
        <w:tc>
          <w:tcPr>
            <w:cnfStyle w:val="001000000000" w:firstRow="0" w:lastRow="0" w:firstColumn="1" w:lastColumn="0" w:oddVBand="0" w:evenVBand="0" w:oddHBand="0" w:evenHBand="0" w:firstRowFirstColumn="0" w:firstRowLastColumn="0" w:lastRowFirstColumn="0" w:lastRowLastColumn="0"/>
            <w:tcW w:w="2591" w:type="dxa"/>
            <w:tcBorders>
              <w:top w:val="nil"/>
              <w:left w:val="nil"/>
              <w:bottom w:val="nil"/>
              <w:right w:val="nil"/>
            </w:tcBorders>
          </w:tcPr>
          <w:p w:rsidR="00A46DCA" w:rsidRPr="00AC137D" w:rsidRDefault="00A46DCA" w:rsidP="00A26D04">
            <w:pPr>
              <w:keepLines w:val="0"/>
              <w:autoSpaceDE w:val="0"/>
              <w:autoSpaceDN w:val="0"/>
              <w:adjustRightInd w:val="0"/>
              <w:jc w:val="right"/>
              <w:rPr>
                <w:rFonts w:eastAsiaTheme="minorEastAsia" w:cs="Calibri"/>
                <w:color w:val="000000"/>
                <w:szCs w:val="21"/>
                <w:lang w:eastAsia="en-AU"/>
              </w:rPr>
            </w:pPr>
            <w:r>
              <w:rPr>
                <w:rFonts w:eastAsiaTheme="minorEastAsia" w:cs="Calibri"/>
                <w:color w:val="000000"/>
                <w:szCs w:val="21"/>
                <w:lang w:eastAsia="en-AU"/>
              </w:rPr>
              <w:t>..</w:t>
            </w:r>
          </w:p>
        </w:tc>
        <w:tc>
          <w:tcPr>
            <w:tcW w:w="2591"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w:t>
            </w:r>
          </w:p>
        </w:tc>
        <w:tc>
          <w:tcPr>
            <w:tcW w:w="2591"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1 460</w:t>
            </w:r>
          </w:p>
        </w:tc>
      </w:tr>
      <w:tr w:rsidR="00A46DCA" w:rsidRPr="00AC137D" w:rsidTr="00A26D04">
        <w:tc>
          <w:tcPr>
            <w:cnfStyle w:val="001000000000" w:firstRow="0" w:lastRow="0" w:firstColumn="1" w:lastColumn="0" w:oddVBand="0" w:evenVBand="0" w:oddHBand="0" w:evenHBand="0" w:firstRowFirstColumn="0" w:firstRowLastColumn="0" w:lastRowFirstColumn="0" w:lastRowLastColumn="0"/>
            <w:tcW w:w="2591" w:type="dxa"/>
            <w:tcBorders>
              <w:top w:val="nil"/>
              <w:left w:val="nil"/>
              <w:bottom w:val="nil"/>
              <w:right w:val="nil"/>
            </w:tcBorders>
          </w:tcPr>
          <w:p w:rsidR="00A46DCA" w:rsidRPr="00AC137D" w:rsidRDefault="00A46DCA" w:rsidP="00A26D04">
            <w:pPr>
              <w:keepLines w:val="0"/>
              <w:autoSpaceDE w:val="0"/>
              <w:autoSpaceDN w:val="0"/>
              <w:adjustRightInd w:val="0"/>
              <w:jc w:val="right"/>
              <w:rPr>
                <w:rFonts w:eastAsiaTheme="minorEastAsia" w:cs="Calibri"/>
                <w:color w:val="000000"/>
                <w:szCs w:val="21"/>
                <w:lang w:eastAsia="en-AU"/>
              </w:rPr>
            </w:pPr>
            <w:r>
              <w:rPr>
                <w:rFonts w:eastAsiaTheme="minorEastAsia" w:cs="Calibri"/>
                <w:color w:val="000000"/>
                <w:szCs w:val="21"/>
                <w:lang w:eastAsia="en-AU"/>
              </w:rPr>
              <w:t>(621)</w:t>
            </w:r>
          </w:p>
        </w:tc>
        <w:tc>
          <w:tcPr>
            <w:tcW w:w="2591"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sidRPr="00AC137D">
              <w:rPr>
                <w:rFonts w:eastAsiaTheme="minorEastAsia" w:cs="Calibri"/>
                <w:color w:val="000000"/>
                <w:szCs w:val="21"/>
                <w:lang w:eastAsia="en-AU"/>
              </w:rPr>
              <w:t>1</w:t>
            </w:r>
          </w:p>
        </w:tc>
        <w:tc>
          <w:tcPr>
            <w:tcW w:w="2591"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5 027</w:t>
            </w:r>
          </w:p>
        </w:tc>
      </w:tr>
      <w:tr w:rsidR="00A46DCA" w:rsidRPr="00AC137D" w:rsidTr="00A26D04">
        <w:tc>
          <w:tcPr>
            <w:cnfStyle w:val="001000000000" w:firstRow="0" w:lastRow="0" w:firstColumn="1" w:lastColumn="0" w:oddVBand="0" w:evenVBand="0" w:oddHBand="0" w:evenHBand="0" w:firstRowFirstColumn="0" w:firstRowLastColumn="0" w:lastRowFirstColumn="0" w:lastRowLastColumn="0"/>
            <w:tcW w:w="2591" w:type="dxa"/>
            <w:tcBorders>
              <w:top w:val="nil"/>
              <w:left w:val="nil"/>
              <w:bottom w:val="nil"/>
              <w:right w:val="nil"/>
            </w:tcBorders>
          </w:tcPr>
          <w:p w:rsidR="00A46DCA" w:rsidRPr="00AC137D" w:rsidRDefault="00A46DCA" w:rsidP="00A26D04">
            <w:pPr>
              <w:keepLines w:val="0"/>
              <w:autoSpaceDE w:val="0"/>
              <w:autoSpaceDN w:val="0"/>
              <w:adjustRightInd w:val="0"/>
              <w:jc w:val="right"/>
              <w:rPr>
                <w:rFonts w:eastAsiaTheme="minorEastAsia" w:cs="Calibri"/>
                <w:color w:val="000000"/>
                <w:szCs w:val="21"/>
                <w:lang w:eastAsia="en-AU"/>
              </w:rPr>
            </w:pPr>
            <w:r>
              <w:rPr>
                <w:rFonts w:eastAsiaTheme="minorEastAsia" w:cs="Calibri"/>
                <w:color w:val="000000"/>
                <w:szCs w:val="21"/>
                <w:lang w:eastAsia="en-AU"/>
              </w:rPr>
              <w:t>..</w:t>
            </w:r>
          </w:p>
        </w:tc>
        <w:tc>
          <w:tcPr>
            <w:tcW w:w="2591"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w:t>
            </w:r>
          </w:p>
        </w:tc>
        <w:tc>
          <w:tcPr>
            <w:tcW w:w="2591"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w:t>
            </w:r>
          </w:p>
        </w:tc>
      </w:tr>
      <w:tr w:rsidR="00A46DCA" w:rsidRPr="00AC137D" w:rsidTr="00A26D04">
        <w:tc>
          <w:tcPr>
            <w:cnfStyle w:val="001000000000" w:firstRow="0" w:lastRow="0" w:firstColumn="1" w:lastColumn="0" w:oddVBand="0" w:evenVBand="0" w:oddHBand="0" w:evenHBand="0" w:firstRowFirstColumn="0" w:firstRowLastColumn="0" w:lastRowFirstColumn="0" w:lastRowLastColumn="0"/>
            <w:tcW w:w="2591" w:type="dxa"/>
            <w:tcBorders>
              <w:top w:val="nil"/>
              <w:left w:val="nil"/>
              <w:bottom w:val="nil"/>
              <w:right w:val="nil"/>
            </w:tcBorders>
          </w:tcPr>
          <w:p w:rsidR="00A46DCA" w:rsidRPr="00AC137D" w:rsidRDefault="00A46DCA" w:rsidP="00A26D04">
            <w:pPr>
              <w:keepLines w:val="0"/>
              <w:autoSpaceDE w:val="0"/>
              <w:autoSpaceDN w:val="0"/>
              <w:adjustRightInd w:val="0"/>
              <w:jc w:val="right"/>
              <w:rPr>
                <w:rFonts w:eastAsiaTheme="minorEastAsia" w:cs="Calibri"/>
                <w:color w:val="000000"/>
                <w:szCs w:val="21"/>
                <w:lang w:eastAsia="en-AU"/>
              </w:rPr>
            </w:pPr>
            <w:r>
              <w:rPr>
                <w:rFonts w:eastAsiaTheme="minorEastAsia" w:cs="Calibri"/>
                <w:color w:val="000000"/>
                <w:szCs w:val="21"/>
                <w:lang w:eastAsia="en-AU"/>
              </w:rPr>
              <w:t>..</w:t>
            </w:r>
            <w:r w:rsidRPr="00AC137D">
              <w:rPr>
                <w:rFonts w:eastAsiaTheme="minorEastAsia" w:cs="Calibri"/>
                <w:color w:val="000000"/>
                <w:szCs w:val="21"/>
                <w:lang w:eastAsia="en-AU"/>
              </w:rPr>
              <w:t xml:space="preserve"> </w:t>
            </w:r>
          </w:p>
        </w:tc>
        <w:tc>
          <w:tcPr>
            <w:tcW w:w="2591"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w:t>
            </w:r>
            <w:r w:rsidRPr="00AC137D">
              <w:rPr>
                <w:rFonts w:eastAsiaTheme="minorEastAsia" w:cs="Calibri"/>
                <w:color w:val="000000"/>
                <w:szCs w:val="21"/>
                <w:lang w:eastAsia="en-AU"/>
              </w:rPr>
              <w:t xml:space="preserve"> </w:t>
            </w:r>
          </w:p>
        </w:tc>
        <w:tc>
          <w:tcPr>
            <w:tcW w:w="2591"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w:t>
            </w:r>
            <w:r w:rsidRPr="00AC137D">
              <w:rPr>
                <w:rFonts w:eastAsiaTheme="minorEastAsia" w:cs="Calibri"/>
                <w:color w:val="000000"/>
                <w:szCs w:val="21"/>
                <w:lang w:eastAsia="en-AU"/>
              </w:rPr>
              <w:t xml:space="preserve"> </w:t>
            </w:r>
          </w:p>
        </w:tc>
      </w:tr>
      <w:tr w:rsidR="00A46DCA" w:rsidRPr="00AC137D" w:rsidTr="00A26D04">
        <w:tc>
          <w:tcPr>
            <w:cnfStyle w:val="001000000000" w:firstRow="0" w:lastRow="0" w:firstColumn="1" w:lastColumn="0" w:oddVBand="0" w:evenVBand="0" w:oddHBand="0" w:evenHBand="0" w:firstRowFirstColumn="0" w:firstRowLastColumn="0" w:lastRowFirstColumn="0" w:lastRowLastColumn="0"/>
            <w:tcW w:w="2591" w:type="dxa"/>
            <w:tcBorders>
              <w:top w:val="single" w:sz="6" w:space="0" w:color="000000"/>
              <w:left w:val="nil"/>
              <w:bottom w:val="single" w:sz="12" w:space="0" w:color="000000"/>
              <w:right w:val="nil"/>
            </w:tcBorders>
          </w:tcPr>
          <w:p w:rsidR="00A46DCA" w:rsidRPr="00AC137D" w:rsidRDefault="00A46DCA" w:rsidP="00A26D04">
            <w:pPr>
              <w:keepLines w:val="0"/>
              <w:autoSpaceDE w:val="0"/>
              <w:autoSpaceDN w:val="0"/>
              <w:adjustRightInd w:val="0"/>
              <w:jc w:val="right"/>
              <w:rPr>
                <w:rFonts w:eastAsiaTheme="minorEastAsia" w:cs="Calibri"/>
                <w:b/>
                <w:bCs/>
                <w:color w:val="000000"/>
                <w:szCs w:val="21"/>
                <w:lang w:eastAsia="en-AU"/>
              </w:rPr>
            </w:pPr>
            <w:r>
              <w:rPr>
                <w:rFonts w:eastAsiaTheme="minorEastAsia" w:cs="Calibri"/>
                <w:b/>
                <w:bCs/>
                <w:color w:val="000000"/>
                <w:szCs w:val="21"/>
                <w:lang w:eastAsia="en-AU"/>
              </w:rPr>
              <w:t>59 528</w:t>
            </w:r>
          </w:p>
        </w:tc>
        <w:tc>
          <w:tcPr>
            <w:tcW w:w="2591" w:type="dxa"/>
            <w:tcBorders>
              <w:top w:val="single" w:sz="6" w:space="0" w:color="000000"/>
              <w:left w:val="nil"/>
              <w:bottom w:val="single" w:sz="12" w:space="0" w:color="000000"/>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1"/>
                <w:lang w:eastAsia="en-AU"/>
              </w:rPr>
            </w:pPr>
            <w:r w:rsidRPr="00AC137D">
              <w:rPr>
                <w:rFonts w:eastAsiaTheme="minorEastAsia" w:cs="Calibri"/>
                <w:b/>
                <w:bCs/>
                <w:color w:val="000000"/>
                <w:szCs w:val="21"/>
                <w:lang w:eastAsia="en-AU"/>
              </w:rPr>
              <w:t>669</w:t>
            </w:r>
          </w:p>
        </w:tc>
        <w:tc>
          <w:tcPr>
            <w:tcW w:w="2591" w:type="dxa"/>
            <w:tcBorders>
              <w:top w:val="single" w:sz="6" w:space="0" w:color="000000"/>
              <w:left w:val="nil"/>
              <w:bottom w:val="single" w:sz="12" w:space="0" w:color="000000"/>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1"/>
                <w:lang w:eastAsia="en-AU"/>
              </w:rPr>
            </w:pPr>
            <w:r>
              <w:rPr>
                <w:rFonts w:eastAsiaTheme="minorEastAsia" w:cs="Calibri"/>
                <w:b/>
                <w:bCs/>
                <w:color w:val="000000"/>
                <w:szCs w:val="21"/>
                <w:lang w:eastAsia="en-AU"/>
              </w:rPr>
              <w:t>174 515</w:t>
            </w:r>
          </w:p>
        </w:tc>
      </w:tr>
      <w:tr w:rsidR="00A46DCA" w:rsidRPr="00AC137D" w:rsidTr="00A26D04">
        <w:tc>
          <w:tcPr>
            <w:cnfStyle w:val="001000000000" w:firstRow="0" w:lastRow="0" w:firstColumn="1" w:lastColumn="0" w:oddVBand="0" w:evenVBand="0" w:oddHBand="0" w:evenHBand="0" w:firstRowFirstColumn="0" w:firstRowLastColumn="0" w:lastRowFirstColumn="0" w:lastRowLastColumn="0"/>
            <w:tcW w:w="2591" w:type="dxa"/>
            <w:tcBorders>
              <w:top w:val="nil"/>
              <w:left w:val="nil"/>
              <w:bottom w:val="nil"/>
              <w:right w:val="nil"/>
            </w:tcBorders>
          </w:tcPr>
          <w:p w:rsidR="00A46DCA" w:rsidRPr="00AC137D" w:rsidRDefault="00A46DCA" w:rsidP="00A26D04">
            <w:pPr>
              <w:keepLines w:val="0"/>
              <w:autoSpaceDE w:val="0"/>
              <w:autoSpaceDN w:val="0"/>
              <w:adjustRightInd w:val="0"/>
              <w:jc w:val="right"/>
              <w:rPr>
                <w:rFonts w:eastAsiaTheme="minorEastAsia" w:cs="Calibri"/>
                <w:b/>
                <w:bCs/>
                <w:color w:val="000000"/>
                <w:lang w:eastAsia="en-AU"/>
              </w:rPr>
            </w:pPr>
            <w:r w:rsidRPr="00AC137D">
              <w:rPr>
                <w:rFonts w:eastAsiaTheme="minorEastAsia" w:cs="Calibri"/>
                <w:b/>
                <w:bCs/>
                <w:color w:val="000000"/>
                <w:lang w:eastAsia="en-AU"/>
              </w:rPr>
              <w:t xml:space="preserve"> </w:t>
            </w:r>
          </w:p>
        </w:tc>
        <w:tc>
          <w:tcPr>
            <w:tcW w:w="2591"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1"/>
                <w:lang w:eastAsia="en-AU"/>
              </w:rPr>
            </w:pPr>
            <w:r w:rsidRPr="00AC137D">
              <w:rPr>
                <w:rFonts w:eastAsiaTheme="minorEastAsia" w:cs="Calibri"/>
                <w:b/>
                <w:bCs/>
                <w:color w:val="000000"/>
                <w:szCs w:val="21"/>
                <w:lang w:eastAsia="en-AU"/>
              </w:rPr>
              <w:t xml:space="preserve"> </w:t>
            </w:r>
          </w:p>
        </w:tc>
        <w:tc>
          <w:tcPr>
            <w:tcW w:w="2591"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1"/>
                <w:lang w:eastAsia="en-AU"/>
              </w:rPr>
            </w:pPr>
            <w:r w:rsidRPr="00AC137D">
              <w:rPr>
                <w:rFonts w:eastAsiaTheme="minorEastAsia" w:cs="Calibri"/>
                <w:b/>
                <w:bCs/>
                <w:color w:val="000000"/>
                <w:szCs w:val="21"/>
                <w:lang w:eastAsia="en-AU"/>
              </w:rPr>
              <w:t xml:space="preserve"> </w:t>
            </w:r>
          </w:p>
        </w:tc>
      </w:tr>
      <w:tr w:rsidR="00A46DCA" w:rsidRPr="00AC137D" w:rsidTr="00A26D04">
        <w:tc>
          <w:tcPr>
            <w:cnfStyle w:val="001000000000" w:firstRow="0" w:lastRow="0" w:firstColumn="1" w:lastColumn="0" w:oddVBand="0" w:evenVBand="0" w:oddHBand="0" w:evenHBand="0" w:firstRowFirstColumn="0" w:firstRowLastColumn="0" w:lastRowFirstColumn="0" w:lastRowLastColumn="0"/>
            <w:tcW w:w="2591" w:type="dxa"/>
            <w:tcBorders>
              <w:top w:val="nil"/>
              <w:left w:val="nil"/>
              <w:bottom w:val="nil"/>
              <w:right w:val="nil"/>
            </w:tcBorders>
          </w:tcPr>
          <w:p w:rsidR="00A46DCA" w:rsidRPr="00AC137D" w:rsidRDefault="00A46DCA" w:rsidP="00A26D04">
            <w:pPr>
              <w:keepLines w:val="0"/>
              <w:autoSpaceDE w:val="0"/>
              <w:autoSpaceDN w:val="0"/>
              <w:adjustRightInd w:val="0"/>
              <w:jc w:val="right"/>
              <w:rPr>
                <w:rFonts w:eastAsiaTheme="minorEastAsia" w:cs="Calibri"/>
                <w:color w:val="000000"/>
                <w:szCs w:val="21"/>
                <w:lang w:eastAsia="en-AU"/>
              </w:rPr>
            </w:pPr>
            <w:r>
              <w:rPr>
                <w:rFonts w:eastAsiaTheme="minorEastAsia" w:cs="Calibri"/>
                <w:color w:val="000000"/>
                <w:szCs w:val="21"/>
                <w:lang w:eastAsia="en-AU"/>
              </w:rPr>
              <w:t>59 528</w:t>
            </w:r>
          </w:p>
        </w:tc>
        <w:tc>
          <w:tcPr>
            <w:tcW w:w="2591"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sidRPr="00AC137D">
              <w:rPr>
                <w:rFonts w:eastAsiaTheme="minorEastAsia" w:cs="Calibri"/>
                <w:color w:val="000000"/>
                <w:szCs w:val="21"/>
                <w:lang w:eastAsia="en-AU"/>
              </w:rPr>
              <w:t>669</w:t>
            </w:r>
          </w:p>
        </w:tc>
        <w:tc>
          <w:tcPr>
            <w:tcW w:w="2591"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174 515</w:t>
            </w:r>
          </w:p>
        </w:tc>
      </w:tr>
      <w:tr w:rsidR="00A46DCA" w:rsidRPr="00AC137D" w:rsidTr="00A26D04">
        <w:tc>
          <w:tcPr>
            <w:cnfStyle w:val="001000000000" w:firstRow="0" w:lastRow="0" w:firstColumn="1" w:lastColumn="0" w:oddVBand="0" w:evenVBand="0" w:oddHBand="0" w:evenHBand="0" w:firstRowFirstColumn="0" w:firstRowLastColumn="0" w:lastRowFirstColumn="0" w:lastRowLastColumn="0"/>
            <w:tcW w:w="2591" w:type="dxa"/>
            <w:tcBorders>
              <w:top w:val="nil"/>
              <w:left w:val="nil"/>
              <w:bottom w:val="nil"/>
              <w:right w:val="nil"/>
            </w:tcBorders>
          </w:tcPr>
          <w:p w:rsidR="00A46DCA" w:rsidRPr="00AC137D" w:rsidRDefault="00A46DCA" w:rsidP="00A26D04">
            <w:pPr>
              <w:keepLines w:val="0"/>
              <w:autoSpaceDE w:val="0"/>
              <w:autoSpaceDN w:val="0"/>
              <w:adjustRightInd w:val="0"/>
              <w:jc w:val="right"/>
              <w:rPr>
                <w:rFonts w:eastAsiaTheme="minorEastAsia" w:cs="Calibri"/>
                <w:color w:val="000000"/>
                <w:szCs w:val="21"/>
                <w:lang w:eastAsia="en-AU"/>
              </w:rPr>
            </w:pPr>
            <w:r>
              <w:rPr>
                <w:rFonts w:eastAsiaTheme="minorEastAsia" w:cs="Calibri"/>
                <w:color w:val="000000"/>
                <w:szCs w:val="21"/>
                <w:lang w:eastAsia="en-AU"/>
              </w:rPr>
              <w:t>..</w:t>
            </w:r>
          </w:p>
        </w:tc>
        <w:tc>
          <w:tcPr>
            <w:tcW w:w="2591"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w:t>
            </w:r>
          </w:p>
        </w:tc>
        <w:tc>
          <w:tcPr>
            <w:tcW w:w="2591"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1 977</w:t>
            </w:r>
          </w:p>
        </w:tc>
      </w:tr>
      <w:tr w:rsidR="00A46DCA" w:rsidRPr="00AC137D" w:rsidTr="00A26D04">
        <w:tc>
          <w:tcPr>
            <w:cnfStyle w:val="001000000000" w:firstRow="0" w:lastRow="0" w:firstColumn="1" w:lastColumn="0" w:oddVBand="0" w:evenVBand="0" w:oddHBand="0" w:evenHBand="0" w:firstRowFirstColumn="0" w:firstRowLastColumn="0" w:lastRowFirstColumn="0" w:lastRowLastColumn="0"/>
            <w:tcW w:w="2591" w:type="dxa"/>
            <w:tcBorders>
              <w:top w:val="nil"/>
              <w:left w:val="nil"/>
              <w:bottom w:val="nil"/>
              <w:right w:val="nil"/>
            </w:tcBorders>
          </w:tcPr>
          <w:p w:rsidR="00A46DCA" w:rsidRPr="00AC137D" w:rsidRDefault="00A46DCA" w:rsidP="00A26D04">
            <w:pPr>
              <w:keepLines w:val="0"/>
              <w:autoSpaceDE w:val="0"/>
              <w:autoSpaceDN w:val="0"/>
              <w:adjustRightInd w:val="0"/>
              <w:jc w:val="right"/>
              <w:rPr>
                <w:rFonts w:eastAsiaTheme="minorEastAsia" w:cs="Calibri"/>
                <w:color w:val="000000"/>
                <w:szCs w:val="21"/>
                <w:lang w:eastAsia="en-AU"/>
              </w:rPr>
            </w:pPr>
            <w:r w:rsidRPr="00AC137D">
              <w:rPr>
                <w:rFonts w:eastAsiaTheme="minorEastAsia" w:cs="Calibri"/>
                <w:color w:val="000000"/>
                <w:szCs w:val="21"/>
                <w:lang w:eastAsia="en-AU"/>
              </w:rPr>
              <w:t>850</w:t>
            </w:r>
          </w:p>
        </w:tc>
        <w:tc>
          <w:tcPr>
            <w:tcW w:w="2591"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sidRPr="00AC137D">
              <w:rPr>
                <w:rFonts w:eastAsiaTheme="minorEastAsia" w:cs="Calibri"/>
                <w:color w:val="000000"/>
                <w:szCs w:val="21"/>
                <w:lang w:eastAsia="en-AU"/>
              </w:rPr>
              <w:t>1</w:t>
            </w:r>
          </w:p>
        </w:tc>
        <w:tc>
          <w:tcPr>
            <w:tcW w:w="2591"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2 442</w:t>
            </w:r>
          </w:p>
        </w:tc>
      </w:tr>
      <w:tr w:rsidR="00A46DCA" w:rsidRPr="00AC137D" w:rsidTr="00A26D04">
        <w:tc>
          <w:tcPr>
            <w:cnfStyle w:val="001000000000" w:firstRow="0" w:lastRow="0" w:firstColumn="1" w:lastColumn="0" w:oddVBand="0" w:evenVBand="0" w:oddHBand="0" w:evenHBand="0" w:firstRowFirstColumn="0" w:firstRowLastColumn="0" w:lastRowFirstColumn="0" w:lastRowLastColumn="0"/>
            <w:tcW w:w="2591" w:type="dxa"/>
            <w:tcBorders>
              <w:top w:val="nil"/>
              <w:left w:val="nil"/>
              <w:bottom w:val="nil"/>
              <w:right w:val="nil"/>
            </w:tcBorders>
          </w:tcPr>
          <w:p w:rsidR="00A46DCA" w:rsidRPr="00AC137D" w:rsidRDefault="00A46DCA" w:rsidP="00A26D04">
            <w:pPr>
              <w:keepLines w:val="0"/>
              <w:autoSpaceDE w:val="0"/>
              <w:autoSpaceDN w:val="0"/>
              <w:adjustRightInd w:val="0"/>
              <w:jc w:val="right"/>
              <w:rPr>
                <w:rFonts w:eastAsiaTheme="minorEastAsia" w:cs="Calibri"/>
                <w:color w:val="000000"/>
                <w:szCs w:val="21"/>
                <w:lang w:eastAsia="en-AU"/>
              </w:rPr>
            </w:pPr>
            <w:r>
              <w:rPr>
                <w:rFonts w:eastAsiaTheme="minorEastAsia" w:cs="Calibri"/>
                <w:color w:val="000000"/>
                <w:szCs w:val="21"/>
                <w:lang w:eastAsia="en-AU"/>
              </w:rPr>
              <w:t>..</w:t>
            </w:r>
            <w:r w:rsidRPr="00AC137D">
              <w:rPr>
                <w:rFonts w:eastAsiaTheme="minorEastAsia" w:cs="Calibri"/>
                <w:color w:val="000000"/>
                <w:szCs w:val="21"/>
                <w:lang w:eastAsia="en-AU"/>
              </w:rPr>
              <w:t xml:space="preserve"> </w:t>
            </w:r>
          </w:p>
        </w:tc>
        <w:tc>
          <w:tcPr>
            <w:tcW w:w="2591"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w:t>
            </w:r>
            <w:r w:rsidRPr="00AC137D">
              <w:rPr>
                <w:rFonts w:eastAsiaTheme="minorEastAsia" w:cs="Calibri"/>
                <w:color w:val="000000"/>
                <w:szCs w:val="21"/>
                <w:lang w:eastAsia="en-AU"/>
              </w:rPr>
              <w:t xml:space="preserve"> </w:t>
            </w:r>
          </w:p>
        </w:tc>
        <w:tc>
          <w:tcPr>
            <w:tcW w:w="2591"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w:t>
            </w:r>
            <w:r w:rsidRPr="00AC137D">
              <w:rPr>
                <w:rFonts w:eastAsiaTheme="minorEastAsia" w:cs="Calibri"/>
                <w:color w:val="000000"/>
                <w:szCs w:val="21"/>
                <w:lang w:eastAsia="en-AU"/>
              </w:rPr>
              <w:t xml:space="preserve"> </w:t>
            </w:r>
          </w:p>
        </w:tc>
      </w:tr>
      <w:tr w:rsidR="00A46DCA" w:rsidRPr="00AC137D" w:rsidTr="00A26D04">
        <w:tc>
          <w:tcPr>
            <w:cnfStyle w:val="001000000000" w:firstRow="0" w:lastRow="0" w:firstColumn="1" w:lastColumn="0" w:oddVBand="0" w:evenVBand="0" w:oddHBand="0" w:evenHBand="0" w:firstRowFirstColumn="0" w:firstRowLastColumn="0" w:lastRowFirstColumn="0" w:lastRowLastColumn="0"/>
            <w:tcW w:w="2591" w:type="dxa"/>
            <w:tcBorders>
              <w:top w:val="nil"/>
              <w:left w:val="nil"/>
              <w:bottom w:val="nil"/>
              <w:right w:val="nil"/>
            </w:tcBorders>
          </w:tcPr>
          <w:p w:rsidR="00A46DCA" w:rsidRPr="00AC137D" w:rsidRDefault="00A46DCA" w:rsidP="00A26D04">
            <w:pPr>
              <w:keepLines w:val="0"/>
              <w:autoSpaceDE w:val="0"/>
              <w:autoSpaceDN w:val="0"/>
              <w:adjustRightInd w:val="0"/>
              <w:jc w:val="right"/>
              <w:rPr>
                <w:rFonts w:eastAsiaTheme="minorEastAsia" w:cs="Calibri"/>
                <w:color w:val="000000"/>
                <w:szCs w:val="21"/>
                <w:lang w:eastAsia="en-AU"/>
              </w:rPr>
            </w:pPr>
            <w:r>
              <w:rPr>
                <w:rFonts w:eastAsiaTheme="minorEastAsia" w:cs="Calibri"/>
                <w:color w:val="000000"/>
                <w:szCs w:val="21"/>
                <w:lang w:eastAsia="en-AU"/>
              </w:rPr>
              <w:t>..</w:t>
            </w:r>
            <w:r w:rsidRPr="00AC137D">
              <w:rPr>
                <w:rFonts w:eastAsiaTheme="minorEastAsia" w:cs="Calibri"/>
                <w:color w:val="000000"/>
                <w:szCs w:val="21"/>
                <w:lang w:eastAsia="en-AU"/>
              </w:rPr>
              <w:t xml:space="preserve"> </w:t>
            </w:r>
          </w:p>
        </w:tc>
        <w:tc>
          <w:tcPr>
            <w:tcW w:w="2591"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w:t>
            </w:r>
            <w:r w:rsidRPr="00AC137D">
              <w:rPr>
                <w:rFonts w:eastAsiaTheme="minorEastAsia" w:cs="Calibri"/>
                <w:color w:val="000000"/>
                <w:szCs w:val="21"/>
                <w:lang w:eastAsia="en-AU"/>
              </w:rPr>
              <w:t xml:space="preserve"> </w:t>
            </w:r>
          </w:p>
        </w:tc>
        <w:tc>
          <w:tcPr>
            <w:tcW w:w="2591"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w:t>
            </w:r>
            <w:r w:rsidRPr="00AC137D">
              <w:rPr>
                <w:rFonts w:eastAsiaTheme="minorEastAsia" w:cs="Calibri"/>
                <w:color w:val="000000"/>
                <w:szCs w:val="21"/>
                <w:lang w:eastAsia="en-AU"/>
              </w:rPr>
              <w:t xml:space="preserve"> </w:t>
            </w:r>
          </w:p>
        </w:tc>
      </w:tr>
      <w:tr w:rsidR="00A46DCA" w:rsidRPr="00AC137D" w:rsidTr="00A26D04">
        <w:tc>
          <w:tcPr>
            <w:cnfStyle w:val="001000000000" w:firstRow="0" w:lastRow="0" w:firstColumn="1" w:lastColumn="0" w:oddVBand="0" w:evenVBand="0" w:oddHBand="0" w:evenHBand="0" w:firstRowFirstColumn="0" w:firstRowLastColumn="0" w:lastRowFirstColumn="0" w:lastRowLastColumn="0"/>
            <w:tcW w:w="2591" w:type="dxa"/>
            <w:tcBorders>
              <w:top w:val="single" w:sz="6" w:space="0" w:color="000000"/>
              <w:left w:val="nil"/>
              <w:bottom w:val="single" w:sz="12" w:space="0" w:color="000000"/>
              <w:right w:val="nil"/>
            </w:tcBorders>
          </w:tcPr>
          <w:p w:rsidR="00A46DCA" w:rsidRPr="00AC137D" w:rsidRDefault="00A46DCA" w:rsidP="00A26D04">
            <w:pPr>
              <w:keepLines w:val="0"/>
              <w:autoSpaceDE w:val="0"/>
              <w:autoSpaceDN w:val="0"/>
              <w:adjustRightInd w:val="0"/>
              <w:jc w:val="right"/>
              <w:rPr>
                <w:rFonts w:eastAsiaTheme="minorEastAsia" w:cs="Calibri"/>
                <w:b/>
                <w:bCs/>
                <w:color w:val="000000"/>
                <w:szCs w:val="21"/>
                <w:lang w:eastAsia="en-AU"/>
              </w:rPr>
            </w:pPr>
            <w:r>
              <w:rPr>
                <w:rFonts w:eastAsiaTheme="minorEastAsia" w:cs="Calibri"/>
                <w:b/>
                <w:bCs/>
                <w:color w:val="000000"/>
                <w:szCs w:val="21"/>
                <w:lang w:eastAsia="en-AU"/>
              </w:rPr>
              <w:t>60 378</w:t>
            </w:r>
          </w:p>
        </w:tc>
        <w:tc>
          <w:tcPr>
            <w:tcW w:w="2591" w:type="dxa"/>
            <w:tcBorders>
              <w:top w:val="single" w:sz="6" w:space="0" w:color="000000"/>
              <w:left w:val="nil"/>
              <w:bottom w:val="single" w:sz="12" w:space="0" w:color="000000"/>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1"/>
                <w:lang w:eastAsia="en-AU"/>
              </w:rPr>
            </w:pPr>
            <w:r w:rsidRPr="00AC137D">
              <w:rPr>
                <w:rFonts w:eastAsiaTheme="minorEastAsia" w:cs="Calibri"/>
                <w:b/>
                <w:bCs/>
                <w:color w:val="000000"/>
                <w:szCs w:val="21"/>
                <w:lang w:eastAsia="en-AU"/>
              </w:rPr>
              <w:t>671</w:t>
            </w:r>
          </w:p>
        </w:tc>
        <w:tc>
          <w:tcPr>
            <w:tcW w:w="2591" w:type="dxa"/>
            <w:tcBorders>
              <w:top w:val="single" w:sz="6" w:space="0" w:color="000000"/>
              <w:left w:val="nil"/>
              <w:bottom w:val="single" w:sz="12" w:space="0" w:color="000000"/>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1"/>
                <w:lang w:eastAsia="en-AU"/>
              </w:rPr>
            </w:pPr>
            <w:r>
              <w:rPr>
                <w:rFonts w:eastAsiaTheme="minorEastAsia" w:cs="Calibri"/>
                <w:b/>
                <w:bCs/>
                <w:color w:val="000000"/>
                <w:szCs w:val="21"/>
                <w:lang w:eastAsia="en-AU"/>
              </w:rPr>
              <w:t>178 934</w:t>
            </w:r>
          </w:p>
        </w:tc>
      </w:tr>
      <w:tr w:rsidR="00A46DCA" w:rsidRPr="00AC137D" w:rsidTr="00A26D04">
        <w:tc>
          <w:tcPr>
            <w:cnfStyle w:val="001000000000" w:firstRow="0" w:lastRow="0" w:firstColumn="1" w:lastColumn="0" w:oddVBand="0" w:evenVBand="0" w:oddHBand="0" w:evenHBand="0" w:firstRowFirstColumn="0" w:firstRowLastColumn="0" w:lastRowFirstColumn="0" w:lastRowLastColumn="0"/>
            <w:tcW w:w="2591" w:type="dxa"/>
            <w:tcBorders>
              <w:top w:val="nil"/>
              <w:left w:val="nil"/>
              <w:bottom w:val="nil"/>
              <w:right w:val="nil"/>
            </w:tcBorders>
          </w:tcPr>
          <w:p w:rsidR="00A46DCA" w:rsidRPr="00AC137D" w:rsidRDefault="00A46DCA" w:rsidP="00A26D04">
            <w:pPr>
              <w:keepLines w:val="0"/>
              <w:autoSpaceDE w:val="0"/>
              <w:autoSpaceDN w:val="0"/>
              <w:adjustRightInd w:val="0"/>
              <w:jc w:val="right"/>
              <w:rPr>
                <w:rFonts w:eastAsiaTheme="minorEastAsia" w:cs="Calibri"/>
                <w:b/>
                <w:bCs/>
                <w:color w:val="000000"/>
                <w:lang w:eastAsia="en-AU"/>
              </w:rPr>
            </w:pPr>
            <w:r w:rsidRPr="00AC137D">
              <w:rPr>
                <w:rFonts w:eastAsiaTheme="minorEastAsia" w:cs="Calibri"/>
                <w:b/>
                <w:bCs/>
                <w:color w:val="000000"/>
                <w:lang w:eastAsia="en-AU"/>
              </w:rPr>
              <w:t xml:space="preserve"> </w:t>
            </w:r>
          </w:p>
        </w:tc>
        <w:tc>
          <w:tcPr>
            <w:tcW w:w="2591"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1"/>
                <w:lang w:eastAsia="en-AU"/>
              </w:rPr>
            </w:pPr>
            <w:r w:rsidRPr="00AC137D">
              <w:rPr>
                <w:rFonts w:eastAsiaTheme="minorEastAsia" w:cs="Calibri"/>
                <w:b/>
                <w:bCs/>
                <w:color w:val="000000"/>
                <w:szCs w:val="21"/>
                <w:lang w:eastAsia="en-AU"/>
              </w:rPr>
              <w:t xml:space="preserve"> </w:t>
            </w:r>
          </w:p>
        </w:tc>
        <w:tc>
          <w:tcPr>
            <w:tcW w:w="2591"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1"/>
                <w:lang w:eastAsia="en-AU"/>
              </w:rPr>
            </w:pPr>
            <w:r w:rsidRPr="00AC137D">
              <w:rPr>
                <w:rFonts w:eastAsiaTheme="minorEastAsia" w:cs="Calibri"/>
                <w:b/>
                <w:bCs/>
                <w:color w:val="000000"/>
                <w:szCs w:val="21"/>
                <w:lang w:eastAsia="en-AU"/>
              </w:rPr>
              <w:t xml:space="preserve"> </w:t>
            </w:r>
          </w:p>
        </w:tc>
      </w:tr>
      <w:tr w:rsidR="00A46DCA" w:rsidRPr="00AC137D" w:rsidTr="00A26D04">
        <w:tc>
          <w:tcPr>
            <w:cnfStyle w:val="001000000000" w:firstRow="0" w:lastRow="0" w:firstColumn="1" w:lastColumn="0" w:oddVBand="0" w:evenVBand="0" w:oddHBand="0" w:evenHBand="0" w:firstRowFirstColumn="0" w:firstRowLastColumn="0" w:lastRowFirstColumn="0" w:lastRowLastColumn="0"/>
            <w:tcW w:w="2591" w:type="dxa"/>
            <w:tcBorders>
              <w:top w:val="nil"/>
              <w:left w:val="nil"/>
              <w:bottom w:val="nil"/>
              <w:right w:val="nil"/>
            </w:tcBorders>
          </w:tcPr>
          <w:p w:rsidR="00A46DCA" w:rsidRPr="00AC137D" w:rsidRDefault="00A46DCA" w:rsidP="00A26D04">
            <w:pPr>
              <w:keepLines w:val="0"/>
              <w:autoSpaceDE w:val="0"/>
              <w:autoSpaceDN w:val="0"/>
              <w:adjustRightInd w:val="0"/>
              <w:jc w:val="right"/>
              <w:rPr>
                <w:rFonts w:eastAsiaTheme="minorEastAsia" w:cs="Calibri"/>
                <w:color w:val="000000"/>
                <w:szCs w:val="21"/>
                <w:lang w:eastAsia="en-AU"/>
              </w:rPr>
            </w:pPr>
            <w:r>
              <w:rPr>
                <w:rFonts w:eastAsiaTheme="minorEastAsia" w:cs="Calibri"/>
                <w:color w:val="000000"/>
                <w:szCs w:val="21"/>
                <w:lang w:eastAsia="en-AU"/>
              </w:rPr>
              <w:t>60 378</w:t>
            </w:r>
          </w:p>
        </w:tc>
        <w:tc>
          <w:tcPr>
            <w:tcW w:w="2591"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sidRPr="00AC137D">
              <w:rPr>
                <w:rFonts w:eastAsiaTheme="minorEastAsia" w:cs="Calibri"/>
                <w:color w:val="000000"/>
                <w:szCs w:val="21"/>
                <w:lang w:eastAsia="en-AU"/>
              </w:rPr>
              <w:t>671</w:t>
            </w:r>
          </w:p>
        </w:tc>
        <w:tc>
          <w:tcPr>
            <w:tcW w:w="2591"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178 934</w:t>
            </w:r>
          </w:p>
        </w:tc>
      </w:tr>
      <w:tr w:rsidR="00A46DCA" w:rsidRPr="00AC137D" w:rsidTr="00A26D04">
        <w:tc>
          <w:tcPr>
            <w:cnfStyle w:val="001000000000" w:firstRow="0" w:lastRow="0" w:firstColumn="1" w:lastColumn="0" w:oddVBand="0" w:evenVBand="0" w:oddHBand="0" w:evenHBand="0" w:firstRowFirstColumn="0" w:firstRowLastColumn="0" w:lastRowFirstColumn="0" w:lastRowLastColumn="0"/>
            <w:tcW w:w="2591" w:type="dxa"/>
            <w:tcBorders>
              <w:top w:val="nil"/>
              <w:left w:val="nil"/>
              <w:bottom w:val="nil"/>
              <w:right w:val="nil"/>
            </w:tcBorders>
          </w:tcPr>
          <w:p w:rsidR="00A46DCA" w:rsidRPr="00AC137D" w:rsidRDefault="00A46DCA" w:rsidP="00A26D04">
            <w:pPr>
              <w:keepLines w:val="0"/>
              <w:autoSpaceDE w:val="0"/>
              <w:autoSpaceDN w:val="0"/>
              <w:adjustRightInd w:val="0"/>
              <w:jc w:val="right"/>
              <w:rPr>
                <w:rFonts w:eastAsiaTheme="minorEastAsia" w:cs="Calibri"/>
                <w:color w:val="000000"/>
                <w:szCs w:val="21"/>
                <w:lang w:eastAsia="en-AU"/>
              </w:rPr>
            </w:pPr>
            <w:r>
              <w:rPr>
                <w:rFonts w:eastAsiaTheme="minorEastAsia" w:cs="Calibri"/>
                <w:color w:val="000000"/>
                <w:szCs w:val="21"/>
                <w:lang w:eastAsia="en-AU"/>
              </w:rPr>
              <w:t>..</w:t>
            </w:r>
          </w:p>
        </w:tc>
        <w:tc>
          <w:tcPr>
            <w:tcW w:w="2591"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w:t>
            </w:r>
          </w:p>
        </w:tc>
        <w:tc>
          <w:tcPr>
            <w:tcW w:w="2591"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1 722</w:t>
            </w:r>
          </w:p>
        </w:tc>
      </w:tr>
      <w:tr w:rsidR="00A46DCA" w:rsidRPr="00AC137D" w:rsidTr="00A26D04">
        <w:tc>
          <w:tcPr>
            <w:cnfStyle w:val="001000000000" w:firstRow="0" w:lastRow="0" w:firstColumn="1" w:lastColumn="0" w:oddVBand="0" w:evenVBand="0" w:oddHBand="0" w:evenHBand="0" w:firstRowFirstColumn="0" w:firstRowLastColumn="0" w:lastRowFirstColumn="0" w:lastRowLastColumn="0"/>
            <w:tcW w:w="2591" w:type="dxa"/>
            <w:tcBorders>
              <w:top w:val="nil"/>
              <w:left w:val="nil"/>
              <w:bottom w:val="nil"/>
              <w:right w:val="nil"/>
            </w:tcBorders>
          </w:tcPr>
          <w:p w:rsidR="00A46DCA" w:rsidRPr="00AC137D" w:rsidRDefault="00A46DCA" w:rsidP="00A26D04">
            <w:pPr>
              <w:keepLines w:val="0"/>
              <w:autoSpaceDE w:val="0"/>
              <w:autoSpaceDN w:val="0"/>
              <w:adjustRightInd w:val="0"/>
              <w:jc w:val="right"/>
              <w:rPr>
                <w:rFonts w:eastAsiaTheme="minorEastAsia" w:cs="Calibri"/>
                <w:color w:val="000000"/>
                <w:szCs w:val="21"/>
                <w:lang w:eastAsia="en-AU"/>
              </w:rPr>
            </w:pPr>
            <w:r>
              <w:rPr>
                <w:rFonts w:eastAsiaTheme="minorEastAsia" w:cs="Calibri"/>
                <w:color w:val="000000"/>
                <w:szCs w:val="21"/>
                <w:lang w:eastAsia="en-AU"/>
              </w:rPr>
              <w:t>1 081</w:t>
            </w:r>
          </w:p>
        </w:tc>
        <w:tc>
          <w:tcPr>
            <w:tcW w:w="2591"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sidRPr="00AC137D">
              <w:rPr>
                <w:rFonts w:eastAsiaTheme="minorEastAsia" w:cs="Calibri"/>
                <w:color w:val="000000"/>
                <w:szCs w:val="21"/>
                <w:lang w:eastAsia="en-AU"/>
              </w:rPr>
              <w:t>3</w:t>
            </w:r>
          </w:p>
        </w:tc>
        <w:tc>
          <w:tcPr>
            <w:tcW w:w="2591"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9 849</w:t>
            </w:r>
          </w:p>
        </w:tc>
      </w:tr>
      <w:tr w:rsidR="00A46DCA" w:rsidRPr="00AC137D" w:rsidTr="00A26D04">
        <w:tc>
          <w:tcPr>
            <w:cnfStyle w:val="001000000000" w:firstRow="0" w:lastRow="0" w:firstColumn="1" w:lastColumn="0" w:oddVBand="0" w:evenVBand="0" w:oddHBand="0" w:evenHBand="0" w:firstRowFirstColumn="0" w:firstRowLastColumn="0" w:lastRowFirstColumn="0" w:lastRowLastColumn="0"/>
            <w:tcW w:w="2591" w:type="dxa"/>
            <w:tcBorders>
              <w:top w:val="nil"/>
              <w:left w:val="nil"/>
              <w:bottom w:val="nil"/>
              <w:right w:val="nil"/>
            </w:tcBorders>
          </w:tcPr>
          <w:p w:rsidR="00A46DCA" w:rsidRPr="00AC137D" w:rsidRDefault="00A46DCA" w:rsidP="00A26D04">
            <w:pPr>
              <w:keepLines w:val="0"/>
              <w:autoSpaceDE w:val="0"/>
              <w:autoSpaceDN w:val="0"/>
              <w:adjustRightInd w:val="0"/>
              <w:jc w:val="right"/>
              <w:rPr>
                <w:rFonts w:eastAsiaTheme="minorEastAsia" w:cs="Calibri"/>
                <w:color w:val="000000"/>
                <w:szCs w:val="21"/>
                <w:lang w:eastAsia="en-AU"/>
              </w:rPr>
            </w:pPr>
            <w:r>
              <w:rPr>
                <w:rFonts w:eastAsiaTheme="minorEastAsia" w:cs="Calibri"/>
                <w:color w:val="000000"/>
                <w:szCs w:val="21"/>
                <w:lang w:eastAsia="en-AU"/>
              </w:rPr>
              <w:t>..</w:t>
            </w:r>
            <w:r w:rsidRPr="00AC137D">
              <w:rPr>
                <w:rFonts w:eastAsiaTheme="minorEastAsia" w:cs="Calibri"/>
                <w:color w:val="000000"/>
                <w:szCs w:val="21"/>
                <w:lang w:eastAsia="en-AU"/>
              </w:rPr>
              <w:t xml:space="preserve"> </w:t>
            </w:r>
          </w:p>
        </w:tc>
        <w:tc>
          <w:tcPr>
            <w:tcW w:w="2591"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w:t>
            </w:r>
            <w:r w:rsidRPr="00AC137D">
              <w:rPr>
                <w:rFonts w:eastAsiaTheme="minorEastAsia" w:cs="Calibri"/>
                <w:color w:val="000000"/>
                <w:szCs w:val="21"/>
                <w:lang w:eastAsia="en-AU"/>
              </w:rPr>
              <w:t xml:space="preserve"> </w:t>
            </w:r>
          </w:p>
        </w:tc>
        <w:tc>
          <w:tcPr>
            <w:tcW w:w="2591"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w:t>
            </w:r>
            <w:r w:rsidRPr="00AC137D">
              <w:rPr>
                <w:rFonts w:eastAsiaTheme="minorEastAsia" w:cs="Calibri"/>
                <w:color w:val="000000"/>
                <w:szCs w:val="21"/>
                <w:lang w:eastAsia="en-AU"/>
              </w:rPr>
              <w:t xml:space="preserve"> </w:t>
            </w:r>
          </w:p>
        </w:tc>
      </w:tr>
      <w:tr w:rsidR="00A46DCA" w:rsidRPr="00AC137D" w:rsidTr="00A26D04">
        <w:tc>
          <w:tcPr>
            <w:cnfStyle w:val="001000000000" w:firstRow="0" w:lastRow="0" w:firstColumn="1" w:lastColumn="0" w:oddVBand="0" w:evenVBand="0" w:oddHBand="0" w:evenHBand="0" w:firstRowFirstColumn="0" w:firstRowLastColumn="0" w:lastRowFirstColumn="0" w:lastRowLastColumn="0"/>
            <w:tcW w:w="2591" w:type="dxa"/>
            <w:tcBorders>
              <w:top w:val="nil"/>
              <w:left w:val="nil"/>
              <w:bottom w:val="nil"/>
              <w:right w:val="nil"/>
            </w:tcBorders>
          </w:tcPr>
          <w:p w:rsidR="00A46DCA" w:rsidRPr="00AC137D" w:rsidRDefault="00A46DCA" w:rsidP="00A26D04">
            <w:pPr>
              <w:keepLines w:val="0"/>
              <w:autoSpaceDE w:val="0"/>
              <w:autoSpaceDN w:val="0"/>
              <w:adjustRightInd w:val="0"/>
              <w:jc w:val="right"/>
              <w:rPr>
                <w:rFonts w:eastAsiaTheme="minorEastAsia" w:cs="Calibri"/>
                <w:color w:val="000000"/>
                <w:szCs w:val="21"/>
                <w:lang w:eastAsia="en-AU"/>
              </w:rPr>
            </w:pPr>
            <w:r>
              <w:rPr>
                <w:rFonts w:eastAsiaTheme="minorEastAsia" w:cs="Calibri"/>
                <w:color w:val="000000"/>
                <w:szCs w:val="21"/>
                <w:lang w:eastAsia="en-AU"/>
              </w:rPr>
              <w:t>..</w:t>
            </w:r>
            <w:r w:rsidRPr="00AC137D">
              <w:rPr>
                <w:rFonts w:eastAsiaTheme="minorEastAsia" w:cs="Calibri"/>
                <w:color w:val="000000"/>
                <w:szCs w:val="21"/>
                <w:lang w:eastAsia="en-AU"/>
              </w:rPr>
              <w:t xml:space="preserve"> </w:t>
            </w:r>
          </w:p>
        </w:tc>
        <w:tc>
          <w:tcPr>
            <w:tcW w:w="2591"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w:t>
            </w:r>
            <w:r w:rsidRPr="00AC137D">
              <w:rPr>
                <w:rFonts w:eastAsiaTheme="minorEastAsia" w:cs="Calibri"/>
                <w:color w:val="000000"/>
                <w:szCs w:val="21"/>
                <w:lang w:eastAsia="en-AU"/>
              </w:rPr>
              <w:t xml:space="preserve"> </w:t>
            </w:r>
          </w:p>
        </w:tc>
        <w:tc>
          <w:tcPr>
            <w:tcW w:w="2591"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w:t>
            </w:r>
            <w:r w:rsidRPr="00AC137D">
              <w:rPr>
                <w:rFonts w:eastAsiaTheme="minorEastAsia" w:cs="Calibri"/>
                <w:color w:val="000000"/>
                <w:szCs w:val="21"/>
                <w:lang w:eastAsia="en-AU"/>
              </w:rPr>
              <w:t xml:space="preserve"> </w:t>
            </w:r>
          </w:p>
        </w:tc>
      </w:tr>
      <w:tr w:rsidR="00A46DCA" w:rsidRPr="00AC137D" w:rsidTr="00A26D04">
        <w:tc>
          <w:tcPr>
            <w:cnfStyle w:val="001000000000" w:firstRow="0" w:lastRow="0" w:firstColumn="1" w:lastColumn="0" w:oddVBand="0" w:evenVBand="0" w:oddHBand="0" w:evenHBand="0" w:firstRowFirstColumn="0" w:firstRowLastColumn="0" w:lastRowFirstColumn="0" w:lastRowLastColumn="0"/>
            <w:tcW w:w="2591" w:type="dxa"/>
            <w:tcBorders>
              <w:top w:val="single" w:sz="6" w:space="0" w:color="000000"/>
              <w:left w:val="nil"/>
              <w:bottom w:val="single" w:sz="12" w:space="0" w:color="000000"/>
              <w:right w:val="nil"/>
            </w:tcBorders>
          </w:tcPr>
          <w:p w:rsidR="00A46DCA" w:rsidRPr="00AC137D" w:rsidRDefault="00A46DCA" w:rsidP="00A26D04">
            <w:pPr>
              <w:keepLines w:val="0"/>
              <w:autoSpaceDE w:val="0"/>
              <w:autoSpaceDN w:val="0"/>
              <w:adjustRightInd w:val="0"/>
              <w:jc w:val="right"/>
              <w:rPr>
                <w:rFonts w:eastAsiaTheme="minorEastAsia" w:cs="Calibri"/>
                <w:b/>
                <w:bCs/>
                <w:color w:val="000000"/>
                <w:szCs w:val="21"/>
                <w:lang w:eastAsia="en-AU"/>
              </w:rPr>
            </w:pPr>
            <w:r>
              <w:rPr>
                <w:rFonts w:eastAsiaTheme="minorEastAsia" w:cs="Calibri"/>
                <w:b/>
                <w:bCs/>
                <w:color w:val="000000"/>
                <w:szCs w:val="21"/>
                <w:lang w:eastAsia="en-AU"/>
              </w:rPr>
              <w:t>61 459</w:t>
            </w:r>
          </w:p>
        </w:tc>
        <w:tc>
          <w:tcPr>
            <w:tcW w:w="2591" w:type="dxa"/>
            <w:tcBorders>
              <w:top w:val="single" w:sz="6" w:space="0" w:color="000000"/>
              <w:left w:val="nil"/>
              <w:bottom w:val="single" w:sz="12" w:space="0" w:color="000000"/>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1"/>
                <w:lang w:eastAsia="en-AU"/>
              </w:rPr>
            </w:pPr>
            <w:r w:rsidRPr="00AC137D">
              <w:rPr>
                <w:rFonts w:eastAsiaTheme="minorEastAsia" w:cs="Calibri"/>
                <w:b/>
                <w:bCs/>
                <w:color w:val="000000"/>
                <w:szCs w:val="21"/>
                <w:lang w:eastAsia="en-AU"/>
              </w:rPr>
              <w:t>674</w:t>
            </w:r>
          </w:p>
        </w:tc>
        <w:tc>
          <w:tcPr>
            <w:tcW w:w="2591" w:type="dxa"/>
            <w:tcBorders>
              <w:top w:val="single" w:sz="6" w:space="0" w:color="000000"/>
              <w:left w:val="nil"/>
              <w:bottom w:val="single" w:sz="12" w:space="0" w:color="000000"/>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1"/>
                <w:lang w:eastAsia="en-AU"/>
              </w:rPr>
            </w:pPr>
            <w:r>
              <w:rPr>
                <w:rFonts w:eastAsiaTheme="minorEastAsia" w:cs="Calibri"/>
                <w:b/>
                <w:bCs/>
                <w:color w:val="000000"/>
                <w:szCs w:val="21"/>
                <w:lang w:eastAsia="en-AU"/>
              </w:rPr>
              <w:t>190 505</w:t>
            </w:r>
          </w:p>
        </w:tc>
      </w:tr>
      <w:tr w:rsidR="00A46DCA" w:rsidRPr="00AC137D" w:rsidTr="00A26D04">
        <w:tc>
          <w:tcPr>
            <w:cnfStyle w:val="001000000000" w:firstRow="0" w:lastRow="0" w:firstColumn="1" w:lastColumn="0" w:oddVBand="0" w:evenVBand="0" w:oddHBand="0" w:evenHBand="0" w:firstRowFirstColumn="0" w:firstRowLastColumn="0" w:lastRowFirstColumn="0" w:lastRowLastColumn="0"/>
            <w:tcW w:w="2591" w:type="dxa"/>
            <w:tcBorders>
              <w:top w:val="nil"/>
              <w:left w:val="nil"/>
              <w:bottom w:val="nil"/>
              <w:right w:val="nil"/>
            </w:tcBorders>
          </w:tcPr>
          <w:p w:rsidR="00A46DCA" w:rsidRPr="00AC137D" w:rsidRDefault="00A46DCA" w:rsidP="00A26D04">
            <w:pPr>
              <w:keepLines w:val="0"/>
              <w:autoSpaceDE w:val="0"/>
              <w:autoSpaceDN w:val="0"/>
              <w:adjustRightInd w:val="0"/>
              <w:jc w:val="right"/>
              <w:rPr>
                <w:rFonts w:eastAsiaTheme="minorEastAsia" w:cs="Calibri"/>
                <w:b/>
                <w:bCs/>
                <w:color w:val="000000"/>
                <w:lang w:eastAsia="en-AU"/>
              </w:rPr>
            </w:pPr>
            <w:r w:rsidRPr="00AC137D">
              <w:rPr>
                <w:rFonts w:eastAsiaTheme="minorEastAsia" w:cs="Calibri"/>
                <w:b/>
                <w:bCs/>
                <w:color w:val="000000"/>
                <w:lang w:eastAsia="en-AU"/>
              </w:rPr>
              <w:t xml:space="preserve"> </w:t>
            </w:r>
          </w:p>
        </w:tc>
        <w:tc>
          <w:tcPr>
            <w:tcW w:w="2591"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1"/>
                <w:lang w:eastAsia="en-AU"/>
              </w:rPr>
            </w:pPr>
            <w:r w:rsidRPr="00AC137D">
              <w:rPr>
                <w:rFonts w:eastAsiaTheme="minorEastAsia" w:cs="Calibri"/>
                <w:b/>
                <w:bCs/>
                <w:color w:val="000000"/>
                <w:szCs w:val="21"/>
                <w:lang w:eastAsia="en-AU"/>
              </w:rPr>
              <w:t xml:space="preserve"> </w:t>
            </w:r>
          </w:p>
        </w:tc>
        <w:tc>
          <w:tcPr>
            <w:tcW w:w="2591"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1"/>
                <w:lang w:eastAsia="en-AU"/>
              </w:rPr>
            </w:pPr>
            <w:r w:rsidRPr="00AC137D">
              <w:rPr>
                <w:rFonts w:eastAsiaTheme="minorEastAsia" w:cs="Calibri"/>
                <w:b/>
                <w:bCs/>
                <w:color w:val="000000"/>
                <w:szCs w:val="21"/>
                <w:lang w:eastAsia="en-AU"/>
              </w:rPr>
              <w:t xml:space="preserve"> </w:t>
            </w:r>
          </w:p>
        </w:tc>
      </w:tr>
      <w:tr w:rsidR="00A46DCA" w:rsidRPr="00AC137D" w:rsidTr="00A26D04">
        <w:tc>
          <w:tcPr>
            <w:cnfStyle w:val="001000000000" w:firstRow="0" w:lastRow="0" w:firstColumn="1" w:lastColumn="0" w:oddVBand="0" w:evenVBand="0" w:oddHBand="0" w:evenHBand="0" w:firstRowFirstColumn="0" w:firstRowLastColumn="0" w:lastRowFirstColumn="0" w:lastRowLastColumn="0"/>
            <w:tcW w:w="2591" w:type="dxa"/>
            <w:tcBorders>
              <w:top w:val="nil"/>
              <w:left w:val="nil"/>
              <w:bottom w:val="nil"/>
              <w:right w:val="nil"/>
            </w:tcBorders>
          </w:tcPr>
          <w:p w:rsidR="00A46DCA" w:rsidRPr="00AC137D" w:rsidRDefault="00A46DCA" w:rsidP="00A26D04">
            <w:pPr>
              <w:keepLines w:val="0"/>
              <w:autoSpaceDE w:val="0"/>
              <w:autoSpaceDN w:val="0"/>
              <w:adjustRightInd w:val="0"/>
              <w:jc w:val="right"/>
              <w:rPr>
                <w:rFonts w:eastAsiaTheme="minorEastAsia" w:cs="Calibri"/>
                <w:color w:val="000000"/>
                <w:szCs w:val="21"/>
                <w:lang w:eastAsia="en-AU"/>
              </w:rPr>
            </w:pPr>
            <w:r>
              <w:rPr>
                <w:rFonts w:eastAsiaTheme="minorEastAsia" w:cs="Calibri"/>
                <w:color w:val="000000"/>
                <w:szCs w:val="21"/>
                <w:lang w:eastAsia="en-AU"/>
              </w:rPr>
              <w:t>61 459</w:t>
            </w:r>
          </w:p>
        </w:tc>
        <w:tc>
          <w:tcPr>
            <w:tcW w:w="2591"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sidRPr="00AC137D">
              <w:rPr>
                <w:rFonts w:eastAsiaTheme="minorEastAsia" w:cs="Calibri"/>
                <w:color w:val="000000"/>
                <w:szCs w:val="21"/>
                <w:lang w:eastAsia="en-AU"/>
              </w:rPr>
              <w:t>674</w:t>
            </w:r>
          </w:p>
        </w:tc>
        <w:tc>
          <w:tcPr>
            <w:tcW w:w="2591"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190 505</w:t>
            </w:r>
          </w:p>
        </w:tc>
      </w:tr>
      <w:tr w:rsidR="00A46DCA" w:rsidRPr="00AC137D" w:rsidTr="00A26D04">
        <w:tc>
          <w:tcPr>
            <w:cnfStyle w:val="001000000000" w:firstRow="0" w:lastRow="0" w:firstColumn="1" w:lastColumn="0" w:oddVBand="0" w:evenVBand="0" w:oddHBand="0" w:evenHBand="0" w:firstRowFirstColumn="0" w:firstRowLastColumn="0" w:lastRowFirstColumn="0" w:lastRowLastColumn="0"/>
            <w:tcW w:w="2591" w:type="dxa"/>
            <w:tcBorders>
              <w:top w:val="nil"/>
              <w:left w:val="nil"/>
              <w:bottom w:val="nil"/>
              <w:right w:val="nil"/>
            </w:tcBorders>
          </w:tcPr>
          <w:p w:rsidR="00A46DCA" w:rsidRPr="00AC137D" w:rsidRDefault="00A46DCA" w:rsidP="00A26D04">
            <w:pPr>
              <w:keepLines w:val="0"/>
              <w:autoSpaceDE w:val="0"/>
              <w:autoSpaceDN w:val="0"/>
              <w:adjustRightInd w:val="0"/>
              <w:jc w:val="right"/>
              <w:rPr>
                <w:rFonts w:eastAsiaTheme="minorEastAsia" w:cs="Calibri"/>
                <w:color w:val="000000"/>
                <w:szCs w:val="21"/>
                <w:lang w:eastAsia="en-AU"/>
              </w:rPr>
            </w:pPr>
            <w:r>
              <w:rPr>
                <w:rFonts w:eastAsiaTheme="minorEastAsia" w:cs="Calibri"/>
                <w:color w:val="000000"/>
                <w:szCs w:val="21"/>
                <w:lang w:eastAsia="en-AU"/>
              </w:rPr>
              <w:t>..</w:t>
            </w:r>
          </w:p>
        </w:tc>
        <w:tc>
          <w:tcPr>
            <w:tcW w:w="2591"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w:t>
            </w:r>
          </w:p>
        </w:tc>
        <w:tc>
          <w:tcPr>
            <w:tcW w:w="2591"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2 374</w:t>
            </w:r>
          </w:p>
        </w:tc>
      </w:tr>
      <w:tr w:rsidR="00A46DCA" w:rsidRPr="00AC137D" w:rsidTr="00A26D04">
        <w:tc>
          <w:tcPr>
            <w:cnfStyle w:val="001000000000" w:firstRow="0" w:lastRow="0" w:firstColumn="1" w:lastColumn="0" w:oddVBand="0" w:evenVBand="0" w:oddHBand="0" w:evenHBand="0" w:firstRowFirstColumn="0" w:firstRowLastColumn="0" w:lastRowFirstColumn="0" w:lastRowLastColumn="0"/>
            <w:tcW w:w="2591" w:type="dxa"/>
            <w:tcBorders>
              <w:top w:val="nil"/>
              <w:left w:val="nil"/>
              <w:bottom w:val="nil"/>
              <w:right w:val="nil"/>
            </w:tcBorders>
          </w:tcPr>
          <w:p w:rsidR="00A46DCA" w:rsidRPr="00AC137D" w:rsidRDefault="00A46DCA" w:rsidP="00A26D04">
            <w:pPr>
              <w:keepLines w:val="0"/>
              <w:autoSpaceDE w:val="0"/>
              <w:autoSpaceDN w:val="0"/>
              <w:adjustRightInd w:val="0"/>
              <w:jc w:val="right"/>
              <w:rPr>
                <w:rFonts w:eastAsiaTheme="minorEastAsia" w:cs="Calibri"/>
                <w:color w:val="000000"/>
                <w:szCs w:val="21"/>
                <w:lang w:eastAsia="en-AU"/>
              </w:rPr>
            </w:pPr>
            <w:r w:rsidRPr="00AC137D">
              <w:rPr>
                <w:rFonts w:eastAsiaTheme="minorEastAsia" w:cs="Calibri"/>
                <w:color w:val="000000"/>
                <w:szCs w:val="21"/>
                <w:lang w:eastAsia="en-AU"/>
              </w:rPr>
              <w:t>621</w:t>
            </w:r>
          </w:p>
        </w:tc>
        <w:tc>
          <w:tcPr>
            <w:tcW w:w="2591"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sidRPr="00AC137D">
              <w:rPr>
                <w:rFonts w:eastAsiaTheme="minorEastAsia" w:cs="Calibri"/>
                <w:color w:val="000000"/>
                <w:szCs w:val="21"/>
                <w:lang w:eastAsia="en-AU"/>
              </w:rPr>
              <w:t>2</w:t>
            </w:r>
          </w:p>
        </w:tc>
        <w:tc>
          <w:tcPr>
            <w:tcW w:w="2591"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3 086</w:t>
            </w:r>
          </w:p>
        </w:tc>
      </w:tr>
      <w:tr w:rsidR="00A46DCA" w:rsidRPr="00AC137D" w:rsidTr="00A26D04">
        <w:tc>
          <w:tcPr>
            <w:cnfStyle w:val="001000000000" w:firstRow="0" w:lastRow="0" w:firstColumn="1" w:lastColumn="0" w:oddVBand="0" w:evenVBand="0" w:oddHBand="0" w:evenHBand="0" w:firstRowFirstColumn="0" w:firstRowLastColumn="0" w:lastRowFirstColumn="0" w:lastRowLastColumn="0"/>
            <w:tcW w:w="2591" w:type="dxa"/>
            <w:tcBorders>
              <w:top w:val="nil"/>
              <w:left w:val="nil"/>
              <w:bottom w:val="nil"/>
              <w:right w:val="nil"/>
            </w:tcBorders>
          </w:tcPr>
          <w:p w:rsidR="00A46DCA" w:rsidRPr="00AC137D" w:rsidRDefault="00A46DCA" w:rsidP="00A26D04">
            <w:pPr>
              <w:keepLines w:val="0"/>
              <w:autoSpaceDE w:val="0"/>
              <w:autoSpaceDN w:val="0"/>
              <w:adjustRightInd w:val="0"/>
              <w:jc w:val="right"/>
              <w:rPr>
                <w:rFonts w:eastAsiaTheme="minorEastAsia" w:cs="Calibri"/>
                <w:color w:val="000000"/>
                <w:szCs w:val="21"/>
                <w:lang w:eastAsia="en-AU"/>
              </w:rPr>
            </w:pPr>
            <w:r>
              <w:rPr>
                <w:rFonts w:eastAsiaTheme="minorEastAsia" w:cs="Calibri"/>
                <w:color w:val="000000"/>
                <w:szCs w:val="21"/>
                <w:lang w:eastAsia="en-AU"/>
              </w:rPr>
              <w:t>..</w:t>
            </w:r>
            <w:r w:rsidRPr="00AC137D">
              <w:rPr>
                <w:rFonts w:eastAsiaTheme="minorEastAsia" w:cs="Calibri"/>
                <w:color w:val="000000"/>
                <w:szCs w:val="21"/>
                <w:lang w:eastAsia="en-AU"/>
              </w:rPr>
              <w:t xml:space="preserve"> </w:t>
            </w:r>
          </w:p>
        </w:tc>
        <w:tc>
          <w:tcPr>
            <w:tcW w:w="2591"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w:t>
            </w:r>
            <w:r w:rsidRPr="00AC137D">
              <w:rPr>
                <w:rFonts w:eastAsiaTheme="minorEastAsia" w:cs="Calibri"/>
                <w:color w:val="000000"/>
                <w:szCs w:val="21"/>
                <w:lang w:eastAsia="en-AU"/>
              </w:rPr>
              <w:t xml:space="preserve"> </w:t>
            </w:r>
          </w:p>
        </w:tc>
        <w:tc>
          <w:tcPr>
            <w:tcW w:w="2591"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w:t>
            </w:r>
            <w:r w:rsidRPr="00AC137D">
              <w:rPr>
                <w:rFonts w:eastAsiaTheme="minorEastAsia" w:cs="Calibri"/>
                <w:color w:val="000000"/>
                <w:szCs w:val="21"/>
                <w:lang w:eastAsia="en-AU"/>
              </w:rPr>
              <w:t xml:space="preserve"> </w:t>
            </w:r>
          </w:p>
        </w:tc>
      </w:tr>
      <w:tr w:rsidR="00A46DCA" w:rsidRPr="00AC137D" w:rsidTr="00A26D04">
        <w:tc>
          <w:tcPr>
            <w:cnfStyle w:val="001000000000" w:firstRow="0" w:lastRow="0" w:firstColumn="1" w:lastColumn="0" w:oddVBand="0" w:evenVBand="0" w:oddHBand="0" w:evenHBand="0" w:firstRowFirstColumn="0" w:firstRowLastColumn="0" w:lastRowFirstColumn="0" w:lastRowLastColumn="0"/>
            <w:tcW w:w="2591" w:type="dxa"/>
            <w:tcBorders>
              <w:top w:val="nil"/>
              <w:left w:val="nil"/>
              <w:bottom w:val="nil"/>
              <w:right w:val="nil"/>
            </w:tcBorders>
          </w:tcPr>
          <w:p w:rsidR="00A46DCA" w:rsidRPr="00AC137D" w:rsidRDefault="00A46DCA" w:rsidP="00A26D04">
            <w:pPr>
              <w:keepLines w:val="0"/>
              <w:autoSpaceDE w:val="0"/>
              <w:autoSpaceDN w:val="0"/>
              <w:adjustRightInd w:val="0"/>
              <w:jc w:val="right"/>
              <w:rPr>
                <w:rFonts w:eastAsiaTheme="minorEastAsia" w:cs="Calibri"/>
                <w:color w:val="000000"/>
                <w:szCs w:val="21"/>
                <w:lang w:eastAsia="en-AU"/>
              </w:rPr>
            </w:pPr>
            <w:r>
              <w:rPr>
                <w:rFonts w:eastAsiaTheme="minorEastAsia" w:cs="Calibri"/>
                <w:color w:val="000000"/>
                <w:szCs w:val="21"/>
                <w:lang w:eastAsia="en-AU"/>
              </w:rPr>
              <w:t>..</w:t>
            </w:r>
            <w:r w:rsidRPr="00AC137D">
              <w:rPr>
                <w:rFonts w:eastAsiaTheme="minorEastAsia" w:cs="Calibri"/>
                <w:color w:val="000000"/>
                <w:szCs w:val="21"/>
                <w:lang w:eastAsia="en-AU"/>
              </w:rPr>
              <w:t xml:space="preserve"> </w:t>
            </w:r>
          </w:p>
        </w:tc>
        <w:tc>
          <w:tcPr>
            <w:tcW w:w="2591"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w:t>
            </w:r>
            <w:r w:rsidRPr="00AC137D">
              <w:rPr>
                <w:rFonts w:eastAsiaTheme="minorEastAsia" w:cs="Calibri"/>
                <w:color w:val="000000"/>
                <w:szCs w:val="21"/>
                <w:lang w:eastAsia="en-AU"/>
              </w:rPr>
              <w:t xml:space="preserve"> </w:t>
            </w:r>
          </w:p>
        </w:tc>
        <w:tc>
          <w:tcPr>
            <w:tcW w:w="2591"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w:t>
            </w:r>
            <w:r w:rsidRPr="00AC137D">
              <w:rPr>
                <w:rFonts w:eastAsiaTheme="minorEastAsia" w:cs="Calibri"/>
                <w:color w:val="000000"/>
                <w:szCs w:val="21"/>
                <w:lang w:eastAsia="en-AU"/>
              </w:rPr>
              <w:t xml:space="preserve"> </w:t>
            </w:r>
          </w:p>
        </w:tc>
      </w:tr>
      <w:tr w:rsidR="00A46DCA" w:rsidRPr="00AC137D" w:rsidTr="00A26D04">
        <w:tc>
          <w:tcPr>
            <w:cnfStyle w:val="001000000000" w:firstRow="0" w:lastRow="0" w:firstColumn="1" w:lastColumn="0" w:oddVBand="0" w:evenVBand="0" w:oddHBand="0" w:evenHBand="0" w:firstRowFirstColumn="0" w:firstRowLastColumn="0" w:lastRowFirstColumn="0" w:lastRowLastColumn="0"/>
            <w:tcW w:w="2591" w:type="dxa"/>
            <w:tcBorders>
              <w:top w:val="single" w:sz="6" w:space="0" w:color="000000"/>
              <w:left w:val="nil"/>
              <w:bottom w:val="single" w:sz="12" w:space="0" w:color="000000"/>
              <w:right w:val="nil"/>
            </w:tcBorders>
          </w:tcPr>
          <w:p w:rsidR="00A46DCA" w:rsidRPr="00AC137D" w:rsidRDefault="00A46DCA" w:rsidP="00A26D04">
            <w:pPr>
              <w:keepLines w:val="0"/>
              <w:autoSpaceDE w:val="0"/>
              <w:autoSpaceDN w:val="0"/>
              <w:adjustRightInd w:val="0"/>
              <w:jc w:val="right"/>
              <w:rPr>
                <w:rFonts w:eastAsiaTheme="minorEastAsia" w:cs="Calibri"/>
                <w:b/>
                <w:bCs/>
                <w:color w:val="000000"/>
                <w:szCs w:val="21"/>
                <w:lang w:eastAsia="en-AU"/>
              </w:rPr>
            </w:pPr>
            <w:r>
              <w:rPr>
                <w:rFonts w:eastAsiaTheme="minorEastAsia" w:cs="Calibri"/>
                <w:b/>
                <w:bCs/>
                <w:color w:val="000000"/>
                <w:szCs w:val="21"/>
                <w:lang w:eastAsia="en-AU"/>
              </w:rPr>
              <w:t>62 080</w:t>
            </w:r>
          </w:p>
        </w:tc>
        <w:tc>
          <w:tcPr>
            <w:tcW w:w="2591" w:type="dxa"/>
            <w:tcBorders>
              <w:top w:val="single" w:sz="6" w:space="0" w:color="000000"/>
              <w:left w:val="nil"/>
              <w:bottom w:val="single" w:sz="12" w:space="0" w:color="000000"/>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1"/>
                <w:lang w:eastAsia="en-AU"/>
              </w:rPr>
            </w:pPr>
            <w:r w:rsidRPr="00AC137D">
              <w:rPr>
                <w:rFonts w:eastAsiaTheme="minorEastAsia" w:cs="Calibri"/>
                <w:b/>
                <w:bCs/>
                <w:color w:val="000000"/>
                <w:szCs w:val="21"/>
                <w:lang w:eastAsia="en-AU"/>
              </w:rPr>
              <w:t>675</w:t>
            </w:r>
          </w:p>
        </w:tc>
        <w:tc>
          <w:tcPr>
            <w:tcW w:w="2591" w:type="dxa"/>
            <w:tcBorders>
              <w:top w:val="single" w:sz="6" w:space="0" w:color="000000"/>
              <w:left w:val="nil"/>
              <w:bottom w:val="single" w:sz="12" w:space="0" w:color="000000"/>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1"/>
                <w:lang w:eastAsia="en-AU"/>
              </w:rPr>
            </w:pPr>
            <w:r>
              <w:rPr>
                <w:rFonts w:eastAsiaTheme="minorEastAsia" w:cs="Calibri"/>
                <w:b/>
                <w:bCs/>
                <w:color w:val="000000"/>
                <w:szCs w:val="21"/>
                <w:lang w:eastAsia="en-AU"/>
              </w:rPr>
              <w:t>195 965</w:t>
            </w:r>
          </w:p>
        </w:tc>
      </w:tr>
    </w:tbl>
    <w:p w:rsidR="00A46DCA" w:rsidRDefault="00A46DCA" w:rsidP="00A26D04"/>
    <w:p w:rsidR="00A46DCA" w:rsidRDefault="00A46DCA">
      <w:pPr>
        <w:keepLines w:val="0"/>
      </w:pPr>
    </w:p>
    <w:p w:rsidR="00A46DCA" w:rsidRDefault="00A46DCA">
      <w:pPr>
        <w:keepLines w:val="0"/>
      </w:pPr>
      <w:r>
        <w:br w:type="page"/>
      </w:r>
    </w:p>
    <w:p w:rsidR="00A46DCA" w:rsidRDefault="00A46DCA" w:rsidP="00A26D04">
      <w:pPr>
        <w:pStyle w:val="Heading2"/>
        <w:numPr>
          <w:ilvl w:val="1"/>
          <w:numId w:val="19"/>
        </w:numPr>
      </w:pPr>
      <w:r>
        <w:lastRenderedPageBreak/>
        <w:t>ABOUT THIS REPORT</w:t>
      </w:r>
    </w:p>
    <w:p w:rsidR="00A46DCA" w:rsidRDefault="00A46DCA" w:rsidP="00A26D04">
      <w:r>
        <w:t>This note summarises the basis applied in preparing and presenting these updated Estimated Financial Statements for the general government sector, which includes the forecasts for the budget year and the estimates for the three subsequent years.</w:t>
      </w:r>
    </w:p>
    <w:p w:rsidR="00A46DCA" w:rsidRDefault="00A46DCA" w:rsidP="00A26D04">
      <w:r>
        <w:t xml:space="preserve">The accounting policies and forecast assumptions applied are consistent with those of the Estimated Financial Statements as published in the 2017-18 Budget Paper No. 5 </w:t>
      </w:r>
      <w:r w:rsidRPr="00750CDC">
        <w:rPr>
          <w:i/>
        </w:rPr>
        <w:t>Statement of Finances</w:t>
      </w:r>
      <w:r>
        <w:t xml:space="preserve">, which should be read in conjunction with this statement. For further details of the accounting policies, refer to Chapter 4 </w:t>
      </w:r>
      <w:r w:rsidRPr="00750CDC">
        <w:rPr>
          <w:i/>
        </w:rPr>
        <w:t>Annual Financial Report</w:t>
      </w:r>
      <w:r>
        <w:t xml:space="preserve"> of the 2016-17 </w:t>
      </w:r>
      <w:r w:rsidRPr="00750CDC">
        <w:rPr>
          <w:i/>
        </w:rPr>
        <w:t>Financial Report</w:t>
      </w:r>
      <w:r>
        <w:t xml:space="preserve"> for the State of Victoria as presented to the Parliament.</w:t>
      </w:r>
    </w:p>
    <w:p w:rsidR="00A46DCA" w:rsidRDefault="00A46DCA" w:rsidP="00A26D04">
      <w:r>
        <w:t xml:space="preserve">To gain a better understanding of the terminology and key aggregates used in this report, a glossary of terms can be found in Note 9.9 of Chapter 4 </w:t>
      </w:r>
      <w:r w:rsidRPr="00750CDC">
        <w:rPr>
          <w:i/>
        </w:rPr>
        <w:t>Annual Financial Report</w:t>
      </w:r>
      <w:r>
        <w:t xml:space="preserve"> of the </w:t>
      </w:r>
      <w:r w:rsidRPr="00090B3E">
        <w:rPr>
          <w:i/>
        </w:rPr>
        <w:t>2016-17</w:t>
      </w:r>
      <w:r>
        <w:t xml:space="preserve"> </w:t>
      </w:r>
      <w:r w:rsidRPr="00750CDC">
        <w:rPr>
          <w:i/>
        </w:rPr>
        <w:t>Financial Report</w:t>
      </w:r>
      <w:r>
        <w:t xml:space="preserve"> for the State of Victoria.</w:t>
      </w:r>
    </w:p>
    <w:p w:rsidR="00A46DCA" w:rsidRDefault="00A46DCA" w:rsidP="00A26D04">
      <w:pPr>
        <w:pStyle w:val="Heading20"/>
      </w:pPr>
      <w:r>
        <w:t>Basis of preparation</w:t>
      </w:r>
    </w:p>
    <w:p w:rsidR="00A46DCA" w:rsidRPr="00D87D22" w:rsidRDefault="00A46DCA" w:rsidP="00A26D04">
      <w:r w:rsidRPr="00D87D22">
        <w:t>The Estimated Financial Statements have been prepared for the 201</w:t>
      </w:r>
      <w:r>
        <w:t>7</w:t>
      </w:r>
      <w:r w:rsidRPr="00D87D22">
        <w:t>-1</w:t>
      </w:r>
      <w:r>
        <w:t>8</w:t>
      </w:r>
      <w:r w:rsidRPr="00D87D22">
        <w:t xml:space="preserve"> year in accordance with </w:t>
      </w:r>
      <w:r>
        <w:t xml:space="preserve">the </w:t>
      </w:r>
      <w:r w:rsidRPr="00D87D22">
        <w:t xml:space="preserve">accounting policies expected to be used in preparing historically oriented general purpose financial statements for that year, and the same accounting policies have been used for the subsequent </w:t>
      </w:r>
      <w:r>
        <w:t>three</w:t>
      </w:r>
      <w:r w:rsidRPr="00D87D22">
        <w:t xml:space="preserve"> years.</w:t>
      </w:r>
    </w:p>
    <w:p w:rsidR="00A46DCA" w:rsidRPr="00D87D22" w:rsidRDefault="00A46DCA" w:rsidP="00A26D04">
      <w:r w:rsidRPr="00D87D22">
        <w:t xml:space="preserve">The accrual basis of accounting has been applied whereby assets, liabilities, equity, </w:t>
      </w:r>
      <w:r>
        <w:t>income</w:t>
      </w:r>
      <w:r w:rsidRPr="00D87D22">
        <w:t xml:space="preserve"> and expenses are recognised in the reporting period to which they relate, regardless of when cash is received or paid.</w:t>
      </w:r>
    </w:p>
    <w:p w:rsidR="00A46DCA" w:rsidRPr="00D87D22" w:rsidRDefault="00A46DCA" w:rsidP="00A26D04">
      <w:r w:rsidRPr="00D87D22">
        <w:t>The Estimated Financial Statements are presented in Australian dollars</w:t>
      </w:r>
      <w:r>
        <w:t>,</w:t>
      </w:r>
      <w:r w:rsidRPr="00D87D22">
        <w:t xml:space="preserve"> which is also the functional currency of the general government sector.</w:t>
      </w:r>
    </w:p>
    <w:p w:rsidR="00A46DCA" w:rsidRPr="00D87D22" w:rsidRDefault="00A46DCA" w:rsidP="00A26D04">
      <w:r w:rsidRPr="00D87D22">
        <w:t>The Estimated Financial Statements have been prepared in accordance with the historical cost convention. Historical cost is based on the fair values of the consideration given in exchange for assets. Exceptions to the historical cost convention include:</w:t>
      </w:r>
    </w:p>
    <w:p w:rsidR="00A46DCA" w:rsidRPr="00D87D22" w:rsidRDefault="00A46DCA" w:rsidP="00A26D04">
      <w:pPr>
        <w:pStyle w:val="ListBullet"/>
        <w:spacing w:before="40"/>
      </w:pPr>
      <w:r w:rsidRPr="00D87D22">
        <w:t>general government sector investments in other sector entities that are measured at net asset value;</w:t>
      </w:r>
    </w:p>
    <w:p w:rsidR="00A46DCA" w:rsidRPr="00D87D22" w:rsidRDefault="00A46DCA" w:rsidP="00A26D04">
      <w:pPr>
        <w:pStyle w:val="ListBullet"/>
        <w:spacing w:before="40"/>
      </w:pPr>
      <w:r w:rsidRPr="00D87D22">
        <w:t>non</w:t>
      </w:r>
      <w:r>
        <w:t>-</w:t>
      </w:r>
      <w:r w:rsidRPr="00D87D22">
        <w:t xml:space="preserve">financial physical assets which, subsequent to acquisition, are measured at a revalued amount being their fair value at the date of revaluation less any subsequent accumulated depreciation and subsequent impairment losses. Revaluations are made with sufficient regularity to ensure that the carrying amounts do not materially differ from their fair value; </w:t>
      </w:r>
    </w:p>
    <w:p w:rsidR="00A46DCA" w:rsidRPr="00D87D22" w:rsidRDefault="00A46DCA" w:rsidP="00A26D04">
      <w:pPr>
        <w:pStyle w:val="ListBullet"/>
        <w:spacing w:before="40"/>
      </w:pPr>
      <w:r w:rsidRPr="00D87D22">
        <w:t>productive trees in commercial native forests, which are measured at their fair value less costs to sell;</w:t>
      </w:r>
    </w:p>
    <w:p w:rsidR="00A46DCA" w:rsidRPr="00D87D22" w:rsidRDefault="00A46DCA" w:rsidP="00A26D04">
      <w:pPr>
        <w:pStyle w:val="ListBullet"/>
        <w:spacing w:before="40"/>
      </w:pPr>
      <w:r w:rsidRPr="00D87D22">
        <w:t xml:space="preserve">derivative financial instruments, managed investment schemes, certain debt securities and investment properties after initial recognition, which are measured at fair value with changes reflected in the estimated comprehensive operating statement (fair value through profit and loss); </w:t>
      </w:r>
    </w:p>
    <w:p w:rsidR="00A46DCA" w:rsidRPr="00D87D22" w:rsidRDefault="00A46DCA" w:rsidP="00A26D04">
      <w:pPr>
        <w:pStyle w:val="ListBullet"/>
        <w:spacing w:before="40"/>
      </w:pPr>
      <w:r w:rsidRPr="00D87D22">
        <w:t>certain liabilities, most notably unfunded superannuation and some insurance claim provisions, which are subject to an actuarial assessment; and</w:t>
      </w:r>
    </w:p>
    <w:p w:rsidR="00A46DCA" w:rsidRPr="00D87D22" w:rsidRDefault="00A46DCA" w:rsidP="00A26D04">
      <w:pPr>
        <w:pStyle w:val="ListBullet"/>
        <w:spacing w:before="40"/>
      </w:pPr>
      <w:r>
        <w:t>available-for-</w:t>
      </w:r>
      <w:r w:rsidRPr="00D87D22">
        <w:t>sale investments</w:t>
      </w:r>
      <w:r>
        <w:t>,</w:t>
      </w:r>
      <w:r w:rsidRPr="00D87D22">
        <w:t xml:space="preserve"> which are measured at fair value with movements reflected in </w:t>
      </w:r>
      <w:r>
        <w:t>‘</w:t>
      </w:r>
      <w:r w:rsidRPr="00D87D22">
        <w:t>Other economic flows – other comprehensive income</w:t>
      </w:r>
      <w:r>
        <w:t>’</w:t>
      </w:r>
      <w:r w:rsidRPr="00D87D22">
        <w:t>.</w:t>
      </w:r>
    </w:p>
    <w:p w:rsidR="00A46DCA" w:rsidRDefault="00A46DCA" w:rsidP="00A26D04">
      <w:r w:rsidRPr="00750CDC">
        <w:lastRenderedPageBreak/>
        <w:t xml:space="preserve">Judgements, estimates and assumptions are required to be made about the carrying values of assets and liabilities that are not readily apparent from other sources. The estimates and associated assumptions are based on professional judgements derived from historical experience and various other factors that are believed to be reasonable under the circumstances. Given the prospective nature of the Estimated Financial Statements, actual results are likely to differ from these estimates. Revisions to accounting estimates are recognised in the period in which the estimate is revised and also in future periods that are affected. </w:t>
      </w:r>
    </w:p>
    <w:p w:rsidR="00A46DCA" w:rsidRPr="00D87D22" w:rsidRDefault="00A46DCA" w:rsidP="00A26D04">
      <w:r w:rsidRPr="00D87D22">
        <w:t xml:space="preserve">For assets and liabilities measured at fair value in the estimated balance sheet, the principles under AASB 13 </w:t>
      </w:r>
      <w:r w:rsidRPr="00D87D22">
        <w:rPr>
          <w:i/>
        </w:rPr>
        <w:t>Fair Value Measurement</w:t>
      </w:r>
      <w:r w:rsidRPr="00D87D22">
        <w:t xml:space="preserve"> have been applied. </w:t>
      </w:r>
    </w:p>
    <w:p w:rsidR="00A46DCA" w:rsidRPr="00D87D22" w:rsidRDefault="00A46DCA" w:rsidP="00A26D04">
      <w:r w:rsidRPr="00D87D22">
        <w:t>As required by AASB 1049</w:t>
      </w:r>
      <w:r>
        <w:t xml:space="preserve"> </w:t>
      </w:r>
      <w:r>
        <w:rPr>
          <w:i/>
        </w:rPr>
        <w:t>Whole of Government and General Government Sector Financial Reporting</w:t>
      </w:r>
      <w:r>
        <w:t xml:space="preserve"> (AASB 1049)</w:t>
      </w:r>
      <w:r w:rsidRPr="00D87D22">
        <w:t xml:space="preserve">, the estimated comprehensive operating statement distinguishes between </w:t>
      </w:r>
      <w:r>
        <w:t>‘</w:t>
      </w:r>
      <w:r w:rsidRPr="00D87D22">
        <w:t>Transactions</w:t>
      </w:r>
      <w:r>
        <w:t>’</w:t>
      </w:r>
      <w:r w:rsidRPr="00D87D22">
        <w:t xml:space="preserve"> and </w:t>
      </w:r>
      <w:r>
        <w:t>‘</w:t>
      </w:r>
      <w:r w:rsidRPr="00D87D22">
        <w:t>Other economic flows</w:t>
      </w:r>
      <w:r>
        <w:t>’</w:t>
      </w:r>
      <w:r w:rsidRPr="00D87D22">
        <w:t xml:space="preserve"> based on the principles in the Australian Bureau of Statistics </w:t>
      </w:r>
      <w:r>
        <w:t>(</w:t>
      </w:r>
      <w:r w:rsidRPr="00D87D22">
        <w:t>ABS</w:t>
      </w:r>
      <w:r>
        <w:t>)</w:t>
      </w:r>
      <w:r w:rsidRPr="00D87D22">
        <w:t xml:space="preserve"> G</w:t>
      </w:r>
      <w:r>
        <w:t xml:space="preserve">overnment </w:t>
      </w:r>
      <w:r w:rsidRPr="00D87D22">
        <w:t>F</w:t>
      </w:r>
      <w:r>
        <w:t xml:space="preserve">inancial </w:t>
      </w:r>
      <w:r w:rsidRPr="00D87D22">
        <w:t>S</w:t>
      </w:r>
      <w:r>
        <w:t>tatistics (GFS) M</w:t>
      </w:r>
      <w:r w:rsidRPr="00D87D22">
        <w:t xml:space="preserve">anual. </w:t>
      </w:r>
      <w:r>
        <w:t>‘</w:t>
      </w:r>
      <w:r w:rsidRPr="00D87D22">
        <w:t>Transactions</w:t>
      </w:r>
      <w:r>
        <w:t>’</w:t>
      </w:r>
      <w:r w:rsidRPr="00D87D22">
        <w:t xml:space="preserve"> are those economic flows that </w:t>
      </w:r>
      <w:r>
        <w:t xml:space="preserve">are considered to </w:t>
      </w:r>
      <w:r w:rsidRPr="00D87D22">
        <w:t>arise as a result of policy decisions, usually interactions between two entities by mutual agreement, and also flows within an entity, such as depreciation where the owner is simultaneously acting as the owner of the depreciating asset and as the consumer of the service provided by the asset. Taxation is regarded as mutually agreed interactions between the government and the taxpayer. Transactions may be cash</w:t>
      </w:r>
      <w:r>
        <w:t xml:space="preserve"> or settled in kind</w:t>
      </w:r>
      <w:r w:rsidRPr="00D87D22">
        <w:t xml:space="preserve"> (e.g. assets provided/given free of charge or for nominal consideration).</w:t>
      </w:r>
    </w:p>
    <w:p w:rsidR="00A46DCA" w:rsidRPr="00D87D22" w:rsidRDefault="00A46DCA" w:rsidP="00A26D04">
      <w:r>
        <w:t>‘</w:t>
      </w:r>
      <w:r w:rsidRPr="00D87D22">
        <w:t>Other economic flows</w:t>
      </w:r>
      <w:r>
        <w:t>’</w:t>
      </w:r>
      <w:r w:rsidRPr="00D87D22">
        <w:t xml:space="preserve"> are changes arising from market remeasurements. They include: </w:t>
      </w:r>
    </w:p>
    <w:p w:rsidR="00A46DCA" w:rsidRPr="00D87D22" w:rsidRDefault="00A46DCA" w:rsidP="00A26D04">
      <w:pPr>
        <w:pStyle w:val="ListBullet"/>
      </w:pPr>
      <w:r w:rsidRPr="00D87D22">
        <w:t>gains and losses from disposals;</w:t>
      </w:r>
    </w:p>
    <w:p w:rsidR="00A46DCA" w:rsidRPr="00D87D22" w:rsidRDefault="00A46DCA" w:rsidP="00A26D04">
      <w:pPr>
        <w:pStyle w:val="ListBullet"/>
      </w:pPr>
      <w:r w:rsidRPr="00D87D22">
        <w:t>revaluations and impairments of non</w:t>
      </w:r>
      <w:r>
        <w:t>-</w:t>
      </w:r>
      <w:r w:rsidRPr="00D87D22">
        <w:t xml:space="preserve">financial physical and intangible assets; </w:t>
      </w:r>
    </w:p>
    <w:p w:rsidR="00A46DCA" w:rsidRPr="00D87D22" w:rsidRDefault="00A46DCA" w:rsidP="00A26D04">
      <w:pPr>
        <w:pStyle w:val="ListBullet"/>
      </w:pPr>
      <w:proofErr w:type="spellStart"/>
      <w:r w:rsidRPr="00D87D22">
        <w:t>remeasurement</w:t>
      </w:r>
      <w:proofErr w:type="spellEnd"/>
      <w:r w:rsidRPr="00D87D22">
        <w:t xml:space="preserve"> arising from defined benefit superannuation plans;</w:t>
      </w:r>
    </w:p>
    <w:p w:rsidR="00A46DCA" w:rsidRPr="00D87D22" w:rsidRDefault="00A46DCA" w:rsidP="00A26D04">
      <w:pPr>
        <w:pStyle w:val="ListBullet"/>
      </w:pPr>
      <w:r w:rsidRPr="00D87D22">
        <w:t xml:space="preserve">fair value changes of financial instruments and agricultural assets; and </w:t>
      </w:r>
    </w:p>
    <w:p w:rsidR="00A46DCA" w:rsidRPr="00B9186A" w:rsidRDefault="00A46DCA" w:rsidP="00A26D04">
      <w:pPr>
        <w:pStyle w:val="ListBullet"/>
      </w:pPr>
      <w:r w:rsidRPr="00D87D22">
        <w:t>d</w:t>
      </w:r>
      <w:r>
        <w:t>epletion of natural assets (non-</w:t>
      </w:r>
      <w:r w:rsidRPr="00D87D22">
        <w:t>produced) from their use or removal.</w:t>
      </w:r>
    </w:p>
    <w:p w:rsidR="00A46DCA" w:rsidRPr="00D87D22" w:rsidRDefault="00A46DCA" w:rsidP="00A26D04">
      <w:r w:rsidRPr="00D87D22">
        <w:t>All amounts in the Estimated Financial Statements have been rounded to the nearest $1</w:t>
      </w:r>
      <w:r>
        <w:t> </w:t>
      </w:r>
      <w:r w:rsidRPr="00D87D22">
        <w:t>million unless otherwise stated. Figures in the Estimated Financial Statements may not add due to rounding.</w:t>
      </w:r>
    </w:p>
    <w:p w:rsidR="00A46DCA" w:rsidRDefault="00A46DCA" w:rsidP="00A26D04">
      <w:pPr>
        <w:pStyle w:val="Heading20"/>
      </w:pPr>
      <w:r>
        <w:t>Reporting entity</w:t>
      </w:r>
    </w:p>
    <w:p w:rsidR="00A46DCA" w:rsidRDefault="00A46DCA" w:rsidP="00A26D04">
      <w:r>
        <w:t xml:space="preserve">The Estimated Financial Statements are prepared for the general government sector, which includes all government departments, offices and other bodies engaged in providing services free of charge or at prices significantly below their cost. The primary function of entities within the general government sector is to provide public services (outputs), which are mainly non-market in nature, for the collective consumption of the community, and involve transferring or redistributing revenue that is funded mainly through taxes and other compulsory levies. </w:t>
      </w:r>
    </w:p>
    <w:p w:rsidR="00A46DCA" w:rsidRPr="000E0E53" w:rsidRDefault="00A46DCA" w:rsidP="00A26D04">
      <w:r>
        <w:t>The general government sector is not a separate entity but represents a sector within the State of Victoria reporting entity. Unless otherwise noted, accounting policies applied by the State apply equally to the general government sector.</w:t>
      </w:r>
    </w:p>
    <w:p w:rsidR="00A46DCA" w:rsidRDefault="00A46DCA" w:rsidP="00A26D04">
      <w:pPr>
        <w:pStyle w:val="Heading20"/>
      </w:pPr>
      <w:r>
        <w:lastRenderedPageBreak/>
        <w:t>Basis for consolidation</w:t>
      </w:r>
    </w:p>
    <w:p w:rsidR="00A46DCA" w:rsidRDefault="00A46DCA" w:rsidP="00A26D04">
      <w:r>
        <w:t xml:space="preserve">The Estimated Financial Statements present the estimated consolidated results and position of all reporting entities in the general government sector that are controlled by the State, consistent with the principles of AASB 1049 and AASB 10 </w:t>
      </w:r>
      <w:r w:rsidRPr="00903BEA">
        <w:rPr>
          <w:i/>
        </w:rPr>
        <w:t>Consolidated Financial Statements</w:t>
      </w:r>
      <w:r>
        <w:t xml:space="preserve">. </w:t>
      </w:r>
    </w:p>
    <w:p w:rsidR="00A46DCA" w:rsidRDefault="00A46DCA" w:rsidP="00A26D04">
      <w:r>
        <w:t xml:space="preserve">Entities in the public non-financial corporations (PNFC) and public financial corporations (PFC) sectors are not consolidated into the financial statements of the general government sector, but are accounted for as equity investments measured at the Government’s proportional share of the carrying amount of net assets of PNFC and PFC sector entities before consolidation eliminations. </w:t>
      </w:r>
    </w:p>
    <w:p w:rsidR="00A46DCA" w:rsidRDefault="00A46DCA" w:rsidP="00A26D04">
      <w:r>
        <w:t xml:space="preserve">Where the carrying amount of a PNFC or PFC entity’s net assets before consolidation eliminations is less than zero, the carrying amount is not included in the general government sector. </w:t>
      </w:r>
    </w:p>
    <w:p w:rsidR="00A46DCA" w:rsidRDefault="00A46DCA" w:rsidP="00A26D04">
      <w:r>
        <w:t xml:space="preserve">Any change in the carrying amount of the investment from period to period is accounted for as if the change in carrying amount is a change in fair value and accounted for consistent with AASB 139 </w:t>
      </w:r>
      <w:r w:rsidRPr="00903BEA">
        <w:rPr>
          <w:i/>
        </w:rPr>
        <w:t>Financial Instruments: Recognition and Measurement</w:t>
      </w:r>
      <w:r>
        <w:t xml:space="preserve"> and AASB 1049.</w:t>
      </w:r>
    </w:p>
    <w:p w:rsidR="00A46DCA" w:rsidRDefault="00A46DCA" w:rsidP="00A26D04">
      <w:r>
        <w:t>Where control of an entity is expected to be obtained during the reporting period, its results are included in the estimated comprehensive operating statement from the date on which control will commence. Where control is expected to cease during a reporting period, the entity’s results are included for that part of the period for which control would exist. Where entities adopt dissimilar accounting policies and their effect is considered material, adjustments are made to ensure consistent policies are adopted in the Estimated Financial Statements.</w:t>
      </w:r>
    </w:p>
    <w:p w:rsidR="00A46DCA" w:rsidRDefault="00A46DCA" w:rsidP="00A26D04">
      <w:r>
        <w:t>All material transactions and balances between entities within the general government sector are eliminated.</w:t>
      </w:r>
    </w:p>
    <w:p w:rsidR="00A46DCA" w:rsidRPr="000E0E53" w:rsidRDefault="00A46DCA" w:rsidP="00A26D04">
      <w:r>
        <w:t xml:space="preserve">The significant entities consolidated within the sector comprise those general government sector entities listed in Note 9.8 of Chapter 4 </w:t>
      </w:r>
      <w:r w:rsidRPr="003E672D">
        <w:rPr>
          <w:i/>
        </w:rPr>
        <w:t>Annual Financial Report</w:t>
      </w:r>
      <w:r>
        <w:t xml:space="preserve"> of the </w:t>
      </w:r>
      <w:r w:rsidRPr="008A2CE4">
        <w:rPr>
          <w:i/>
        </w:rPr>
        <w:t>2016-17</w:t>
      </w:r>
      <w:r>
        <w:t xml:space="preserve"> </w:t>
      </w:r>
      <w:r w:rsidRPr="003E672D">
        <w:rPr>
          <w:i/>
        </w:rPr>
        <w:t>Financial Report</w:t>
      </w:r>
      <w:r>
        <w:t xml:space="preserve"> for the State of Victoria, except as </w:t>
      </w:r>
      <w:r w:rsidRPr="002D3FE3">
        <w:t>stated in Note 4.7.5 of these Estimated Financial Statements.</w:t>
      </w:r>
    </w:p>
    <w:p w:rsidR="00A46DCA" w:rsidRDefault="00A46DCA" w:rsidP="00A26D04">
      <w:pPr>
        <w:pStyle w:val="Heading20"/>
      </w:pPr>
      <w:r>
        <w:t>Compliance</w:t>
      </w:r>
    </w:p>
    <w:p w:rsidR="00A46DCA" w:rsidRPr="00D87D22" w:rsidRDefault="00A46DCA" w:rsidP="00A26D04">
      <w:r w:rsidRPr="00D87D22">
        <w:t>These Estimated Financial Statements have been prepared in accordance with Section</w:t>
      </w:r>
      <w:r>
        <w:t>s</w:t>
      </w:r>
      <w:r w:rsidRPr="00D87D22">
        <w:t xml:space="preserve"> 23L </w:t>
      </w:r>
      <w:r>
        <w:t xml:space="preserve">to 23N </w:t>
      </w:r>
      <w:r w:rsidRPr="00D87D22">
        <w:t xml:space="preserve">of the </w:t>
      </w:r>
      <w:r w:rsidRPr="00D87D22">
        <w:rPr>
          <w:i/>
        </w:rPr>
        <w:t>Financial Management Act 1994</w:t>
      </w:r>
      <w:r w:rsidRPr="00D87D22">
        <w:t xml:space="preserve">, having regard to Australian Accounting Standards (AAS). AAS include Interpretations issued by the Australian Accounting Standards Board (AASB). </w:t>
      </w:r>
    </w:p>
    <w:p w:rsidR="00A46DCA" w:rsidRPr="00D87D22" w:rsidRDefault="00A46DCA" w:rsidP="00A26D04">
      <w:r w:rsidRPr="00D87D22">
        <w:t xml:space="preserve">The Estimated Financial Statements are presented in a manner consistent with the principles of AASB 1049. However, the prospective nature of these Estimated Financial Statements means that some AAS disclosures are neither relevant nor practical, and have been omitted. Where </w:t>
      </w:r>
      <w:r>
        <w:t>applicabl</w:t>
      </w:r>
      <w:r w:rsidRPr="00D87D22">
        <w:t>e, those</w:t>
      </w:r>
      <w:r>
        <w:t xml:space="preserve"> AAS paragraphs relevant to not-for-</w:t>
      </w:r>
      <w:r w:rsidRPr="00D87D22">
        <w:t xml:space="preserve">profit entities have been applied. As AAS do not prescribe requirements for preparing and presenting prospective financial statements, the Estimated Financial Statements have been prepared having regard to the principles set out in New Zealand </w:t>
      </w:r>
      <w:r>
        <w:t xml:space="preserve">Public Benefit Entity </w:t>
      </w:r>
      <w:r w:rsidRPr="00D87D22">
        <w:t xml:space="preserve">Financial Reporting Standard 42 </w:t>
      </w:r>
      <w:r w:rsidRPr="00D87D22">
        <w:rPr>
          <w:i/>
        </w:rPr>
        <w:t>Prospective Financial Statements</w:t>
      </w:r>
      <w:r w:rsidRPr="00D87D22">
        <w:t>.</w:t>
      </w:r>
    </w:p>
    <w:p w:rsidR="00A46DCA" w:rsidRPr="00D87D22" w:rsidRDefault="00A46DCA" w:rsidP="00A26D04">
      <w:r>
        <w:lastRenderedPageBreak/>
        <w:t>The GFS</w:t>
      </w:r>
      <w:r w:rsidRPr="00D87D22">
        <w:t xml:space="preserve"> information included in this report is based on the </w:t>
      </w:r>
      <w:r w:rsidRPr="00D87D22">
        <w:rPr>
          <w:i/>
        </w:rPr>
        <w:t>Australian System of Government Finance Statistics: Concepts, Sources and Methods 2005 Cat</w:t>
      </w:r>
      <w:r>
        <w:rPr>
          <w:i/>
        </w:rPr>
        <w:t>alogue</w:t>
      </w:r>
      <w:r w:rsidRPr="00D87D22">
        <w:rPr>
          <w:i/>
        </w:rPr>
        <w:t>. No. 5514.0.</w:t>
      </w:r>
      <w:r w:rsidRPr="00D87D22">
        <w:t xml:space="preserve"> and the </w:t>
      </w:r>
      <w:r w:rsidRPr="00D87D22">
        <w:rPr>
          <w:i/>
        </w:rPr>
        <w:t>Amendments to Australian System of Government Finance Statistics, 2005 (ABS Catalogue No</w:t>
      </w:r>
      <w:r>
        <w:rPr>
          <w:i/>
        </w:rPr>
        <w:t>.</w:t>
      </w:r>
      <w:r w:rsidRPr="00D87D22">
        <w:rPr>
          <w:i/>
        </w:rPr>
        <w:t xml:space="preserve"> 5514.0) (the GFS manual)</w:t>
      </w:r>
      <w:r w:rsidRPr="00D87D22">
        <w:t>.</w:t>
      </w:r>
    </w:p>
    <w:p w:rsidR="00A46DCA" w:rsidRPr="00D87D22" w:rsidRDefault="00A46DCA" w:rsidP="00A26D04">
      <w:r w:rsidRPr="00D87D22">
        <w:t>The information presented in the Estimated Financial Statements takes int</w:t>
      </w:r>
      <w:r>
        <w:t xml:space="preserve">o account all policy decisions made </w:t>
      </w:r>
      <w:r w:rsidRPr="00D87D22">
        <w:t xml:space="preserve">by the </w:t>
      </w:r>
      <w:r>
        <w:t xml:space="preserve">Victorian </w:t>
      </w:r>
      <w:r w:rsidRPr="00D87D22">
        <w:t xml:space="preserve">Government </w:t>
      </w:r>
      <w:r>
        <w:t xml:space="preserve">as well as known Commonwealth funding revisions </w:t>
      </w:r>
      <w:r w:rsidRPr="00D87D22">
        <w:t xml:space="preserve">and </w:t>
      </w:r>
      <w:r w:rsidRPr="00D81E35">
        <w:t>circumstances that may have a material effect on the Estimated Financial Statements as at 29 November 2017.</w:t>
      </w:r>
      <w:r w:rsidRPr="00D87D22">
        <w:t xml:space="preserve"> </w:t>
      </w:r>
    </w:p>
    <w:p w:rsidR="00A46DCA" w:rsidRDefault="00A46DCA" w:rsidP="00A26D04">
      <w:pPr>
        <w:pStyle w:val="Heading20"/>
      </w:pPr>
      <w:r>
        <w:t>Key financial measures</w:t>
      </w:r>
    </w:p>
    <w:p w:rsidR="00A46DCA" w:rsidRDefault="00A46DCA" w:rsidP="00A26D04">
      <w:r w:rsidRPr="00D87D22">
        <w:t xml:space="preserve">The Government expects to achieve a net operating surplus (net result from transactions) consistent with maintaining general government net debt at a sustainable level over the medium term, as set out in Chapter 1 </w:t>
      </w:r>
      <w:r w:rsidRPr="00350D3A">
        <w:rPr>
          <w:i/>
        </w:rPr>
        <w:t>Economic and Fiscal Overview</w:t>
      </w:r>
      <w:r w:rsidRPr="00D87D22">
        <w:t>.</w:t>
      </w:r>
    </w:p>
    <w:p w:rsidR="00A46DCA" w:rsidRDefault="00A46DCA" w:rsidP="00A26D04">
      <w:r w:rsidRPr="008A2CE4">
        <w:t xml:space="preserve">For the </w:t>
      </w:r>
      <w:r w:rsidRPr="008A2CE4">
        <w:rPr>
          <w:i/>
        </w:rPr>
        <w:t>2017-18 Budget</w:t>
      </w:r>
      <w:r w:rsidRPr="008A2CE4">
        <w:t xml:space="preserve">, the Government set its sustainability objectives as: </w:t>
      </w:r>
    </w:p>
    <w:p w:rsidR="00A46DCA" w:rsidRPr="008A2CE4" w:rsidRDefault="00A46DCA" w:rsidP="00A26D04">
      <w:pPr>
        <w:pStyle w:val="ListBullet"/>
      </w:pPr>
      <w:r w:rsidRPr="008A2CE4">
        <w:t>net operating surpluses in each year over the next four years;</w:t>
      </w:r>
    </w:p>
    <w:p w:rsidR="00A46DCA" w:rsidRPr="008A2CE4" w:rsidRDefault="00A46DCA" w:rsidP="00A26D04">
      <w:pPr>
        <w:pStyle w:val="ListBullet"/>
      </w:pPr>
      <w:r w:rsidRPr="008A2CE4">
        <w:t>expenditure growth no greater than revenue growth, on average, over the next four years; and</w:t>
      </w:r>
    </w:p>
    <w:p w:rsidR="00A46DCA" w:rsidRPr="008A2CE4" w:rsidRDefault="00A46DCA" w:rsidP="00A26D04">
      <w:pPr>
        <w:pStyle w:val="ListBullet"/>
      </w:pPr>
      <w:r w:rsidRPr="008A2CE4">
        <w:t xml:space="preserve">net debt to gross state product no greater than its peak over the last five years by the end of the forward estimates. </w:t>
      </w:r>
    </w:p>
    <w:p w:rsidR="00A46DCA" w:rsidRDefault="00A46DCA" w:rsidP="00A26D04">
      <w:pPr>
        <w:pStyle w:val="Heading20"/>
      </w:pPr>
      <w:r>
        <w:t>Material economic assumptions</w:t>
      </w:r>
    </w:p>
    <w:p w:rsidR="00A46DCA" w:rsidRDefault="00A46DCA" w:rsidP="00A26D04">
      <w:r w:rsidRPr="00D87D22">
        <w:t xml:space="preserve">The </w:t>
      </w:r>
      <w:r>
        <w:t>E</w:t>
      </w:r>
      <w:r w:rsidRPr="00D87D22">
        <w:t xml:space="preserve">stimated </w:t>
      </w:r>
      <w:r>
        <w:t>F</w:t>
      </w:r>
      <w:r w:rsidRPr="00D87D22">
        <w:t xml:space="preserve">inancial </w:t>
      </w:r>
      <w:r>
        <w:t>S</w:t>
      </w:r>
      <w:r w:rsidRPr="00D87D22">
        <w:t xml:space="preserve">tatements have been prepared using material economic and other assumptions listed below, which have been updated since the publication of the </w:t>
      </w:r>
      <w:r>
        <w:rPr>
          <w:i/>
        </w:rPr>
        <w:t>2017</w:t>
      </w:r>
      <w:r>
        <w:rPr>
          <w:i/>
        </w:rPr>
        <w:noBreakHyphen/>
        <w:t>18 </w:t>
      </w:r>
      <w:r w:rsidRPr="00D87D22">
        <w:rPr>
          <w:i/>
        </w:rPr>
        <w:t>Budget.</w:t>
      </w:r>
    </w:p>
    <w:p w:rsidR="00A46DCA" w:rsidRDefault="00A46DCA" w:rsidP="00A26D04">
      <w:pPr>
        <w:pStyle w:val="TableHeading"/>
        <w:ind w:left="0" w:firstLine="0"/>
      </w:pPr>
      <w:r>
        <w:t xml:space="preserve">Key economic assumptions </w:t>
      </w:r>
      <w:r w:rsidRPr="004B1427">
        <w:rPr>
          <w:vertAlign w:val="superscript"/>
        </w:rPr>
        <w:t>(a)</w:t>
      </w:r>
      <w:r>
        <w:rPr>
          <w:vertAlign w:val="superscript"/>
        </w:rPr>
        <w:t xml:space="preserve"> </w:t>
      </w:r>
    </w:p>
    <w:tbl>
      <w:tblPr>
        <w:tblStyle w:val="DTFTable"/>
        <w:tblW w:w="7760" w:type="dxa"/>
        <w:tblLayout w:type="fixed"/>
        <w:tblLook w:val="06A0" w:firstRow="1" w:lastRow="0" w:firstColumn="1" w:lastColumn="0" w:noHBand="1" w:noVBand="1"/>
      </w:tblPr>
      <w:tblGrid>
        <w:gridCol w:w="2788"/>
        <w:gridCol w:w="993"/>
        <w:gridCol w:w="994"/>
        <w:gridCol w:w="994"/>
        <w:gridCol w:w="994"/>
        <w:gridCol w:w="997"/>
      </w:tblGrid>
      <w:tr w:rsidR="00A46DCA" w:rsidRPr="00CD5C7E" w:rsidTr="002677DA">
        <w:trPr>
          <w:cnfStyle w:val="100000000000" w:firstRow="1" w:lastRow="0" w:firstColumn="0" w:lastColumn="0" w:oddVBand="0" w:evenVBand="0" w:oddHBand="0"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2788" w:type="dxa"/>
          </w:tcPr>
          <w:p w:rsidR="00A46DCA" w:rsidRPr="00CD5C7E" w:rsidRDefault="00A46DCA" w:rsidP="00A26D04">
            <w:pPr>
              <w:ind w:left="0" w:firstLine="0"/>
            </w:pPr>
          </w:p>
        </w:tc>
        <w:tc>
          <w:tcPr>
            <w:tcW w:w="993" w:type="dxa"/>
          </w:tcPr>
          <w:p w:rsidR="00A46DCA" w:rsidRPr="00CD5C7E" w:rsidRDefault="00A46DCA" w:rsidP="00A26D04">
            <w:pPr>
              <w:cnfStyle w:val="100000000000" w:firstRow="1" w:lastRow="0" w:firstColumn="0" w:lastColumn="0" w:oddVBand="0" w:evenVBand="0" w:oddHBand="0" w:evenHBand="0" w:firstRowFirstColumn="0" w:firstRowLastColumn="0" w:lastRowFirstColumn="0" w:lastRowLastColumn="0"/>
            </w:pPr>
            <w:r>
              <w:t>2016-17 actual</w:t>
            </w:r>
          </w:p>
        </w:tc>
        <w:tc>
          <w:tcPr>
            <w:tcW w:w="994" w:type="dxa"/>
          </w:tcPr>
          <w:p w:rsidR="00A46DCA" w:rsidRPr="00CD5C7E" w:rsidRDefault="00A46DCA" w:rsidP="00A26D04">
            <w:pPr>
              <w:cnfStyle w:val="100000000000" w:firstRow="1" w:lastRow="0" w:firstColumn="0" w:lastColumn="0" w:oddVBand="0" w:evenVBand="0" w:oddHBand="0" w:evenHBand="0" w:firstRowFirstColumn="0" w:firstRowLastColumn="0" w:lastRowFirstColumn="0" w:lastRowLastColumn="0"/>
            </w:pPr>
            <w:r>
              <w:t>2017-18</w:t>
            </w:r>
            <w:r w:rsidRPr="00CD5C7E">
              <w:t xml:space="preserve"> forecast</w:t>
            </w:r>
          </w:p>
        </w:tc>
        <w:tc>
          <w:tcPr>
            <w:tcW w:w="994" w:type="dxa"/>
          </w:tcPr>
          <w:p w:rsidR="00A46DCA" w:rsidRPr="00CD5C7E" w:rsidRDefault="00A46DCA" w:rsidP="00A26D04">
            <w:pPr>
              <w:cnfStyle w:val="100000000000" w:firstRow="1" w:lastRow="0" w:firstColumn="0" w:lastColumn="0" w:oddVBand="0" w:evenVBand="0" w:oddHBand="0" w:evenHBand="0" w:firstRowFirstColumn="0" w:firstRowLastColumn="0" w:lastRowFirstColumn="0" w:lastRowLastColumn="0"/>
            </w:pPr>
            <w:r>
              <w:t>2018-19</w:t>
            </w:r>
            <w:r w:rsidRPr="00CD5C7E">
              <w:t xml:space="preserve"> forecast</w:t>
            </w:r>
          </w:p>
        </w:tc>
        <w:tc>
          <w:tcPr>
            <w:tcW w:w="994" w:type="dxa"/>
          </w:tcPr>
          <w:p w:rsidR="00A46DCA" w:rsidRPr="00CD5C7E" w:rsidRDefault="00A46DCA" w:rsidP="00A26D04">
            <w:pPr>
              <w:cnfStyle w:val="100000000000" w:firstRow="1" w:lastRow="0" w:firstColumn="0" w:lastColumn="0" w:oddVBand="0" w:evenVBand="0" w:oddHBand="0" w:evenHBand="0" w:firstRowFirstColumn="0" w:firstRowLastColumn="0" w:lastRowFirstColumn="0" w:lastRowLastColumn="0"/>
            </w:pPr>
            <w:r>
              <w:t>2019-20</w:t>
            </w:r>
            <w:r w:rsidRPr="00CD5C7E">
              <w:t xml:space="preserve"> projection</w:t>
            </w:r>
          </w:p>
        </w:tc>
        <w:tc>
          <w:tcPr>
            <w:tcW w:w="997" w:type="dxa"/>
          </w:tcPr>
          <w:p w:rsidR="00A46DCA" w:rsidRPr="00CD5C7E" w:rsidRDefault="00A46DCA" w:rsidP="00A26D04">
            <w:pPr>
              <w:cnfStyle w:val="100000000000" w:firstRow="1" w:lastRow="0" w:firstColumn="0" w:lastColumn="0" w:oddVBand="0" w:evenVBand="0" w:oddHBand="0" w:evenHBand="0" w:firstRowFirstColumn="0" w:firstRowLastColumn="0" w:lastRowFirstColumn="0" w:lastRowLastColumn="0"/>
            </w:pPr>
            <w:r>
              <w:t>2020-21</w:t>
            </w:r>
            <w:r w:rsidRPr="00CD5C7E">
              <w:t xml:space="preserve"> projection</w:t>
            </w:r>
          </w:p>
        </w:tc>
      </w:tr>
      <w:tr w:rsidR="00A46DCA" w:rsidRPr="00CD5C7E" w:rsidTr="00A26D04">
        <w:tc>
          <w:tcPr>
            <w:cnfStyle w:val="001000000000" w:firstRow="0" w:lastRow="0" w:firstColumn="1" w:lastColumn="0" w:oddVBand="0" w:evenVBand="0" w:oddHBand="0" w:evenHBand="0" w:firstRowFirstColumn="0" w:firstRowLastColumn="0" w:lastRowFirstColumn="0" w:lastRowLastColumn="0"/>
            <w:tcW w:w="2788" w:type="dxa"/>
          </w:tcPr>
          <w:p w:rsidR="00A46DCA" w:rsidRPr="00CD5C7E" w:rsidRDefault="00A46DCA" w:rsidP="00A26D04">
            <w:pPr>
              <w:ind w:left="0" w:firstLine="0"/>
            </w:pPr>
          </w:p>
        </w:tc>
        <w:tc>
          <w:tcPr>
            <w:tcW w:w="4972" w:type="dxa"/>
            <w:gridSpan w:val="5"/>
          </w:tcPr>
          <w:p w:rsidR="00A46DCA" w:rsidRPr="00CD5C7E" w:rsidRDefault="00A46DCA" w:rsidP="00A26D04">
            <w:pPr>
              <w:jc w:val="center"/>
              <w:cnfStyle w:val="000000000000" w:firstRow="0" w:lastRow="0" w:firstColumn="0" w:lastColumn="0" w:oddVBand="0" w:evenVBand="0" w:oddHBand="0" w:evenHBand="0" w:firstRowFirstColumn="0" w:firstRowLastColumn="0" w:lastRowFirstColumn="0" w:lastRowLastColumn="0"/>
              <w:rPr>
                <w:i/>
              </w:rPr>
            </w:pPr>
            <w:r w:rsidRPr="00CD5C7E">
              <w:rPr>
                <w:i/>
              </w:rPr>
              <w:t>($ billion)</w:t>
            </w:r>
          </w:p>
        </w:tc>
      </w:tr>
      <w:tr w:rsidR="00A46DCA" w:rsidRPr="00CD5C7E" w:rsidTr="00A26D04">
        <w:tc>
          <w:tcPr>
            <w:cnfStyle w:val="001000000000" w:firstRow="0" w:lastRow="0" w:firstColumn="1" w:lastColumn="0" w:oddVBand="0" w:evenVBand="0" w:oddHBand="0" w:evenHBand="0" w:firstRowFirstColumn="0" w:firstRowLastColumn="0" w:lastRowFirstColumn="0" w:lastRowLastColumn="0"/>
            <w:tcW w:w="2788" w:type="dxa"/>
          </w:tcPr>
          <w:p w:rsidR="00A46DCA" w:rsidRPr="00CD5C7E" w:rsidRDefault="00A46DCA" w:rsidP="00A26D04">
            <w:pPr>
              <w:ind w:left="0" w:firstLine="0"/>
            </w:pPr>
            <w:r w:rsidRPr="00CD5C7E">
              <w:t>Nominal gross state product</w:t>
            </w:r>
          </w:p>
        </w:tc>
        <w:tc>
          <w:tcPr>
            <w:tcW w:w="993" w:type="dxa"/>
          </w:tcPr>
          <w:p w:rsidR="00A46DCA" w:rsidRPr="0078174C" w:rsidRDefault="00A46DCA" w:rsidP="00A26D04">
            <w:pPr>
              <w:cnfStyle w:val="000000000000" w:firstRow="0" w:lastRow="0" w:firstColumn="0" w:lastColumn="0" w:oddVBand="0" w:evenVBand="0" w:oddHBand="0" w:evenHBand="0" w:firstRowFirstColumn="0" w:firstRowLastColumn="0" w:lastRowFirstColumn="0" w:lastRowLastColumn="0"/>
            </w:pPr>
            <w:r w:rsidRPr="0078174C">
              <w:t>406.5</w:t>
            </w:r>
          </w:p>
        </w:tc>
        <w:tc>
          <w:tcPr>
            <w:tcW w:w="994" w:type="dxa"/>
          </w:tcPr>
          <w:p w:rsidR="00A46DCA" w:rsidRPr="0078174C" w:rsidRDefault="00A46DCA" w:rsidP="00A26D04">
            <w:pPr>
              <w:cnfStyle w:val="000000000000" w:firstRow="0" w:lastRow="0" w:firstColumn="0" w:lastColumn="0" w:oddVBand="0" w:evenVBand="0" w:oddHBand="0" w:evenHBand="0" w:firstRowFirstColumn="0" w:firstRowLastColumn="0" w:lastRowFirstColumn="0" w:lastRowLastColumn="0"/>
            </w:pPr>
            <w:r w:rsidRPr="0078174C">
              <w:t>427.2</w:t>
            </w:r>
          </w:p>
        </w:tc>
        <w:tc>
          <w:tcPr>
            <w:tcW w:w="994" w:type="dxa"/>
          </w:tcPr>
          <w:p w:rsidR="00A46DCA" w:rsidRPr="0078174C" w:rsidRDefault="00A46DCA" w:rsidP="00A26D04">
            <w:pPr>
              <w:cnfStyle w:val="000000000000" w:firstRow="0" w:lastRow="0" w:firstColumn="0" w:lastColumn="0" w:oddVBand="0" w:evenVBand="0" w:oddHBand="0" w:evenHBand="0" w:firstRowFirstColumn="0" w:firstRowLastColumn="0" w:lastRowFirstColumn="0" w:lastRowLastColumn="0"/>
            </w:pPr>
            <w:r w:rsidRPr="0078174C">
              <w:t>449.3</w:t>
            </w:r>
          </w:p>
        </w:tc>
        <w:tc>
          <w:tcPr>
            <w:tcW w:w="994" w:type="dxa"/>
          </w:tcPr>
          <w:p w:rsidR="00A46DCA" w:rsidRPr="0078174C" w:rsidRDefault="00A46DCA" w:rsidP="00A26D04">
            <w:pPr>
              <w:cnfStyle w:val="000000000000" w:firstRow="0" w:lastRow="0" w:firstColumn="0" w:lastColumn="0" w:oddVBand="0" w:evenVBand="0" w:oddHBand="0" w:evenHBand="0" w:firstRowFirstColumn="0" w:firstRowLastColumn="0" w:lastRowFirstColumn="0" w:lastRowLastColumn="0"/>
            </w:pPr>
            <w:r w:rsidRPr="0078174C">
              <w:t>472.2</w:t>
            </w:r>
          </w:p>
        </w:tc>
        <w:tc>
          <w:tcPr>
            <w:tcW w:w="997" w:type="dxa"/>
          </w:tcPr>
          <w:p w:rsidR="00A46DCA" w:rsidRPr="0078174C" w:rsidRDefault="00A46DCA" w:rsidP="00A26D04">
            <w:pPr>
              <w:cnfStyle w:val="000000000000" w:firstRow="0" w:lastRow="0" w:firstColumn="0" w:lastColumn="0" w:oddVBand="0" w:evenVBand="0" w:oddHBand="0" w:evenHBand="0" w:firstRowFirstColumn="0" w:firstRowLastColumn="0" w:lastRowFirstColumn="0" w:lastRowLastColumn="0"/>
            </w:pPr>
            <w:r w:rsidRPr="0078174C">
              <w:t>496.</w:t>
            </w:r>
            <w:r>
              <w:t>8</w:t>
            </w:r>
          </w:p>
        </w:tc>
      </w:tr>
      <w:tr w:rsidR="00A46DCA" w:rsidRPr="00CD5C7E" w:rsidTr="00A26D04">
        <w:tc>
          <w:tcPr>
            <w:cnfStyle w:val="001000000000" w:firstRow="0" w:lastRow="0" w:firstColumn="1" w:lastColumn="0" w:oddVBand="0" w:evenVBand="0" w:oddHBand="0" w:evenHBand="0" w:firstRowFirstColumn="0" w:firstRowLastColumn="0" w:lastRowFirstColumn="0" w:lastRowLastColumn="0"/>
            <w:tcW w:w="2788" w:type="dxa"/>
          </w:tcPr>
          <w:p w:rsidR="00A46DCA" w:rsidRPr="00CD5C7E" w:rsidRDefault="00A46DCA" w:rsidP="00A26D04">
            <w:pPr>
              <w:ind w:left="0" w:firstLine="0"/>
            </w:pPr>
          </w:p>
        </w:tc>
        <w:tc>
          <w:tcPr>
            <w:tcW w:w="4972" w:type="dxa"/>
            <w:gridSpan w:val="5"/>
          </w:tcPr>
          <w:p w:rsidR="00A46DCA" w:rsidRPr="00733C27" w:rsidRDefault="00A46DCA" w:rsidP="00A26D04">
            <w:pPr>
              <w:jc w:val="center"/>
              <w:cnfStyle w:val="000000000000" w:firstRow="0" w:lastRow="0" w:firstColumn="0" w:lastColumn="0" w:oddVBand="0" w:evenVBand="0" w:oddHBand="0" w:evenHBand="0" w:firstRowFirstColumn="0" w:firstRowLastColumn="0" w:lastRowFirstColumn="0" w:lastRowLastColumn="0"/>
              <w:rPr>
                <w:i/>
              </w:rPr>
            </w:pPr>
            <w:r w:rsidRPr="00733C27">
              <w:rPr>
                <w:i/>
              </w:rPr>
              <w:t>(percentage change)</w:t>
            </w:r>
          </w:p>
        </w:tc>
      </w:tr>
      <w:tr w:rsidR="00A46DCA" w:rsidRPr="00CD5C7E" w:rsidTr="00A26D04">
        <w:tc>
          <w:tcPr>
            <w:cnfStyle w:val="001000000000" w:firstRow="0" w:lastRow="0" w:firstColumn="1" w:lastColumn="0" w:oddVBand="0" w:evenVBand="0" w:oddHBand="0" w:evenHBand="0" w:firstRowFirstColumn="0" w:firstRowLastColumn="0" w:lastRowFirstColumn="0" w:lastRowLastColumn="0"/>
            <w:tcW w:w="2788" w:type="dxa"/>
          </w:tcPr>
          <w:p w:rsidR="00A46DCA" w:rsidRPr="00CD5C7E" w:rsidRDefault="00A46DCA" w:rsidP="00A26D04">
            <w:pPr>
              <w:ind w:left="0" w:firstLine="0"/>
            </w:pPr>
            <w:r w:rsidRPr="00CD5C7E">
              <w:t>Real gross state product</w:t>
            </w:r>
          </w:p>
        </w:tc>
        <w:tc>
          <w:tcPr>
            <w:tcW w:w="993" w:type="dxa"/>
          </w:tcPr>
          <w:p w:rsidR="00A46DCA" w:rsidRPr="002C2A36" w:rsidRDefault="00A46DCA" w:rsidP="00A26D04">
            <w:pPr>
              <w:cnfStyle w:val="000000000000" w:firstRow="0" w:lastRow="0" w:firstColumn="0" w:lastColumn="0" w:oddVBand="0" w:evenVBand="0" w:oddHBand="0" w:evenHBand="0" w:firstRowFirstColumn="0" w:firstRowLastColumn="0" w:lastRowFirstColumn="0" w:lastRowLastColumn="0"/>
            </w:pPr>
            <w:r w:rsidRPr="002C2A36">
              <w:t>3.3</w:t>
            </w:r>
          </w:p>
        </w:tc>
        <w:tc>
          <w:tcPr>
            <w:tcW w:w="994" w:type="dxa"/>
          </w:tcPr>
          <w:p w:rsidR="00A46DCA" w:rsidRPr="002C2A36" w:rsidRDefault="00A46DCA" w:rsidP="00A26D04">
            <w:pPr>
              <w:cnfStyle w:val="000000000000" w:firstRow="0" w:lastRow="0" w:firstColumn="0" w:lastColumn="0" w:oddVBand="0" w:evenVBand="0" w:oddHBand="0" w:evenHBand="0" w:firstRowFirstColumn="0" w:firstRowLastColumn="0" w:lastRowFirstColumn="0" w:lastRowLastColumn="0"/>
            </w:pPr>
            <w:r w:rsidRPr="002C2A36">
              <w:t>3.00</w:t>
            </w:r>
          </w:p>
        </w:tc>
        <w:tc>
          <w:tcPr>
            <w:tcW w:w="994" w:type="dxa"/>
          </w:tcPr>
          <w:p w:rsidR="00A46DCA" w:rsidRPr="002C2A36" w:rsidRDefault="00A46DCA" w:rsidP="00A26D04">
            <w:pPr>
              <w:cnfStyle w:val="000000000000" w:firstRow="0" w:lastRow="0" w:firstColumn="0" w:lastColumn="0" w:oddVBand="0" w:evenVBand="0" w:oddHBand="0" w:evenHBand="0" w:firstRowFirstColumn="0" w:firstRowLastColumn="0" w:lastRowFirstColumn="0" w:lastRowLastColumn="0"/>
            </w:pPr>
            <w:r w:rsidRPr="002C2A36">
              <w:t>2.75</w:t>
            </w:r>
          </w:p>
        </w:tc>
        <w:tc>
          <w:tcPr>
            <w:tcW w:w="994" w:type="dxa"/>
          </w:tcPr>
          <w:p w:rsidR="00A46DCA" w:rsidRPr="002C2A36" w:rsidRDefault="00A46DCA" w:rsidP="00A26D04">
            <w:pPr>
              <w:cnfStyle w:val="000000000000" w:firstRow="0" w:lastRow="0" w:firstColumn="0" w:lastColumn="0" w:oddVBand="0" w:evenVBand="0" w:oddHBand="0" w:evenHBand="0" w:firstRowFirstColumn="0" w:firstRowLastColumn="0" w:lastRowFirstColumn="0" w:lastRowLastColumn="0"/>
            </w:pPr>
            <w:r w:rsidRPr="002C2A36">
              <w:t>2.75</w:t>
            </w:r>
          </w:p>
        </w:tc>
        <w:tc>
          <w:tcPr>
            <w:tcW w:w="997" w:type="dxa"/>
          </w:tcPr>
          <w:p w:rsidR="00A46DCA" w:rsidRPr="002C2A36" w:rsidRDefault="00A46DCA" w:rsidP="00A26D04">
            <w:pPr>
              <w:cnfStyle w:val="000000000000" w:firstRow="0" w:lastRow="0" w:firstColumn="0" w:lastColumn="0" w:oddVBand="0" w:evenVBand="0" w:oddHBand="0" w:evenHBand="0" w:firstRowFirstColumn="0" w:firstRowLastColumn="0" w:lastRowFirstColumn="0" w:lastRowLastColumn="0"/>
            </w:pPr>
            <w:r w:rsidRPr="002C2A36">
              <w:t>2.75</w:t>
            </w:r>
          </w:p>
        </w:tc>
      </w:tr>
      <w:tr w:rsidR="00A46DCA" w:rsidRPr="00CD5C7E" w:rsidTr="00A26D04">
        <w:tc>
          <w:tcPr>
            <w:cnfStyle w:val="001000000000" w:firstRow="0" w:lastRow="0" w:firstColumn="1" w:lastColumn="0" w:oddVBand="0" w:evenVBand="0" w:oddHBand="0" w:evenHBand="0" w:firstRowFirstColumn="0" w:firstRowLastColumn="0" w:lastRowFirstColumn="0" w:lastRowLastColumn="0"/>
            <w:tcW w:w="2788" w:type="dxa"/>
          </w:tcPr>
          <w:p w:rsidR="00A46DCA" w:rsidRPr="00CD5C7E" w:rsidRDefault="00A46DCA" w:rsidP="00A26D04">
            <w:pPr>
              <w:ind w:left="0" w:firstLine="0"/>
            </w:pPr>
            <w:r w:rsidRPr="00CD5C7E">
              <w:t>Employment</w:t>
            </w:r>
          </w:p>
        </w:tc>
        <w:tc>
          <w:tcPr>
            <w:tcW w:w="993" w:type="dxa"/>
          </w:tcPr>
          <w:p w:rsidR="00A46DCA" w:rsidRPr="002C2A36" w:rsidRDefault="00A46DCA" w:rsidP="00A26D04">
            <w:pPr>
              <w:cnfStyle w:val="000000000000" w:firstRow="0" w:lastRow="0" w:firstColumn="0" w:lastColumn="0" w:oddVBand="0" w:evenVBand="0" w:oddHBand="0" w:evenHBand="0" w:firstRowFirstColumn="0" w:firstRowLastColumn="0" w:lastRowFirstColumn="0" w:lastRowLastColumn="0"/>
            </w:pPr>
            <w:r>
              <w:t>3.9</w:t>
            </w:r>
          </w:p>
        </w:tc>
        <w:tc>
          <w:tcPr>
            <w:tcW w:w="994" w:type="dxa"/>
          </w:tcPr>
          <w:p w:rsidR="00A46DCA" w:rsidRPr="002C2A36" w:rsidRDefault="00A46DCA" w:rsidP="00A26D04">
            <w:pPr>
              <w:cnfStyle w:val="000000000000" w:firstRow="0" w:lastRow="0" w:firstColumn="0" w:lastColumn="0" w:oddVBand="0" w:evenVBand="0" w:oddHBand="0" w:evenHBand="0" w:firstRowFirstColumn="0" w:firstRowLastColumn="0" w:lastRowFirstColumn="0" w:lastRowLastColumn="0"/>
            </w:pPr>
            <w:r w:rsidRPr="002C2A36">
              <w:t>3.00</w:t>
            </w:r>
          </w:p>
        </w:tc>
        <w:tc>
          <w:tcPr>
            <w:tcW w:w="994" w:type="dxa"/>
          </w:tcPr>
          <w:p w:rsidR="00A46DCA" w:rsidRPr="002C2A36" w:rsidRDefault="00A46DCA" w:rsidP="00A26D04">
            <w:pPr>
              <w:cnfStyle w:val="000000000000" w:firstRow="0" w:lastRow="0" w:firstColumn="0" w:lastColumn="0" w:oddVBand="0" w:evenVBand="0" w:oddHBand="0" w:evenHBand="0" w:firstRowFirstColumn="0" w:firstRowLastColumn="0" w:lastRowFirstColumn="0" w:lastRowLastColumn="0"/>
            </w:pPr>
            <w:r w:rsidRPr="002C2A36">
              <w:t>2.00</w:t>
            </w:r>
          </w:p>
        </w:tc>
        <w:tc>
          <w:tcPr>
            <w:tcW w:w="994" w:type="dxa"/>
          </w:tcPr>
          <w:p w:rsidR="00A46DCA" w:rsidRPr="002C2A36" w:rsidRDefault="00A46DCA" w:rsidP="00A26D04">
            <w:pPr>
              <w:cnfStyle w:val="000000000000" w:firstRow="0" w:lastRow="0" w:firstColumn="0" w:lastColumn="0" w:oddVBand="0" w:evenVBand="0" w:oddHBand="0" w:evenHBand="0" w:firstRowFirstColumn="0" w:firstRowLastColumn="0" w:lastRowFirstColumn="0" w:lastRowLastColumn="0"/>
            </w:pPr>
            <w:r w:rsidRPr="002C2A36">
              <w:t>1.75</w:t>
            </w:r>
          </w:p>
        </w:tc>
        <w:tc>
          <w:tcPr>
            <w:tcW w:w="997" w:type="dxa"/>
          </w:tcPr>
          <w:p w:rsidR="00A46DCA" w:rsidRPr="002C2A36" w:rsidRDefault="00A46DCA" w:rsidP="00A26D04">
            <w:pPr>
              <w:cnfStyle w:val="000000000000" w:firstRow="0" w:lastRow="0" w:firstColumn="0" w:lastColumn="0" w:oddVBand="0" w:evenVBand="0" w:oddHBand="0" w:evenHBand="0" w:firstRowFirstColumn="0" w:firstRowLastColumn="0" w:lastRowFirstColumn="0" w:lastRowLastColumn="0"/>
            </w:pPr>
            <w:r w:rsidRPr="002C2A36">
              <w:t>1.75</w:t>
            </w:r>
          </w:p>
        </w:tc>
      </w:tr>
      <w:tr w:rsidR="00A46DCA" w:rsidRPr="00CD5C7E" w:rsidTr="00A26D04">
        <w:tc>
          <w:tcPr>
            <w:cnfStyle w:val="001000000000" w:firstRow="0" w:lastRow="0" w:firstColumn="1" w:lastColumn="0" w:oddVBand="0" w:evenVBand="0" w:oddHBand="0" w:evenHBand="0" w:firstRowFirstColumn="0" w:firstRowLastColumn="0" w:lastRowFirstColumn="0" w:lastRowLastColumn="0"/>
            <w:tcW w:w="2788" w:type="dxa"/>
          </w:tcPr>
          <w:p w:rsidR="00A46DCA" w:rsidRPr="00CD5C7E" w:rsidRDefault="00A46DCA" w:rsidP="00A26D04">
            <w:pPr>
              <w:ind w:left="0" w:firstLine="0"/>
            </w:pPr>
            <w:r w:rsidRPr="00CD5C7E">
              <w:t xml:space="preserve">Unemployment rate </w:t>
            </w:r>
            <w:r w:rsidRPr="004C3B3E">
              <w:rPr>
                <w:vertAlign w:val="superscript"/>
              </w:rPr>
              <w:t>(b)</w:t>
            </w:r>
          </w:p>
        </w:tc>
        <w:tc>
          <w:tcPr>
            <w:tcW w:w="993" w:type="dxa"/>
          </w:tcPr>
          <w:p w:rsidR="00A46DCA" w:rsidRPr="002C2A36" w:rsidRDefault="00A46DCA" w:rsidP="00A26D04">
            <w:pPr>
              <w:cnfStyle w:val="000000000000" w:firstRow="0" w:lastRow="0" w:firstColumn="0" w:lastColumn="0" w:oddVBand="0" w:evenVBand="0" w:oddHBand="0" w:evenHBand="0" w:firstRowFirstColumn="0" w:firstRowLastColumn="0" w:lastRowFirstColumn="0" w:lastRowLastColumn="0"/>
            </w:pPr>
            <w:r w:rsidRPr="002C2A36">
              <w:t>5.9</w:t>
            </w:r>
          </w:p>
        </w:tc>
        <w:tc>
          <w:tcPr>
            <w:tcW w:w="994" w:type="dxa"/>
          </w:tcPr>
          <w:p w:rsidR="00A46DCA" w:rsidRPr="002C2A36" w:rsidRDefault="00A46DCA" w:rsidP="00A26D04">
            <w:pPr>
              <w:cnfStyle w:val="000000000000" w:firstRow="0" w:lastRow="0" w:firstColumn="0" w:lastColumn="0" w:oddVBand="0" w:evenVBand="0" w:oddHBand="0" w:evenHBand="0" w:firstRowFirstColumn="0" w:firstRowLastColumn="0" w:lastRowFirstColumn="0" w:lastRowLastColumn="0"/>
            </w:pPr>
            <w:r w:rsidRPr="002C2A36">
              <w:t>5.75</w:t>
            </w:r>
          </w:p>
        </w:tc>
        <w:tc>
          <w:tcPr>
            <w:tcW w:w="994" w:type="dxa"/>
          </w:tcPr>
          <w:p w:rsidR="00A46DCA" w:rsidRPr="002C2A36" w:rsidRDefault="00A46DCA" w:rsidP="00A26D04">
            <w:pPr>
              <w:cnfStyle w:val="000000000000" w:firstRow="0" w:lastRow="0" w:firstColumn="0" w:lastColumn="0" w:oddVBand="0" w:evenVBand="0" w:oddHBand="0" w:evenHBand="0" w:firstRowFirstColumn="0" w:firstRowLastColumn="0" w:lastRowFirstColumn="0" w:lastRowLastColumn="0"/>
            </w:pPr>
            <w:r w:rsidRPr="002C2A36">
              <w:t>5.75</w:t>
            </w:r>
          </w:p>
        </w:tc>
        <w:tc>
          <w:tcPr>
            <w:tcW w:w="994" w:type="dxa"/>
          </w:tcPr>
          <w:p w:rsidR="00A46DCA" w:rsidRPr="002C2A36" w:rsidRDefault="00A46DCA" w:rsidP="00A26D04">
            <w:pPr>
              <w:cnfStyle w:val="000000000000" w:firstRow="0" w:lastRow="0" w:firstColumn="0" w:lastColumn="0" w:oddVBand="0" w:evenVBand="0" w:oddHBand="0" w:evenHBand="0" w:firstRowFirstColumn="0" w:firstRowLastColumn="0" w:lastRowFirstColumn="0" w:lastRowLastColumn="0"/>
            </w:pPr>
            <w:r w:rsidRPr="002C2A36">
              <w:t>5.50</w:t>
            </w:r>
          </w:p>
        </w:tc>
        <w:tc>
          <w:tcPr>
            <w:tcW w:w="997" w:type="dxa"/>
          </w:tcPr>
          <w:p w:rsidR="00A46DCA" w:rsidRPr="002C2A36" w:rsidRDefault="00A46DCA" w:rsidP="00A26D04">
            <w:pPr>
              <w:cnfStyle w:val="000000000000" w:firstRow="0" w:lastRow="0" w:firstColumn="0" w:lastColumn="0" w:oddVBand="0" w:evenVBand="0" w:oddHBand="0" w:evenHBand="0" w:firstRowFirstColumn="0" w:firstRowLastColumn="0" w:lastRowFirstColumn="0" w:lastRowLastColumn="0"/>
            </w:pPr>
            <w:r w:rsidRPr="002C2A36">
              <w:t>5.50</w:t>
            </w:r>
          </w:p>
        </w:tc>
      </w:tr>
      <w:tr w:rsidR="00A46DCA" w:rsidRPr="00CD5C7E" w:rsidTr="00A26D04">
        <w:tc>
          <w:tcPr>
            <w:cnfStyle w:val="001000000000" w:firstRow="0" w:lastRow="0" w:firstColumn="1" w:lastColumn="0" w:oddVBand="0" w:evenVBand="0" w:oddHBand="0" w:evenHBand="0" w:firstRowFirstColumn="0" w:firstRowLastColumn="0" w:lastRowFirstColumn="0" w:lastRowLastColumn="0"/>
            <w:tcW w:w="2788" w:type="dxa"/>
          </w:tcPr>
          <w:p w:rsidR="00A46DCA" w:rsidRPr="00CD5C7E" w:rsidRDefault="00A46DCA" w:rsidP="00A26D04">
            <w:pPr>
              <w:ind w:left="0" w:firstLine="0"/>
            </w:pPr>
            <w:r w:rsidRPr="00CD5C7E">
              <w:t xml:space="preserve">Consumer price index </w:t>
            </w:r>
            <w:r w:rsidRPr="00455A23">
              <w:rPr>
                <w:vertAlign w:val="superscript"/>
              </w:rPr>
              <w:t>(c)</w:t>
            </w:r>
          </w:p>
        </w:tc>
        <w:tc>
          <w:tcPr>
            <w:tcW w:w="993" w:type="dxa"/>
          </w:tcPr>
          <w:p w:rsidR="00A46DCA" w:rsidRPr="002C2A36" w:rsidRDefault="00A46DCA" w:rsidP="00A26D04">
            <w:pPr>
              <w:cnfStyle w:val="000000000000" w:firstRow="0" w:lastRow="0" w:firstColumn="0" w:lastColumn="0" w:oddVBand="0" w:evenVBand="0" w:oddHBand="0" w:evenHBand="0" w:firstRowFirstColumn="0" w:firstRowLastColumn="0" w:lastRowFirstColumn="0" w:lastRowLastColumn="0"/>
            </w:pPr>
            <w:r w:rsidRPr="002C2A36">
              <w:t>1.9</w:t>
            </w:r>
          </w:p>
        </w:tc>
        <w:tc>
          <w:tcPr>
            <w:tcW w:w="994" w:type="dxa"/>
          </w:tcPr>
          <w:p w:rsidR="00A46DCA" w:rsidRPr="002C2A36" w:rsidRDefault="00A46DCA" w:rsidP="00A26D04">
            <w:pPr>
              <w:cnfStyle w:val="000000000000" w:firstRow="0" w:lastRow="0" w:firstColumn="0" w:lastColumn="0" w:oddVBand="0" w:evenVBand="0" w:oddHBand="0" w:evenHBand="0" w:firstRowFirstColumn="0" w:firstRowLastColumn="0" w:lastRowFirstColumn="0" w:lastRowLastColumn="0"/>
            </w:pPr>
            <w:r w:rsidRPr="002C2A36">
              <w:t>2.00</w:t>
            </w:r>
          </w:p>
        </w:tc>
        <w:tc>
          <w:tcPr>
            <w:tcW w:w="994" w:type="dxa"/>
          </w:tcPr>
          <w:p w:rsidR="00A46DCA" w:rsidRPr="002C2A36" w:rsidRDefault="00A46DCA" w:rsidP="00A26D04">
            <w:pPr>
              <w:cnfStyle w:val="000000000000" w:firstRow="0" w:lastRow="0" w:firstColumn="0" w:lastColumn="0" w:oddVBand="0" w:evenVBand="0" w:oddHBand="0" w:evenHBand="0" w:firstRowFirstColumn="0" w:firstRowLastColumn="0" w:lastRowFirstColumn="0" w:lastRowLastColumn="0"/>
            </w:pPr>
            <w:r w:rsidRPr="002C2A36">
              <w:t>2.25</w:t>
            </w:r>
          </w:p>
        </w:tc>
        <w:tc>
          <w:tcPr>
            <w:tcW w:w="994" w:type="dxa"/>
          </w:tcPr>
          <w:p w:rsidR="00A46DCA" w:rsidRPr="002C2A36" w:rsidRDefault="00A46DCA" w:rsidP="00A26D04">
            <w:pPr>
              <w:cnfStyle w:val="000000000000" w:firstRow="0" w:lastRow="0" w:firstColumn="0" w:lastColumn="0" w:oddVBand="0" w:evenVBand="0" w:oddHBand="0" w:evenHBand="0" w:firstRowFirstColumn="0" w:firstRowLastColumn="0" w:lastRowFirstColumn="0" w:lastRowLastColumn="0"/>
            </w:pPr>
            <w:r w:rsidRPr="002C2A36">
              <w:t>2.50</w:t>
            </w:r>
          </w:p>
        </w:tc>
        <w:tc>
          <w:tcPr>
            <w:tcW w:w="997" w:type="dxa"/>
          </w:tcPr>
          <w:p w:rsidR="00A46DCA" w:rsidRPr="002C2A36" w:rsidRDefault="00A46DCA" w:rsidP="00A26D04">
            <w:pPr>
              <w:cnfStyle w:val="000000000000" w:firstRow="0" w:lastRow="0" w:firstColumn="0" w:lastColumn="0" w:oddVBand="0" w:evenVBand="0" w:oddHBand="0" w:evenHBand="0" w:firstRowFirstColumn="0" w:firstRowLastColumn="0" w:lastRowFirstColumn="0" w:lastRowLastColumn="0"/>
            </w:pPr>
            <w:r w:rsidRPr="002C2A36">
              <w:t>2.50</w:t>
            </w:r>
          </w:p>
        </w:tc>
      </w:tr>
      <w:tr w:rsidR="00A46DCA" w:rsidRPr="00CD5C7E" w:rsidTr="00A26D04">
        <w:tc>
          <w:tcPr>
            <w:cnfStyle w:val="001000000000" w:firstRow="0" w:lastRow="0" w:firstColumn="1" w:lastColumn="0" w:oddVBand="0" w:evenVBand="0" w:oddHBand="0" w:evenHBand="0" w:firstRowFirstColumn="0" w:firstRowLastColumn="0" w:lastRowFirstColumn="0" w:lastRowLastColumn="0"/>
            <w:tcW w:w="2788" w:type="dxa"/>
          </w:tcPr>
          <w:p w:rsidR="00A46DCA" w:rsidRPr="00CD5C7E" w:rsidRDefault="00A46DCA" w:rsidP="00A26D04">
            <w:pPr>
              <w:ind w:left="0" w:firstLine="0"/>
            </w:pPr>
            <w:r w:rsidRPr="00CD5C7E">
              <w:t xml:space="preserve">Wage price index </w:t>
            </w:r>
            <w:r>
              <w:rPr>
                <w:vertAlign w:val="superscript"/>
              </w:rPr>
              <w:t>(d</w:t>
            </w:r>
            <w:r w:rsidRPr="00CD5C7E">
              <w:rPr>
                <w:vertAlign w:val="superscript"/>
              </w:rPr>
              <w:t>)</w:t>
            </w:r>
          </w:p>
        </w:tc>
        <w:tc>
          <w:tcPr>
            <w:tcW w:w="993" w:type="dxa"/>
          </w:tcPr>
          <w:p w:rsidR="00A46DCA" w:rsidRPr="002C2A36" w:rsidRDefault="00A46DCA" w:rsidP="00A26D04">
            <w:pPr>
              <w:cnfStyle w:val="000000000000" w:firstRow="0" w:lastRow="0" w:firstColumn="0" w:lastColumn="0" w:oddVBand="0" w:evenVBand="0" w:oddHBand="0" w:evenHBand="0" w:firstRowFirstColumn="0" w:firstRowLastColumn="0" w:lastRowFirstColumn="0" w:lastRowLastColumn="0"/>
            </w:pPr>
            <w:r w:rsidRPr="002C2A36">
              <w:t>2.0</w:t>
            </w:r>
          </w:p>
        </w:tc>
        <w:tc>
          <w:tcPr>
            <w:tcW w:w="994" w:type="dxa"/>
          </w:tcPr>
          <w:p w:rsidR="00A46DCA" w:rsidRPr="002C2A36" w:rsidRDefault="00A46DCA" w:rsidP="00A26D04">
            <w:pPr>
              <w:cnfStyle w:val="000000000000" w:firstRow="0" w:lastRow="0" w:firstColumn="0" w:lastColumn="0" w:oddVBand="0" w:evenVBand="0" w:oddHBand="0" w:evenHBand="0" w:firstRowFirstColumn="0" w:firstRowLastColumn="0" w:lastRowFirstColumn="0" w:lastRowLastColumn="0"/>
            </w:pPr>
            <w:r w:rsidRPr="002C2A36">
              <w:t>2.25</w:t>
            </w:r>
          </w:p>
        </w:tc>
        <w:tc>
          <w:tcPr>
            <w:tcW w:w="994" w:type="dxa"/>
          </w:tcPr>
          <w:p w:rsidR="00A46DCA" w:rsidRPr="002C2A36" w:rsidRDefault="00A46DCA" w:rsidP="00A26D04">
            <w:pPr>
              <w:cnfStyle w:val="000000000000" w:firstRow="0" w:lastRow="0" w:firstColumn="0" w:lastColumn="0" w:oddVBand="0" w:evenVBand="0" w:oddHBand="0" w:evenHBand="0" w:firstRowFirstColumn="0" w:firstRowLastColumn="0" w:lastRowFirstColumn="0" w:lastRowLastColumn="0"/>
            </w:pPr>
            <w:r w:rsidRPr="002C2A36">
              <w:t>2.50</w:t>
            </w:r>
          </w:p>
        </w:tc>
        <w:tc>
          <w:tcPr>
            <w:tcW w:w="994" w:type="dxa"/>
          </w:tcPr>
          <w:p w:rsidR="00A46DCA" w:rsidRPr="002C2A36" w:rsidRDefault="00A46DCA" w:rsidP="00A26D04">
            <w:pPr>
              <w:cnfStyle w:val="000000000000" w:firstRow="0" w:lastRow="0" w:firstColumn="0" w:lastColumn="0" w:oddVBand="0" w:evenVBand="0" w:oddHBand="0" w:evenHBand="0" w:firstRowFirstColumn="0" w:firstRowLastColumn="0" w:lastRowFirstColumn="0" w:lastRowLastColumn="0"/>
            </w:pPr>
            <w:r w:rsidRPr="002C2A36">
              <w:t>2.75</w:t>
            </w:r>
          </w:p>
        </w:tc>
        <w:tc>
          <w:tcPr>
            <w:tcW w:w="997" w:type="dxa"/>
          </w:tcPr>
          <w:p w:rsidR="00A46DCA" w:rsidRPr="002C2A36" w:rsidRDefault="00A46DCA" w:rsidP="00A26D04">
            <w:pPr>
              <w:cnfStyle w:val="000000000000" w:firstRow="0" w:lastRow="0" w:firstColumn="0" w:lastColumn="0" w:oddVBand="0" w:evenVBand="0" w:oddHBand="0" w:evenHBand="0" w:firstRowFirstColumn="0" w:firstRowLastColumn="0" w:lastRowFirstColumn="0" w:lastRowLastColumn="0"/>
            </w:pPr>
            <w:r w:rsidRPr="002C2A36">
              <w:t>3.00</w:t>
            </w:r>
          </w:p>
        </w:tc>
      </w:tr>
      <w:tr w:rsidR="00A46DCA" w:rsidRPr="00CD5C7E" w:rsidTr="00A26D04">
        <w:tc>
          <w:tcPr>
            <w:cnfStyle w:val="001000000000" w:firstRow="0" w:lastRow="0" w:firstColumn="1" w:lastColumn="0" w:oddVBand="0" w:evenVBand="0" w:oddHBand="0" w:evenHBand="0" w:firstRowFirstColumn="0" w:firstRowLastColumn="0" w:lastRowFirstColumn="0" w:lastRowLastColumn="0"/>
            <w:tcW w:w="2788" w:type="dxa"/>
          </w:tcPr>
          <w:p w:rsidR="00A46DCA" w:rsidRPr="00CD5C7E" w:rsidRDefault="00A46DCA" w:rsidP="00A26D04">
            <w:pPr>
              <w:ind w:left="0" w:firstLine="0"/>
            </w:pPr>
            <w:r w:rsidRPr="00CD5C7E">
              <w:t xml:space="preserve">Population </w:t>
            </w:r>
            <w:r>
              <w:rPr>
                <w:vertAlign w:val="superscript"/>
              </w:rPr>
              <w:t>(e</w:t>
            </w:r>
            <w:r w:rsidRPr="00CD5C7E">
              <w:rPr>
                <w:vertAlign w:val="superscript"/>
              </w:rPr>
              <w:t>)</w:t>
            </w:r>
          </w:p>
        </w:tc>
        <w:tc>
          <w:tcPr>
            <w:tcW w:w="993" w:type="dxa"/>
          </w:tcPr>
          <w:p w:rsidR="00A46DCA" w:rsidRPr="004C3B3E" w:rsidRDefault="00A46DCA" w:rsidP="00A26D04">
            <w:pPr>
              <w:cnfStyle w:val="000000000000" w:firstRow="0" w:lastRow="0" w:firstColumn="0" w:lastColumn="0" w:oddVBand="0" w:evenVBand="0" w:oddHBand="0" w:evenHBand="0" w:firstRowFirstColumn="0" w:firstRowLastColumn="0" w:lastRowFirstColumn="0" w:lastRowLastColumn="0"/>
              <w:rPr>
                <w:vertAlign w:val="superscript"/>
              </w:rPr>
            </w:pPr>
            <w:r w:rsidRPr="004C3B3E">
              <w:t>2.4</w:t>
            </w:r>
            <w:r w:rsidRPr="004C3B3E">
              <w:rPr>
                <w:vertAlign w:val="superscript"/>
              </w:rPr>
              <w:t>(f)</w:t>
            </w:r>
          </w:p>
        </w:tc>
        <w:tc>
          <w:tcPr>
            <w:tcW w:w="994" w:type="dxa"/>
          </w:tcPr>
          <w:p w:rsidR="00A46DCA" w:rsidRPr="002C2A36" w:rsidRDefault="00A46DCA" w:rsidP="00A26D04">
            <w:pPr>
              <w:cnfStyle w:val="000000000000" w:firstRow="0" w:lastRow="0" w:firstColumn="0" w:lastColumn="0" w:oddVBand="0" w:evenVBand="0" w:oddHBand="0" w:evenHBand="0" w:firstRowFirstColumn="0" w:firstRowLastColumn="0" w:lastRowFirstColumn="0" w:lastRowLastColumn="0"/>
            </w:pPr>
            <w:r w:rsidRPr="002C2A36">
              <w:t>2.30</w:t>
            </w:r>
          </w:p>
        </w:tc>
        <w:tc>
          <w:tcPr>
            <w:tcW w:w="994" w:type="dxa"/>
          </w:tcPr>
          <w:p w:rsidR="00A46DCA" w:rsidRPr="002C2A36" w:rsidRDefault="00A46DCA" w:rsidP="00A26D04">
            <w:pPr>
              <w:cnfStyle w:val="000000000000" w:firstRow="0" w:lastRow="0" w:firstColumn="0" w:lastColumn="0" w:oddVBand="0" w:evenVBand="0" w:oddHBand="0" w:evenHBand="0" w:firstRowFirstColumn="0" w:firstRowLastColumn="0" w:lastRowFirstColumn="0" w:lastRowLastColumn="0"/>
            </w:pPr>
            <w:r w:rsidRPr="002C2A36">
              <w:t>2.20</w:t>
            </w:r>
          </w:p>
        </w:tc>
        <w:tc>
          <w:tcPr>
            <w:tcW w:w="994" w:type="dxa"/>
          </w:tcPr>
          <w:p w:rsidR="00A46DCA" w:rsidRPr="002C2A36" w:rsidRDefault="00A46DCA" w:rsidP="00A26D04">
            <w:pPr>
              <w:cnfStyle w:val="000000000000" w:firstRow="0" w:lastRow="0" w:firstColumn="0" w:lastColumn="0" w:oddVBand="0" w:evenVBand="0" w:oddHBand="0" w:evenHBand="0" w:firstRowFirstColumn="0" w:firstRowLastColumn="0" w:lastRowFirstColumn="0" w:lastRowLastColumn="0"/>
            </w:pPr>
            <w:r w:rsidRPr="002C2A36">
              <w:t>2.10</w:t>
            </w:r>
          </w:p>
        </w:tc>
        <w:tc>
          <w:tcPr>
            <w:tcW w:w="997" w:type="dxa"/>
          </w:tcPr>
          <w:p w:rsidR="00A46DCA" w:rsidRPr="002C2A36" w:rsidRDefault="00A46DCA" w:rsidP="00A26D04">
            <w:pPr>
              <w:cnfStyle w:val="000000000000" w:firstRow="0" w:lastRow="0" w:firstColumn="0" w:lastColumn="0" w:oddVBand="0" w:evenVBand="0" w:oddHBand="0" w:evenHBand="0" w:firstRowFirstColumn="0" w:firstRowLastColumn="0" w:lastRowFirstColumn="0" w:lastRowLastColumn="0"/>
            </w:pPr>
            <w:r w:rsidRPr="002C2A36">
              <w:t>2.00</w:t>
            </w:r>
          </w:p>
        </w:tc>
      </w:tr>
    </w:tbl>
    <w:p w:rsidR="00A46DCA" w:rsidRPr="008A2CE4" w:rsidRDefault="00A46DCA" w:rsidP="00A26D04">
      <w:pPr>
        <w:pStyle w:val="Source"/>
      </w:pPr>
      <w:r w:rsidRPr="008A2CE4">
        <w:t>Source: Department of Treasury and Finance</w:t>
      </w:r>
    </w:p>
    <w:p w:rsidR="00A46DCA" w:rsidRPr="00D87D22" w:rsidRDefault="00A46DCA" w:rsidP="00A26D04">
      <w:pPr>
        <w:pStyle w:val="Note"/>
      </w:pPr>
      <w:r w:rsidRPr="00D87D22">
        <w:t>Notes:</w:t>
      </w:r>
    </w:p>
    <w:p w:rsidR="00A46DCA" w:rsidRDefault="00A46DCA" w:rsidP="00A26D04">
      <w:pPr>
        <w:pStyle w:val="Note"/>
      </w:pPr>
      <w:r w:rsidRPr="00D87D22">
        <w:t>(a)</w:t>
      </w:r>
      <w:r w:rsidRPr="00D87D22">
        <w:tab/>
      </w:r>
      <w:r>
        <w:t>Percentage change in year average compared with previous year, except for the unemployment rate (see note (b)) and population (see note (e)). Forecasts are rounded to the nearest 0.25 percentage points, except for population (see note (e)).</w:t>
      </w:r>
    </w:p>
    <w:p w:rsidR="00A46DCA" w:rsidRDefault="00A46DCA" w:rsidP="00A26D04">
      <w:pPr>
        <w:pStyle w:val="Note"/>
      </w:pPr>
      <w:r>
        <w:tab/>
      </w:r>
      <w:r w:rsidRPr="00D87D22">
        <w:t xml:space="preserve">The key assumptions underlying the economic forecasts include: </w:t>
      </w:r>
      <w:r>
        <w:t>interest rates that follow the market forward curve; the exchange rate remaining at its current level; and oil prices that follow the path implied by oil futures</w:t>
      </w:r>
      <w:r w:rsidRPr="00D87D22">
        <w:t>.</w:t>
      </w:r>
    </w:p>
    <w:p w:rsidR="00A46DCA" w:rsidRDefault="00A46DCA" w:rsidP="00A26D04">
      <w:pPr>
        <w:pStyle w:val="Note"/>
      </w:pPr>
      <w:r w:rsidRPr="00D87D22">
        <w:t xml:space="preserve">(b) </w:t>
      </w:r>
      <w:r w:rsidRPr="00D87D22">
        <w:tab/>
      </w:r>
      <w:r>
        <w:t>Year average, per cent.</w:t>
      </w:r>
    </w:p>
    <w:p w:rsidR="00A46DCA" w:rsidRPr="00D87D22" w:rsidRDefault="00A46DCA" w:rsidP="00A26D04">
      <w:pPr>
        <w:pStyle w:val="Note"/>
      </w:pPr>
      <w:r w:rsidRPr="00D87D22">
        <w:t>(c)</w:t>
      </w:r>
      <w:r w:rsidRPr="00D87D22">
        <w:tab/>
        <w:t>Melbourne consumer price index.</w:t>
      </w:r>
    </w:p>
    <w:p w:rsidR="00A46DCA" w:rsidRDefault="00A46DCA" w:rsidP="00A26D04">
      <w:pPr>
        <w:pStyle w:val="Note"/>
      </w:pPr>
      <w:r w:rsidRPr="00D87D22">
        <w:t>(d)</w:t>
      </w:r>
      <w:r w:rsidRPr="00D87D22">
        <w:tab/>
      </w:r>
      <w:r>
        <w:t>Total hourly rate excluding bonuses</w:t>
      </w:r>
      <w:r w:rsidRPr="00D87D22">
        <w:t>.</w:t>
      </w:r>
    </w:p>
    <w:p w:rsidR="00A46DCA" w:rsidRDefault="00A46DCA" w:rsidP="00A26D04">
      <w:pPr>
        <w:pStyle w:val="Note"/>
      </w:pPr>
      <w:r>
        <w:t>(e)</w:t>
      </w:r>
      <w:r>
        <w:tab/>
        <w:t>Percentage change over the year to 30 June. Forecasts are rounded to the nearest 0.1 percentage point.</w:t>
      </w:r>
    </w:p>
    <w:p w:rsidR="00A46DCA" w:rsidRDefault="00A46DCA" w:rsidP="00A26D04">
      <w:pPr>
        <w:pStyle w:val="Note"/>
      </w:pPr>
      <w:r>
        <w:t>(f)</w:t>
      </w:r>
      <w:r>
        <w:tab/>
        <w:t>Forecast.</w:t>
      </w:r>
    </w:p>
    <w:p w:rsidR="00A46DCA" w:rsidRDefault="00A46DCA" w:rsidP="00A26D04">
      <w:pPr>
        <w:pStyle w:val="Heading20"/>
      </w:pPr>
      <w:r>
        <w:lastRenderedPageBreak/>
        <w:t>Sensitivity analysis</w:t>
      </w:r>
    </w:p>
    <w:p w:rsidR="00A46DCA" w:rsidRDefault="00A46DCA" w:rsidP="00A26D04">
      <w:r w:rsidRPr="003C38D3">
        <w:t xml:space="preserve">Appendix D </w:t>
      </w:r>
      <w:r w:rsidRPr="00520571">
        <w:rPr>
          <w:i/>
        </w:rPr>
        <w:t>Sensitivity analysis</w:t>
      </w:r>
      <w:r w:rsidRPr="003C38D3">
        <w:t xml:space="preserve"> provides an estimate of the impact on revenue, expenses, the net result from transactions, the net result, and net debt associated with variations to forecasts of selected economic and financial variables.</w:t>
      </w:r>
    </w:p>
    <w:p w:rsidR="00A46DCA" w:rsidRPr="009D1DC2" w:rsidRDefault="00A46DCA" w:rsidP="00A26D04">
      <w:pPr>
        <w:rPr>
          <w:b/>
          <w:bCs/>
          <w:lang w:val="en-US"/>
        </w:rPr>
      </w:pPr>
    </w:p>
    <w:p w:rsidR="00A46DCA" w:rsidRDefault="00A46DCA" w:rsidP="00A26D04"/>
    <w:p w:rsidR="00A46DCA" w:rsidRDefault="00A46DCA" w:rsidP="00A26D04">
      <w:pPr>
        <w:pStyle w:val="Heading2"/>
        <w:pageBreakBefore/>
        <w:numPr>
          <w:ilvl w:val="1"/>
          <w:numId w:val="19"/>
        </w:numPr>
      </w:pPr>
      <w:r>
        <w:lastRenderedPageBreak/>
        <w:t>HOW FUNDS ARE RAISED</w:t>
      </w:r>
    </w:p>
    <w:p w:rsidR="00A46DCA" w:rsidRDefault="00A46DCA" w:rsidP="00A26D04">
      <w:pPr>
        <w:pStyle w:val="Heading2"/>
        <w:pageBreakBefore/>
        <w:numPr>
          <w:ilvl w:val="1"/>
          <w:numId w:val="19"/>
        </w:numPr>
        <w:sectPr w:rsidR="00A46DCA" w:rsidSect="00A26D04">
          <w:headerReference w:type="even" r:id="rId46"/>
          <w:headerReference w:type="default" r:id="rId47"/>
          <w:footerReference w:type="even" r:id="rId48"/>
          <w:footerReference w:type="default" r:id="rId49"/>
          <w:headerReference w:type="first" r:id="rId50"/>
          <w:footerReference w:type="first" r:id="rId51"/>
          <w:type w:val="continuous"/>
          <w:pgSz w:w="9979" w:h="14175" w:code="9"/>
          <w:pgMar w:top="850" w:right="1134" w:bottom="850" w:left="1134" w:header="624" w:footer="567" w:gutter="0"/>
          <w:cols w:sep="1" w:space="567"/>
          <w:docGrid w:linePitch="360"/>
        </w:sectPr>
      </w:pPr>
    </w:p>
    <w:p w:rsidR="00A46DCA" w:rsidRDefault="00A46DCA" w:rsidP="00A26D04">
      <w:pPr>
        <w:pStyle w:val="Heading30"/>
        <w:pBdr>
          <w:bottom w:val="single" w:sz="4" w:space="1" w:color="auto"/>
        </w:pBdr>
      </w:pPr>
      <w:r>
        <w:lastRenderedPageBreak/>
        <w:t>Introduction</w:t>
      </w:r>
    </w:p>
    <w:p w:rsidR="00A46DCA" w:rsidRDefault="00A46DCA" w:rsidP="00A26D04">
      <w:r>
        <w:t>This section presents the sources and amounts of revenue forecast for the general government sector.</w:t>
      </w:r>
    </w:p>
    <w:p w:rsidR="00A46DCA" w:rsidRDefault="00A46DCA" w:rsidP="00A26D04">
      <w:r>
        <w:t>Revenue from transactions is recognised to the extent that it is probable that the economic benefits will flow to the entity and the revenue can be reliably estimated at fair value.</w:t>
      </w:r>
    </w:p>
    <w:p w:rsidR="00A46DCA" w:rsidRDefault="00A46DCA" w:rsidP="00A26D04">
      <w:pPr>
        <w:pStyle w:val="Heading30"/>
        <w:pBdr>
          <w:bottom w:val="single" w:sz="4" w:space="1" w:color="auto"/>
        </w:pBdr>
      </w:pPr>
      <w:r>
        <w:br w:type="column"/>
      </w:r>
      <w:r>
        <w:lastRenderedPageBreak/>
        <w:t>Structure</w:t>
      </w:r>
    </w:p>
    <w:p w:rsidR="00A46DCA" w:rsidRDefault="00A46DCA">
      <w:pPr>
        <w:pStyle w:val="TOC9"/>
        <w:rPr>
          <w:rFonts w:eastAsiaTheme="minorEastAsia"/>
          <w:noProof/>
          <w:spacing w:val="0"/>
          <w:lang w:eastAsia="en-AU"/>
        </w:rPr>
      </w:pPr>
      <w:r>
        <w:fldChar w:fldCharType="begin"/>
      </w:r>
      <w:r>
        <w:instrText xml:space="preserve"> TOC \h \z \t "Heading 3 (#),9" \b Section_2 \* MERGEFORMAT </w:instrText>
      </w:r>
      <w:r>
        <w:fldChar w:fldCharType="separate"/>
      </w:r>
      <w:hyperlink w:anchor="_Toc496606534" w:history="1">
        <w:r w:rsidRPr="001E7711">
          <w:rPr>
            <w:rStyle w:val="Hyperlink"/>
            <w:noProof/>
          </w:rPr>
          <w:t>4.2.1</w:t>
        </w:r>
        <w:r>
          <w:rPr>
            <w:rFonts w:eastAsiaTheme="minorEastAsia"/>
            <w:noProof/>
            <w:spacing w:val="0"/>
            <w:lang w:eastAsia="en-AU"/>
          </w:rPr>
          <w:tab/>
        </w:r>
        <w:r w:rsidRPr="001E7711">
          <w:rPr>
            <w:rStyle w:val="Hyperlink"/>
            <w:noProof/>
          </w:rPr>
          <w:t>Taxation revenue</w:t>
        </w:r>
        <w:r>
          <w:rPr>
            <w:noProof/>
            <w:webHidden/>
          </w:rPr>
          <w:tab/>
        </w:r>
        <w:r>
          <w:rPr>
            <w:noProof/>
            <w:webHidden/>
          </w:rPr>
          <w:fldChar w:fldCharType="begin"/>
        </w:r>
        <w:r>
          <w:rPr>
            <w:noProof/>
            <w:webHidden/>
          </w:rPr>
          <w:instrText xml:space="preserve"> PAGEREF _Toc496606534 \h </w:instrText>
        </w:r>
        <w:r>
          <w:rPr>
            <w:noProof/>
            <w:webHidden/>
          </w:rPr>
        </w:r>
        <w:r>
          <w:rPr>
            <w:noProof/>
            <w:webHidden/>
          </w:rPr>
          <w:fldChar w:fldCharType="separate"/>
        </w:r>
        <w:r w:rsidR="00715FC3">
          <w:rPr>
            <w:noProof/>
            <w:webHidden/>
          </w:rPr>
          <w:t>47</w:t>
        </w:r>
        <w:r>
          <w:rPr>
            <w:noProof/>
            <w:webHidden/>
          </w:rPr>
          <w:fldChar w:fldCharType="end"/>
        </w:r>
      </w:hyperlink>
    </w:p>
    <w:p w:rsidR="00A46DCA" w:rsidRDefault="00715FC3">
      <w:pPr>
        <w:pStyle w:val="TOC9"/>
        <w:rPr>
          <w:rFonts w:eastAsiaTheme="minorEastAsia"/>
          <w:noProof/>
          <w:spacing w:val="0"/>
          <w:lang w:eastAsia="en-AU"/>
        </w:rPr>
      </w:pPr>
      <w:hyperlink w:anchor="_Toc496606535" w:history="1">
        <w:r w:rsidR="00A46DCA" w:rsidRPr="001E7711">
          <w:rPr>
            <w:rStyle w:val="Hyperlink"/>
            <w:noProof/>
          </w:rPr>
          <w:t>4.2.2</w:t>
        </w:r>
        <w:r w:rsidR="00A46DCA">
          <w:rPr>
            <w:rFonts w:eastAsiaTheme="minorEastAsia"/>
            <w:noProof/>
            <w:spacing w:val="0"/>
            <w:lang w:eastAsia="en-AU"/>
          </w:rPr>
          <w:tab/>
        </w:r>
        <w:r w:rsidR="00A46DCA">
          <w:rPr>
            <w:rStyle w:val="Hyperlink"/>
            <w:noProof/>
          </w:rPr>
          <w:t>Dividends, income tax equivale</w:t>
        </w:r>
        <w:r w:rsidR="00A46DCA" w:rsidRPr="001E7711">
          <w:rPr>
            <w:rStyle w:val="Hyperlink"/>
            <w:noProof/>
          </w:rPr>
          <w:t>nt and rate equivalent revenue</w:t>
        </w:r>
        <w:r w:rsidR="00A46DCA">
          <w:rPr>
            <w:noProof/>
            <w:webHidden/>
          </w:rPr>
          <w:tab/>
        </w:r>
        <w:r w:rsidR="00A46DCA">
          <w:rPr>
            <w:noProof/>
            <w:webHidden/>
          </w:rPr>
          <w:fldChar w:fldCharType="begin"/>
        </w:r>
        <w:r w:rsidR="00A46DCA">
          <w:rPr>
            <w:noProof/>
            <w:webHidden/>
          </w:rPr>
          <w:instrText xml:space="preserve"> PAGEREF _Toc496606535 \h </w:instrText>
        </w:r>
        <w:r w:rsidR="00A46DCA">
          <w:rPr>
            <w:noProof/>
            <w:webHidden/>
          </w:rPr>
        </w:r>
        <w:r w:rsidR="00A46DCA">
          <w:rPr>
            <w:noProof/>
            <w:webHidden/>
          </w:rPr>
          <w:fldChar w:fldCharType="separate"/>
        </w:r>
        <w:r>
          <w:rPr>
            <w:noProof/>
            <w:webHidden/>
          </w:rPr>
          <w:t>48</w:t>
        </w:r>
        <w:r w:rsidR="00A46DCA">
          <w:rPr>
            <w:noProof/>
            <w:webHidden/>
          </w:rPr>
          <w:fldChar w:fldCharType="end"/>
        </w:r>
      </w:hyperlink>
    </w:p>
    <w:p w:rsidR="00A46DCA" w:rsidRDefault="00715FC3">
      <w:pPr>
        <w:pStyle w:val="TOC9"/>
        <w:rPr>
          <w:rFonts w:eastAsiaTheme="minorEastAsia"/>
          <w:noProof/>
          <w:spacing w:val="0"/>
          <w:lang w:eastAsia="en-AU"/>
        </w:rPr>
      </w:pPr>
      <w:hyperlink w:anchor="_Toc496606536" w:history="1">
        <w:r w:rsidR="00A46DCA" w:rsidRPr="001E7711">
          <w:rPr>
            <w:rStyle w:val="Hyperlink"/>
            <w:noProof/>
          </w:rPr>
          <w:t>4.2.3</w:t>
        </w:r>
        <w:r w:rsidR="00A46DCA">
          <w:rPr>
            <w:rFonts w:eastAsiaTheme="minorEastAsia"/>
            <w:noProof/>
            <w:spacing w:val="0"/>
            <w:lang w:eastAsia="en-AU"/>
          </w:rPr>
          <w:tab/>
        </w:r>
        <w:r w:rsidR="00A46DCA" w:rsidRPr="001E7711">
          <w:rPr>
            <w:rStyle w:val="Hyperlink"/>
            <w:noProof/>
          </w:rPr>
          <w:t>Sales of goods and services</w:t>
        </w:r>
        <w:r w:rsidR="00A46DCA">
          <w:rPr>
            <w:noProof/>
            <w:webHidden/>
          </w:rPr>
          <w:tab/>
        </w:r>
        <w:r w:rsidR="00A46DCA">
          <w:rPr>
            <w:noProof/>
            <w:webHidden/>
          </w:rPr>
          <w:fldChar w:fldCharType="begin"/>
        </w:r>
        <w:r w:rsidR="00A46DCA">
          <w:rPr>
            <w:noProof/>
            <w:webHidden/>
          </w:rPr>
          <w:instrText xml:space="preserve"> PAGEREF _Toc496606536 \h </w:instrText>
        </w:r>
        <w:r w:rsidR="00A46DCA">
          <w:rPr>
            <w:noProof/>
            <w:webHidden/>
          </w:rPr>
        </w:r>
        <w:r w:rsidR="00A46DCA">
          <w:rPr>
            <w:noProof/>
            <w:webHidden/>
          </w:rPr>
          <w:fldChar w:fldCharType="separate"/>
        </w:r>
        <w:r>
          <w:rPr>
            <w:noProof/>
            <w:webHidden/>
          </w:rPr>
          <w:t>49</w:t>
        </w:r>
        <w:r w:rsidR="00A46DCA">
          <w:rPr>
            <w:noProof/>
            <w:webHidden/>
          </w:rPr>
          <w:fldChar w:fldCharType="end"/>
        </w:r>
      </w:hyperlink>
    </w:p>
    <w:p w:rsidR="00A46DCA" w:rsidRDefault="00715FC3">
      <w:pPr>
        <w:pStyle w:val="TOC9"/>
        <w:rPr>
          <w:rFonts w:eastAsiaTheme="minorEastAsia"/>
          <w:noProof/>
          <w:spacing w:val="0"/>
          <w:lang w:eastAsia="en-AU"/>
        </w:rPr>
      </w:pPr>
      <w:hyperlink w:anchor="_Toc496606537" w:history="1">
        <w:r w:rsidR="00A46DCA" w:rsidRPr="001E7711">
          <w:rPr>
            <w:rStyle w:val="Hyperlink"/>
            <w:noProof/>
          </w:rPr>
          <w:t>4.2.4</w:t>
        </w:r>
        <w:r w:rsidR="00A46DCA">
          <w:rPr>
            <w:rFonts w:eastAsiaTheme="minorEastAsia"/>
            <w:noProof/>
            <w:spacing w:val="0"/>
            <w:lang w:eastAsia="en-AU"/>
          </w:rPr>
          <w:tab/>
        </w:r>
        <w:r w:rsidR="00A46DCA" w:rsidRPr="001E7711">
          <w:rPr>
            <w:rStyle w:val="Hyperlink"/>
            <w:noProof/>
          </w:rPr>
          <w:t>Grant revenue</w:t>
        </w:r>
        <w:r w:rsidR="00A46DCA">
          <w:rPr>
            <w:noProof/>
            <w:webHidden/>
          </w:rPr>
          <w:tab/>
        </w:r>
        <w:r w:rsidR="00A46DCA">
          <w:rPr>
            <w:noProof/>
            <w:webHidden/>
          </w:rPr>
          <w:fldChar w:fldCharType="begin"/>
        </w:r>
        <w:r w:rsidR="00A46DCA">
          <w:rPr>
            <w:noProof/>
            <w:webHidden/>
          </w:rPr>
          <w:instrText xml:space="preserve"> PAGEREF _Toc496606537 \h </w:instrText>
        </w:r>
        <w:r w:rsidR="00A46DCA">
          <w:rPr>
            <w:noProof/>
            <w:webHidden/>
          </w:rPr>
        </w:r>
        <w:r w:rsidR="00A46DCA">
          <w:rPr>
            <w:noProof/>
            <w:webHidden/>
          </w:rPr>
          <w:fldChar w:fldCharType="separate"/>
        </w:r>
        <w:r>
          <w:rPr>
            <w:noProof/>
            <w:webHidden/>
          </w:rPr>
          <w:t>49</w:t>
        </w:r>
        <w:r w:rsidR="00A46DCA">
          <w:rPr>
            <w:noProof/>
            <w:webHidden/>
          </w:rPr>
          <w:fldChar w:fldCharType="end"/>
        </w:r>
      </w:hyperlink>
    </w:p>
    <w:p w:rsidR="00A46DCA" w:rsidRDefault="00715FC3">
      <w:pPr>
        <w:pStyle w:val="TOC9"/>
        <w:rPr>
          <w:rFonts w:eastAsiaTheme="minorEastAsia"/>
          <w:noProof/>
          <w:spacing w:val="0"/>
          <w:lang w:eastAsia="en-AU"/>
        </w:rPr>
      </w:pPr>
      <w:hyperlink w:anchor="_Toc496606538" w:history="1">
        <w:r w:rsidR="00A46DCA" w:rsidRPr="001E7711">
          <w:rPr>
            <w:rStyle w:val="Hyperlink"/>
            <w:noProof/>
          </w:rPr>
          <w:t>4.2.5</w:t>
        </w:r>
        <w:r w:rsidR="00A46DCA">
          <w:rPr>
            <w:rFonts w:eastAsiaTheme="minorEastAsia"/>
            <w:noProof/>
            <w:spacing w:val="0"/>
            <w:lang w:eastAsia="en-AU"/>
          </w:rPr>
          <w:tab/>
        </w:r>
        <w:r w:rsidR="00A46DCA" w:rsidRPr="001E7711">
          <w:rPr>
            <w:rStyle w:val="Hyperlink"/>
            <w:noProof/>
          </w:rPr>
          <w:t>Other revenue</w:t>
        </w:r>
        <w:r w:rsidR="00A46DCA">
          <w:rPr>
            <w:noProof/>
            <w:webHidden/>
          </w:rPr>
          <w:tab/>
        </w:r>
        <w:r w:rsidR="00A46DCA">
          <w:rPr>
            <w:noProof/>
            <w:webHidden/>
          </w:rPr>
          <w:fldChar w:fldCharType="begin"/>
        </w:r>
        <w:r w:rsidR="00A46DCA">
          <w:rPr>
            <w:noProof/>
            <w:webHidden/>
          </w:rPr>
          <w:instrText xml:space="preserve"> PAGEREF _Toc496606538 \h </w:instrText>
        </w:r>
        <w:r w:rsidR="00A46DCA">
          <w:rPr>
            <w:noProof/>
            <w:webHidden/>
          </w:rPr>
        </w:r>
        <w:r w:rsidR="00A46DCA">
          <w:rPr>
            <w:noProof/>
            <w:webHidden/>
          </w:rPr>
          <w:fldChar w:fldCharType="separate"/>
        </w:r>
        <w:r>
          <w:rPr>
            <w:noProof/>
            <w:webHidden/>
          </w:rPr>
          <w:t>49</w:t>
        </w:r>
        <w:r w:rsidR="00A46DCA">
          <w:rPr>
            <w:noProof/>
            <w:webHidden/>
          </w:rPr>
          <w:fldChar w:fldCharType="end"/>
        </w:r>
      </w:hyperlink>
    </w:p>
    <w:p w:rsidR="00A46DCA" w:rsidRDefault="00A46DCA" w:rsidP="00A26D04">
      <w:pPr>
        <w:sectPr w:rsidR="00A46DCA" w:rsidSect="00A26D04">
          <w:type w:val="continuous"/>
          <w:pgSz w:w="9979" w:h="14175" w:code="9"/>
          <w:pgMar w:top="850" w:right="1134" w:bottom="850" w:left="1134" w:header="624" w:footer="567" w:gutter="0"/>
          <w:cols w:num="2" w:space="567"/>
          <w:docGrid w:linePitch="360"/>
        </w:sectPr>
      </w:pPr>
      <w:r>
        <w:rPr>
          <w:b/>
          <w:bCs/>
          <w:noProof/>
          <w:lang w:val="en-US"/>
        </w:rPr>
        <w:fldChar w:fldCharType="end"/>
      </w:r>
    </w:p>
    <w:p w:rsidR="00A46DCA" w:rsidRPr="00AC137D" w:rsidRDefault="00A46DCA" w:rsidP="00A26D04">
      <w:pPr>
        <w:pStyle w:val="Heading3"/>
        <w:numPr>
          <w:ilvl w:val="2"/>
          <w:numId w:val="19"/>
        </w:numPr>
        <w:tabs>
          <w:tab w:val="clear" w:pos="9582"/>
          <w:tab w:val="left" w:pos="850"/>
          <w:tab w:val="right" w:pos="7711"/>
        </w:tabs>
        <w:spacing w:after="60"/>
        <w:rPr>
          <w:lang w:val="en-US"/>
        </w:rPr>
      </w:pPr>
      <w:bookmarkStart w:id="26" w:name="_Toc496606534"/>
      <w:bookmarkStart w:id="27" w:name="Section_2"/>
      <w:r w:rsidRPr="008C4F9A">
        <w:lastRenderedPageBreak/>
        <w:t>Taxation revenue</w:t>
      </w:r>
      <w:bookmarkEnd w:id="26"/>
      <w:r>
        <w:tab/>
      </w:r>
      <w:r w:rsidRPr="008C4F9A">
        <w:t>($ million)</w:t>
      </w:r>
    </w:p>
    <w:tbl>
      <w:tblPr>
        <w:tblStyle w:val="DTFTable"/>
        <w:tblW w:w="7768" w:type="dxa"/>
        <w:tblInd w:w="45" w:type="dxa"/>
        <w:tblLayout w:type="fixed"/>
        <w:tblCellMar>
          <w:left w:w="45" w:type="dxa"/>
          <w:right w:w="45" w:type="dxa"/>
        </w:tblCellMar>
        <w:tblLook w:val="06A0" w:firstRow="1" w:lastRow="0" w:firstColumn="1" w:lastColumn="0" w:noHBand="1" w:noVBand="1"/>
      </w:tblPr>
      <w:tblGrid>
        <w:gridCol w:w="3685"/>
        <w:gridCol w:w="794"/>
        <w:gridCol w:w="839"/>
        <w:gridCol w:w="828"/>
        <w:gridCol w:w="811"/>
        <w:gridCol w:w="811"/>
      </w:tblGrid>
      <w:tr w:rsidR="00A26D04" w:rsidRPr="00AC137D" w:rsidTr="002677DA">
        <w:trPr>
          <w:cnfStyle w:val="100000000000" w:firstRow="1" w:lastRow="0" w:firstColumn="0" w:lastColumn="0" w:oddVBand="0" w:evenVBand="0" w:oddHBand="0" w:evenHBand="0" w:firstRowFirstColumn="0" w:firstRowLastColumn="0" w:lastRowFirstColumn="0" w:lastRowLastColumn="0"/>
          <w:trHeight w:val="70"/>
          <w:tblHeader/>
        </w:trPr>
        <w:tc>
          <w:tcPr>
            <w:cnfStyle w:val="001000000000" w:firstRow="0" w:lastRow="0" w:firstColumn="1" w:lastColumn="0" w:oddVBand="0" w:evenVBand="0" w:oddHBand="0" w:evenHBand="0" w:firstRowFirstColumn="0" w:firstRowLastColumn="0" w:lastRowFirstColumn="0" w:lastRowLastColumn="0"/>
            <w:tcW w:w="3685" w:type="dxa"/>
            <w:tcBorders>
              <w:top w:val="nil"/>
              <w:left w:val="nil"/>
              <w:right w:val="nil"/>
            </w:tcBorders>
            <w:shd w:val="solid" w:color="000000" w:fill="auto"/>
          </w:tcPr>
          <w:p w:rsidR="00A26D04" w:rsidRPr="00AC137D" w:rsidRDefault="00A26D04" w:rsidP="00A26D04">
            <w:pPr>
              <w:autoSpaceDE w:val="0"/>
              <w:autoSpaceDN w:val="0"/>
              <w:adjustRightInd w:val="0"/>
              <w:rPr>
                <w:rFonts w:eastAsiaTheme="minorEastAsia" w:cs="Calibri"/>
                <w:iCs/>
                <w:color w:val="FFFFFF"/>
                <w:sz w:val="16"/>
                <w:lang w:eastAsia="en-AU"/>
              </w:rPr>
            </w:pPr>
            <w:r w:rsidRPr="00AC137D">
              <w:rPr>
                <w:rFonts w:eastAsiaTheme="minorEastAsia" w:cs="Calibri"/>
                <w:iCs/>
                <w:color w:val="FFFFFF"/>
                <w:sz w:val="16"/>
                <w:lang w:eastAsia="en-AU"/>
              </w:rPr>
              <w:t xml:space="preserve">  </w:t>
            </w:r>
          </w:p>
        </w:tc>
        <w:tc>
          <w:tcPr>
            <w:tcW w:w="794" w:type="dxa"/>
            <w:tcBorders>
              <w:top w:val="nil"/>
              <w:left w:val="nil"/>
              <w:right w:val="nil"/>
            </w:tcBorders>
            <w:shd w:val="solid" w:color="000000" w:fill="auto"/>
          </w:tcPr>
          <w:p w:rsidR="00A26D04" w:rsidRPr="00AC137D" w:rsidRDefault="00A26D04" w:rsidP="00A26D0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 w:val="16"/>
                <w:szCs w:val="16"/>
                <w:lang w:eastAsia="en-AU"/>
              </w:rPr>
            </w:pPr>
            <w:r w:rsidRPr="00AC137D">
              <w:rPr>
                <w:rFonts w:eastAsiaTheme="minorEastAsia" w:cs="Calibri"/>
                <w:iCs/>
                <w:color w:val="FFFFFF"/>
                <w:sz w:val="16"/>
                <w:szCs w:val="16"/>
                <w:lang w:eastAsia="en-AU"/>
              </w:rPr>
              <w:t>2017-18</w:t>
            </w:r>
            <w:r>
              <w:rPr>
                <w:rFonts w:eastAsiaTheme="minorEastAsia" w:cs="Calibri"/>
                <w:iCs/>
                <w:color w:val="FFFFFF"/>
                <w:sz w:val="16"/>
                <w:szCs w:val="16"/>
                <w:lang w:eastAsia="en-AU"/>
              </w:rPr>
              <w:br/>
            </w:r>
            <w:r w:rsidRPr="00AC137D">
              <w:rPr>
                <w:rFonts w:eastAsiaTheme="minorEastAsia" w:cs="Calibri"/>
                <w:iCs/>
                <w:color w:val="FFFFFF"/>
                <w:sz w:val="16"/>
                <w:szCs w:val="16"/>
                <w:lang w:eastAsia="en-AU"/>
              </w:rPr>
              <w:t>budget</w:t>
            </w:r>
          </w:p>
        </w:tc>
        <w:tc>
          <w:tcPr>
            <w:tcW w:w="839" w:type="dxa"/>
            <w:tcBorders>
              <w:top w:val="nil"/>
              <w:left w:val="nil"/>
              <w:right w:val="nil"/>
            </w:tcBorders>
            <w:shd w:val="solid" w:color="000000" w:fill="auto"/>
          </w:tcPr>
          <w:p w:rsidR="00A26D04" w:rsidRPr="00AC137D" w:rsidRDefault="00A26D04" w:rsidP="00A26D0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 w:val="16"/>
                <w:szCs w:val="16"/>
                <w:lang w:eastAsia="en-AU"/>
              </w:rPr>
            </w:pPr>
            <w:r w:rsidRPr="00AC137D">
              <w:rPr>
                <w:rFonts w:eastAsiaTheme="minorEastAsia" w:cs="Calibri"/>
                <w:iCs/>
                <w:color w:val="FFFFFF"/>
                <w:sz w:val="16"/>
                <w:szCs w:val="16"/>
                <w:lang w:eastAsia="en-AU"/>
              </w:rPr>
              <w:t>2017-18</w:t>
            </w:r>
            <w:r>
              <w:rPr>
                <w:rFonts w:eastAsiaTheme="minorEastAsia" w:cs="Calibri"/>
                <w:iCs/>
                <w:color w:val="FFFFFF"/>
                <w:sz w:val="16"/>
                <w:szCs w:val="16"/>
                <w:lang w:eastAsia="en-AU"/>
              </w:rPr>
              <w:br/>
            </w:r>
            <w:r w:rsidRPr="00AC137D">
              <w:rPr>
                <w:rFonts w:eastAsiaTheme="minorEastAsia" w:cs="Calibri"/>
                <w:iCs/>
                <w:color w:val="FFFFFF"/>
                <w:sz w:val="16"/>
                <w:szCs w:val="16"/>
                <w:lang w:eastAsia="en-AU"/>
              </w:rPr>
              <w:t>revised</w:t>
            </w:r>
          </w:p>
        </w:tc>
        <w:tc>
          <w:tcPr>
            <w:tcW w:w="828" w:type="dxa"/>
            <w:tcBorders>
              <w:top w:val="nil"/>
              <w:left w:val="nil"/>
              <w:right w:val="nil"/>
            </w:tcBorders>
            <w:shd w:val="solid" w:color="000000" w:fill="auto"/>
          </w:tcPr>
          <w:p w:rsidR="00A26D04" w:rsidRPr="00AC137D" w:rsidRDefault="00A26D04" w:rsidP="00A26D0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 w:val="16"/>
                <w:szCs w:val="16"/>
                <w:lang w:eastAsia="en-AU"/>
              </w:rPr>
            </w:pPr>
            <w:r w:rsidRPr="00AC137D">
              <w:rPr>
                <w:rFonts w:eastAsiaTheme="minorEastAsia" w:cs="Calibri"/>
                <w:iCs/>
                <w:color w:val="FFFFFF"/>
                <w:sz w:val="16"/>
                <w:szCs w:val="16"/>
                <w:lang w:eastAsia="en-AU"/>
              </w:rPr>
              <w:t>2018-19</w:t>
            </w:r>
            <w:r>
              <w:rPr>
                <w:rFonts w:eastAsiaTheme="minorEastAsia" w:cs="Calibri"/>
                <w:iCs/>
                <w:color w:val="FFFFFF"/>
                <w:sz w:val="16"/>
                <w:szCs w:val="16"/>
                <w:lang w:eastAsia="en-AU"/>
              </w:rPr>
              <w:br/>
            </w:r>
            <w:r w:rsidRPr="00AC137D">
              <w:rPr>
                <w:rFonts w:eastAsiaTheme="minorEastAsia" w:cs="Calibri"/>
                <w:iCs/>
                <w:color w:val="FFFFFF"/>
                <w:sz w:val="16"/>
                <w:szCs w:val="16"/>
                <w:lang w:eastAsia="en-AU"/>
              </w:rPr>
              <w:t>estimate</w:t>
            </w:r>
          </w:p>
        </w:tc>
        <w:tc>
          <w:tcPr>
            <w:tcW w:w="811" w:type="dxa"/>
            <w:tcBorders>
              <w:top w:val="nil"/>
              <w:left w:val="nil"/>
              <w:right w:val="nil"/>
            </w:tcBorders>
            <w:shd w:val="solid" w:color="000000" w:fill="auto"/>
          </w:tcPr>
          <w:p w:rsidR="00A26D04" w:rsidRPr="00AC137D" w:rsidRDefault="00A26D04" w:rsidP="00A26D0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 w:val="16"/>
                <w:szCs w:val="16"/>
                <w:lang w:eastAsia="en-AU"/>
              </w:rPr>
            </w:pPr>
            <w:r w:rsidRPr="00AC137D">
              <w:rPr>
                <w:rFonts w:eastAsiaTheme="minorEastAsia" w:cs="Calibri"/>
                <w:iCs/>
                <w:color w:val="FFFFFF"/>
                <w:sz w:val="16"/>
                <w:szCs w:val="16"/>
                <w:lang w:eastAsia="en-AU"/>
              </w:rPr>
              <w:t>2019-20</w:t>
            </w:r>
            <w:r>
              <w:rPr>
                <w:rFonts w:eastAsiaTheme="minorEastAsia" w:cs="Calibri"/>
                <w:iCs/>
                <w:color w:val="FFFFFF"/>
                <w:sz w:val="16"/>
                <w:szCs w:val="16"/>
                <w:lang w:eastAsia="en-AU"/>
              </w:rPr>
              <w:br/>
            </w:r>
            <w:r w:rsidRPr="00AC137D">
              <w:rPr>
                <w:rFonts w:eastAsiaTheme="minorEastAsia" w:cs="Calibri"/>
                <w:iCs/>
                <w:color w:val="FFFFFF"/>
                <w:sz w:val="16"/>
                <w:szCs w:val="16"/>
                <w:lang w:eastAsia="en-AU"/>
              </w:rPr>
              <w:t>estimate</w:t>
            </w:r>
          </w:p>
        </w:tc>
        <w:tc>
          <w:tcPr>
            <w:tcW w:w="811" w:type="dxa"/>
            <w:tcBorders>
              <w:top w:val="nil"/>
              <w:left w:val="nil"/>
              <w:right w:val="nil"/>
            </w:tcBorders>
            <w:shd w:val="solid" w:color="000000" w:fill="auto"/>
          </w:tcPr>
          <w:p w:rsidR="00A26D04" w:rsidRPr="00AC137D" w:rsidRDefault="00A26D04" w:rsidP="00A26D0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 w:val="16"/>
                <w:szCs w:val="16"/>
                <w:lang w:eastAsia="en-AU"/>
              </w:rPr>
            </w:pPr>
            <w:r w:rsidRPr="00AC137D">
              <w:rPr>
                <w:rFonts w:eastAsiaTheme="minorEastAsia" w:cs="Calibri"/>
                <w:iCs/>
                <w:color w:val="FFFFFF"/>
                <w:sz w:val="16"/>
                <w:szCs w:val="16"/>
                <w:lang w:eastAsia="en-AU"/>
              </w:rPr>
              <w:t>2020-21</w:t>
            </w:r>
            <w:r>
              <w:rPr>
                <w:rFonts w:eastAsiaTheme="minorEastAsia" w:cs="Calibri"/>
                <w:iCs/>
                <w:color w:val="FFFFFF"/>
                <w:sz w:val="16"/>
                <w:szCs w:val="16"/>
                <w:lang w:eastAsia="en-AU"/>
              </w:rPr>
              <w:br/>
            </w:r>
            <w:r w:rsidRPr="00AC137D">
              <w:rPr>
                <w:rFonts w:eastAsiaTheme="minorEastAsia" w:cs="Calibri"/>
                <w:iCs/>
                <w:color w:val="FFFFFF"/>
                <w:sz w:val="16"/>
                <w:szCs w:val="16"/>
                <w:lang w:eastAsia="en-AU"/>
              </w:rPr>
              <w:t>estimate</w:t>
            </w:r>
          </w:p>
        </w:tc>
      </w:tr>
      <w:tr w:rsidR="00A46DCA" w:rsidRPr="00AC137D" w:rsidTr="00A26D04">
        <w:tc>
          <w:tcPr>
            <w:cnfStyle w:val="001000000000" w:firstRow="0" w:lastRow="0" w:firstColumn="1" w:lastColumn="0" w:oddVBand="0" w:evenVBand="0" w:oddHBand="0" w:evenHBand="0" w:firstRowFirstColumn="0" w:firstRowLastColumn="0" w:lastRowFirstColumn="0" w:lastRowLastColumn="0"/>
            <w:tcW w:w="3685" w:type="dxa"/>
            <w:tcBorders>
              <w:top w:val="nil"/>
              <w:left w:val="nil"/>
              <w:bottom w:val="single" w:sz="6" w:space="0" w:color="000000"/>
              <w:right w:val="nil"/>
            </w:tcBorders>
          </w:tcPr>
          <w:p w:rsidR="00A46DCA" w:rsidRPr="00AC137D" w:rsidRDefault="00A46DCA" w:rsidP="00A26D04">
            <w:pPr>
              <w:keepLines w:val="0"/>
              <w:autoSpaceDE w:val="0"/>
              <w:autoSpaceDN w:val="0"/>
              <w:adjustRightInd w:val="0"/>
              <w:rPr>
                <w:rFonts w:eastAsiaTheme="minorEastAsia" w:cs="Calibri"/>
                <w:b/>
                <w:bCs/>
                <w:color w:val="000000"/>
                <w:sz w:val="16"/>
                <w:szCs w:val="16"/>
                <w:lang w:eastAsia="en-AU"/>
              </w:rPr>
            </w:pPr>
            <w:r w:rsidRPr="00AC137D">
              <w:rPr>
                <w:rFonts w:eastAsiaTheme="minorEastAsia" w:cs="Calibri"/>
                <w:b/>
                <w:bCs/>
                <w:color w:val="000000"/>
                <w:sz w:val="16"/>
                <w:szCs w:val="16"/>
                <w:lang w:eastAsia="en-AU"/>
              </w:rPr>
              <w:t>Taxes on employers</w:t>
            </w:r>
            <w:r>
              <w:rPr>
                <w:rFonts w:eastAsiaTheme="minorEastAsia" w:cs="Calibri"/>
                <w:b/>
                <w:bCs/>
                <w:color w:val="000000"/>
                <w:sz w:val="16"/>
                <w:szCs w:val="16"/>
                <w:lang w:eastAsia="en-AU"/>
              </w:rPr>
              <w:t>’</w:t>
            </w:r>
            <w:r w:rsidRPr="00AC137D">
              <w:rPr>
                <w:rFonts w:eastAsiaTheme="minorEastAsia" w:cs="Calibri"/>
                <w:b/>
                <w:bCs/>
                <w:color w:val="000000"/>
                <w:sz w:val="16"/>
                <w:szCs w:val="16"/>
                <w:lang w:eastAsia="en-AU"/>
              </w:rPr>
              <w:t xml:space="preserve"> payroll and labour force</w:t>
            </w:r>
          </w:p>
        </w:tc>
        <w:tc>
          <w:tcPr>
            <w:tcW w:w="794" w:type="dxa"/>
            <w:tcBorders>
              <w:top w:val="nil"/>
              <w:left w:val="nil"/>
              <w:bottom w:val="single" w:sz="6" w:space="0" w:color="000000"/>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 w:val="16"/>
                <w:szCs w:val="18"/>
                <w:lang w:eastAsia="en-AU"/>
              </w:rPr>
            </w:pPr>
            <w:r w:rsidRPr="00AC137D">
              <w:rPr>
                <w:rFonts w:eastAsiaTheme="minorEastAsia" w:cs="Arial"/>
                <w:b/>
                <w:bCs/>
                <w:color w:val="000000"/>
                <w:sz w:val="16"/>
                <w:szCs w:val="18"/>
                <w:lang w:eastAsia="en-AU"/>
              </w:rPr>
              <w:t>5 898</w:t>
            </w:r>
          </w:p>
        </w:tc>
        <w:tc>
          <w:tcPr>
            <w:tcW w:w="839" w:type="dxa"/>
            <w:tcBorders>
              <w:top w:val="nil"/>
              <w:left w:val="nil"/>
              <w:bottom w:val="single" w:sz="6" w:space="0" w:color="000000"/>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 w:val="16"/>
                <w:szCs w:val="18"/>
                <w:lang w:eastAsia="en-AU"/>
              </w:rPr>
            </w:pPr>
            <w:r w:rsidRPr="00AC137D">
              <w:rPr>
                <w:rFonts w:eastAsiaTheme="minorEastAsia" w:cs="Arial"/>
                <w:b/>
                <w:bCs/>
                <w:color w:val="000000"/>
                <w:sz w:val="16"/>
                <w:szCs w:val="18"/>
                <w:lang w:eastAsia="en-AU"/>
              </w:rPr>
              <w:t>5 968</w:t>
            </w:r>
          </w:p>
        </w:tc>
        <w:tc>
          <w:tcPr>
            <w:tcW w:w="828" w:type="dxa"/>
            <w:tcBorders>
              <w:top w:val="nil"/>
              <w:left w:val="nil"/>
              <w:bottom w:val="single" w:sz="6" w:space="0" w:color="000000"/>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 w:val="16"/>
                <w:szCs w:val="18"/>
                <w:lang w:eastAsia="en-AU"/>
              </w:rPr>
            </w:pPr>
            <w:r w:rsidRPr="00AC137D">
              <w:rPr>
                <w:rFonts w:eastAsiaTheme="minorEastAsia" w:cs="Arial"/>
                <w:b/>
                <w:bCs/>
                <w:color w:val="000000"/>
                <w:sz w:val="16"/>
                <w:szCs w:val="18"/>
                <w:lang w:eastAsia="en-AU"/>
              </w:rPr>
              <w:t>6 251</w:t>
            </w:r>
          </w:p>
        </w:tc>
        <w:tc>
          <w:tcPr>
            <w:tcW w:w="811" w:type="dxa"/>
            <w:tcBorders>
              <w:top w:val="nil"/>
              <w:left w:val="nil"/>
              <w:bottom w:val="single" w:sz="6" w:space="0" w:color="000000"/>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 w:val="16"/>
                <w:szCs w:val="18"/>
                <w:lang w:eastAsia="en-AU"/>
              </w:rPr>
            </w:pPr>
            <w:r w:rsidRPr="00AC137D">
              <w:rPr>
                <w:rFonts w:eastAsiaTheme="minorEastAsia" w:cs="Arial"/>
                <w:b/>
                <w:bCs/>
                <w:color w:val="000000"/>
                <w:sz w:val="16"/>
                <w:szCs w:val="18"/>
                <w:lang w:eastAsia="en-AU"/>
              </w:rPr>
              <w:t>6 533</w:t>
            </w:r>
          </w:p>
        </w:tc>
        <w:tc>
          <w:tcPr>
            <w:tcW w:w="811" w:type="dxa"/>
            <w:tcBorders>
              <w:top w:val="nil"/>
              <w:left w:val="nil"/>
              <w:bottom w:val="single" w:sz="6" w:space="0" w:color="000000"/>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 w:val="16"/>
                <w:szCs w:val="18"/>
                <w:lang w:eastAsia="en-AU"/>
              </w:rPr>
            </w:pPr>
            <w:r w:rsidRPr="00AC137D">
              <w:rPr>
                <w:rFonts w:eastAsiaTheme="minorEastAsia" w:cs="Arial"/>
                <w:b/>
                <w:bCs/>
                <w:color w:val="000000"/>
                <w:sz w:val="16"/>
                <w:szCs w:val="18"/>
                <w:lang w:eastAsia="en-AU"/>
              </w:rPr>
              <w:t>6 910</w:t>
            </w:r>
          </w:p>
        </w:tc>
      </w:tr>
      <w:tr w:rsidR="00A46DCA" w:rsidRPr="00AC137D" w:rsidTr="00A26D04">
        <w:tc>
          <w:tcPr>
            <w:cnfStyle w:val="001000000000" w:firstRow="0" w:lastRow="0" w:firstColumn="1" w:lastColumn="0" w:oddVBand="0" w:evenVBand="0" w:oddHBand="0" w:evenHBand="0" w:firstRowFirstColumn="0" w:firstRowLastColumn="0" w:lastRowFirstColumn="0" w:lastRowLastColumn="0"/>
            <w:tcW w:w="3685" w:type="dxa"/>
            <w:tcBorders>
              <w:top w:val="nil"/>
              <w:left w:val="nil"/>
              <w:bottom w:val="nil"/>
              <w:right w:val="nil"/>
            </w:tcBorders>
          </w:tcPr>
          <w:p w:rsidR="00A46DCA" w:rsidRPr="00AC137D" w:rsidRDefault="00A46DCA" w:rsidP="00A26D04">
            <w:pPr>
              <w:keepLines w:val="0"/>
              <w:autoSpaceDE w:val="0"/>
              <w:autoSpaceDN w:val="0"/>
              <w:adjustRightInd w:val="0"/>
              <w:rPr>
                <w:rFonts w:eastAsiaTheme="minorEastAsia" w:cs="Calibri"/>
                <w:b/>
                <w:bCs/>
                <w:color w:val="000000"/>
                <w:sz w:val="16"/>
                <w:szCs w:val="16"/>
                <w:lang w:eastAsia="en-AU"/>
              </w:rPr>
            </w:pPr>
            <w:r w:rsidRPr="00AC137D">
              <w:rPr>
                <w:rFonts w:eastAsiaTheme="minorEastAsia" w:cs="Calibri"/>
                <w:b/>
                <w:bCs/>
                <w:color w:val="000000"/>
                <w:sz w:val="16"/>
                <w:szCs w:val="16"/>
                <w:lang w:eastAsia="en-AU"/>
              </w:rPr>
              <w:t>Taxes on immovable property</w:t>
            </w:r>
          </w:p>
        </w:tc>
        <w:tc>
          <w:tcPr>
            <w:tcW w:w="794"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lang w:eastAsia="en-AU"/>
              </w:rPr>
            </w:pPr>
            <w:r w:rsidRPr="00AC137D">
              <w:rPr>
                <w:rFonts w:eastAsiaTheme="minorEastAsia" w:cs="Calibri"/>
                <w:b/>
                <w:bCs/>
                <w:color w:val="000000"/>
                <w:sz w:val="16"/>
                <w:lang w:eastAsia="en-AU"/>
              </w:rPr>
              <w:t xml:space="preserve"> </w:t>
            </w:r>
          </w:p>
        </w:tc>
        <w:tc>
          <w:tcPr>
            <w:tcW w:w="839"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lang w:eastAsia="en-AU"/>
              </w:rPr>
            </w:pPr>
            <w:r w:rsidRPr="00AC137D">
              <w:rPr>
                <w:rFonts w:eastAsiaTheme="minorEastAsia" w:cs="Calibri"/>
                <w:b/>
                <w:bCs/>
                <w:color w:val="000000"/>
                <w:sz w:val="16"/>
                <w:lang w:eastAsia="en-AU"/>
              </w:rPr>
              <w:t xml:space="preserve"> </w:t>
            </w:r>
          </w:p>
        </w:tc>
        <w:tc>
          <w:tcPr>
            <w:tcW w:w="828"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lang w:eastAsia="en-AU"/>
              </w:rPr>
            </w:pPr>
            <w:r w:rsidRPr="00AC137D">
              <w:rPr>
                <w:rFonts w:eastAsiaTheme="minorEastAsia" w:cs="Calibri"/>
                <w:b/>
                <w:bCs/>
                <w:color w:val="000000"/>
                <w:sz w:val="16"/>
                <w:lang w:eastAsia="en-AU"/>
              </w:rPr>
              <w:t xml:space="preserve"> </w:t>
            </w:r>
          </w:p>
        </w:tc>
        <w:tc>
          <w:tcPr>
            <w:tcW w:w="811"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lang w:eastAsia="en-AU"/>
              </w:rPr>
            </w:pPr>
            <w:r w:rsidRPr="00AC137D">
              <w:rPr>
                <w:rFonts w:eastAsiaTheme="minorEastAsia" w:cs="Calibri"/>
                <w:b/>
                <w:bCs/>
                <w:color w:val="000000"/>
                <w:sz w:val="16"/>
                <w:lang w:eastAsia="en-AU"/>
              </w:rPr>
              <w:t xml:space="preserve"> </w:t>
            </w:r>
          </w:p>
        </w:tc>
        <w:tc>
          <w:tcPr>
            <w:tcW w:w="811"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lang w:eastAsia="en-AU"/>
              </w:rPr>
            </w:pPr>
            <w:r w:rsidRPr="00AC137D">
              <w:rPr>
                <w:rFonts w:eastAsiaTheme="minorEastAsia" w:cs="Calibri"/>
                <w:b/>
                <w:bCs/>
                <w:color w:val="000000"/>
                <w:sz w:val="16"/>
                <w:lang w:eastAsia="en-AU"/>
              </w:rPr>
              <w:t xml:space="preserve"> </w:t>
            </w:r>
          </w:p>
        </w:tc>
      </w:tr>
      <w:tr w:rsidR="00A46DCA" w:rsidRPr="00AC137D" w:rsidTr="00A26D04">
        <w:tc>
          <w:tcPr>
            <w:cnfStyle w:val="001000000000" w:firstRow="0" w:lastRow="0" w:firstColumn="1" w:lastColumn="0" w:oddVBand="0" w:evenVBand="0" w:oddHBand="0" w:evenHBand="0" w:firstRowFirstColumn="0" w:firstRowLastColumn="0" w:lastRowFirstColumn="0" w:lastRowLastColumn="0"/>
            <w:tcW w:w="3685" w:type="dxa"/>
            <w:tcBorders>
              <w:top w:val="nil"/>
              <w:left w:val="nil"/>
              <w:bottom w:val="nil"/>
              <w:right w:val="nil"/>
            </w:tcBorders>
          </w:tcPr>
          <w:p w:rsidR="00A46DCA" w:rsidRPr="00AC137D" w:rsidRDefault="00A46DCA" w:rsidP="00A26D04">
            <w:pPr>
              <w:keepLines w:val="0"/>
              <w:autoSpaceDE w:val="0"/>
              <w:autoSpaceDN w:val="0"/>
              <w:adjustRightInd w:val="0"/>
              <w:rPr>
                <w:rFonts w:eastAsiaTheme="minorEastAsia" w:cs="Calibri"/>
                <w:color w:val="000000"/>
                <w:sz w:val="16"/>
                <w:szCs w:val="16"/>
                <w:lang w:eastAsia="en-AU"/>
              </w:rPr>
            </w:pPr>
            <w:r w:rsidRPr="00AC137D">
              <w:rPr>
                <w:rFonts w:eastAsiaTheme="minorEastAsia" w:cs="Calibri"/>
                <w:color w:val="000000"/>
                <w:sz w:val="16"/>
                <w:szCs w:val="16"/>
                <w:lang w:eastAsia="en-AU"/>
              </w:rPr>
              <w:t>Land tax</w:t>
            </w:r>
          </w:p>
        </w:tc>
        <w:tc>
          <w:tcPr>
            <w:tcW w:w="794"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 w:val="16"/>
                <w:szCs w:val="18"/>
                <w:lang w:eastAsia="en-AU"/>
              </w:rPr>
            </w:pPr>
            <w:r w:rsidRPr="00AC137D">
              <w:rPr>
                <w:rFonts w:eastAsiaTheme="minorEastAsia" w:cs="Arial"/>
                <w:color w:val="000000"/>
                <w:sz w:val="16"/>
                <w:szCs w:val="18"/>
                <w:lang w:eastAsia="en-AU"/>
              </w:rPr>
              <w:t>2 366</w:t>
            </w:r>
          </w:p>
        </w:tc>
        <w:tc>
          <w:tcPr>
            <w:tcW w:w="839"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 w:val="16"/>
                <w:szCs w:val="18"/>
                <w:lang w:eastAsia="en-AU"/>
              </w:rPr>
            </w:pPr>
            <w:r w:rsidRPr="00AC137D">
              <w:rPr>
                <w:rFonts w:eastAsiaTheme="minorEastAsia" w:cs="Arial"/>
                <w:color w:val="000000"/>
                <w:sz w:val="16"/>
                <w:szCs w:val="18"/>
                <w:lang w:eastAsia="en-AU"/>
              </w:rPr>
              <w:t>2 426</w:t>
            </w:r>
          </w:p>
        </w:tc>
        <w:tc>
          <w:tcPr>
            <w:tcW w:w="828"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 w:val="16"/>
                <w:szCs w:val="18"/>
                <w:lang w:eastAsia="en-AU"/>
              </w:rPr>
            </w:pPr>
            <w:r w:rsidRPr="00AC137D">
              <w:rPr>
                <w:rFonts w:eastAsiaTheme="minorEastAsia" w:cs="Arial"/>
                <w:color w:val="000000"/>
                <w:sz w:val="16"/>
                <w:szCs w:val="18"/>
                <w:lang w:eastAsia="en-AU"/>
              </w:rPr>
              <w:t>2 949</w:t>
            </w:r>
          </w:p>
        </w:tc>
        <w:tc>
          <w:tcPr>
            <w:tcW w:w="811"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 w:val="16"/>
                <w:szCs w:val="18"/>
                <w:lang w:eastAsia="en-AU"/>
              </w:rPr>
            </w:pPr>
            <w:r w:rsidRPr="00AC137D">
              <w:rPr>
                <w:rFonts w:eastAsiaTheme="minorEastAsia" w:cs="Arial"/>
                <w:color w:val="000000"/>
                <w:sz w:val="16"/>
                <w:szCs w:val="18"/>
                <w:lang w:eastAsia="en-AU"/>
              </w:rPr>
              <w:t>3 201</w:t>
            </w:r>
          </w:p>
        </w:tc>
        <w:tc>
          <w:tcPr>
            <w:tcW w:w="811"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 w:val="16"/>
                <w:szCs w:val="18"/>
                <w:lang w:eastAsia="en-AU"/>
              </w:rPr>
            </w:pPr>
            <w:r w:rsidRPr="00AC137D">
              <w:rPr>
                <w:rFonts w:eastAsiaTheme="minorEastAsia" w:cs="Arial"/>
                <w:color w:val="000000"/>
                <w:sz w:val="16"/>
                <w:szCs w:val="18"/>
                <w:lang w:eastAsia="en-AU"/>
              </w:rPr>
              <w:t>3 265</w:t>
            </w:r>
          </w:p>
        </w:tc>
      </w:tr>
      <w:tr w:rsidR="00A46DCA" w:rsidRPr="00AC137D" w:rsidTr="00A26D04">
        <w:tc>
          <w:tcPr>
            <w:cnfStyle w:val="001000000000" w:firstRow="0" w:lastRow="0" w:firstColumn="1" w:lastColumn="0" w:oddVBand="0" w:evenVBand="0" w:oddHBand="0" w:evenHBand="0" w:firstRowFirstColumn="0" w:firstRowLastColumn="0" w:lastRowFirstColumn="0" w:lastRowLastColumn="0"/>
            <w:tcW w:w="3685" w:type="dxa"/>
            <w:tcBorders>
              <w:top w:val="nil"/>
              <w:left w:val="nil"/>
              <w:bottom w:val="nil"/>
              <w:right w:val="nil"/>
            </w:tcBorders>
          </w:tcPr>
          <w:p w:rsidR="00A46DCA" w:rsidRPr="00AC137D" w:rsidRDefault="00A46DCA" w:rsidP="00A26D04">
            <w:pPr>
              <w:keepLines w:val="0"/>
              <w:autoSpaceDE w:val="0"/>
              <w:autoSpaceDN w:val="0"/>
              <w:adjustRightInd w:val="0"/>
              <w:rPr>
                <w:rFonts w:eastAsiaTheme="minorEastAsia" w:cs="Calibri"/>
                <w:color w:val="000000"/>
                <w:sz w:val="16"/>
                <w:szCs w:val="16"/>
                <w:lang w:eastAsia="en-AU"/>
              </w:rPr>
            </w:pPr>
            <w:r w:rsidRPr="00AC137D">
              <w:rPr>
                <w:rFonts w:eastAsiaTheme="minorEastAsia" w:cs="Calibri"/>
                <w:color w:val="000000"/>
                <w:sz w:val="16"/>
                <w:szCs w:val="16"/>
                <w:lang w:eastAsia="en-AU"/>
              </w:rPr>
              <w:t>Fire Services Property Levy</w:t>
            </w:r>
          </w:p>
        </w:tc>
        <w:tc>
          <w:tcPr>
            <w:tcW w:w="794"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 w:val="16"/>
                <w:szCs w:val="18"/>
                <w:lang w:eastAsia="en-AU"/>
              </w:rPr>
            </w:pPr>
            <w:r>
              <w:rPr>
                <w:rFonts w:eastAsiaTheme="minorEastAsia" w:cs="Arial"/>
                <w:color w:val="000000"/>
                <w:sz w:val="16"/>
                <w:szCs w:val="18"/>
                <w:lang w:eastAsia="en-AU"/>
              </w:rPr>
              <w:t>674</w:t>
            </w:r>
          </w:p>
        </w:tc>
        <w:tc>
          <w:tcPr>
            <w:tcW w:w="839"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 w:val="16"/>
                <w:szCs w:val="18"/>
                <w:lang w:eastAsia="en-AU"/>
              </w:rPr>
            </w:pPr>
            <w:r>
              <w:rPr>
                <w:rFonts w:eastAsiaTheme="minorEastAsia" w:cs="Arial"/>
                <w:color w:val="000000"/>
                <w:sz w:val="16"/>
                <w:szCs w:val="18"/>
                <w:lang w:eastAsia="en-AU"/>
              </w:rPr>
              <w:t>662</w:t>
            </w:r>
          </w:p>
        </w:tc>
        <w:tc>
          <w:tcPr>
            <w:tcW w:w="828"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 w:val="16"/>
                <w:szCs w:val="18"/>
                <w:lang w:eastAsia="en-AU"/>
              </w:rPr>
            </w:pPr>
            <w:r>
              <w:rPr>
                <w:rFonts w:eastAsiaTheme="minorEastAsia" w:cs="Arial"/>
                <w:color w:val="000000"/>
                <w:sz w:val="16"/>
                <w:szCs w:val="18"/>
                <w:lang w:eastAsia="en-AU"/>
              </w:rPr>
              <w:t>662</w:t>
            </w:r>
          </w:p>
        </w:tc>
        <w:tc>
          <w:tcPr>
            <w:tcW w:w="811"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 w:val="16"/>
                <w:szCs w:val="18"/>
                <w:lang w:eastAsia="en-AU"/>
              </w:rPr>
            </w:pPr>
            <w:r>
              <w:rPr>
                <w:rFonts w:eastAsiaTheme="minorEastAsia" w:cs="Arial"/>
                <w:color w:val="000000"/>
                <w:sz w:val="16"/>
                <w:szCs w:val="18"/>
                <w:lang w:eastAsia="en-AU"/>
              </w:rPr>
              <w:t>688</w:t>
            </w:r>
          </w:p>
        </w:tc>
        <w:tc>
          <w:tcPr>
            <w:tcW w:w="811"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 w:val="16"/>
                <w:szCs w:val="18"/>
                <w:lang w:eastAsia="en-AU"/>
              </w:rPr>
            </w:pPr>
            <w:r>
              <w:rPr>
                <w:rFonts w:eastAsiaTheme="minorEastAsia" w:cs="Arial"/>
                <w:color w:val="000000"/>
                <w:sz w:val="16"/>
                <w:szCs w:val="18"/>
                <w:lang w:eastAsia="en-AU"/>
              </w:rPr>
              <w:t>695</w:t>
            </w:r>
          </w:p>
        </w:tc>
      </w:tr>
      <w:tr w:rsidR="00A46DCA" w:rsidRPr="00AC137D" w:rsidTr="00A26D04">
        <w:tc>
          <w:tcPr>
            <w:cnfStyle w:val="001000000000" w:firstRow="0" w:lastRow="0" w:firstColumn="1" w:lastColumn="0" w:oddVBand="0" w:evenVBand="0" w:oddHBand="0" w:evenHBand="0" w:firstRowFirstColumn="0" w:firstRowLastColumn="0" w:lastRowFirstColumn="0" w:lastRowLastColumn="0"/>
            <w:tcW w:w="3685" w:type="dxa"/>
            <w:tcBorders>
              <w:top w:val="nil"/>
              <w:left w:val="nil"/>
              <w:bottom w:val="nil"/>
              <w:right w:val="nil"/>
            </w:tcBorders>
          </w:tcPr>
          <w:p w:rsidR="00A46DCA" w:rsidRPr="00AC137D" w:rsidRDefault="00A46DCA" w:rsidP="00A26D04">
            <w:pPr>
              <w:keepLines w:val="0"/>
              <w:autoSpaceDE w:val="0"/>
              <w:autoSpaceDN w:val="0"/>
              <w:adjustRightInd w:val="0"/>
              <w:rPr>
                <w:rFonts w:eastAsiaTheme="minorEastAsia" w:cs="Calibri"/>
                <w:color w:val="000000"/>
                <w:sz w:val="16"/>
                <w:szCs w:val="16"/>
                <w:lang w:eastAsia="en-AU"/>
              </w:rPr>
            </w:pPr>
            <w:r w:rsidRPr="00AC137D">
              <w:rPr>
                <w:rFonts w:eastAsiaTheme="minorEastAsia" w:cs="Calibri"/>
                <w:color w:val="000000"/>
                <w:sz w:val="16"/>
                <w:szCs w:val="16"/>
                <w:lang w:eastAsia="en-AU"/>
              </w:rPr>
              <w:t>Congestion levy</w:t>
            </w:r>
          </w:p>
        </w:tc>
        <w:tc>
          <w:tcPr>
            <w:tcW w:w="794"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 w:val="16"/>
                <w:szCs w:val="18"/>
                <w:lang w:eastAsia="en-AU"/>
              </w:rPr>
            </w:pPr>
            <w:r>
              <w:rPr>
                <w:rFonts w:eastAsiaTheme="minorEastAsia" w:cs="Arial"/>
                <w:color w:val="000000"/>
                <w:sz w:val="16"/>
                <w:szCs w:val="18"/>
                <w:lang w:eastAsia="en-AU"/>
              </w:rPr>
              <w:t>118</w:t>
            </w:r>
          </w:p>
        </w:tc>
        <w:tc>
          <w:tcPr>
            <w:tcW w:w="839"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 w:val="16"/>
                <w:szCs w:val="18"/>
                <w:lang w:eastAsia="en-AU"/>
              </w:rPr>
            </w:pPr>
            <w:r>
              <w:rPr>
                <w:rFonts w:eastAsiaTheme="minorEastAsia" w:cs="Arial"/>
                <w:color w:val="000000"/>
                <w:sz w:val="16"/>
                <w:szCs w:val="18"/>
                <w:lang w:eastAsia="en-AU"/>
              </w:rPr>
              <w:t>122</w:t>
            </w:r>
          </w:p>
        </w:tc>
        <w:tc>
          <w:tcPr>
            <w:tcW w:w="828"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 w:val="16"/>
                <w:szCs w:val="18"/>
                <w:lang w:eastAsia="en-AU"/>
              </w:rPr>
            </w:pPr>
            <w:r>
              <w:rPr>
                <w:rFonts w:eastAsiaTheme="minorEastAsia" w:cs="Arial"/>
                <w:color w:val="000000"/>
                <w:sz w:val="16"/>
                <w:szCs w:val="18"/>
                <w:lang w:eastAsia="en-AU"/>
              </w:rPr>
              <w:t>124</w:t>
            </w:r>
          </w:p>
        </w:tc>
        <w:tc>
          <w:tcPr>
            <w:tcW w:w="811"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 w:val="16"/>
                <w:szCs w:val="18"/>
                <w:lang w:eastAsia="en-AU"/>
              </w:rPr>
            </w:pPr>
            <w:r>
              <w:rPr>
                <w:rFonts w:eastAsiaTheme="minorEastAsia" w:cs="Arial"/>
                <w:color w:val="000000"/>
                <w:sz w:val="16"/>
                <w:szCs w:val="18"/>
                <w:lang w:eastAsia="en-AU"/>
              </w:rPr>
              <w:t>127</w:t>
            </w:r>
          </w:p>
        </w:tc>
        <w:tc>
          <w:tcPr>
            <w:tcW w:w="811"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 w:val="16"/>
                <w:szCs w:val="18"/>
                <w:lang w:eastAsia="en-AU"/>
              </w:rPr>
            </w:pPr>
            <w:r>
              <w:rPr>
                <w:rFonts w:eastAsiaTheme="minorEastAsia" w:cs="Arial"/>
                <w:color w:val="000000"/>
                <w:sz w:val="16"/>
                <w:szCs w:val="18"/>
                <w:lang w:eastAsia="en-AU"/>
              </w:rPr>
              <w:t>130</w:t>
            </w:r>
          </w:p>
        </w:tc>
      </w:tr>
      <w:tr w:rsidR="00A46DCA" w:rsidRPr="00AC137D" w:rsidTr="00A26D04">
        <w:tc>
          <w:tcPr>
            <w:cnfStyle w:val="001000000000" w:firstRow="0" w:lastRow="0" w:firstColumn="1" w:lastColumn="0" w:oddVBand="0" w:evenVBand="0" w:oddHBand="0" w:evenHBand="0" w:firstRowFirstColumn="0" w:firstRowLastColumn="0" w:lastRowFirstColumn="0" w:lastRowLastColumn="0"/>
            <w:tcW w:w="3685" w:type="dxa"/>
            <w:tcBorders>
              <w:top w:val="nil"/>
              <w:left w:val="nil"/>
              <w:bottom w:val="nil"/>
              <w:right w:val="nil"/>
            </w:tcBorders>
          </w:tcPr>
          <w:p w:rsidR="00A46DCA" w:rsidRPr="00AC137D" w:rsidRDefault="00A46DCA" w:rsidP="00A26D04">
            <w:pPr>
              <w:keepLines w:val="0"/>
              <w:autoSpaceDE w:val="0"/>
              <w:autoSpaceDN w:val="0"/>
              <w:adjustRightInd w:val="0"/>
              <w:rPr>
                <w:rFonts w:eastAsiaTheme="minorEastAsia" w:cs="Calibri"/>
                <w:color w:val="000000"/>
                <w:sz w:val="16"/>
                <w:szCs w:val="16"/>
                <w:lang w:eastAsia="en-AU"/>
              </w:rPr>
            </w:pPr>
            <w:r w:rsidRPr="00AC137D">
              <w:rPr>
                <w:rFonts w:eastAsiaTheme="minorEastAsia" w:cs="Calibri"/>
                <w:color w:val="000000"/>
                <w:sz w:val="16"/>
                <w:szCs w:val="16"/>
                <w:lang w:eastAsia="en-AU"/>
              </w:rPr>
              <w:t>Metropolitan improvement levy</w:t>
            </w:r>
          </w:p>
        </w:tc>
        <w:tc>
          <w:tcPr>
            <w:tcW w:w="794"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 w:val="16"/>
                <w:szCs w:val="18"/>
                <w:lang w:eastAsia="en-AU"/>
              </w:rPr>
            </w:pPr>
            <w:r>
              <w:rPr>
                <w:rFonts w:eastAsiaTheme="minorEastAsia" w:cs="Arial"/>
                <w:color w:val="000000"/>
                <w:sz w:val="16"/>
                <w:szCs w:val="18"/>
                <w:lang w:eastAsia="en-AU"/>
              </w:rPr>
              <w:t>162</w:t>
            </w:r>
          </w:p>
        </w:tc>
        <w:tc>
          <w:tcPr>
            <w:tcW w:w="839"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 w:val="16"/>
                <w:szCs w:val="18"/>
                <w:lang w:eastAsia="en-AU"/>
              </w:rPr>
            </w:pPr>
            <w:r>
              <w:rPr>
                <w:rFonts w:eastAsiaTheme="minorEastAsia" w:cs="Arial"/>
                <w:color w:val="000000"/>
                <w:sz w:val="16"/>
                <w:szCs w:val="18"/>
                <w:lang w:eastAsia="en-AU"/>
              </w:rPr>
              <w:t>162</w:t>
            </w:r>
          </w:p>
        </w:tc>
        <w:tc>
          <w:tcPr>
            <w:tcW w:w="828"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 w:val="16"/>
                <w:szCs w:val="18"/>
                <w:lang w:eastAsia="en-AU"/>
              </w:rPr>
            </w:pPr>
            <w:r>
              <w:rPr>
                <w:rFonts w:eastAsiaTheme="minorEastAsia" w:cs="Arial"/>
                <w:color w:val="000000"/>
                <w:sz w:val="16"/>
                <w:szCs w:val="18"/>
                <w:lang w:eastAsia="en-AU"/>
              </w:rPr>
              <w:t>166</w:t>
            </w:r>
          </w:p>
        </w:tc>
        <w:tc>
          <w:tcPr>
            <w:tcW w:w="811"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 w:val="16"/>
                <w:szCs w:val="18"/>
                <w:lang w:eastAsia="en-AU"/>
              </w:rPr>
            </w:pPr>
            <w:r>
              <w:rPr>
                <w:rFonts w:eastAsiaTheme="minorEastAsia" w:cs="Arial"/>
                <w:color w:val="000000"/>
                <w:sz w:val="16"/>
                <w:szCs w:val="18"/>
                <w:lang w:eastAsia="en-AU"/>
              </w:rPr>
              <w:t>170</w:t>
            </w:r>
          </w:p>
        </w:tc>
        <w:tc>
          <w:tcPr>
            <w:tcW w:w="811"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 w:val="16"/>
                <w:szCs w:val="18"/>
                <w:lang w:eastAsia="en-AU"/>
              </w:rPr>
            </w:pPr>
            <w:r>
              <w:rPr>
                <w:rFonts w:eastAsiaTheme="minorEastAsia" w:cs="Arial"/>
                <w:color w:val="000000"/>
                <w:sz w:val="16"/>
                <w:szCs w:val="18"/>
                <w:lang w:eastAsia="en-AU"/>
              </w:rPr>
              <w:t>174</w:t>
            </w:r>
          </w:p>
        </w:tc>
      </w:tr>
      <w:tr w:rsidR="00A46DCA" w:rsidRPr="00AC137D" w:rsidTr="00A26D04">
        <w:tc>
          <w:tcPr>
            <w:cnfStyle w:val="001000000000" w:firstRow="0" w:lastRow="0" w:firstColumn="1" w:lastColumn="0" w:oddVBand="0" w:evenVBand="0" w:oddHBand="0" w:evenHBand="0" w:firstRowFirstColumn="0" w:firstRowLastColumn="0" w:lastRowFirstColumn="0" w:lastRowLastColumn="0"/>
            <w:tcW w:w="3685" w:type="dxa"/>
            <w:tcBorders>
              <w:top w:val="nil"/>
              <w:left w:val="nil"/>
              <w:bottom w:val="nil"/>
              <w:right w:val="nil"/>
            </w:tcBorders>
          </w:tcPr>
          <w:p w:rsidR="00A46DCA" w:rsidRPr="00AC137D" w:rsidRDefault="00A46DCA" w:rsidP="00A26D04">
            <w:pPr>
              <w:keepLines w:val="0"/>
              <w:autoSpaceDE w:val="0"/>
              <w:autoSpaceDN w:val="0"/>
              <w:adjustRightInd w:val="0"/>
              <w:rPr>
                <w:rFonts w:eastAsiaTheme="minorEastAsia" w:cs="Calibri"/>
                <w:b/>
                <w:bCs/>
                <w:color w:val="000000"/>
                <w:sz w:val="16"/>
                <w:szCs w:val="16"/>
                <w:lang w:eastAsia="en-AU"/>
              </w:rPr>
            </w:pPr>
            <w:r w:rsidRPr="00AC137D">
              <w:rPr>
                <w:rFonts w:eastAsiaTheme="minorEastAsia" w:cs="Calibri"/>
                <w:b/>
                <w:bCs/>
                <w:color w:val="000000"/>
                <w:sz w:val="16"/>
                <w:szCs w:val="16"/>
                <w:lang w:eastAsia="en-AU"/>
              </w:rPr>
              <w:t>Financial and capital transactions</w:t>
            </w:r>
          </w:p>
        </w:tc>
        <w:tc>
          <w:tcPr>
            <w:tcW w:w="794"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lang w:eastAsia="en-AU"/>
              </w:rPr>
            </w:pPr>
            <w:r w:rsidRPr="00AC137D">
              <w:rPr>
                <w:rFonts w:eastAsiaTheme="minorEastAsia" w:cs="Calibri"/>
                <w:b/>
                <w:bCs/>
                <w:color w:val="000000"/>
                <w:sz w:val="16"/>
                <w:lang w:eastAsia="en-AU"/>
              </w:rPr>
              <w:t xml:space="preserve"> </w:t>
            </w:r>
          </w:p>
        </w:tc>
        <w:tc>
          <w:tcPr>
            <w:tcW w:w="839"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lang w:eastAsia="en-AU"/>
              </w:rPr>
            </w:pPr>
            <w:r w:rsidRPr="00AC137D">
              <w:rPr>
                <w:rFonts w:eastAsiaTheme="minorEastAsia" w:cs="Calibri"/>
                <w:b/>
                <w:bCs/>
                <w:color w:val="000000"/>
                <w:sz w:val="16"/>
                <w:lang w:eastAsia="en-AU"/>
              </w:rPr>
              <w:t xml:space="preserve"> </w:t>
            </w:r>
          </w:p>
        </w:tc>
        <w:tc>
          <w:tcPr>
            <w:tcW w:w="828"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lang w:eastAsia="en-AU"/>
              </w:rPr>
            </w:pPr>
            <w:r w:rsidRPr="00AC137D">
              <w:rPr>
                <w:rFonts w:eastAsiaTheme="minorEastAsia" w:cs="Calibri"/>
                <w:b/>
                <w:bCs/>
                <w:color w:val="000000"/>
                <w:sz w:val="16"/>
                <w:lang w:eastAsia="en-AU"/>
              </w:rPr>
              <w:t xml:space="preserve"> </w:t>
            </w:r>
          </w:p>
        </w:tc>
        <w:tc>
          <w:tcPr>
            <w:tcW w:w="811"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lang w:eastAsia="en-AU"/>
              </w:rPr>
            </w:pPr>
            <w:r w:rsidRPr="00AC137D">
              <w:rPr>
                <w:rFonts w:eastAsiaTheme="minorEastAsia" w:cs="Calibri"/>
                <w:b/>
                <w:bCs/>
                <w:color w:val="000000"/>
                <w:sz w:val="16"/>
                <w:lang w:eastAsia="en-AU"/>
              </w:rPr>
              <w:t xml:space="preserve"> </w:t>
            </w:r>
          </w:p>
        </w:tc>
        <w:tc>
          <w:tcPr>
            <w:tcW w:w="811"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lang w:eastAsia="en-AU"/>
              </w:rPr>
            </w:pPr>
            <w:r w:rsidRPr="00AC137D">
              <w:rPr>
                <w:rFonts w:eastAsiaTheme="minorEastAsia" w:cs="Calibri"/>
                <w:b/>
                <w:bCs/>
                <w:color w:val="000000"/>
                <w:sz w:val="16"/>
                <w:lang w:eastAsia="en-AU"/>
              </w:rPr>
              <w:t xml:space="preserve"> </w:t>
            </w:r>
          </w:p>
        </w:tc>
      </w:tr>
      <w:tr w:rsidR="00A46DCA" w:rsidRPr="00AC137D" w:rsidTr="00A26D04">
        <w:tc>
          <w:tcPr>
            <w:cnfStyle w:val="001000000000" w:firstRow="0" w:lastRow="0" w:firstColumn="1" w:lastColumn="0" w:oddVBand="0" w:evenVBand="0" w:oddHBand="0" w:evenHBand="0" w:firstRowFirstColumn="0" w:firstRowLastColumn="0" w:lastRowFirstColumn="0" w:lastRowLastColumn="0"/>
            <w:tcW w:w="3685" w:type="dxa"/>
            <w:tcBorders>
              <w:top w:val="nil"/>
              <w:left w:val="nil"/>
              <w:bottom w:val="nil"/>
              <w:right w:val="nil"/>
            </w:tcBorders>
          </w:tcPr>
          <w:p w:rsidR="00A46DCA" w:rsidRPr="00AC137D" w:rsidRDefault="00A46DCA" w:rsidP="00A26D04">
            <w:pPr>
              <w:keepLines w:val="0"/>
              <w:autoSpaceDE w:val="0"/>
              <w:autoSpaceDN w:val="0"/>
              <w:adjustRightInd w:val="0"/>
              <w:rPr>
                <w:rFonts w:eastAsiaTheme="minorEastAsia" w:cs="Calibri"/>
                <w:color w:val="000000"/>
                <w:sz w:val="16"/>
                <w:szCs w:val="16"/>
                <w:lang w:eastAsia="en-AU"/>
              </w:rPr>
            </w:pPr>
            <w:r w:rsidRPr="00AC137D">
              <w:rPr>
                <w:rFonts w:eastAsiaTheme="minorEastAsia" w:cs="Calibri"/>
                <w:color w:val="000000"/>
                <w:sz w:val="16"/>
                <w:szCs w:val="16"/>
                <w:lang w:eastAsia="en-AU"/>
              </w:rPr>
              <w:t>Land transfer duty</w:t>
            </w:r>
          </w:p>
        </w:tc>
        <w:tc>
          <w:tcPr>
            <w:tcW w:w="794"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 w:val="16"/>
                <w:szCs w:val="18"/>
                <w:lang w:eastAsia="en-AU"/>
              </w:rPr>
            </w:pPr>
            <w:r w:rsidRPr="00AC137D">
              <w:rPr>
                <w:rFonts w:eastAsiaTheme="minorEastAsia" w:cs="Arial"/>
                <w:color w:val="000000"/>
                <w:sz w:val="16"/>
                <w:szCs w:val="18"/>
                <w:lang w:eastAsia="en-AU"/>
              </w:rPr>
              <w:t>6 164</w:t>
            </w:r>
          </w:p>
        </w:tc>
        <w:tc>
          <w:tcPr>
            <w:tcW w:w="839"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 w:val="16"/>
                <w:szCs w:val="18"/>
                <w:lang w:eastAsia="en-AU"/>
              </w:rPr>
            </w:pPr>
            <w:r w:rsidRPr="00AC137D">
              <w:rPr>
                <w:rFonts w:eastAsiaTheme="minorEastAsia" w:cs="Arial"/>
                <w:color w:val="000000"/>
                <w:sz w:val="16"/>
                <w:szCs w:val="18"/>
                <w:lang w:eastAsia="en-AU"/>
              </w:rPr>
              <w:t>6 573</w:t>
            </w:r>
          </w:p>
        </w:tc>
        <w:tc>
          <w:tcPr>
            <w:tcW w:w="828"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 w:val="16"/>
                <w:szCs w:val="18"/>
                <w:lang w:eastAsia="en-AU"/>
              </w:rPr>
            </w:pPr>
            <w:r w:rsidRPr="00AC137D">
              <w:rPr>
                <w:rFonts w:eastAsiaTheme="minorEastAsia" w:cs="Arial"/>
                <w:color w:val="000000"/>
                <w:sz w:val="16"/>
                <w:szCs w:val="18"/>
                <w:lang w:eastAsia="en-AU"/>
              </w:rPr>
              <w:t>6 882</w:t>
            </w:r>
          </w:p>
        </w:tc>
        <w:tc>
          <w:tcPr>
            <w:tcW w:w="811"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 w:val="16"/>
                <w:szCs w:val="18"/>
                <w:lang w:eastAsia="en-AU"/>
              </w:rPr>
            </w:pPr>
            <w:r w:rsidRPr="00AC137D">
              <w:rPr>
                <w:rFonts w:eastAsiaTheme="minorEastAsia" w:cs="Arial"/>
                <w:color w:val="000000"/>
                <w:sz w:val="16"/>
                <w:szCs w:val="18"/>
                <w:lang w:eastAsia="en-AU"/>
              </w:rPr>
              <w:t>7 139</w:t>
            </w:r>
          </w:p>
        </w:tc>
        <w:tc>
          <w:tcPr>
            <w:tcW w:w="811"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 w:val="16"/>
                <w:szCs w:val="18"/>
                <w:lang w:eastAsia="en-AU"/>
              </w:rPr>
            </w:pPr>
            <w:r w:rsidRPr="00AC137D">
              <w:rPr>
                <w:rFonts w:eastAsiaTheme="minorEastAsia" w:cs="Arial"/>
                <w:color w:val="000000"/>
                <w:sz w:val="16"/>
                <w:szCs w:val="18"/>
                <w:lang w:eastAsia="en-AU"/>
              </w:rPr>
              <w:t>7 424</w:t>
            </w:r>
          </w:p>
        </w:tc>
      </w:tr>
      <w:tr w:rsidR="00A46DCA" w:rsidRPr="00AC137D" w:rsidTr="00A26D04">
        <w:tc>
          <w:tcPr>
            <w:cnfStyle w:val="001000000000" w:firstRow="0" w:lastRow="0" w:firstColumn="1" w:lastColumn="0" w:oddVBand="0" w:evenVBand="0" w:oddHBand="0" w:evenHBand="0" w:firstRowFirstColumn="0" w:firstRowLastColumn="0" w:lastRowFirstColumn="0" w:lastRowLastColumn="0"/>
            <w:tcW w:w="3685" w:type="dxa"/>
            <w:tcBorders>
              <w:top w:val="nil"/>
              <w:left w:val="nil"/>
              <w:bottom w:val="nil"/>
              <w:right w:val="nil"/>
            </w:tcBorders>
          </w:tcPr>
          <w:p w:rsidR="00A46DCA" w:rsidRPr="00AC137D" w:rsidRDefault="00A46DCA" w:rsidP="00A26D04">
            <w:pPr>
              <w:keepLines w:val="0"/>
              <w:autoSpaceDE w:val="0"/>
              <w:autoSpaceDN w:val="0"/>
              <w:adjustRightInd w:val="0"/>
              <w:rPr>
                <w:rFonts w:eastAsiaTheme="minorEastAsia" w:cs="Calibri"/>
                <w:color w:val="000000"/>
                <w:sz w:val="16"/>
                <w:szCs w:val="16"/>
                <w:lang w:eastAsia="en-AU"/>
              </w:rPr>
            </w:pPr>
            <w:r w:rsidRPr="00AC137D">
              <w:rPr>
                <w:rFonts w:eastAsiaTheme="minorEastAsia" w:cs="Calibri"/>
                <w:color w:val="000000"/>
                <w:sz w:val="16"/>
                <w:szCs w:val="16"/>
                <w:lang w:eastAsia="en-AU"/>
              </w:rPr>
              <w:t>Metropolitan planning levy</w:t>
            </w:r>
          </w:p>
        </w:tc>
        <w:tc>
          <w:tcPr>
            <w:tcW w:w="794"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 w:val="16"/>
                <w:szCs w:val="18"/>
                <w:lang w:eastAsia="en-AU"/>
              </w:rPr>
            </w:pPr>
            <w:r>
              <w:rPr>
                <w:rFonts w:eastAsiaTheme="minorEastAsia" w:cs="Arial"/>
                <w:color w:val="000000"/>
                <w:sz w:val="16"/>
                <w:szCs w:val="18"/>
                <w:lang w:eastAsia="en-AU"/>
              </w:rPr>
              <w:t>27</w:t>
            </w:r>
          </w:p>
        </w:tc>
        <w:tc>
          <w:tcPr>
            <w:tcW w:w="839"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 w:val="16"/>
                <w:szCs w:val="18"/>
                <w:lang w:eastAsia="en-AU"/>
              </w:rPr>
            </w:pPr>
            <w:r>
              <w:rPr>
                <w:rFonts w:eastAsiaTheme="minorEastAsia" w:cs="Arial"/>
                <w:color w:val="000000"/>
                <w:sz w:val="16"/>
                <w:szCs w:val="18"/>
                <w:lang w:eastAsia="en-AU"/>
              </w:rPr>
              <w:t>28</w:t>
            </w:r>
          </w:p>
        </w:tc>
        <w:tc>
          <w:tcPr>
            <w:tcW w:w="828"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 w:val="16"/>
                <w:szCs w:val="18"/>
                <w:lang w:eastAsia="en-AU"/>
              </w:rPr>
            </w:pPr>
            <w:r>
              <w:rPr>
                <w:rFonts w:eastAsiaTheme="minorEastAsia" w:cs="Arial"/>
                <w:color w:val="000000"/>
                <w:sz w:val="16"/>
                <w:szCs w:val="18"/>
                <w:lang w:eastAsia="en-AU"/>
              </w:rPr>
              <w:t>29</w:t>
            </w:r>
          </w:p>
        </w:tc>
        <w:tc>
          <w:tcPr>
            <w:tcW w:w="811"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 w:val="16"/>
                <w:szCs w:val="18"/>
                <w:lang w:eastAsia="en-AU"/>
              </w:rPr>
            </w:pPr>
            <w:r>
              <w:rPr>
                <w:rFonts w:eastAsiaTheme="minorEastAsia" w:cs="Arial"/>
                <w:color w:val="000000"/>
                <w:sz w:val="16"/>
                <w:szCs w:val="18"/>
                <w:lang w:eastAsia="en-AU"/>
              </w:rPr>
              <w:t>30</w:t>
            </w:r>
          </w:p>
        </w:tc>
        <w:tc>
          <w:tcPr>
            <w:tcW w:w="811"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 w:val="16"/>
                <w:szCs w:val="18"/>
                <w:lang w:eastAsia="en-AU"/>
              </w:rPr>
            </w:pPr>
            <w:r>
              <w:rPr>
                <w:rFonts w:eastAsiaTheme="minorEastAsia" w:cs="Arial"/>
                <w:color w:val="000000"/>
                <w:sz w:val="16"/>
                <w:szCs w:val="18"/>
                <w:lang w:eastAsia="en-AU"/>
              </w:rPr>
              <w:t>31</w:t>
            </w:r>
          </w:p>
        </w:tc>
      </w:tr>
      <w:tr w:rsidR="00A46DCA" w:rsidRPr="00AC137D" w:rsidTr="00A26D04">
        <w:tc>
          <w:tcPr>
            <w:cnfStyle w:val="001000000000" w:firstRow="0" w:lastRow="0" w:firstColumn="1" w:lastColumn="0" w:oddVBand="0" w:evenVBand="0" w:oddHBand="0" w:evenHBand="0" w:firstRowFirstColumn="0" w:firstRowLastColumn="0" w:lastRowFirstColumn="0" w:lastRowLastColumn="0"/>
            <w:tcW w:w="3685" w:type="dxa"/>
            <w:tcBorders>
              <w:top w:val="nil"/>
              <w:left w:val="nil"/>
              <w:bottom w:val="nil"/>
              <w:right w:val="nil"/>
            </w:tcBorders>
          </w:tcPr>
          <w:p w:rsidR="00A46DCA" w:rsidRPr="00AC137D" w:rsidRDefault="00A46DCA" w:rsidP="00A26D04">
            <w:pPr>
              <w:keepLines w:val="0"/>
              <w:autoSpaceDE w:val="0"/>
              <w:autoSpaceDN w:val="0"/>
              <w:adjustRightInd w:val="0"/>
              <w:rPr>
                <w:rFonts w:eastAsiaTheme="minorEastAsia" w:cs="Calibri"/>
                <w:color w:val="000000"/>
                <w:sz w:val="16"/>
                <w:szCs w:val="16"/>
                <w:lang w:eastAsia="en-AU"/>
              </w:rPr>
            </w:pPr>
            <w:r w:rsidRPr="00AC137D">
              <w:rPr>
                <w:rFonts w:eastAsiaTheme="minorEastAsia" w:cs="Calibri"/>
                <w:color w:val="000000"/>
                <w:sz w:val="16"/>
                <w:szCs w:val="16"/>
                <w:lang w:eastAsia="en-AU"/>
              </w:rPr>
              <w:t>Financial accommodation levy</w:t>
            </w:r>
          </w:p>
        </w:tc>
        <w:tc>
          <w:tcPr>
            <w:tcW w:w="794"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 w:val="16"/>
                <w:szCs w:val="18"/>
                <w:lang w:eastAsia="en-AU"/>
              </w:rPr>
            </w:pPr>
            <w:r>
              <w:rPr>
                <w:rFonts w:eastAsiaTheme="minorEastAsia" w:cs="Arial"/>
                <w:color w:val="000000"/>
                <w:sz w:val="16"/>
                <w:szCs w:val="18"/>
                <w:lang w:eastAsia="en-AU"/>
              </w:rPr>
              <w:t>154</w:t>
            </w:r>
          </w:p>
        </w:tc>
        <w:tc>
          <w:tcPr>
            <w:tcW w:w="839"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 w:val="16"/>
                <w:szCs w:val="18"/>
                <w:lang w:eastAsia="en-AU"/>
              </w:rPr>
            </w:pPr>
            <w:r>
              <w:rPr>
                <w:rFonts w:eastAsiaTheme="minorEastAsia" w:cs="Arial"/>
                <w:color w:val="000000"/>
                <w:sz w:val="16"/>
                <w:szCs w:val="18"/>
                <w:lang w:eastAsia="en-AU"/>
              </w:rPr>
              <w:t>156</w:t>
            </w:r>
          </w:p>
        </w:tc>
        <w:tc>
          <w:tcPr>
            <w:tcW w:w="828"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 w:val="16"/>
                <w:szCs w:val="18"/>
                <w:lang w:eastAsia="en-AU"/>
              </w:rPr>
            </w:pPr>
            <w:r>
              <w:rPr>
                <w:rFonts w:eastAsiaTheme="minorEastAsia" w:cs="Arial"/>
                <w:color w:val="000000"/>
                <w:sz w:val="16"/>
                <w:szCs w:val="18"/>
                <w:lang w:eastAsia="en-AU"/>
              </w:rPr>
              <w:t>185</w:t>
            </w:r>
          </w:p>
        </w:tc>
        <w:tc>
          <w:tcPr>
            <w:tcW w:w="811"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 w:val="16"/>
                <w:szCs w:val="18"/>
                <w:lang w:eastAsia="en-AU"/>
              </w:rPr>
            </w:pPr>
            <w:r>
              <w:rPr>
                <w:rFonts w:eastAsiaTheme="minorEastAsia" w:cs="Arial"/>
                <w:color w:val="000000"/>
                <w:sz w:val="16"/>
                <w:szCs w:val="18"/>
                <w:lang w:eastAsia="en-AU"/>
              </w:rPr>
              <w:t>203</w:t>
            </w:r>
          </w:p>
        </w:tc>
        <w:tc>
          <w:tcPr>
            <w:tcW w:w="811"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 w:val="16"/>
                <w:szCs w:val="18"/>
                <w:lang w:eastAsia="en-AU"/>
              </w:rPr>
            </w:pPr>
            <w:r>
              <w:rPr>
                <w:rFonts w:eastAsiaTheme="minorEastAsia" w:cs="Arial"/>
                <w:color w:val="000000"/>
                <w:sz w:val="16"/>
                <w:szCs w:val="18"/>
                <w:lang w:eastAsia="en-AU"/>
              </w:rPr>
              <w:t>220</w:t>
            </w:r>
          </w:p>
        </w:tc>
      </w:tr>
      <w:tr w:rsidR="00A46DCA" w:rsidRPr="00AC137D" w:rsidTr="00A26D04">
        <w:tc>
          <w:tcPr>
            <w:cnfStyle w:val="001000000000" w:firstRow="0" w:lastRow="0" w:firstColumn="1" w:lastColumn="0" w:oddVBand="0" w:evenVBand="0" w:oddHBand="0" w:evenHBand="0" w:firstRowFirstColumn="0" w:firstRowLastColumn="0" w:lastRowFirstColumn="0" w:lastRowLastColumn="0"/>
            <w:tcW w:w="3685" w:type="dxa"/>
            <w:tcBorders>
              <w:top w:val="nil"/>
              <w:left w:val="nil"/>
              <w:bottom w:val="nil"/>
              <w:right w:val="nil"/>
            </w:tcBorders>
          </w:tcPr>
          <w:p w:rsidR="00A46DCA" w:rsidRPr="00AC137D" w:rsidRDefault="00A46DCA" w:rsidP="00A26D04">
            <w:pPr>
              <w:keepLines w:val="0"/>
              <w:autoSpaceDE w:val="0"/>
              <w:autoSpaceDN w:val="0"/>
              <w:adjustRightInd w:val="0"/>
              <w:rPr>
                <w:rFonts w:eastAsiaTheme="minorEastAsia" w:cs="Calibri"/>
                <w:color w:val="000000"/>
                <w:sz w:val="16"/>
                <w:szCs w:val="16"/>
                <w:lang w:eastAsia="en-AU"/>
              </w:rPr>
            </w:pPr>
            <w:r w:rsidRPr="00AC137D">
              <w:rPr>
                <w:rFonts w:eastAsiaTheme="minorEastAsia" w:cs="Calibri"/>
                <w:color w:val="000000"/>
                <w:sz w:val="16"/>
                <w:szCs w:val="16"/>
                <w:lang w:eastAsia="en-AU"/>
              </w:rPr>
              <w:t>Growth areas infrastructure contributions</w:t>
            </w:r>
          </w:p>
        </w:tc>
        <w:tc>
          <w:tcPr>
            <w:tcW w:w="794"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 w:val="16"/>
                <w:szCs w:val="18"/>
                <w:lang w:eastAsia="en-AU"/>
              </w:rPr>
            </w:pPr>
            <w:r>
              <w:rPr>
                <w:rFonts w:eastAsiaTheme="minorEastAsia" w:cs="Arial"/>
                <w:color w:val="000000"/>
                <w:sz w:val="16"/>
                <w:szCs w:val="18"/>
                <w:lang w:eastAsia="en-AU"/>
              </w:rPr>
              <w:t>175</w:t>
            </w:r>
          </w:p>
        </w:tc>
        <w:tc>
          <w:tcPr>
            <w:tcW w:w="839"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 w:val="16"/>
                <w:szCs w:val="18"/>
                <w:lang w:eastAsia="en-AU"/>
              </w:rPr>
            </w:pPr>
            <w:r>
              <w:rPr>
                <w:rFonts w:eastAsiaTheme="minorEastAsia" w:cs="Arial"/>
                <w:color w:val="000000"/>
                <w:sz w:val="16"/>
                <w:szCs w:val="18"/>
                <w:lang w:eastAsia="en-AU"/>
              </w:rPr>
              <w:t>220</w:t>
            </w:r>
          </w:p>
        </w:tc>
        <w:tc>
          <w:tcPr>
            <w:tcW w:w="828"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 w:val="16"/>
                <w:szCs w:val="18"/>
                <w:lang w:eastAsia="en-AU"/>
              </w:rPr>
            </w:pPr>
            <w:r>
              <w:rPr>
                <w:rFonts w:eastAsiaTheme="minorEastAsia" w:cs="Arial"/>
                <w:color w:val="000000"/>
                <w:sz w:val="16"/>
                <w:szCs w:val="18"/>
                <w:lang w:eastAsia="en-AU"/>
              </w:rPr>
              <w:t>248</w:t>
            </w:r>
          </w:p>
        </w:tc>
        <w:tc>
          <w:tcPr>
            <w:tcW w:w="811"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 w:val="16"/>
                <w:szCs w:val="18"/>
                <w:lang w:eastAsia="en-AU"/>
              </w:rPr>
            </w:pPr>
            <w:r>
              <w:rPr>
                <w:rFonts w:eastAsiaTheme="minorEastAsia" w:cs="Arial"/>
                <w:color w:val="000000"/>
                <w:sz w:val="16"/>
                <w:szCs w:val="18"/>
                <w:lang w:eastAsia="en-AU"/>
              </w:rPr>
              <w:t>277</w:t>
            </w:r>
          </w:p>
        </w:tc>
        <w:tc>
          <w:tcPr>
            <w:tcW w:w="811"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 w:val="16"/>
                <w:szCs w:val="18"/>
                <w:lang w:eastAsia="en-AU"/>
              </w:rPr>
            </w:pPr>
            <w:r>
              <w:rPr>
                <w:rFonts w:eastAsiaTheme="minorEastAsia" w:cs="Arial"/>
                <w:color w:val="000000"/>
                <w:sz w:val="16"/>
                <w:szCs w:val="18"/>
                <w:lang w:eastAsia="en-AU"/>
              </w:rPr>
              <w:t>294</w:t>
            </w:r>
          </w:p>
        </w:tc>
      </w:tr>
      <w:tr w:rsidR="00A46DCA" w:rsidRPr="00AC137D" w:rsidTr="00A26D04">
        <w:tc>
          <w:tcPr>
            <w:cnfStyle w:val="001000000000" w:firstRow="0" w:lastRow="0" w:firstColumn="1" w:lastColumn="0" w:oddVBand="0" w:evenVBand="0" w:oddHBand="0" w:evenHBand="0" w:firstRowFirstColumn="0" w:firstRowLastColumn="0" w:lastRowFirstColumn="0" w:lastRowLastColumn="0"/>
            <w:tcW w:w="3685" w:type="dxa"/>
            <w:tcBorders>
              <w:top w:val="single" w:sz="6" w:space="0" w:color="000000"/>
              <w:left w:val="nil"/>
              <w:bottom w:val="single" w:sz="6" w:space="0" w:color="000000"/>
              <w:right w:val="nil"/>
            </w:tcBorders>
          </w:tcPr>
          <w:p w:rsidR="00A46DCA" w:rsidRPr="00AC137D" w:rsidRDefault="00A46DCA" w:rsidP="00A26D04">
            <w:pPr>
              <w:keepLines w:val="0"/>
              <w:autoSpaceDE w:val="0"/>
              <w:autoSpaceDN w:val="0"/>
              <w:adjustRightInd w:val="0"/>
              <w:rPr>
                <w:rFonts w:eastAsiaTheme="minorEastAsia" w:cs="Calibri"/>
                <w:b/>
                <w:bCs/>
                <w:color w:val="000000"/>
                <w:sz w:val="16"/>
                <w:szCs w:val="16"/>
                <w:lang w:eastAsia="en-AU"/>
              </w:rPr>
            </w:pPr>
            <w:r w:rsidRPr="00AC137D">
              <w:rPr>
                <w:rFonts w:eastAsiaTheme="minorEastAsia" w:cs="Calibri"/>
                <w:b/>
                <w:bCs/>
                <w:color w:val="000000"/>
                <w:sz w:val="16"/>
                <w:szCs w:val="16"/>
                <w:lang w:eastAsia="en-AU"/>
              </w:rPr>
              <w:t>Total taxes on property</w:t>
            </w:r>
          </w:p>
        </w:tc>
        <w:tc>
          <w:tcPr>
            <w:tcW w:w="794" w:type="dxa"/>
            <w:tcBorders>
              <w:top w:val="single" w:sz="6" w:space="0" w:color="000000"/>
              <w:left w:val="nil"/>
              <w:bottom w:val="single" w:sz="6" w:space="0" w:color="000000"/>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 w:val="16"/>
                <w:szCs w:val="18"/>
                <w:lang w:eastAsia="en-AU"/>
              </w:rPr>
            </w:pPr>
            <w:r w:rsidRPr="00AC137D">
              <w:rPr>
                <w:rFonts w:eastAsiaTheme="minorEastAsia" w:cs="Arial"/>
                <w:b/>
                <w:bCs/>
                <w:color w:val="000000"/>
                <w:sz w:val="16"/>
                <w:szCs w:val="18"/>
                <w:lang w:eastAsia="en-AU"/>
              </w:rPr>
              <w:t>9 840</w:t>
            </w:r>
          </w:p>
        </w:tc>
        <w:tc>
          <w:tcPr>
            <w:tcW w:w="839" w:type="dxa"/>
            <w:tcBorders>
              <w:top w:val="single" w:sz="6" w:space="0" w:color="000000"/>
              <w:left w:val="nil"/>
              <w:bottom w:val="single" w:sz="6" w:space="0" w:color="000000"/>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 w:val="16"/>
                <w:szCs w:val="18"/>
                <w:lang w:eastAsia="en-AU"/>
              </w:rPr>
            </w:pPr>
            <w:r w:rsidRPr="00AC137D">
              <w:rPr>
                <w:rFonts w:eastAsiaTheme="minorEastAsia" w:cs="Arial"/>
                <w:b/>
                <w:bCs/>
                <w:color w:val="000000"/>
                <w:sz w:val="16"/>
                <w:szCs w:val="18"/>
                <w:lang w:eastAsia="en-AU"/>
              </w:rPr>
              <w:t>10 350</w:t>
            </w:r>
          </w:p>
        </w:tc>
        <w:tc>
          <w:tcPr>
            <w:tcW w:w="828" w:type="dxa"/>
            <w:tcBorders>
              <w:top w:val="single" w:sz="6" w:space="0" w:color="000000"/>
              <w:left w:val="nil"/>
              <w:bottom w:val="single" w:sz="6" w:space="0" w:color="000000"/>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 w:val="16"/>
                <w:szCs w:val="18"/>
                <w:lang w:eastAsia="en-AU"/>
              </w:rPr>
            </w:pPr>
            <w:r w:rsidRPr="00AC137D">
              <w:rPr>
                <w:rFonts w:eastAsiaTheme="minorEastAsia" w:cs="Arial"/>
                <w:b/>
                <w:bCs/>
                <w:color w:val="000000"/>
                <w:sz w:val="16"/>
                <w:szCs w:val="18"/>
                <w:lang w:eastAsia="en-AU"/>
              </w:rPr>
              <w:t>11 246</w:t>
            </w:r>
          </w:p>
        </w:tc>
        <w:tc>
          <w:tcPr>
            <w:tcW w:w="811" w:type="dxa"/>
            <w:tcBorders>
              <w:top w:val="single" w:sz="6" w:space="0" w:color="000000"/>
              <w:left w:val="nil"/>
              <w:bottom w:val="single" w:sz="6" w:space="0" w:color="000000"/>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 w:val="16"/>
                <w:szCs w:val="18"/>
                <w:lang w:eastAsia="en-AU"/>
              </w:rPr>
            </w:pPr>
            <w:r w:rsidRPr="00AC137D">
              <w:rPr>
                <w:rFonts w:eastAsiaTheme="minorEastAsia" w:cs="Arial"/>
                <w:b/>
                <w:bCs/>
                <w:color w:val="000000"/>
                <w:sz w:val="16"/>
                <w:szCs w:val="18"/>
                <w:lang w:eastAsia="en-AU"/>
              </w:rPr>
              <w:t>11 834</w:t>
            </w:r>
          </w:p>
        </w:tc>
        <w:tc>
          <w:tcPr>
            <w:tcW w:w="811" w:type="dxa"/>
            <w:tcBorders>
              <w:top w:val="single" w:sz="6" w:space="0" w:color="000000"/>
              <w:left w:val="nil"/>
              <w:bottom w:val="single" w:sz="6" w:space="0" w:color="000000"/>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 w:val="16"/>
                <w:szCs w:val="18"/>
                <w:lang w:eastAsia="en-AU"/>
              </w:rPr>
            </w:pPr>
            <w:r w:rsidRPr="00AC137D">
              <w:rPr>
                <w:rFonts w:eastAsiaTheme="minorEastAsia" w:cs="Arial"/>
                <w:b/>
                <w:bCs/>
                <w:color w:val="000000"/>
                <w:sz w:val="16"/>
                <w:szCs w:val="18"/>
                <w:lang w:eastAsia="en-AU"/>
              </w:rPr>
              <w:t>12 234</w:t>
            </w:r>
          </w:p>
        </w:tc>
      </w:tr>
      <w:tr w:rsidR="00A46DCA" w:rsidRPr="00AC137D" w:rsidTr="00A26D04">
        <w:tc>
          <w:tcPr>
            <w:cnfStyle w:val="001000000000" w:firstRow="0" w:lastRow="0" w:firstColumn="1" w:lastColumn="0" w:oddVBand="0" w:evenVBand="0" w:oddHBand="0" w:evenHBand="0" w:firstRowFirstColumn="0" w:firstRowLastColumn="0" w:lastRowFirstColumn="0" w:lastRowLastColumn="0"/>
            <w:tcW w:w="3685" w:type="dxa"/>
            <w:tcBorders>
              <w:top w:val="nil"/>
              <w:left w:val="nil"/>
              <w:bottom w:val="nil"/>
              <w:right w:val="nil"/>
            </w:tcBorders>
          </w:tcPr>
          <w:p w:rsidR="00A46DCA" w:rsidRPr="00AC137D" w:rsidRDefault="00A46DCA" w:rsidP="00A26D04">
            <w:pPr>
              <w:keepLines w:val="0"/>
              <w:autoSpaceDE w:val="0"/>
              <w:autoSpaceDN w:val="0"/>
              <w:adjustRightInd w:val="0"/>
              <w:rPr>
                <w:rFonts w:eastAsiaTheme="minorEastAsia" w:cs="Calibri"/>
                <w:b/>
                <w:bCs/>
                <w:color w:val="000000"/>
                <w:sz w:val="16"/>
                <w:szCs w:val="16"/>
                <w:lang w:eastAsia="en-AU"/>
              </w:rPr>
            </w:pPr>
            <w:r w:rsidRPr="00AC137D">
              <w:rPr>
                <w:rFonts w:eastAsiaTheme="minorEastAsia" w:cs="Calibri"/>
                <w:b/>
                <w:bCs/>
                <w:color w:val="000000"/>
                <w:sz w:val="16"/>
                <w:szCs w:val="16"/>
                <w:lang w:eastAsia="en-AU"/>
              </w:rPr>
              <w:t>Gambling taxes</w:t>
            </w:r>
          </w:p>
        </w:tc>
        <w:tc>
          <w:tcPr>
            <w:tcW w:w="794"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lang w:eastAsia="en-AU"/>
              </w:rPr>
            </w:pPr>
            <w:r w:rsidRPr="00AC137D">
              <w:rPr>
                <w:rFonts w:eastAsiaTheme="minorEastAsia" w:cs="Calibri"/>
                <w:b/>
                <w:bCs/>
                <w:color w:val="000000"/>
                <w:sz w:val="16"/>
                <w:lang w:eastAsia="en-AU"/>
              </w:rPr>
              <w:t xml:space="preserve"> </w:t>
            </w:r>
          </w:p>
        </w:tc>
        <w:tc>
          <w:tcPr>
            <w:tcW w:w="839"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lang w:eastAsia="en-AU"/>
              </w:rPr>
            </w:pPr>
            <w:r w:rsidRPr="00AC137D">
              <w:rPr>
                <w:rFonts w:eastAsiaTheme="minorEastAsia" w:cs="Calibri"/>
                <w:b/>
                <w:bCs/>
                <w:color w:val="000000"/>
                <w:sz w:val="16"/>
                <w:lang w:eastAsia="en-AU"/>
              </w:rPr>
              <w:t xml:space="preserve"> </w:t>
            </w:r>
          </w:p>
        </w:tc>
        <w:tc>
          <w:tcPr>
            <w:tcW w:w="828"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lang w:eastAsia="en-AU"/>
              </w:rPr>
            </w:pPr>
            <w:r w:rsidRPr="00AC137D">
              <w:rPr>
                <w:rFonts w:eastAsiaTheme="minorEastAsia" w:cs="Calibri"/>
                <w:b/>
                <w:bCs/>
                <w:color w:val="000000"/>
                <w:sz w:val="16"/>
                <w:lang w:eastAsia="en-AU"/>
              </w:rPr>
              <w:t xml:space="preserve"> </w:t>
            </w:r>
          </w:p>
        </w:tc>
        <w:tc>
          <w:tcPr>
            <w:tcW w:w="811"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lang w:eastAsia="en-AU"/>
              </w:rPr>
            </w:pPr>
            <w:r w:rsidRPr="00AC137D">
              <w:rPr>
                <w:rFonts w:eastAsiaTheme="minorEastAsia" w:cs="Calibri"/>
                <w:b/>
                <w:bCs/>
                <w:color w:val="000000"/>
                <w:sz w:val="16"/>
                <w:lang w:eastAsia="en-AU"/>
              </w:rPr>
              <w:t xml:space="preserve"> </w:t>
            </w:r>
          </w:p>
        </w:tc>
        <w:tc>
          <w:tcPr>
            <w:tcW w:w="811"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lang w:eastAsia="en-AU"/>
              </w:rPr>
            </w:pPr>
            <w:r w:rsidRPr="00AC137D">
              <w:rPr>
                <w:rFonts w:eastAsiaTheme="minorEastAsia" w:cs="Calibri"/>
                <w:b/>
                <w:bCs/>
                <w:color w:val="000000"/>
                <w:sz w:val="16"/>
                <w:lang w:eastAsia="en-AU"/>
              </w:rPr>
              <w:t xml:space="preserve"> </w:t>
            </w:r>
          </w:p>
        </w:tc>
      </w:tr>
      <w:tr w:rsidR="00A46DCA" w:rsidRPr="00AC137D" w:rsidTr="00A26D04">
        <w:tc>
          <w:tcPr>
            <w:cnfStyle w:val="001000000000" w:firstRow="0" w:lastRow="0" w:firstColumn="1" w:lastColumn="0" w:oddVBand="0" w:evenVBand="0" w:oddHBand="0" w:evenHBand="0" w:firstRowFirstColumn="0" w:firstRowLastColumn="0" w:lastRowFirstColumn="0" w:lastRowLastColumn="0"/>
            <w:tcW w:w="3685" w:type="dxa"/>
            <w:tcBorders>
              <w:top w:val="nil"/>
              <w:left w:val="nil"/>
              <w:bottom w:val="nil"/>
              <w:right w:val="nil"/>
            </w:tcBorders>
          </w:tcPr>
          <w:p w:rsidR="00A46DCA" w:rsidRPr="00AC137D" w:rsidRDefault="00A46DCA" w:rsidP="00A26D04">
            <w:pPr>
              <w:keepLines w:val="0"/>
              <w:autoSpaceDE w:val="0"/>
              <w:autoSpaceDN w:val="0"/>
              <w:adjustRightInd w:val="0"/>
              <w:rPr>
                <w:rFonts w:eastAsiaTheme="minorEastAsia" w:cs="Calibri"/>
                <w:color w:val="000000"/>
                <w:sz w:val="16"/>
                <w:szCs w:val="16"/>
                <w:lang w:eastAsia="en-AU"/>
              </w:rPr>
            </w:pPr>
            <w:r w:rsidRPr="00AC137D">
              <w:rPr>
                <w:rFonts w:eastAsiaTheme="minorEastAsia" w:cs="Calibri"/>
                <w:color w:val="000000"/>
                <w:sz w:val="16"/>
                <w:szCs w:val="16"/>
                <w:lang w:eastAsia="en-AU"/>
              </w:rPr>
              <w:t>Public lotteries</w:t>
            </w:r>
          </w:p>
        </w:tc>
        <w:tc>
          <w:tcPr>
            <w:tcW w:w="794"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 w:val="16"/>
                <w:szCs w:val="18"/>
                <w:lang w:eastAsia="en-AU"/>
              </w:rPr>
            </w:pPr>
            <w:r>
              <w:rPr>
                <w:rFonts w:eastAsiaTheme="minorEastAsia" w:cs="Arial"/>
                <w:color w:val="000000"/>
                <w:sz w:val="16"/>
                <w:szCs w:val="18"/>
                <w:lang w:eastAsia="en-AU"/>
              </w:rPr>
              <w:t>438</w:t>
            </w:r>
          </w:p>
        </w:tc>
        <w:tc>
          <w:tcPr>
            <w:tcW w:w="839"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 w:val="16"/>
                <w:szCs w:val="18"/>
                <w:lang w:eastAsia="en-AU"/>
              </w:rPr>
            </w:pPr>
            <w:r>
              <w:rPr>
                <w:rFonts w:eastAsiaTheme="minorEastAsia" w:cs="Arial"/>
                <w:color w:val="000000"/>
                <w:sz w:val="16"/>
                <w:szCs w:val="18"/>
                <w:lang w:eastAsia="en-AU"/>
              </w:rPr>
              <w:t>413</w:t>
            </w:r>
          </w:p>
        </w:tc>
        <w:tc>
          <w:tcPr>
            <w:tcW w:w="828"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 w:val="16"/>
                <w:szCs w:val="18"/>
                <w:lang w:eastAsia="en-AU"/>
              </w:rPr>
            </w:pPr>
            <w:r>
              <w:rPr>
                <w:rFonts w:eastAsiaTheme="minorEastAsia" w:cs="Arial"/>
                <w:color w:val="000000"/>
                <w:sz w:val="16"/>
                <w:szCs w:val="18"/>
                <w:lang w:eastAsia="en-AU"/>
              </w:rPr>
              <w:t>418</w:t>
            </w:r>
          </w:p>
        </w:tc>
        <w:tc>
          <w:tcPr>
            <w:tcW w:w="811"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 w:val="16"/>
                <w:szCs w:val="18"/>
                <w:lang w:eastAsia="en-AU"/>
              </w:rPr>
            </w:pPr>
            <w:r>
              <w:rPr>
                <w:rFonts w:eastAsiaTheme="minorEastAsia" w:cs="Arial"/>
                <w:color w:val="000000"/>
                <w:sz w:val="16"/>
                <w:szCs w:val="18"/>
                <w:lang w:eastAsia="en-AU"/>
              </w:rPr>
              <w:t>423</w:t>
            </w:r>
          </w:p>
        </w:tc>
        <w:tc>
          <w:tcPr>
            <w:tcW w:w="811"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 w:val="16"/>
                <w:szCs w:val="18"/>
                <w:lang w:eastAsia="en-AU"/>
              </w:rPr>
            </w:pPr>
            <w:r>
              <w:rPr>
                <w:rFonts w:eastAsiaTheme="minorEastAsia" w:cs="Arial"/>
                <w:color w:val="000000"/>
                <w:sz w:val="16"/>
                <w:szCs w:val="18"/>
                <w:lang w:eastAsia="en-AU"/>
              </w:rPr>
              <w:t>425</w:t>
            </w:r>
          </w:p>
        </w:tc>
      </w:tr>
      <w:tr w:rsidR="00A46DCA" w:rsidRPr="00AC137D" w:rsidTr="00A26D04">
        <w:tc>
          <w:tcPr>
            <w:cnfStyle w:val="001000000000" w:firstRow="0" w:lastRow="0" w:firstColumn="1" w:lastColumn="0" w:oddVBand="0" w:evenVBand="0" w:oddHBand="0" w:evenHBand="0" w:firstRowFirstColumn="0" w:firstRowLastColumn="0" w:lastRowFirstColumn="0" w:lastRowLastColumn="0"/>
            <w:tcW w:w="3685" w:type="dxa"/>
            <w:tcBorders>
              <w:top w:val="nil"/>
              <w:left w:val="nil"/>
              <w:bottom w:val="nil"/>
              <w:right w:val="nil"/>
            </w:tcBorders>
          </w:tcPr>
          <w:p w:rsidR="00A46DCA" w:rsidRPr="00AC137D" w:rsidRDefault="00A46DCA" w:rsidP="00A26D04">
            <w:pPr>
              <w:keepLines w:val="0"/>
              <w:autoSpaceDE w:val="0"/>
              <w:autoSpaceDN w:val="0"/>
              <w:adjustRightInd w:val="0"/>
              <w:rPr>
                <w:rFonts w:eastAsiaTheme="minorEastAsia" w:cs="Calibri"/>
                <w:color w:val="000000"/>
                <w:sz w:val="16"/>
                <w:szCs w:val="16"/>
                <w:lang w:eastAsia="en-AU"/>
              </w:rPr>
            </w:pPr>
            <w:r w:rsidRPr="00AC137D">
              <w:rPr>
                <w:rFonts w:eastAsiaTheme="minorEastAsia" w:cs="Calibri"/>
                <w:color w:val="000000"/>
                <w:sz w:val="16"/>
                <w:szCs w:val="16"/>
                <w:lang w:eastAsia="en-AU"/>
              </w:rPr>
              <w:t>Electronic gaming machines</w:t>
            </w:r>
          </w:p>
        </w:tc>
        <w:tc>
          <w:tcPr>
            <w:tcW w:w="794"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 w:val="16"/>
                <w:szCs w:val="18"/>
                <w:lang w:eastAsia="en-AU"/>
              </w:rPr>
            </w:pPr>
            <w:r w:rsidRPr="00AC137D">
              <w:rPr>
                <w:rFonts w:eastAsiaTheme="minorEastAsia" w:cs="Arial"/>
                <w:color w:val="000000"/>
                <w:sz w:val="16"/>
                <w:szCs w:val="18"/>
                <w:lang w:eastAsia="en-AU"/>
              </w:rPr>
              <w:t>1 126</w:t>
            </w:r>
          </w:p>
        </w:tc>
        <w:tc>
          <w:tcPr>
            <w:tcW w:w="839"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 w:val="16"/>
                <w:szCs w:val="18"/>
                <w:lang w:eastAsia="en-AU"/>
              </w:rPr>
            </w:pPr>
            <w:r w:rsidRPr="00AC137D">
              <w:rPr>
                <w:rFonts w:eastAsiaTheme="minorEastAsia" w:cs="Arial"/>
                <w:color w:val="000000"/>
                <w:sz w:val="16"/>
                <w:szCs w:val="18"/>
                <w:lang w:eastAsia="en-AU"/>
              </w:rPr>
              <w:t>1 086</w:t>
            </w:r>
          </w:p>
        </w:tc>
        <w:tc>
          <w:tcPr>
            <w:tcW w:w="828"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 w:val="16"/>
                <w:szCs w:val="18"/>
                <w:lang w:eastAsia="en-AU"/>
              </w:rPr>
            </w:pPr>
            <w:r w:rsidRPr="00AC137D">
              <w:rPr>
                <w:rFonts w:eastAsiaTheme="minorEastAsia" w:cs="Arial"/>
                <w:color w:val="000000"/>
                <w:sz w:val="16"/>
                <w:szCs w:val="18"/>
                <w:lang w:eastAsia="en-AU"/>
              </w:rPr>
              <w:t>1 107</w:t>
            </w:r>
          </w:p>
        </w:tc>
        <w:tc>
          <w:tcPr>
            <w:tcW w:w="811"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 w:val="16"/>
                <w:szCs w:val="18"/>
                <w:lang w:eastAsia="en-AU"/>
              </w:rPr>
            </w:pPr>
            <w:r w:rsidRPr="00AC137D">
              <w:rPr>
                <w:rFonts w:eastAsiaTheme="minorEastAsia" w:cs="Arial"/>
                <w:color w:val="000000"/>
                <w:sz w:val="16"/>
                <w:szCs w:val="18"/>
                <w:lang w:eastAsia="en-AU"/>
              </w:rPr>
              <w:t>1 128</w:t>
            </w:r>
          </w:p>
        </w:tc>
        <w:tc>
          <w:tcPr>
            <w:tcW w:w="811"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 w:val="16"/>
                <w:szCs w:val="18"/>
                <w:lang w:eastAsia="en-AU"/>
              </w:rPr>
            </w:pPr>
            <w:r w:rsidRPr="00AC137D">
              <w:rPr>
                <w:rFonts w:eastAsiaTheme="minorEastAsia" w:cs="Arial"/>
                <w:color w:val="000000"/>
                <w:sz w:val="16"/>
                <w:szCs w:val="18"/>
                <w:lang w:eastAsia="en-AU"/>
              </w:rPr>
              <w:t>1 144</w:t>
            </w:r>
          </w:p>
        </w:tc>
      </w:tr>
      <w:tr w:rsidR="00A46DCA" w:rsidRPr="00AC137D" w:rsidTr="00A26D04">
        <w:tc>
          <w:tcPr>
            <w:cnfStyle w:val="001000000000" w:firstRow="0" w:lastRow="0" w:firstColumn="1" w:lastColumn="0" w:oddVBand="0" w:evenVBand="0" w:oddHBand="0" w:evenHBand="0" w:firstRowFirstColumn="0" w:firstRowLastColumn="0" w:lastRowFirstColumn="0" w:lastRowLastColumn="0"/>
            <w:tcW w:w="3685" w:type="dxa"/>
            <w:tcBorders>
              <w:top w:val="nil"/>
              <w:left w:val="nil"/>
              <w:bottom w:val="nil"/>
              <w:right w:val="nil"/>
            </w:tcBorders>
          </w:tcPr>
          <w:p w:rsidR="00A46DCA" w:rsidRPr="00AC137D" w:rsidRDefault="00A46DCA" w:rsidP="00A26D04">
            <w:pPr>
              <w:keepLines w:val="0"/>
              <w:autoSpaceDE w:val="0"/>
              <w:autoSpaceDN w:val="0"/>
              <w:adjustRightInd w:val="0"/>
              <w:rPr>
                <w:rFonts w:eastAsiaTheme="minorEastAsia" w:cs="Calibri"/>
                <w:color w:val="000000"/>
                <w:sz w:val="16"/>
                <w:szCs w:val="16"/>
                <w:lang w:eastAsia="en-AU"/>
              </w:rPr>
            </w:pPr>
            <w:r w:rsidRPr="00AC137D">
              <w:rPr>
                <w:rFonts w:eastAsiaTheme="minorEastAsia" w:cs="Calibri"/>
                <w:color w:val="000000"/>
                <w:sz w:val="16"/>
                <w:szCs w:val="16"/>
                <w:lang w:eastAsia="en-AU"/>
              </w:rPr>
              <w:t>Casino</w:t>
            </w:r>
          </w:p>
        </w:tc>
        <w:tc>
          <w:tcPr>
            <w:tcW w:w="794"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 w:val="16"/>
                <w:szCs w:val="18"/>
                <w:lang w:eastAsia="en-AU"/>
              </w:rPr>
            </w:pPr>
            <w:r>
              <w:rPr>
                <w:rFonts w:eastAsiaTheme="minorEastAsia" w:cs="Arial"/>
                <w:color w:val="000000"/>
                <w:sz w:val="16"/>
                <w:szCs w:val="18"/>
                <w:lang w:eastAsia="en-AU"/>
              </w:rPr>
              <w:t>236</w:t>
            </w:r>
          </w:p>
        </w:tc>
        <w:tc>
          <w:tcPr>
            <w:tcW w:w="839"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 w:val="16"/>
                <w:szCs w:val="18"/>
                <w:lang w:eastAsia="en-AU"/>
              </w:rPr>
            </w:pPr>
            <w:r>
              <w:rPr>
                <w:rFonts w:eastAsiaTheme="minorEastAsia" w:cs="Arial"/>
                <w:color w:val="000000"/>
                <w:sz w:val="16"/>
                <w:szCs w:val="18"/>
                <w:lang w:eastAsia="en-AU"/>
              </w:rPr>
              <w:t>227</w:t>
            </w:r>
          </w:p>
        </w:tc>
        <w:tc>
          <w:tcPr>
            <w:tcW w:w="828"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 w:val="16"/>
                <w:szCs w:val="18"/>
                <w:lang w:eastAsia="en-AU"/>
              </w:rPr>
            </w:pPr>
            <w:r>
              <w:rPr>
                <w:rFonts w:eastAsiaTheme="minorEastAsia" w:cs="Arial"/>
                <w:color w:val="000000"/>
                <w:sz w:val="16"/>
                <w:szCs w:val="18"/>
                <w:lang w:eastAsia="en-AU"/>
              </w:rPr>
              <w:t>237</w:t>
            </w:r>
          </w:p>
        </w:tc>
        <w:tc>
          <w:tcPr>
            <w:tcW w:w="811"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 w:val="16"/>
                <w:szCs w:val="18"/>
                <w:lang w:eastAsia="en-AU"/>
              </w:rPr>
            </w:pPr>
            <w:r>
              <w:rPr>
                <w:rFonts w:eastAsiaTheme="minorEastAsia" w:cs="Arial"/>
                <w:color w:val="000000"/>
                <w:sz w:val="16"/>
                <w:szCs w:val="18"/>
                <w:lang w:eastAsia="en-AU"/>
              </w:rPr>
              <w:t>245</w:t>
            </w:r>
          </w:p>
        </w:tc>
        <w:tc>
          <w:tcPr>
            <w:tcW w:w="811"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 w:val="16"/>
                <w:szCs w:val="18"/>
                <w:lang w:eastAsia="en-AU"/>
              </w:rPr>
            </w:pPr>
            <w:r>
              <w:rPr>
                <w:rFonts w:eastAsiaTheme="minorEastAsia" w:cs="Arial"/>
                <w:color w:val="000000"/>
                <w:sz w:val="16"/>
                <w:szCs w:val="18"/>
                <w:lang w:eastAsia="en-AU"/>
              </w:rPr>
              <w:t>252</w:t>
            </w:r>
          </w:p>
        </w:tc>
      </w:tr>
      <w:tr w:rsidR="00A46DCA" w:rsidRPr="00AC137D" w:rsidTr="00A26D04">
        <w:tc>
          <w:tcPr>
            <w:cnfStyle w:val="001000000000" w:firstRow="0" w:lastRow="0" w:firstColumn="1" w:lastColumn="0" w:oddVBand="0" w:evenVBand="0" w:oddHBand="0" w:evenHBand="0" w:firstRowFirstColumn="0" w:firstRowLastColumn="0" w:lastRowFirstColumn="0" w:lastRowLastColumn="0"/>
            <w:tcW w:w="3685" w:type="dxa"/>
            <w:tcBorders>
              <w:top w:val="nil"/>
              <w:left w:val="nil"/>
              <w:bottom w:val="nil"/>
              <w:right w:val="nil"/>
            </w:tcBorders>
          </w:tcPr>
          <w:p w:rsidR="00A46DCA" w:rsidRPr="00AC137D" w:rsidRDefault="00A46DCA" w:rsidP="00A26D04">
            <w:pPr>
              <w:keepLines w:val="0"/>
              <w:autoSpaceDE w:val="0"/>
              <w:autoSpaceDN w:val="0"/>
              <w:adjustRightInd w:val="0"/>
              <w:rPr>
                <w:rFonts w:eastAsiaTheme="minorEastAsia" w:cs="Calibri"/>
                <w:color w:val="000000"/>
                <w:sz w:val="16"/>
                <w:szCs w:val="16"/>
                <w:lang w:eastAsia="en-AU"/>
              </w:rPr>
            </w:pPr>
            <w:r w:rsidRPr="00AC137D">
              <w:rPr>
                <w:rFonts w:eastAsiaTheme="minorEastAsia" w:cs="Calibri"/>
                <w:color w:val="000000"/>
                <w:sz w:val="16"/>
                <w:szCs w:val="16"/>
                <w:lang w:eastAsia="en-AU"/>
              </w:rPr>
              <w:t>Racing</w:t>
            </w:r>
          </w:p>
        </w:tc>
        <w:tc>
          <w:tcPr>
            <w:tcW w:w="794"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 w:val="16"/>
                <w:szCs w:val="18"/>
                <w:lang w:eastAsia="en-AU"/>
              </w:rPr>
            </w:pPr>
            <w:r>
              <w:rPr>
                <w:rFonts w:eastAsiaTheme="minorEastAsia" w:cs="Arial"/>
                <w:color w:val="000000"/>
                <w:sz w:val="16"/>
                <w:szCs w:val="18"/>
                <w:lang w:eastAsia="en-AU"/>
              </w:rPr>
              <w:t>74</w:t>
            </w:r>
          </w:p>
        </w:tc>
        <w:tc>
          <w:tcPr>
            <w:tcW w:w="839"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 w:val="16"/>
                <w:szCs w:val="18"/>
                <w:lang w:eastAsia="en-AU"/>
              </w:rPr>
            </w:pPr>
            <w:r>
              <w:rPr>
                <w:rFonts w:eastAsiaTheme="minorEastAsia" w:cs="Arial"/>
                <w:color w:val="000000"/>
                <w:sz w:val="16"/>
                <w:szCs w:val="18"/>
                <w:lang w:eastAsia="en-AU"/>
              </w:rPr>
              <w:t>73</w:t>
            </w:r>
          </w:p>
        </w:tc>
        <w:tc>
          <w:tcPr>
            <w:tcW w:w="828"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 w:val="16"/>
                <w:szCs w:val="18"/>
                <w:lang w:eastAsia="en-AU"/>
              </w:rPr>
            </w:pPr>
            <w:r>
              <w:rPr>
                <w:rFonts w:eastAsiaTheme="minorEastAsia" w:cs="Arial"/>
                <w:color w:val="000000"/>
                <w:sz w:val="16"/>
                <w:szCs w:val="18"/>
                <w:lang w:eastAsia="en-AU"/>
              </w:rPr>
              <w:t>70</w:t>
            </w:r>
          </w:p>
        </w:tc>
        <w:tc>
          <w:tcPr>
            <w:tcW w:w="811"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 w:val="16"/>
                <w:szCs w:val="18"/>
                <w:lang w:eastAsia="en-AU"/>
              </w:rPr>
            </w:pPr>
            <w:r>
              <w:rPr>
                <w:rFonts w:eastAsiaTheme="minorEastAsia" w:cs="Arial"/>
                <w:color w:val="000000"/>
                <w:sz w:val="16"/>
                <w:szCs w:val="18"/>
                <w:lang w:eastAsia="en-AU"/>
              </w:rPr>
              <w:t>66</w:t>
            </w:r>
          </w:p>
        </w:tc>
        <w:tc>
          <w:tcPr>
            <w:tcW w:w="811"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 w:val="16"/>
                <w:szCs w:val="18"/>
                <w:lang w:eastAsia="en-AU"/>
              </w:rPr>
            </w:pPr>
            <w:r>
              <w:rPr>
                <w:rFonts w:eastAsiaTheme="minorEastAsia" w:cs="Arial"/>
                <w:color w:val="000000"/>
                <w:sz w:val="16"/>
                <w:szCs w:val="18"/>
                <w:lang w:eastAsia="en-AU"/>
              </w:rPr>
              <w:t>62</w:t>
            </w:r>
          </w:p>
        </w:tc>
      </w:tr>
      <w:tr w:rsidR="00A46DCA" w:rsidRPr="00AC137D" w:rsidTr="00A26D04">
        <w:tc>
          <w:tcPr>
            <w:cnfStyle w:val="001000000000" w:firstRow="0" w:lastRow="0" w:firstColumn="1" w:lastColumn="0" w:oddVBand="0" w:evenVBand="0" w:oddHBand="0" w:evenHBand="0" w:firstRowFirstColumn="0" w:firstRowLastColumn="0" w:lastRowFirstColumn="0" w:lastRowLastColumn="0"/>
            <w:tcW w:w="3685" w:type="dxa"/>
            <w:tcBorders>
              <w:top w:val="nil"/>
              <w:left w:val="nil"/>
              <w:bottom w:val="nil"/>
              <w:right w:val="nil"/>
            </w:tcBorders>
          </w:tcPr>
          <w:p w:rsidR="00A46DCA" w:rsidRPr="00AC137D" w:rsidRDefault="00A46DCA" w:rsidP="00A26D04">
            <w:pPr>
              <w:keepLines w:val="0"/>
              <w:autoSpaceDE w:val="0"/>
              <w:autoSpaceDN w:val="0"/>
              <w:adjustRightInd w:val="0"/>
              <w:rPr>
                <w:rFonts w:eastAsiaTheme="minorEastAsia" w:cs="Calibri"/>
                <w:color w:val="000000"/>
                <w:sz w:val="16"/>
                <w:szCs w:val="16"/>
                <w:lang w:eastAsia="en-AU"/>
              </w:rPr>
            </w:pPr>
            <w:r w:rsidRPr="00AC137D">
              <w:rPr>
                <w:rFonts w:eastAsiaTheme="minorEastAsia" w:cs="Calibri"/>
                <w:color w:val="000000"/>
                <w:sz w:val="16"/>
                <w:szCs w:val="16"/>
                <w:lang w:eastAsia="en-AU"/>
              </w:rPr>
              <w:t>Other</w:t>
            </w:r>
          </w:p>
        </w:tc>
        <w:tc>
          <w:tcPr>
            <w:tcW w:w="794"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 w:val="16"/>
                <w:szCs w:val="18"/>
                <w:lang w:eastAsia="en-AU"/>
              </w:rPr>
            </w:pPr>
            <w:r>
              <w:rPr>
                <w:rFonts w:eastAsiaTheme="minorEastAsia" w:cs="Arial"/>
                <w:color w:val="000000"/>
                <w:sz w:val="16"/>
                <w:szCs w:val="18"/>
                <w:lang w:eastAsia="en-AU"/>
              </w:rPr>
              <w:t>29</w:t>
            </w:r>
          </w:p>
        </w:tc>
        <w:tc>
          <w:tcPr>
            <w:tcW w:w="839"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 w:val="16"/>
                <w:szCs w:val="18"/>
                <w:lang w:eastAsia="en-AU"/>
              </w:rPr>
            </w:pPr>
            <w:r>
              <w:rPr>
                <w:rFonts w:eastAsiaTheme="minorEastAsia" w:cs="Arial"/>
                <w:color w:val="000000"/>
                <w:sz w:val="16"/>
                <w:szCs w:val="18"/>
                <w:lang w:eastAsia="en-AU"/>
              </w:rPr>
              <w:t>28</w:t>
            </w:r>
          </w:p>
        </w:tc>
        <w:tc>
          <w:tcPr>
            <w:tcW w:w="828"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 w:val="16"/>
                <w:szCs w:val="18"/>
                <w:lang w:eastAsia="en-AU"/>
              </w:rPr>
            </w:pPr>
            <w:r>
              <w:rPr>
                <w:rFonts w:eastAsiaTheme="minorEastAsia" w:cs="Arial"/>
                <w:color w:val="000000"/>
                <w:sz w:val="16"/>
                <w:szCs w:val="18"/>
                <w:lang w:eastAsia="en-AU"/>
              </w:rPr>
              <w:t>32</w:t>
            </w:r>
          </w:p>
        </w:tc>
        <w:tc>
          <w:tcPr>
            <w:tcW w:w="811"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 w:val="16"/>
                <w:szCs w:val="18"/>
                <w:lang w:eastAsia="en-AU"/>
              </w:rPr>
            </w:pPr>
            <w:r>
              <w:rPr>
                <w:rFonts w:eastAsiaTheme="minorEastAsia" w:cs="Arial"/>
                <w:color w:val="000000"/>
                <w:sz w:val="16"/>
                <w:szCs w:val="18"/>
                <w:lang w:eastAsia="en-AU"/>
              </w:rPr>
              <w:t>35</w:t>
            </w:r>
          </w:p>
        </w:tc>
        <w:tc>
          <w:tcPr>
            <w:tcW w:w="811"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 w:val="16"/>
                <w:szCs w:val="18"/>
                <w:lang w:eastAsia="en-AU"/>
              </w:rPr>
            </w:pPr>
            <w:r>
              <w:rPr>
                <w:rFonts w:eastAsiaTheme="minorEastAsia" w:cs="Arial"/>
                <w:color w:val="000000"/>
                <w:sz w:val="16"/>
                <w:szCs w:val="18"/>
                <w:lang w:eastAsia="en-AU"/>
              </w:rPr>
              <w:t>39</w:t>
            </w:r>
          </w:p>
        </w:tc>
      </w:tr>
      <w:tr w:rsidR="00A46DCA" w:rsidRPr="00AC137D" w:rsidTr="00A26D04">
        <w:tc>
          <w:tcPr>
            <w:cnfStyle w:val="001000000000" w:firstRow="0" w:lastRow="0" w:firstColumn="1" w:lastColumn="0" w:oddVBand="0" w:evenVBand="0" w:oddHBand="0" w:evenHBand="0" w:firstRowFirstColumn="0" w:firstRowLastColumn="0" w:lastRowFirstColumn="0" w:lastRowLastColumn="0"/>
            <w:tcW w:w="3685" w:type="dxa"/>
            <w:tcBorders>
              <w:top w:val="nil"/>
              <w:left w:val="nil"/>
              <w:bottom w:val="nil"/>
              <w:right w:val="nil"/>
            </w:tcBorders>
          </w:tcPr>
          <w:p w:rsidR="00A46DCA" w:rsidRPr="00AC137D" w:rsidRDefault="00A46DCA" w:rsidP="00A26D04">
            <w:pPr>
              <w:keepLines w:val="0"/>
              <w:autoSpaceDE w:val="0"/>
              <w:autoSpaceDN w:val="0"/>
              <w:adjustRightInd w:val="0"/>
              <w:rPr>
                <w:rFonts w:eastAsiaTheme="minorEastAsia" w:cs="Calibri"/>
                <w:b/>
                <w:bCs/>
                <w:color w:val="000000"/>
                <w:sz w:val="16"/>
                <w:szCs w:val="16"/>
                <w:vertAlign w:val="superscript"/>
                <w:lang w:eastAsia="en-AU"/>
              </w:rPr>
            </w:pPr>
            <w:r w:rsidRPr="00AC137D">
              <w:rPr>
                <w:rFonts w:eastAsiaTheme="minorEastAsia" w:cs="Calibri"/>
                <w:b/>
                <w:bCs/>
                <w:color w:val="000000"/>
                <w:sz w:val="16"/>
                <w:szCs w:val="16"/>
                <w:lang w:eastAsia="en-AU"/>
              </w:rPr>
              <w:t xml:space="preserve">Levies on statutory corporations </w:t>
            </w:r>
            <w:r w:rsidRPr="00AC137D">
              <w:rPr>
                <w:rFonts w:eastAsiaTheme="minorEastAsia" w:cs="Calibri"/>
                <w:b/>
                <w:bCs/>
                <w:color w:val="000000"/>
                <w:sz w:val="16"/>
                <w:szCs w:val="16"/>
                <w:vertAlign w:val="superscript"/>
                <w:lang w:eastAsia="en-AU"/>
              </w:rPr>
              <w:t>(a)</w:t>
            </w:r>
          </w:p>
        </w:tc>
        <w:tc>
          <w:tcPr>
            <w:tcW w:w="794"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 w:val="16"/>
                <w:szCs w:val="18"/>
                <w:lang w:eastAsia="en-AU"/>
              </w:rPr>
            </w:pPr>
            <w:r>
              <w:rPr>
                <w:rFonts w:eastAsiaTheme="minorEastAsia" w:cs="Arial"/>
                <w:b/>
                <w:bCs/>
                <w:color w:val="000000"/>
                <w:sz w:val="16"/>
                <w:szCs w:val="18"/>
                <w:lang w:eastAsia="en-AU"/>
              </w:rPr>
              <w:t>112</w:t>
            </w:r>
          </w:p>
        </w:tc>
        <w:tc>
          <w:tcPr>
            <w:tcW w:w="839"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 w:val="16"/>
                <w:szCs w:val="18"/>
                <w:lang w:eastAsia="en-AU"/>
              </w:rPr>
            </w:pPr>
            <w:r>
              <w:rPr>
                <w:rFonts w:eastAsiaTheme="minorEastAsia" w:cs="Arial"/>
                <w:b/>
                <w:bCs/>
                <w:color w:val="000000"/>
                <w:sz w:val="16"/>
                <w:szCs w:val="18"/>
                <w:lang w:eastAsia="en-AU"/>
              </w:rPr>
              <w:t>112</w:t>
            </w:r>
          </w:p>
        </w:tc>
        <w:tc>
          <w:tcPr>
            <w:tcW w:w="828"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 w:val="16"/>
                <w:szCs w:val="18"/>
                <w:lang w:eastAsia="en-AU"/>
              </w:rPr>
            </w:pPr>
            <w:r>
              <w:rPr>
                <w:rFonts w:eastAsiaTheme="minorEastAsia" w:cs="Arial"/>
                <w:b/>
                <w:bCs/>
                <w:color w:val="000000"/>
                <w:sz w:val="16"/>
                <w:szCs w:val="18"/>
                <w:lang w:eastAsia="en-AU"/>
              </w:rPr>
              <w:t>157</w:t>
            </w:r>
          </w:p>
        </w:tc>
        <w:tc>
          <w:tcPr>
            <w:tcW w:w="811"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 w:val="16"/>
                <w:szCs w:val="18"/>
                <w:lang w:eastAsia="en-AU"/>
              </w:rPr>
            </w:pPr>
            <w:r>
              <w:rPr>
                <w:rFonts w:eastAsiaTheme="minorEastAsia" w:cs="Arial"/>
                <w:b/>
                <w:bCs/>
                <w:color w:val="000000"/>
                <w:sz w:val="16"/>
                <w:szCs w:val="18"/>
                <w:lang w:eastAsia="en-AU"/>
              </w:rPr>
              <w:t>157</w:t>
            </w:r>
          </w:p>
        </w:tc>
        <w:tc>
          <w:tcPr>
            <w:tcW w:w="811"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 w:val="16"/>
                <w:szCs w:val="18"/>
                <w:lang w:eastAsia="en-AU"/>
              </w:rPr>
            </w:pPr>
            <w:r w:rsidRPr="00AC137D">
              <w:rPr>
                <w:rFonts w:eastAsiaTheme="minorEastAsia" w:cs="Arial"/>
                <w:b/>
                <w:bCs/>
                <w:color w:val="000000"/>
                <w:sz w:val="16"/>
                <w:szCs w:val="18"/>
                <w:lang w:eastAsia="en-AU"/>
              </w:rPr>
              <w:t>..</w:t>
            </w:r>
          </w:p>
        </w:tc>
      </w:tr>
      <w:tr w:rsidR="00A46DCA" w:rsidRPr="00AC137D" w:rsidTr="00A26D04">
        <w:tc>
          <w:tcPr>
            <w:cnfStyle w:val="001000000000" w:firstRow="0" w:lastRow="0" w:firstColumn="1" w:lastColumn="0" w:oddVBand="0" w:evenVBand="0" w:oddHBand="0" w:evenHBand="0" w:firstRowFirstColumn="0" w:firstRowLastColumn="0" w:lastRowFirstColumn="0" w:lastRowLastColumn="0"/>
            <w:tcW w:w="3685" w:type="dxa"/>
            <w:tcBorders>
              <w:top w:val="nil"/>
              <w:left w:val="nil"/>
              <w:bottom w:val="nil"/>
              <w:right w:val="nil"/>
            </w:tcBorders>
          </w:tcPr>
          <w:p w:rsidR="00A46DCA" w:rsidRPr="00AC137D" w:rsidRDefault="00A46DCA" w:rsidP="00A26D04">
            <w:pPr>
              <w:keepLines w:val="0"/>
              <w:autoSpaceDE w:val="0"/>
              <w:autoSpaceDN w:val="0"/>
              <w:adjustRightInd w:val="0"/>
              <w:rPr>
                <w:rFonts w:eastAsiaTheme="minorEastAsia" w:cs="Calibri"/>
                <w:b/>
                <w:bCs/>
                <w:color w:val="000000"/>
                <w:sz w:val="16"/>
                <w:szCs w:val="16"/>
                <w:lang w:eastAsia="en-AU"/>
              </w:rPr>
            </w:pPr>
            <w:r w:rsidRPr="00AC137D">
              <w:rPr>
                <w:rFonts w:eastAsiaTheme="minorEastAsia" w:cs="Calibri"/>
                <w:b/>
                <w:bCs/>
                <w:color w:val="000000"/>
                <w:sz w:val="16"/>
                <w:szCs w:val="16"/>
                <w:lang w:eastAsia="en-AU"/>
              </w:rPr>
              <w:t>Taxes on insurance</w:t>
            </w:r>
          </w:p>
        </w:tc>
        <w:tc>
          <w:tcPr>
            <w:tcW w:w="794"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 w:val="16"/>
                <w:szCs w:val="18"/>
                <w:lang w:eastAsia="en-AU"/>
              </w:rPr>
            </w:pPr>
            <w:r w:rsidRPr="00AC137D">
              <w:rPr>
                <w:rFonts w:eastAsiaTheme="minorEastAsia" w:cs="Arial"/>
                <w:b/>
                <w:bCs/>
                <w:color w:val="000000"/>
                <w:sz w:val="16"/>
                <w:szCs w:val="18"/>
                <w:lang w:eastAsia="en-AU"/>
              </w:rPr>
              <w:t>1 289</w:t>
            </w:r>
          </w:p>
        </w:tc>
        <w:tc>
          <w:tcPr>
            <w:tcW w:w="839"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 w:val="16"/>
                <w:szCs w:val="18"/>
                <w:lang w:eastAsia="en-AU"/>
              </w:rPr>
            </w:pPr>
            <w:r w:rsidRPr="00AC137D">
              <w:rPr>
                <w:rFonts w:eastAsiaTheme="minorEastAsia" w:cs="Arial"/>
                <w:b/>
                <w:bCs/>
                <w:color w:val="000000"/>
                <w:sz w:val="16"/>
                <w:szCs w:val="18"/>
                <w:lang w:eastAsia="en-AU"/>
              </w:rPr>
              <w:t>1 292</w:t>
            </w:r>
          </w:p>
        </w:tc>
        <w:tc>
          <w:tcPr>
            <w:tcW w:w="828"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 w:val="16"/>
                <w:szCs w:val="18"/>
                <w:lang w:eastAsia="en-AU"/>
              </w:rPr>
            </w:pPr>
            <w:r w:rsidRPr="00AC137D">
              <w:rPr>
                <w:rFonts w:eastAsiaTheme="minorEastAsia" w:cs="Arial"/>
                <w:b/>
                <w:bCs/>
                <w:color w:val="000000"/>
                <w:sz w:val="16"/>
                <w:szCs w:val="18"/>
                <w:lang w:eastAsia="en-AU"/>
              </w:rPr>
              <w:t>1 370</w:t>
            </w:r>
          </w:p>
        </w:tc>
        <w:tc>
          <w:tcPr>
            <w:tcW w:w="811"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 w:val="16"/>
                <w:szCs w:val="18"/>
                <w:lang w:eastAsia="en-AU"/>
              </w:rPr>
            </w:pPr>
            <w:r w:rsidRPr="00AC137D">
              <w:rPr>
                <w:rFonts w:eastAsiaTheme="minorEastAsia" w:cs="Arial"/>
                <w:b/>
                <w:bCs/>
                <w:color w:val="000000"/>
                <w:sz w:val="16"/>
                <w:szCs w:val="18"/>
                <w:lang w:eastAsia="en-AU"/>
              </w:rPr>
              <w:t>1 453</w:t>
            </w:r>
          </w:p>
        </w:tc>
        <w:tc>
          <w:tcPr>
            <w:tcW w:w="811"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 w:val="16"/>
                <w:szCs w:val="18"/>
                <w:lang w:eastAsia="en-AU"/>
              </w:rPr>
            </w:pPr>
            <w:r w:rsidRPr="00AC137D">
              <w:rPr>
                <w:rFonts w:eastAsiaTheme="minorEastAsia" w:cs="Arial"/>
                <w:b/>
                <w:bCs/>
                <w:color w:val="000000"/>
                <w:sz w:val="16"/>
                <w:szCs w:val="18"/>
                <w:lang w:eastAsia="en-AU"/>
              </w:rPr>
              <w:t>1 541</w:t>
            </w:r>
          </w:p>
        </w:tc>
      </w:tr>
      <w:tr w:rsidR="00A46DCA" w:rsidRPr="00AC137D" w:rsidTr="00A26D04">
        <w:tc>
          <w:tcPr>
            <w:cnfStyle w:val="001000000000" w:firstRow="0" w:lastRow="0" w:firstColumn="1" w:lastColumn="0" w:oddVBand="0" w:evenVBand="0" w:oddHBand="0" w:evenHBand="0" w:firstRowFirstColumn="0" w:firstRowLastColumn="0" w:lastRowFirstColumn="0" w:lastRowLastColumn="0"/>
            <w:tcW w:w="3685" w:type="dxa"/>
            <w:tcBorders>
              <w:top w:val="single" w:sz="6" w:space="0" w:color="000000"/>
              <w:left w:val="nil"/>
              <w:bottom w:val="single" w:sz="6" w:space="0" w:color="000000"/>
              <w:right w:val="nil"/>
            </w:tcBorders>
          </w:tcPr>
          <w:p w:rsidR="00A46DCA" w:rsidRPr="00AC137D" w:rsidRDefault="00A46DCA" w:rsidP="00A26D04">
            <w:pPr>
              <w:keepLines w:val="0"/>
              <w:autoSpaceDE w:val="0"/>
              <w:autoSpaceDN w:val="0"/>
              <w:adjustRightInd w:val="0"/>
              <w:rPr>
                <w:rFonts w:eastAsiaTheme="minorEastAsia" w:cs="Calibri"/>
                <w:b/>
                <w:bCs/>
                <w:color w:val="000000"/>
                <w:sz w:val="16"/>
                <w:szCs w:val="16"/>
                <w:lang w:eastAsia="en-AU"/>
              </w:rPr>
            </w:pPr>
            <w:r w:rsidRPr="00AC137D">
              <w:rPr>
                <w:rFonts w:eastAsiaTheme="minorEastAsia" w:cs="Calibri"/>
                <w:b/>
                <w:bCs/>
                <w:color w:val="000000"/>
                <w:sz w:val="16"/>
                <w:szCs w:val="16"/>
                <w:lang w:eastAsia="en-AU"/>
              </w:rPr>
              <w:t>Total taxes on the provision of goods and services</w:t>
            </w:r>
          </w:p>
        </w:tc>
        <w:tc>
          <w:tcPr>
            <w:tcW w:w="794" w:type="dxa"/>
            <w:tcBorders>
              <w:top w:val="single" w:sz="6" w:space="0" w:color="000000"/>
              <w:left w:val="nil"/>
              <w:bottom w:val="single" w:sz="6" w:space="0" w:color="000000"/>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 w:val="16"/>
                <w:szCs w:val="18"/>
                <w:lang w:eastAsia="en-AU"/>
              </w:rPr>
            </w:pPr>
            <w:r w:rsidRPr="00AC137D">
              <w:rPr>
                <w:rFonts w:eastAsiaTheme="minorEastAsia" w:cs="Arial"/>
                <w:b/>
                <w:bCs/>
                <w:color w:val="000000"/>
                <w:sz w:val="16"/>
                <w:szCs w:val="18"/>
                <w:lang w:eastAsia="en-AU"/>
              </w:rPr>
              <w:t>3 304</w:t>
            </w:r>
          </w:p>
        </w:tc>
        <w:tc>
          <w:tcPr>
            <w:tcW w:w="839" w:type="dxa"/>
            <w:tcBorders>
              <w:top w:val="single" w:sz="6" w:space="0" w:color="000000"/>
              <w:left w:val="nil"/>
              <w:bottom w:val="single" w:sz="6" w:space="0" w:color="000000"/>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 w:val="16"/>
                <w:szCs w:val="18"/>
                <w:lang w:eastAsia="en-AU"/>
              </w:rPr>
            </w:pPr>
            <w:r w:rsidRPr="00AC137D">
              <w:rPr>
                <w:rFonts w:eastAsiaTheme="minorEastAsia" w:cs="Arial"/>
                <w:b/>
                <w:bCs/>
                <w:color w:val="000000"/>
                <w:sz w:val="16"/>
                <w:szCs w:val="18"/>
                <w:lang w:eastAsia="en-AU"/>
              </w:rPr>
              <w:t>3 232</w:t>
            </w:r>
          </w:p>
        </w:tc>
        <w:tc>
          <w:tcPr>
            <w:tcW w:w="828" w:type="dxa"/>
            <w:tcBorders>
              <w:top w:val="single" w:sz="6" w:space="0" w:color="000000"/>
              <w:left w:val="nil"/>
              <w:bottom w:val="single" w:sz="6" w:space="0" w:color="000000"/>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 w:val="16"/>
                <w:szCs w:val="18"/>
                <w:lang w:eastAsia="en-AU"/>
              </w:rPr>
            </w:pPr>
            <w:r w:rsidRPr="00AC137D">
              <w:rPr>
                <w:rFonts w:eastAsiaTheme="minorEastAsia" w:cs="Arial"/>
                <w:b/>
                <w:bCs/>
                <w:color w:val="000000"/>
                <w:sz w:val="16"/>
                <w:szCs w:val="18"/>
                <w:lang w:eastAsia="en-AU"/>
              </w:rPr>
              <w:t>3 391</w:t>
            </w:r>
          </w:p>
        </w:tc>
        <w:tc>
          <w:tcPr>
            <w:tcW w:w="811" w:type="dxa"/>
            <w:tcBorders>
              <w:top w:val="single" w:sz="6" w:space="0" w:color="000000"/>
              <w:left w:val="nil"/>
              <w:bottom w:val="single" w:sz="6" w:space="0" w:color="000000"/>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 w:val="16"/>
                <w:szCs w:val="18"/>
                <w:lang w:eastAsia="en-AU"/>
              </w:rPr>
            </w:pPr>
            <w:r w:rsidRPr="00AC137D">
              <w:rPr>
                <w:rFonts w:eastAsiaTheme="minorEastAsia" w:cs="Arial"/>
                <w:b/>
                <w:bCs/>
                <w:color w:val="000000"/>
                <w:sz w:val="16"/>
                <w:szCs w:val="18"/>
                <w:lang w:eastAsia="en-AU"/>
              </w:rPr>
              <w:t>3 506</w:t>
            </w:r>
          </w:p>
        </w:tc>
        <w:tc>
          <w:tcPr>
            <w:tcW w:w="811" w:type="dxa"/>
            <w:tcBorders>
              <w:top w:val="single" w:sz="6" w:space="0" w:color="000000"/>
              <w:left w:val="nil"/>
              <w:bottom w:val="single" w:sz="6" w:space="0" w:color="000000"/>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 w:val="16"/>
                <w:szCs w:val="18"/>
                <w:lang w:eastAsia="en-AU"/>
              </w:rPr>
            </w:pPr>
            <w:r w:rsidRPr="00AC137D">
              <w:rPr>
                <w:rFonts w:eastAsiaTheme="minorEastAsia" w:cs="Arial"/>
                <w:b/>
                <w:bCs/>
                <w:color w:val="000000"/>
                <w:sz w:val="16"/>
                <w:szCs w:val="18"/>
                <w:lang w:eastAsia="en-AU"/>
              </w:rPr>
              <w:t>3 463</w:t>
            </w:r>
          </w:p>
        </w:tc>
      </w:tr>
      <w:tr w:rsidR="00A46DCA" w:rsidRPr="00AC137D" w:rsidTr="00A26D04">
        <w:tc>
          <w:tcPr>
            <w:cnfStyle w:val="001000000000" w:firstRow="0" w:lastRow="0" w:firstColumn="1" w:lastColumn="0" w:oddVBand="0" w:evenVBand="0" w:oddHBand="0" w:evenHBand="0" w:firstRowFirstColumn="0" w:firstRowLastColumn="0" w:lastRowFirstColumn="0" w:lastRowLastColumn="0"/>
            <w:tcW w:w="3685" w:type="dxa"/>
            <w:tcBorders>
              <w:top w:val="nil"/>
              <w:left w:val="nil"/>
              <w:bottom w:val="nil"/>
              <w:right w:val="nil"/>
            </w:tcBorders>
          </w:tcPr>
          <w:p w:rsidR="00A46DCA" w:rsidRPr="00AC137D" w:rsidRDefault="00A46DCA" w:rsidP="00A26D04">
            <w:pPr>
              <w:keepLines w:val="0"/>
              <w:autoSpaceDE w:val="0"/>
              <w:autoSpaceDN w:val="0"/>
              <w:adjustRightInd w:val="0"/>
              <w:rPr>
                <w:rFonts w:eastAsiaTheme="minorEastAsia" w:cs="Calibri"/>
                <w:b/>
                <w:bCs/>
                <w:color w:val="000000"/>
                <w:sz w:val="16"/>
                <w:szCs w:val="16"/>
                <w:lang w:eastAsia="en-AU"/>
              </w:rPr>
            </w:pPr>
            <w:r w:rsidRPr="00AC137D">
              <w:rPr>
                <w:rFonts w:eastAsiaTheme="minorEastAsia" w:cs="Calibri"/>
                <w:b/>
                <w:bCs/>
                <w:color w:val="000000"/>
                <w:sz w:val="16"/>
                <w:szCs w:val="16"/>
                <w:lang w:eastAsia="en-AU"/>
              </w:rPr>
              <w:t>Motor vehicle taxes</w:t>
            </w:r>
          </w:p>
        </w:tc>
        <w:tc>
          <w:tcPr>
            <w:tcW w:w="794"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lang w:eastAsia="en-AU"/>
              </w:rPr>
            </w:pPr>
            <w:r w:rsidRPr="00AC137D">
              <w:rPr>
                <w:rFonts w:eastAsiaTheme="minorEastAsia" w:cs="Calibri"/>
                <w:b/>
                <w:bCs/>
                <w:color w:val="000000"/>
                <w:sz w:val="16"/>
                <w:lang w:eastAsia="en-AU"/>
              </w:rPr>
              <w:t xml:space="preserve"> </w:t>
            </w:r>
          </w:p>
        </w:tc>
        <w:tc>
          <w:tcPr>
            <w:tcW w:w="839"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lang w:eastAsia="en-AU"/>
              </w:rPr>
            </w:pPr>
            <w:r w:rsidRPr="00AC137D">
              <w:rPr>
                <w:rFonts w:eastAsiaTheme="minorEastAsia" w:cs="Calibri"/>
                <w:b/>
                <w:bCs/>
                <w:color w:val="000000"/>
                <w:sz w:val="16"/>
                <w:lang w:eastAsia="en-AU"/>
              </w:rPr>
              <w:t xml:space="preserve"> </w:t>
            </w:r>
          </w:p>
        </w:tc>
        <w:tc>
          <w:tcPr>
            <w:tcW w:w="828"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lang w:eastAsia="en-AU"/>
              </w:rPr>
            </w:pPr>
            <w:r w:rsidRPr="00AC137D">
              <w:rPr>
                <w:rFonts w:eastAsiaTheme="minorEastAsia" w:cs="Calibri"/>
                <w:b/>
                <w:bCs/>
                <w:color w:val="000000"/>
                <w:sz w:val="16"/>
                <w:lang w:eastAsia="en-AU"/>
              </w:rPr>
              <w:t xml:space="preserve"> </w:t>
            </w:r>
          </w:p>
        </w:tc>
        <w:tc>
          <w:tcPr>
            <w:tcW w:w="811"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lang w:eastAsia="en-AU"/>
              </w:rPr>
            </w:pPr>
            <w:r w:rsidRPr="00AC137D">
              <w:rPr>
                <w:rFonts w:eastAsiaTheme="minorEastAsia" w:cs="Calibri"/>
                <w:b/>
                <w:bCs/>
                <w:color w:val="000000"/>
                <w:sz w:val="16"/>
                <w:lang w:eastAsia="en-AU"/>
              </w:rPr>
              <w:t xml:space="preserve"> </w:t>
            </w:r>
          </w:p>
        </w:tc>
        <w:tc>
          <w:tcPr>
            <w:tcW w:w="811"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lang w:eastAsia="en-AU"/>
              </w:rPr>
            </w:pPr>
            <w:r w:rsidRPr="00AC137D">
              <w:rPr>
                <w:rFonts w:eastAsiaTheme="minorEastAsia" w:cs="Calibri"/>
                <w:b/>
                <w:bCs/>
                <w:color w:val="000000"/>
                <w:sz w:val="16"/>
                <w:lang w:eastAsia="en-AU"/>
              </w:rPr>
              <w:t xml:space="preserve"> </w:t>
            </w:r>
          </w:p>
        </w:tc>
      </w:tr>
      <w:tr w:rsidR="00A46DCA" w:rsidRPr="00AC137D" w:rsidTr="00A26D04">
        <w:tc>
          <w:tcPr>
            <w:cnfStyle w:val="001000000000" w:firstRow="0" w:lastRow="0" w:firstColumn="1" w:lastColumn="0" w:oddVBand="0" w:evenVBand="0" w:oddHBand="0" w:evenHBand="0" w:firstRowFirstColumn="0" w:firstRowLastColumn="0" w:lastRowFirstColumn="0" w:lastRowLastColumn="0"/>
            <w:tcW w:w="3685" w:type="dxa"/>
            <w:tcBorders>
              <w:top w:val="nil"/>
              <w:left w:val="nil"/>
              <w:bottom w:val="nil"/>
              <w:right w:val="nil"/>
            </w:tcBorders>
          </w:tcPr>
          <w:p w:rsidR="00A46DCA" w:rsidRPr="00AC137D" w:rsidRDefault="00A46DCA" w:rsidP="00A26D04">
            <w:pPr>
              <w:keepLines w:val="0"/>
              <w:autoSpaceDE w:val="0"/>
              <w:autoSpaceDN w:val="0"/>
              <w:adjustRightInd w:val="0"/>
              <w:rPr>
                <w:rFonts w:eastAsiaTheme="minorEastAsia" w:cs="Calibri"/>
                <w:color w:val="000000"/>
                <w:sz w:val="16"/>
                <w:szCs w:val="16"/>
                <w:lang w:eastAsia="en-AU"/>
              </w:rPr>
            </w:pPr>
            <w:r w:rsidRPr="00AC137D">
              <w:rPr>
                <w:rFonts w:eastAsiaTheme="minorEastAsia" w:cs="Calibri"/>
                <w:color w:val="000000"/>
                <w:sz w:val="16"/>
                <w:szCs w:val="16"/>
                <w:lang w:eastAsia="en-AU"/>
              </w:rPr>
              <w:t>Vehicle registration fees</w:t>
            </w:r>
          </w:p>
        </w:tc>
        <w:tc>
          <w:tcPr>
            <w:tcW w:w="794"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 w:val="16"/>
                <w:szCs w:val="18"/>
                <w:lang w:eastAsia="en-AU"/>
              </w:rPr>
            </w:pPr>
            <w:r w:rsidRPr="00AC137D">
              <w:rPr>
                <w:rFonts w:eastAsiaTheme="minorEastAsia" w:cs="Arial"/>
                <w:color w:val="000000"/>
                <w:sz w:val="16"/>
                <w:szCs w:val="18"/>
                <w:lang w:eastAsia="en-AU"/>
              </w:rPr>
              <w:t>1 594</w:t>
            </w:r>
          </w:p>
        </w:tc>
        <w:tc>
          <w:tcPr>
            <w:tcW w:w="839"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 w:val="16"/>
                <w:szCs w:val="18"/>
                <w:lang w:eastAsia="en-AU"/>
              </w:rPr>
            </w:pPr>
            <w:r w:rsidRPr="00AC137D">
              <w:rPr>
                <w:rFonts w:eastAsiaTheme="minorEastAsia" w:cs="Arial"/>
                <w:color w:val="000000"/>
                <w:sz w:val="16"/>
                <w:szCs w:val="18"/>
                <w:lang w:eastAsia="en-AU"/>
              </w:rPr>
              <w:t>1 415</w:t>
            </w:r>
          </w:p>
        </w:tc>
        <w:tc>
          <w:tcPr>
            <w:tcW w:w="828"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 w:val="16"/>
                <w:szCs w:val="18"/>
                <w:lang w:eastAsia="en-AU"/>
              </w:rPr>
            </w:pPr>
            <w:r w:rsidRPr="00AC137D">
              <w:rPr>
                <w:rFonts w:eastAsiaTheme="minorEastAsia" w:cs="Arial"/>
                <w:color w:val="000000"/>
                <w:sz w:val="16"/>
                <w:szCs w:val="18"/>
                <w:lang w:eastAsia="en-AU"/>
              </w:rPr>
              <w:t>1 638</w:t>
            </w:r>
          </w:p>
        </w:tc>
        <w:tc>
          <w:tcPr>
            <w:tcW w:w="811"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 w:val="16"/>
                <w:szCs w:val="18"/>
                <w:lang w:eastAsia="en-AU"/>
              </w:rPr>
            </w:pPr>
            <w:r w:rsidRPr="00AC137D">
              <w:rPr>
                <w:rFonts w:eastAsiaTheme="minorEastAsia" w:cs="Arial"/>
                <w:color w:val="000000"/>
                <w:sz w:val="16"/>
                <w:szCs w:val="18"/>
                <w:lang w:eastAsia="en-AU"/>
              </w:rPr>
              <w:t>1 749</w:t>
            </w:r>
          </w:p>
        </w:tc>
        <w:tc>
          <w:tcPr>
            <w:tcW w:w="811"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 w:val="16"/>
                <w:szCs w:val="18"/>
                <w:lang w:eastAsia="en-AU"/>
              </w:rPr>
            </w:pPr>
            <w:r w:rsidRPr="00AC137D">
              <w:rPr>
                <w:rFonts w:eastAsiaTheme="minorEastAsia" w:cs="Arial"/>
                <w:color w:val="000000"/>
                <w:sz w:val="16"/>
                <w:szCs w:val="18"/>
                <w:lang w:eastAsia="en-AU"/>
              </w:rPr>
              <w:t>1 828</w:t>
            </w:r>
          </w:p>
        </w:tc>
      </w:tr>
      <w:tr w:rsidR="00A46DCA" w:rsidRPr="00AC137D" w:rsidTr="00A26D04">
        <w:tc>
          <w:tcPr>
            <w:cnfStyle w:val="001000000000" w:firstRow="0" w:lastRow="0" w:firstColumn="1" w:lastColumn="0" w:oddVBand="0" w:evenVBand="0" w:oddHBand="0" w:evenHBand="0" w:firstRowFirstColumn="0" w:firstRowLastColumn="0" w:lastRowFirstColumn="0" w:lastRowLastColumn="0"/>
            <w:tcW w:w="3685" w:type="dxa"/>
            <w:tcBorders>
              <w:top w:val="nil"/>
              <w:left w:val="nil"/>
              <w:bottom w:val="nil"/>
              <w:right w:val="nil"/>
            </w:tcBorders>
          </w:tcPr>
          <w:p w:rsidR="00A46DCA" w:rsidRPr="00AC137D" w:rsidRDefault="00A46DCA" w:rsidP="00A26D04">
            <w:pPr>
              <w:keepLines w:val="0"/>
              <w:autoSpaceDE w:val="0"/>
              <w:autoSpaceDN w:val="0"/>
              <w:adjustRightInd w:val="0"/>
              <w:rPr>
                <w:rFonts w:eastAsiaTheme="minorEastAsia" w:cs="Calibri"/>
                <w:color w:val="000000"/>
                <w:sz w:val="16"/>
                <w:szCs w:val="16"/>
                <w:lang w:eastAsia="en-AU"/>
              </w:rPr>
            </w:pPr>
            <w:r w:rsidRPr="00AC137D">
              <w:rPr>
                <w:rFonts w:eastAsiaTheme="minorEastAsia" w:cs="Calibri"/>
                <w:color w:val="000000"/>
                <w:sz w:val="16"/>
                <w:szCs w:val="16"/>
                <w:lang w:eastAsia="en-AU"/>
              </w:rPr>
              <w:t>Duty on vehicle registrations and transfers</w:t>
            </w:r>
          </w:p>
        </w:tc>
        <w:tc>
          <w:tcPr>
            <w:tcW w:w="794"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 w:val="16"/>
                <w:szCs w:val="18"/>
                <w:lang w:eastAsia="en-AU"/>
              </w:rPr>
            </w:pPr>
            <w:r>
              <w:rPr>
                <w:rFonts w:eastAsiaTheme="minorEastAsia" w:cs="Arial"/>
                <w:color w:val="000000"/>
                <w:sz w:val="16"/>
                <w:szCs w:val="18"/>
                <w:lang w:eastAsia="en-AU"/>
              </w:rPr>
              <w:t>925</w:t>
            </w:r>
          </w:p>
        </w:tc>
        <w:tc>
          <w:tcPr>
            <w:tcW w:w="839"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 w:val="16"/>
                <w:szCs w:val="18"/>
                <w:lang w:eastAsia="en-AU"/>
              </w:rPr>
            </w:pPr>
            <w:r>
              <w:rPr>
                <w:rFonts w:eastAsiaTheme="minorEastAsia" w:cs="Arial"/>
                <w:color w:val="000000"/>
                <w:sz w:val="16"/>
                <w:szCs w:val="18"/>
                <w:lang w:eastAsia="en-AU"/>
              </w:rPr>
              <w:t>944</w:t>
            </w:r>
          </w:p>
        </w:tc>
        <w:tc>
          <w:tcPr>
            <w:tcW w:w="828"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 w:val="16"/>
                <w:szCs w:val="18"/>
                <w:lang w:eastAsia="en-AU"/>
              </w:rPr>
            </w:pPr>
            <w:r>
              <w:rPr>
                <w:rFonts w:eastAsiaTheme="minorEastAsia" w:cs="Arial"/>
                <w:color w:val="000000"/>
                <w:sz w:val="16"/>
                <w:szCs w:val="18"/>
                <w:lang w:eastAsia="en-AU"/>
              </w:rPr>
              <w:t>978</w:t>
            </w:r>
          </w:p>
        </w:tc>
        <w:tc>
          <w:tcPr>
            <w:tcW w:w="811"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 w:val="16"/>
                <w:szCs w:val="18"/>
                <w:lang w:eastAsia="en-AU"/>
              </w:rPr>
            </w:pPr>
            <w:r w:rsidRPr="00AC137D">
              <w:rPr>
                <w:rFonts w:eastAsiaTheme="minorEastAsia" w:cs="Arial"/>
                <w:color w:val="000000"/>
                <w:sz w:val="16"/>
                <w:szCs w:val="18"/>
                <w:lang w:eastAsia="en-AU"/>
              </w:rPr>
              <w:t>1 010</w:t>
            </w:r>
          </w:p>
        </w:tc>
        <w:tc>
          <w:tcPr>
            <w:tcW w:w="811"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 w:val="16"/>
                <w:szCs w:val="18"/>
                <w:lang w:eastAsia="en-AU"/>
              </w:rPr>
            </w:pPr>
            <w:r w:rsidRPr="00AC137D">
              <w:rPr>
                <w:rFonts w:eastAsiaTheme="minorEastAsia" w:cs="Arial"/>
                <w:color w:val="000000"/>
                <w:sz w:val="16"/>
                <w:szCs w:val="18"/>
                <w:lang w:eastAsia="en-AU"/>
              </w:rPr>
              <w:t>1 041</w:t>
            </w:r>
          </w:p>
        </w:tc>
      </w:tr>
      <w:tr w:rsidR="00A46DCA" w:rsidRPr="00AC137D" w:rsidTr="00A26D04">
        <w:tc>
          <w:tcPr>
            <w:cnfStyle w:val="001000000000" w:firstRow="0" w:lastRow="0" w:firstColumn="1" w:lastColumn="0" w:oddVBand="0" w:evenVBand="0" w:oddHBand="0" w:evenHBand="0" w:firstRowFirstColumn="0" w:firstRowLastColumn="0" w:lastRowFirstColumn="0" w:lastRowLastColumn="0"/>
            <w:tcW w:w="3685" w:type="dxa"/>
            <w:tcBorders>
              <w:top w:val="nil"/>
              <w:left w:val="nil"/>
              <w:bottom w:val="nil"/>
              <w:right w:val="nil"/>
            </w:tcBorders>
          </w:tcPr>
          <w:p w:rsidR="00A46DCA" w:rsidRPr="00AC137D" w:rsidRDefault="00A46DCA" w:rsidP="00A26D04">
            <w:pPr>
              <w:keepLines w:val="0"/>
              <w:autoSpaceDE w:val="0"/>
              <w:autoSpaceDN w:val="0"/>
              <w:adjustRightInd w:val="0"/>
              <w:rPr>
                <w:rFonts w:eastAsiaTheme="minorEastAsia" w:cs="Calibri"/>
                <w:b/>
                <w:bCs/>
                <w:color w:val="000000"/>
                <w:sz w:val="16"/>
                <w:szCs w:val="16"/>
                <w:lang w:eastAsia="en-AU"/>
              </w:rPr>
            </w:pPr>
            <w:r w:rsidRPr="00AC137D">
              <w:rPr>
                <w:rFonts w:eastAsiaTheme="minorEastAsia" w:cs="Calibri"/>
                <w:b/>
                <w:bCs/>
                <w:color w:val="000000"/>
                <w:sz w:val="16"/>
                <w:szCs w:val="16"/>
                <w:lang w:eastAsia="en-AU"/>
              </w:rPr>
              <w:t>Liquor licence fees</w:t>
            </w:r>
          </w:p>
        </w:tc>
        <w:tc>
          <w:tcPr>
            <w:tcW w:w="794"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 w:val="16"/>
                <w:szCs w:val="18"/>
                <w:lang w:eastAsia="en-AU"/>
              </w:rPr>
            </w:pPr>
            <w:r>
              <w:rPr>
                <w:rFonts w:eastAsiaTheme="minorEastAsia" w:cs="Arial"/>
                <w:b/>
                <w:bCs/>
                <w:color w:val="000000"/>
                <w:sz w:val="16"/>
                <w:szCs w:val="18"/>
                <w:lang w:eastAsia="en-AU"/>
              </w:rPr>
              <w:t>23</w:t>
            </w:r>
          </w:p>
        </w:tc>
        <w:tc>
          <w:tcPr>
            <w:tcW w:w="839"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 w:val="16"/>
                <w:szCs w:val="18"/>
                <w:lang w:eastAsia="en-AU"/>
              </w:rPr>
            </w:pPr>
            <w:r>
              <w:rPr>
                <w:rFonts w:eastAsiaTheme="minorEastAsia" w:cs="Arial"/>
                <w:b/>
                <w:bCs/>
                <w:color w:val="000000"/>
                <w:sz w:val="16"/>
                <w:szCs w:val="18"/>
                <w:lang w:eastAsia="en-AU"/>
              </w:rPr>
              <w:t>23</w:t>
            </w:r>
          </w:p>
        </w:tc>
        <w:tc>
          <w:tcPr>
            <w:tcW w:w="828"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 w:val="16"/>
                <w:szCs w:val="18"/>
                <w:lang w:eastAsia="en-AU"/>
              </w:rPr>
            </w:pPr>
            <w:r>
              <w:rPr>
                <w:rFonts w:eastAsiaTheme="minorEastAsia" w:cs="Arial"/>
                <w:b/>
                <w:bCs/>
                <w:color w:val="000000"/>
                <w:sz w:val="16"/>
                <w:szCs w:val="18"/>
                <w:lang w:eastAsia="en-AU"/>
              </w:rPr>
              <w:t>24</w:t>
            </w:r>
          </w:p>
        </w:tc>
        <w:tc>
          <w:tcPr>
            <w:tcW w:w="811"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 w:val="16"/>
                <w:szCs w:val="18"/>
                <w:lang w:eastAsia="en-AU"/>
              </w:rPr>
            </w:pPr>
            <w:r>
              <w:rPr>
                <w:rFonts w:eastAsiaTheme="minorEastAsia" w:cs="Arial"/>
                <w:b/>
                <w:bCs/>
                <w:color w:val="000000"/>
                <w:sz w:val="16"/>
                <w:szCs w:val="18"/>
                <w:lang w:eastAsia="en-AU"/>
              </w:rPr>
              <w:t>24</w:t>
            </w:r>
          </w:p>
        </w:tc>
        <w:tc>
          <w:tcPr>
            <w:tcW w:w="811"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 w:val="16"/>
                <w:szCs w:val="18"/>
                <w:lang w:eastAsia="en-AU"/>
              </w:rPr>
            </w:pPr>
            <w:r>
              <w:rPr>
                <w:rFonts w:eastAsiaTheme="minorEastAsia" w:cs="Arial"/>
                <w:b/>
                <w:bCs/>
                <w:color w:val="000000"/>
                <w:sz w:val="16"/>
                <w:szCs w:val="18"/>
                <w:lang w:eastAsia="en-AU"/>
              </w:rPr>
              <w:t>25</w:t>
            </w:r>
          </w:p>
        </w:tc>
      </w:tr>
      <w:tr w:rsidR="00A46DCA" w:rsidRPr="00AC137D" w:rsidTr="00A26D04">
        <w:tc>
          <w:tcPr>
            <w:cnfStyle w:val="001000000000" w:firstRow="0" w:lastRow="0" w:firstColumn="1" w:lastColumn="0" w:oddVBand="0" w:evenVBand="0" w:oddHBand="0" w:evenHBand="0" w:firstRowFirstColumn="0" w:firstRowLastColumn="0" w:lastRowFirstColumn="0" w:lastRowLastColumn="0"/>
            <w:tcW w:w="3685" w:type="dxa"/>
            <w:tcBorders>
              <w:top w:val="nil"/>
              <w:left w:val="nil"/>
              <w:bottom w:val="nil"/>
              <w:right w:val="nil"/>
            </w:tcBorders>
          </w:tcPr>
          <w:p w:rsidR="00A46DCA" w:rsidRPr="00AC137D" w:rsidRDefault="00A46DCA" w:rsidP="00A26D04">
            <w:pPr>
              <w:keepLines w:val="0"/>
              <w:autoSpaceDE w:val="0"/>
              <w:autoSpaceDN w:val="0"/>
              <w:adjustRightInd w:val="0"/>
              <w:rPr>
                <w:rFonts w:eastAsiaTheme="minorEastAsia" w:cs="Calibri"/>
                <w:b/>
                <w:bCs/>
                <w:color w:val="000000"/>
                <w:sz w:val="16"/>
                <w:szCs w:val="16"/>
                <w:lang w:eastAsia="en-AU"/>
              </w:rPr>
            </w:pPr>
            <w:r w:rsidRPr="00AC137D">
              <w:rPr>
                <w:rFonts w:eastAsiaTheme="minorEastAsia" w:cs="Calibri"/>
                <w:b/>
                <w:bCs/>
                <w:color w:val="000000"/>
                <w:sz w:val="16"/>
                <w:szCs w:val="16"/>
                <w:lang w:eastAsia="en-AU"/>
              </w:rPr>
              <w:t>Other</w:t>
            </w:r>
          </w:p>
        </w:tc>
        <w:tc>
          <w:tcPr>
            <w:tcW w:w="794"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 w:val="16"/>
                <w:szCs w:val="18"/>
                <w:lang w:eastAsia="en-AU"/>
              </w:rPr>
            </w:pPr>
            <w:r>
              <w:rPr>
                <w:rFonts w:eastAsiaTheme="minorEastAsia" w:cs="Arial"/>
                <w:b/>
                <w:bCs/>
                <w:color w:val="000000"/>
                <w:sz w:val="16"/>
                <w:szCs w:val="18"/>
                <w:lang w:eastAsia="en-AU"/>
              </w:rPr>
              <w:t>243</w:t>
            </w:r>
          </w:p>
        </w:tc>
        <w:tc>
          <w:tcPr>
            <w:tcW w:w="839"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 w:val="16"/>
                <w:szCs w:val="18"/>
                <w:lang w:eastAsia="en-AU"/>
              </w:rPr>
            </w:pPr>
            <w:r>
              <w:rPr>
                <w:rFonts w:eastAsiaTheme="minorEastAsia" w:cs="Arial"/>
                <w:b/>
                <w:bCs/>
                <w:color w:val="000000"/>
                <w:sz w:val="16"/>
                <w:szCs w:val="18"/>
                <w:lang w:eastAsia="en-AU"/>
              </w:rPr>
              <w:t>243</w:t>
            </w:r>
          </w:p>
        </w:tc>
        <w:tc>
          <w:tcPr>
            <w:tcW w:w="828"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 w:val="16"/>
                <w:szCs w:val="18"/>
                <w:lang w:eastAsia="en-AU"/>
              </w:rPr>
            </w:pPr>
            <w:r>
              <w:rPr>
                <w:rFonts w:eastAsiaTheme="minorEastAsia" w:cs="Arial"/>
                <w:b/>
                <w:bCs/>
                <w:color w:val="000000"/>
                <w:sz w:val="16"/>
                <w:szCs w:val="18"/>
                <w:lang w:eastAsia="en-AU"/>
              </w:rPr>
              <w:t>278</w:t>
            </w:r>
          </w:p>
        </w:tc>
        <w:tc>
          <w:tcPr>
            <w:tcW w:w="811"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 w:val="16"/>
                <w:szCs w:val="18"/>
                <w:lang w:eastAsia="en-AU"/>
              </w:rPr>
            </w:pPr>
            <w:r>
              <w:rPr>
                <w:rFonts w:eastAsiaTheme="minorEastAsia" w:cs="Arial"/>
                <w:b/>
                <w:bCs/>
                <w:color w:val="000000"/>
                <w:sz w:val="16"/>
                <w:szCs w:val="18"/>
                <w:lang w:eastAsia="en-AU"/>
              </w:rPr>
              <w:t>280</w:t>
            </w:r>
          </w:p>
        </w:tc>
        <w:tc>
          <w:tcPr>
            <w:tcW w:w="811"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 w:val="16"/>
                <w:szCs w:val="18"/>
                <w:lang w:eastAsia="en-AU"/>
              </w:rPr>
            </w:pPr>
            <w:r>
              <w:rPr>
                <w:rFonts w:eastAsiaTheme="minorEastAsia" w:cs="Arial"/>
                <w:b/>
                <w:bCs/>
                <w:color w:val="000000"/>
                <w:sz w:val="16"/>
                <w:szCs w:val="18"/>
                <w:lang w:eastAsia="en-AU"/>
              </w:rPr>
              <w:t>285</w:t>
            </w:r>
          </w:p>
        </w:tc>
      </w:tr>
      <w:tr w:rsidR="00A46DCA" w:rsidRPr="00AC137D" w:rsidTr="00A26D04">
        <w:tc>
          <w:tcPr>
            <w:cnfStyle w:val="001000000000" w:firstRow="0" w:lastRow="0" w:firstColumn="1" w:lastColumn="0" w:oddVBand="0" w:evenVBand="0" w:oddHBand="0" w:evenHBand="0" w:firstRowFirstColumn="0" w:firstRowLastColumn="0" w:lastRowFirstColumn="0" w:lastRowLastColumn="0"/>
            <w:tcW w:w="3685" w:type="dxa"/>
            <w:tcBorders>
              <w:top w:val="single" w:sz="6" w:space="0" w:color="000000"/>
              <w:left w:val="nil"/>
              <w:bottom w:val="nil"/>
              <w:right w:val="nil"/>
            </w:tcBorders>
          </w:tcPr>
          <w:p w:rsidR="00A46DCA" w:rsidRPr="00AC137D" w:rsidRDefault="00A46DCA" w:rsidP="00A26D04">
            <w:pPr>
              <w:keepLines w:val="0"/>
              <w:autoSpaceDE w:val="0"/>
              <w:autoSpaceDN w:val="0"/>
              <w:adjustRightInd w:val="0"/>
              <w:rPr>
                <w:rFonts w:eastAsiaTheme="minorEastAsia" w:cs="Calibri"/>
                <w:b/>
                <w:bCs/>
                <w:color w:val="000000"/>
                <w:sz w:val="16"/>
                <w:szCs w:val="16"/>
                <w:lang w:eastAsia="en-AU"/>
              </w:rPr>
            </w:pPr>
            <w:r w:rsidRPr="00AC137D">
              <w:rPr>
                <w:rFonts w:eastAsiaTheme="minorEastAsia" w:cs="Calibri"/>
                <w:b/>
                <w:bCs/>
                <w:color w:val="000000"/>
                <w:sz w:val="16"/>
                <w:szCs w:val="16"/>
                <w:lang w:eastAsia="en-AU"/>
              </w:rPr>
              <w:t>Total taxes on the use of goods and performance of activities</w:t>
            </w:r>
          </w:p>
        </w:tc>
        <w:tc>
          <w:tcPr>
            <w:tcW w:w="794" w:type="dxa"/>
            <w:tcBorders>
              <w:top w:val="single" w:sz="6" w:space="0" w:color="000000"/>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 w:val="16"/>
                <w:szCs w:val="18"/>
                <w:lang w:eastAsia="en-AU"/>
              </w:rPr>
            </w:pPr>
            <w:r w:rsidRPr="00AC137D">
              <w:rPr>
                <w:rFonts w:eastAsiaTheme="minorEastAsia" w:cs="Arial"/>
                <w:b/>
                <w:bCs/>
                <w:color w:val="000000"/>
                <w:sz w:val="16"/>
                <w:szCs w:val="18"/>
                <w:lang w:eastAsia="en-AU"/>
              </w:rPr>
              <w:t>2 786</w:t>
            </w:r>
          </w:p>
        </w:tc>
        <w:tc>
          <w:tcPr>
            <w:tcW w:w="839" w:type="dxa"/>
            <w:tcBorders>
              <w:top w:val="single" w:sz="6" w:space="0" w:color="000000"/>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 w:val="16"/>
                <w:szCs w:val="18"/>
                <w:lang w:eastAsia="en-AU"/>
              </w:rPr>
            </w:pPr>
            <w:r w:rsidRPr="00AC137D">
              <w:rPr>
                <w:rFonts w:eastAsiaTheme="minorEastAsia" w:cs="Arial"/>
                <w:b/>
                <w:bCs/>
                <w:color w:val="000000"/>
                <w:sz w:val="16"/>
                <w:szCs w:val="18"/>
                <w:lang w:eastAsia="en-AU"/>
              </w:rPr>
              <w:t>2 625</w:t>
            </w:r>
          </w:p>
        </w:tc>
        <w:tc>
          <w:tcPr>
            <w:tcW w:w="828" w:type="dxa"/>
            <w:tcBorders>
              <w:top w:val="single" w:sz="6" w:space="0" w:color="000000"/>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 w:val="16"/>
                <w:szCs w:val="18"/>
                <w:lang w:eastAsia="en-AU"/>
              </w:rPr>
            </w:pPr>
            <w:r w:rsidRPr="00AC137D">
              <w:rPr>
                <w:rFonts w:eastAsiaTheme="minorEastAsia" w:cs="Arial"/>
                <w:b/>
                <w:bCs/>
                <w:color w:val="000000"/>
                <w:sz w:val="16"/>
                <w:szCs w:val="18"/>
                <w:lang w:eastAsia="en-AU"/>
              </w:rPr>
              <w:t>2 916</w:t>
            </w:r>
          </w:p>
        </w:tc>
        <w:tc>
          <w:tcPr>
            <w:tcW w:w="811" w:type="dxa"/>
            <w:tcBorders>
              <w:top w:val="single" w:sz="6" w:space="0" w:color="000000"/>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 w:val="16"/>
                <w:szCs w:val="18"/>
                <w:lang w:eastAsia="en-AU"/>
              </w:rPr>
            </w:pPr>
            <w:r w:rsidRPr="00AC137D">
              <w:rPr>
                <w:rFonts w:eastAsiaTheme="minorEastAsia" w:cs="Arial"/>
                <w:b/>
                <w:bCs/>
                <w:color w:val="000000"/>
                <w:sz w:val="16"/>
                <w:szCs w:val="18"/>
                <w:lang w:eastAsia="en-AU"/>
              </w:rPr>
              <w:t>3 062</w:t>
            </w:r>
          </w:p>
        </w:tc>
        <w:tc>
          <w:tcPr>
            <w:tcW w:w="811" w:type="dxa"/>
            <w:tcBorders>
              <w:top w:val="single" w:sz="6" w:space="0" w:color="000000"/>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 w:val="16"/>
                <w:szCs w:val="18"/>
                <w:lang w:eastAsia="en-AU"/>
              </w:rPr>
            </w:pPr>
            <w:r w:rsidRPr="00AC137D">
              <w:rPr>
                <w:rFonts w:eastAsiaTheme="minorEastAsia" w:cs="Arial"/>
                <w:b/>
                <w:bCs/>
                <w:color w:val="000000"/>
                <w:sz w:val="16"/>
                <w:szCs w:val="18"/>
                <w:lang w:eastAsia="en-AU"/>
              </w:rPr>
              <w:t>3 179</w:t>
            </w:r>
          </w:p>
        </w:tc>
      </w:tr>
      <w:tr w:rsidR="00A46DCA" w:rsidRPr="00AC137D" w:rsidTr="00A26D04">
        <w:tc>
          <w:tcPr>
            <w:cnfStyle w:val="001000000000" w:firstRow="0" w:lastRow="0" w:firstColumn="1" w:lastColumn="0" w:oddVBand="0" w:evenVBand="0" w:oddHBand="0" w:evenHBand="0" w:firstRowFirstColumn="0" w:firstRowLastColumn="0" w:lastRowFirstColumn="0" w:lastRowLastColumn="0"/>
            <w:tcW w:w="3685" w:type="dxa"/>
            <w:tcBorders>
              <w:top w:val="single" w:sz="6" w:space="0" w:color="000000"/>
              <w:left w:val="nil"/>
              <w:bottom w:val="single" w:sz="12" w:space="0" w:color="000000"/>
              <w:right w:val="nil"/>
            </w:tcBorders>
          </w:tcPr>
          <w:p w:rsidR="00A46DCA" w:rsidRPr="00AC137D" w:rsidRDefault="00A46DCA" w:rsidP="00A26D04">
            <w:pPr>
              <w:keepLines w:val="0"/>
              <w:autoSpaceDE w:val="0"/>
              <w:autoSpaceDN w:val="0"/>
              <w:adjustRightInd w:val="0"/>
              <w:rPr>
                <w:rFonts w:eastAsiaTheme="minorEastAsia" w:cs="Calibri"/>
                <w:b/>
                <w:bCs/>
                <w:color w:val="000000"/>
                <w:sz w:val="16"/>
                <w:szCs w:val="16"/>
                <w:lang w:eastAsia="en-AU"/>
              </w:rPr>
            </w:pPr>
            <w:r w:rsidRPr="00AC137D">
              <w:rPr>
                <w:rFonts w:eastAsiaTheme="minorEastAsia" w:cs="Calibri"/>
                <w:b/>
                <w:bCs/>
                <w:color w:val="000000"/>
                <w:sz w:val="16"/>
                <w:szCs w:val="16"/>
                <w:lang w:eastAsia="en-AU"/>
              </w:rPr>
              <w:t>Total taxation revenue</w:t>
            </w:r>
          </w:p>
        </w:tc>
        <w:tc>
          <w:tcPr>
            <w:tcW w:w="794" w:type="dxa"/>
            <w:tcBorders>
              <w:top w:val="single" w:sz="6" w:space="0" w:color="000000"/>
              <w:left w:val="nil"/>
              <w:bottom w:val="single" w:sz="12" w:space="0" w:color="000000"/>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 w:val="16"/>
                <w:szCs w:val="18"/>
                <w:lang w:eastAsia="en-AU"/>
              </w:rPr>
            </w:pPr>
            <w:r w:rsidRPr="00AC137D">
              <w:rPr>
                <w:rFonts w:eastAsiaTheme="minorEastAsia" w:cs="Arial"/>
                <w:b/>
                <w:bCs/>
                <w:color w:val="000000"/>
                <w:sz w:val="16"/>
                <w:szCs w:val="18"/>
                <w:lang w:eastAsia="en-AU"/>
              </w:rPr>
              <w:t>21 827</w:t>
            </w:r>
          </w:p>
        </w:tc>
        <w:tc>
          <w:tcPr>
            <w:tcW w:w="839" w:type="dxa"/>
            <w:tcBorders>
              <w:top w:val="single" w:sz="6" w:space="0" w:color="000000"/>
              <w:left w:val="nil"/>
              <w:bottom w:val="single" w:sz="12" w:space="0" w:color="000000"/>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 w:val="16"/>
                <w:szCs w:val="18"/>
                <w:lang w:eastAsia="en-AU"/>
              </w:rPr>
            </w:pPr>
            <w:r w:rsidRPr="00AC137D">
              <w:rPr>
                <w:rFonts w:eastAsiaTheme="minorEastAsia" w:cs="Arial"/>
                <w:b/>
                <w:bCs/>
                <w:color w:val="000000"/>
                <w:sz w:val="16"/>
                <w:szCs w:val="18"/>
                <w:lang w:eastAsia="en-AU"/>
              </w:rPr>
              <w:t>22 175</w:t>
            </w:r>
          </w:p>
        </w:tc>
        <w:tc>
          <w:tcPr>
            <w:tcW w:w="828" w:type="dxa"/>
            <w:tcBorders>
              <w:top w:val="single" w:sz="6" w:space="0" w:color="000000"/>
              <w:left w:val="nil"/>
              <w:bottom w:val="single" w:sz="12" w:space="0" w:color="000000"/>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 w:val="16"/>
                <w:szCs w:val="18"/>
                <w:lang w:eastAsia="en-AU"/>
              </w:rPr>
            </w:pPr>
            <w:r w:rsidRPr="00AC137D">
              <w:rPr>
                <w:rFonts w:eastAsiaTheme="minorEastAsia" w:cs="Arial"/>
                <w:b/>
                <w:bCs/>
                <w:color w:val="000000"/>
                <w:sz w:val="16"/>
                <w:szCs w:val="18"/>
                <w:lang w:eastAsia="en-AU"/>
              </w:rPr>
              <w:t>23 804</w:t>
            </w:r>
          </w:p>
        </w:tc>
        <w:tc>
          <w:tcPr>
            <w:tcW w:w="811" w:type="dxa"/>
            <w:tcBorders>
              <w:top w:val="single" w:sz="6" w:space="0" w:color="000000"/>
              <w:left w:val="nil"/>
              <w:bottom w:val="single" w:sz="12" w:space="0" w:color="000000"/>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 w:val="16"/>
                <w:szCs w:val="18"/>
                <w:lang w:eastAsia="en-AU"/>
              </w:rPr>
            </w:pPr>
            <w:r w:rsidRPr="00AC137D">
              <w:rPr>
                <w:rFonts w:eastAsiaTheme="minorEastAsia" w:cs="Arial"/>
                <w:b/>
                <w:bCs/>
                <w:color w:val="000000"/>
                <w:sz w:val="16"/>
                <w:szCs w:val="18"/>
                <w:lang w:eastAsia="en-AU"/>
              </w:rPr>
              <w:t>24 935</w:t>
            </w:r>
          </w:p>
        </w:tc>
        <w:tc>
          <w:tcPr>
            <w:tcW w:w="811" w:type="dxa"/>
            <w:tcBorders>
              <w:top w:val="single" w:sz="6" w:space="0" w:color="000000"/>
              <w:left w:val="nil"/>
              <w:bottom w:val="single" w:sz="12" w:space="0" w:color="000000"/>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 w:val="16"/>
                <w:szCs w:val="18"/>
                <w:lang w:eastAsia="en-AU"/>
              </w:rPr>
            </w:pPr>
            <w:r w:rsidRPr="00AC137D">
              <w:rPr>
                <w:rFonts w:eastAsiaTheme="minorEastAsia" w:cs="Arial"/>
                <w:b/>
                <w:bCs/>
                <w:color w:val="000000"/>
                <w:sz w:val="16"/>
                <w:szCs w:val="18"/>
                <w:lang w:eastAsia="en-AU"/>
              </w:rPr>
              <w:t>25 787</w:t>
            </w:r>
          </w:p>
        </w:tc>
      </w:tr>
    </w:tbl>
    <w:p w:rsidR="00A46DCA" w:rsidRPr="00D87D22" w:rsidRDefault="00A46DCA" w:rsidP="00A26D04">
      <w:pPr>
        <w:pStyle w:val="Source"/>
      </w:pPr>
      <w:r w:rsidRPr="00D87D22">
        <w:t>Source: Department of Treasury and Finance</w:t>
      </w:r>
    </w:p>
    <w:p w:rsidR="00A46DCA" w:rsidRDefault="00A46DCA" w:rsidP="00A26D04">
      <w:pPr>
        <w:pStyle w:val="Note"/>
      </w:pPr>
      <w:r w:rsidRPr="00D87D22">
        <w:t>Note:</w:t>
      </w:r>
    </w:p>
    <w:p w:rsidR="00A46DCA" w:rsidRPr="0005110A" w:rsidRDefault="00A46DCA" w:rsidP="00A26D04">
      <w:pPr>
        <w:pStyle w:val="Note"/>
      </w:pPr>
      <w:r w:rsidRPr="00DC10C3">
        <w:t xml:space="preserve">(a) </w:t>
      </w:r>
      <w:r>
        <w:tab/>
      </w:r>
      <w:r w:rsidRPr="00DC10C3">
        <w:t>The fourth tranche of environmental contribution levy commenced on 1 July 2016 for a period of four years concluding 30 June 2020.</w:t>
      </w:r>
    </w:p>
    <w:p w:rsidR="00A46DCA" w:rsidRPr="00AC137D" w:rsidRDefault="00A46DCA" w:rsidP="00A26D04">
      <w:pPr>
        <w:pStyle w:val="Heading3"/>
        <w:numPr>
          <w:ilvl w:val="2"/>
          <w:numId w:val="19"/>
        </w:numPr>
        <w:tabs>
          <w:tab w:val="clear" w:pos="9582"/>
          <w:tab w:val="left" w:pos="850"/>
          <w:tab w:val="right" w:pos="7711"/>
        </w:tabs>
        <w:spacing w:after="60"/>
        <w:rPr>
          <w:lang w:val="en-US"/>
        </w:rPr>
      </w:pPr>
      <w:bookmarkStart w:id="28" w:name="_Toc496606535"/>
      <w:r>
        <w:lastRenderedPageBreak/>
        <w:t>Dividends, income tax equivalent and rate equivalent revenue</w:t>
      </w:r>
      <w:r>
        <w:tab/>
        <w:t>($ million)</w:t>
      </w:r>
      <w:bookmarkEnd w:id="28"/>
    </w:p>
    <w:tbl>
      <w:tblPr>
        <w:tblStyle w:val="DTFTable"/>
        <w:tblW w:w="7799" w:type="dxa"/>
        <w:tblInd w:w="45" w:type="dxa"/>
        <w:tblLayout w:type="fixed"/>
        <w:tblCellMar>
          <w:left w:w="45" w:type="dxa"/>
          <w:right w:w="45" w:type="dxa"/>
        </w:tblCellMar>
        <w:tblLook w:val="06E0" w:firstRow="1" w:lastRow="1" w:firstColumn="1" w:lastColumn="0" w:noHBand="1" w:noVBand="1"/>
      </w:tblPr>
      <w:tblGrid>
        <w:gridCol w:w="3685"/>
        <w:gridCol w:w="816"/>
        <w:gridCol w:w="816"/>
        <w:gridCol w:w="816"/>
        <w:gridCol w:w="816"/>
        <w:gridCol w:w="850"/>
      </w:tblGrid>
      <w:tr w:rsidR="00A26D04" w:rsidRPr="00AC137D" w:rsidTr="00A26D04">
        <w:trPr>
          <w:cnfStyle w:val="100000000000" w:firstRow="1" w:lastRow="0" w:firstColumn="0" w:lastColumn="0" w:oddVBand="0" w:evenVBand="0" w:oddHBand="0" w:evenHBand="0" w:firstRowFirstColumn="0" w:firstRowLastColumn="0" w:lastRowFirstColumn="0" w:lastRowLastColumn="0"/>
          <w:trHeight w:val="465"/>
          <w:tblHeader/>
        </w:trPr>
        <w:tc>
          <w:tcPr>
            <w:cnfStyle w:val="001000000000" w:firstRow="0" w:lastRow="0" w:firstColumn="1" w:lastColumn="0" w:oddVBand="0" w:evenVBand="0" w:oddHBand="0" w:evenHBand="0" w:firstRowFirstColumn="0" w:firstRowLastColumn="0" w:lastRowFirstColumn="0" w:lastRowLastColumn="0"/>
            <w:tcW w:w="3685" w:type="dxa"/>
            <w:tcBorders>
              <w:top w:val="nil"/>
              <w:left w:val="nil"/>
              <w:right w:val="nil"/>
            </w:tcBorders>
            <w:shd w:val="solid" w:color="000000" w:fill="auto"/>
          </w:tcPr>
          <w:p w:rsidR="00A26D04" w:rsidRPr="00AC137D" w:rsidRDefault="00A26D04" w:rsidP="00A26D04">
            <w:pPr>
              <w:autoSpaceDE w:val="0"/>
              <w:autoSpaceDN w:val="0"/>
              <w:adjustRightInd w:val="0"/>
              <w:rPr>
                <w:rFonts w:eastAsiaTheme="minorEastAsia" w:cs="Calibri"/>
                <w:iCs/>
                <w:color w:val="FFFFFF"/>
                <w:lang w:eastAsia="en-AU"/>
              </w:rPr>
            </w:pPr>
            <w:r w:rsidRPr="00AC137D">
              <w:rPr>
                <w:rFonts w:eastAsiaTheme="minorEastAsia" w:cs="Calibri"/>
                <w:iCs/>
                <w:color w:val="FFFFFF"/>
                <w:lang w:eastAsia="en-AU"/>
              </w:rPr>
              <w:t xml:space="preserve">  </w:t>
            </w:r>
          </w:p>
        </w:tc>
        <w:tc>
          <w:tcPr>
            <w:tcW w:w="816" w:type="dxa"/>
            <w:tcBorders>
              <w:top w:val="nil"/>
              <w:left w:val="nil"/>
              <w:right w:val="nil"/>
            </w:tcBorders>
            <w:shd w:val="solid" w:color="000000" w:fill="auto"/>
          </w:tcPr>
          <w:p w:rsidR="00A26D04" w:rsidRPr="00AC137D" w:rsidRDefault="00A26D04" w:rsidP="00A26D0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AC137D">
              <w:rPr>
                <w:rFonts w:eastAsiaTheme="minorEastAsia" w:cs="Calibri"/>
                <w:iCs/>
                <w:color w:val="FFFFFF"/>
                <w:szCs w:val="16"/>
                <w:lang w:eastAsia="en-AU"/>
              </w:rPr>
              <w:t>2017-18</w:t>
            </w:r>
            <w:r>
              <w:rPr>
                <w:rFonts w:eastAsiaTheme="minorEastAsia" w:cs="Calibri"/>
                <w:iCs/>
                <w:color w:val="FFFFFF"/>
                <w:szCs w:val="16"/>
                <w:lang w:eastAsia="en-AU"/>
              </w:rPr>
              <w:br/>
            </w:r>
            <w:r w:rsidRPr="00AC137D">
              <w:rPr>
                <w:rFonts w:eastAsiaTheme="minorEastAsia" w:cs="Calibri"/>
                <w:iCs/>
                <w:color w:val="FFFFFF"/>
                <w:szCs w:val="16"/>
                <w:lang w:eastAsia="en-AU"/>
              </w:rPr>
              <w:t>budget</w:t>
            </w:r>
          </w:p>
        </w:tc>
        <w:tc>
          <w:tcPr>
            <w:tcW w:w="816" w:type="dxa"/>
            <w:tcBorders>
              <w:top w:val="nil"/>
              <w:left w:val="nil"/>
              <w:right w:val="nil"/>
            </w:tcBorders>
            <w:shd w:val="solid" w:color="000000" w:fill="auto"/>
          </w:tcPr>
          <w:p w:rsidR="00A26D04" w:rsidRPr="00AC137D" w:rsidRDefault="00A26D04" w:rsidP="00A26D0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AC137D">
              <w:rPr>
                <w:rFonts w:eastAsiaTheme="minorEastAsia" w:cs="Calibri"/>
                <w:iCs/>
                <w:color w:val="FFFFFF"/>
                <w:szCs w:val="16"/>
                <w:lang w:eastAsia="en-AU"/>
              </w:rPr>
              <w:t>2017-18</w:t>
            </w:r>
            <w:r>
              <w:rPr>
                <w:rFonts w:eastAsiaTheme="minorEastAsia" w:cs="Calibri"/>
                <w:iCs/>
                <w:color w:val="FFFFFF"/>
                <w:szCs w:val="16"/>
                <w:lang w:eastAsia="en-AU"/>
              </w:rPr>
              <w:br/>
            </w:r>
            <w:r w:rsidRPr="00AC137D">
              <w:rPr>
                <w:rFonts w:eastAsiaTheme="minorEastAsia" w:cs="Calibri"/>
                <w:iCs/>
                <w:color w:val="FFFFFF"/>
                <w:szCs w:val="16"/>
                <w:lang w:eastAsia="en-AU"/>
              </w:rPr>
              <w:t>revised</w:t>
            </w:r>
          </w:p>
        </w:tc>
        <w:tc>
          <w:tcPr>
            <w:tcW w:w="816" w:type="dxa"/>
            <w:tcBorders>
              <w:top w:val="nil"/>
              <w:left w:val="nil"/>
              <w:right w:val="nil"/>
            </w:tcBorders>
            <w:shd w:val="solid" w:color="000000" w:fill="auto"/>
          </w:tcPr>
          <w:p w:rsidR="00A26D04" w:rsidRPr="00AC137D" w:rsidRDefault="00A26D04" w:rsidP="00A26D0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AC137D">
              <w:rPr>
                <w:rFonts w:eastAsiaTheme="minorEastAsia" w:cs="Calibri"/>
                <w:iCs/>
                <w:color w:val="FFFFFF"/>
                <w:szCs w:val="16"/>
                <w:lang w:eastAsia="en-AU"/>
              </w:rPr>
              <w:t>2018-19</w:t>
            </w:r>
            <w:r>
              <w:rPr>
                <w:rFonts w:eastAsiaTheme="minorEastAsia" w:cs="Calibri"/>
                <w:iCs/>
                <w:color w:val="FFFFFF"/>
                <w:szCs w:val="16"/>
                <w:lang w:eastAsia="en-AU"/>
              </w:rPr>
              <w:br/>
            </w:r>
            <w:r w:rsidRPr="00AC137D">
              <w:rPr>
                <w:rFonts w:eastAsiaTheme="minorEastAsia" w:cs="Calibri"/>
                <w:iCs/>
                <w:color w:val="FFFFFF"/>
                <w:szCs w:val="16"/>
                <w:lang w:eastAsia="en-AU"/>
              </w:rPr>
              <w:t>estimate</w:t>
            </w:r>
          </w:p>
        </w:tc>
        <w:tc>
          <w:tcPr>
            <w:tcW w:w="816" w:type="dxa"/>
            <w:tcBorders>
              <w:top w:val="nil"/>
              <w:left w:val="nil"/>
              <w:right w:val="nil"/>
            </w:tcBorders>
            <w:shd w:val="solid" w:color="000000" w:fill="auto"/>
          </w:tcPr>
          <w:p w:rsidR="00A26D04" w:rsidRPr="00AC137D" w:rsidRDefault="00A26D04" w:rsidP="00A26D0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AC137D">
              <w:rPr>
                <w:rFonts w:eastAsiaTheme="minorEastAsia" w:cs="Calibri"/>
                <w:iCs/>
                <w:color w:val="FFFFFF"/>
                <w:szCs w:val="16"/>
                <w:lang w:eastAsia="en-AU"/>
              </w:rPr>
              <w:t>2019-20</w:t>
            </w:r>
            <w:r>
              <w:rPr>
                <w:rFonts w:eastAsiaTheme="minorEastAsia" w:cs="Calibri"/>
                <w:iCs/>
                <w:color w:val="FFFFFF"/>
                <w:szCs w:val="16"/>
                <w:lang w:eastAsia="en-AU"/>
              </w:rPr>
              <w:br/>
            </w:r>
            <w:r w:rsidRPr="00AC137D">
              <w:rPr>
                <w:rFonts w:eastAsiaTheme="minorEastAsia" w:cs="Calibri"/>
                <w:iCs/>
                <w:color w:val="FFFFFF"/>
                <w:szCs w:val="16"/>
                <w:lang w:eastAsia="en-AU"/>
              </w:rPr>
              <w:t>estimate</w:t>
            </w:r>
          </w:p>
        </w:tc>
        <w:tc>
          <w:tcPr>
            <w:tcW w:w="850" w:type="dxa"/>
            <w:tcBorders>
              <w:top w:val="nil"/>
              <w:left w:val="nil"/>
              <w:right w:val="nil"/>
            </w:tcBorders>
            <w:shd w:val="solid" w:color="000000" w:fill="auto"/>
          </w:tcPr>
          <w:p w:rsidR="00A26D04" w:rsidRPr="00AC137D" w:rsidRDefault="00A26D04" w:rsidP="00A26D0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AC137D">
              <w:rPr>
                <w:rFonts w:eastAsiaTheme="minorEastAsia" w:cs="Calibri"/>
                <w:iCs/>
                <w:color w:val="FFFFFF"/>
                <w:szCs w:val="16"/>
                <w:lang w:eastAsia="en-AU"/>
              </w:rPr>
              <w:t>2020-21</w:t>
            </w:r>
            <w:r>
              <w:rPr>
                <w:rFonts w:eastAsiaTheme="minorEastAsia" w:cs="Calibri"/>
                <w:iCs/>
                <w:color w:val="FFFFFF"/>
                <w:szCs w:val="16"/>
                <w:lang w:eastAsia="en-AU"/>
              </w:rPr>
              <w:br/>
            </w:r>
            <w:r w:rsidRPr="00AC137D">
              <w:rPr>
                <w:rFonts w:eastAsiaTheme="minorEastAsia" w:cs="Calibri"/>
                <w:iCs/>
                <w:color w:val="FFFFFF"/>
                <w:szCs w:val="16"/>
                <w:lang w:eastAsia="en-AU"/>
              </w:rPr>
              <w:t>estimate</w:t>
            </w:r>
          </w:p>
        </w:tc>
      </w:tr>
      <w:tr w:rsidR="00A46DCA" w:rsidRPr="00AC137D" w:rsidTr="00A26D04">
        <w:tc>
          <w:tcPr>
            <w:cnfStyle w:val="001000000000" w:firstRow="0" w:lastRow="0" w:firstColumn="1" w:lastColumn="0" w:oddVBand="0" w:evenVBand="0" w:oddHBand="0" w:evenHBand="0" w:firstRowFirstColumn="0" w:firstRowLastColumn="0" w:lastRowFirstColumn="0" w:lastRowLastColumn="0"/>
            <w:tcW w:w="3685" w:type="dxa"/>
            <w:tcBorders>
              <w:top w:val="nil"/>
              <w:left w:val="nil"/>
              <w:bottom w:val="nil"/>
              <w:right w:val="nil"/>
            </w:tcBorders>
          </w:tcPr>
          <w:p w:rsidR="00A46DCA" w:rsidRPr="00AC137D" w:rsidRDefault="00A46DCA" w:rsidP="00A26D04">
            <w:pPr>
              <w:keepLines w:val="0"/>
              <w:autoSpaceDE w:val="0"/>
              <w:autoSpaceDN w:val="0"/>
              <w:adjustRightInd w:val="0"/>
              <w:rPr>
                <w:rFonts w:eastAsiaTheme="minorEastAsia" w:cs="Calibri"/>
                <w:color w:val="000000"/>
                <w:szCs w:val="16"/>
                <w:lang w:eastAsia="en-AU"/>
              </w:rPr>
            </w:pPr>
            <w:r w:rsidRPr="00AC137D">
              <w:rPr>
                <w:rFonts w:eastAsiaTheme="minorEastAsia" w:cs="Calibri"/>
                <w:color w:val="000000"/>
                <w:szCs w:val="16"/>
                <w:lang w:eastAsia="en-AU"/>
              </w:rPr>
              <w:t>Dividends from PFC sector</w:t>
            </w:r>
          </w:p>
        </w:tc>
        <w:tc>
          <w:tcPr>
            <w:tcW w:w="816"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475</w:t>
            </w:r>
          </w:p>
        </w:tc>
        <w:tc>
          <w:tcPr>
            <w:tcW w:w="816"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501</w:t>
            </w:r>
          </w:p>
        </w:tc>
        <w:tc>
          <w:tcPr>
            <w:tcW w:w="816"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92</w:t>
            </w:r>
          </w:p>
        </w:tc>
        <w:tc>
          <w:tcPr>
            <w:tcW w:w="816"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70</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80</w:t>
            </w:r>
          </w:p>
        </w:tc>
      </w:tr>
      <w:tr w:rsidR="00A46DCA" w:rsidRPr="00AC137D" w:rsidTr="00A26D04">
        <w:tc>
          <w:tcPr>
            <w:cnfStyle w:val="001000000000" w:firstRow="0" w:lastRow="0" w:firstColumn="1" w:lastColumn="0" w:oddVBand="0" w:evenVBand="0" w:oddHBand="0" w:evenHBand="0" w:firstRowFirstColumn="0" w:firstRowLastColumn="0" w:lastRowFirstColumn="0" w:lastRowLastColumn="0"/>
            <w:tcW w:w="3685" w:type="dxa"/>
            <w:tcBorders>
              <w:top w:val="nil"/>
              <w:left w:val="nil"/>
              <w:bottom w:val="nil"/>
              <w:right w:val="nil"/>
            </w:tcBorders>
          </w:tcPr>
          <w:p w:rsidR="00A46DCA" w:rsidRPr="00AC137D" w:rsidRDefault="00A46DCA" w:rsidP="00A26D04">
            <w:pPr>
              <w:keepLines w:val="0"/>
              <w:autoSpaceDE w:val="0"/>
              <w:autoSpaceDN w:val="0"/>
              <w:adjustRightInd w:val="0"/>
              <w:rPr>
                <w:rFonts w:eastAsiaTheme="minorEastAsia" w:cs="Calibri"/>
                <w:color w:val="000000"/>
                <w:szCs w:val="16"/>
                <w:lang w:eastAsia="en-AU"/>
              </w:rPr>
            </w:pPr>
            <w:r w:rsidRPr="00AC137D">
              <w:rPr>
                <w:rFonts w:eastAsiaTheme="minorEastAsia" w:cs="Calibri"/>
                <w:color w:val="000000"/>
                <w:szCs w:val="16"/>
                <w:lang w:eastAsia="en-AU"/>
              </w:rPr>
              <w:t>Dividends from PNFC sector</w:t>
            </w:r>
          </w:p>
        </w:tc>
        <w:tc>
          <w:tcPr>
            <w:tcW w:w="816"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457</w:t>
            </w:r>
          </w:p>
        </w:tc>
        <w:tc>
          <w:tcPr>
            <w:tcW w:w="816"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498</w:t>
            </w:r>
          </w:p>
        </w:tc>
        <w:tc>
          <w:tcPr>
            <w:tcW w:w="816"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225</w:t>
            </w:r>
          </w:p>
        </w:tc>
        <w:tc>
          <w:tcPr>
            <w:tcW w:w="816"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141</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195</w:t>
            </w:r>
          </w:p>
        </w:tc>
      </w:tr>
      <w:tr w:rsidR="00A46DCA" w:rsidRPr="00AC137D" w:rsidTr="00A26D04">
        <w:tc>
          <w:tcPr>
            <w:cnfStyle w:val="001000000000" w:firstRow="0" w:lastRow="0" w:firstColumn="1" w:lastColumn="0" w:oddVBand="0" w:evenVBand="0" w:oddHBand="0" w:evenHBand="0" w:firstRowFirstColumn="0" w:firstRowLastColumn="0" w:lastRowFirstColumn="0" w:lastRowLastColumn="0"/>
            <w:tcW w:w="3685" w:type="dxa"/>
            <w:tcBorders>
              <w:top w:val="nil"/>
              <w:left w:val="nil"/>
              <w:bottom w:val="single" w:sz="6" w:space="0" w:color="000000"/>
              <w:right w:val="nil"/>
            </w:tcBorders>
          </w:tcPr>
          <w:p w:rsidR="00A46DCA" w:rsidRPr="00AC137D" w:rsidRDefault="00A46DCA" w:rsidP="00A26D04">
            <w:pPr>
              <w:keepLines w:val="0"/>
              <w:autoSpaceDE w:val="0"/>
              <w:autoSpaceDN w:val="0"/>
              <w:adjustRightInd w:val="0"/>
              <w:rPr>
                <w:rFonts w:eastAsiaTheme="minorEastAsia" w:cs="Calibri"/>
                <w:color w:val="000000"/>
                <w:szCs w:val="16"/>
                <w:lang w:eastAsia="en-AU"/>
              </w:rPr>
            </w:pPr>
            <w:r w:rsidRPr="00AC137D">
              <w:rPr>
                <w:rFonts w:eastAsiaTheme="minorEastAsia" w:cs="Calibri"/>
                <w:color w:val="000000"/>
                <w:szCs w:val="16"/>
                <w:lang w:eastAsia="en-AU"/>
              </w:rPr>
              <w:t>Dividends from non-public sector</w:t>
            </w:r>
          </w:p>
        </w:tc>
        <w:tc>
          <w:tcPr>
            <w:tcW w:w="816" w:type="dxa"/>
            <w:tcBorders>
              <w:top w:val="nil"/>
              <w:left w:val="nil"/>
              <w:bottom w:val="single" w:sz="6" w:space="0" w:color="000000"/>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26</w:t>
            </w:r>
          </w:p>
        </w:tc>
        <w:tc>
          <w:tcPr>
            <w:tcW w:w="816" w:type="dxa"/>
            <w:tcBorders>
              <w:top w:val="nil"/>
              <w:left w:val="nil"/>
              <w:bottom w:val="single" w:sz="6" w:space="0" w:color="000000"/>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25</w:t>
            </w:r>
          </w:p>
        </w:tc>
        <w:tc>
          <w:tcPr>
            <w:tcW w:w="816" w:type="dxa"/>
            <w:tcBorders>
              <w:top w:val="nil"/>
              <w:left w:val="nil"/>
              <w:bottom w:val="single" w:sz="6" w:space="0" w:color="000000"/>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26</w:t>
            </w:r>
          </w:p>
        </w:tc>
        <w:tc>
          <w:tcPr>
            <w:tcW w:w="816" w:type="dxa"/>
            <w:tcBorders>
              <w:top w:val="nil"/>
              <w:left w:val="nil"/>
              <w:bottom w:val="single" w:sz="6" w:space="0" w:color="000000"/>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26</w:t>
            </w:r>
          </w:p>
        </w:tc>
        <w:tc>
          <w:tcPr>
            <w:tcW w:w="850" w:type="dxa"/>
            <w:tcBorders>
              <w:top w:val="nil"/>
              <w:left w:val="nil"/>
              <w:bottom w:val="single" w:sz="6" w:space="0" w:color="000000"/>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28</w:t>
            </w:r>
          </w:p>
        </w:tc>
      </w:tr>
      <w:tr w:rsidR="00A46DCA" w:rsidRPr="00AC137D" w:rsidTr="00A26D04">
        <w:tc>
          <w:tcPr>
            <w:cnfStyle w:val="001000000000" w:firstRow="0" w:lastRow="0" w:firstColumn="1" w:lastColumn="0" w:oddVBand="0" w:evenVBand="0" w:oddHBand="0" w:evenHBand="0" w:firstRowFirstColumn="0" w:firstRowLastColumn="0" w:lastRowFirstColumn="0" w:lastRowLastColumn="0"/>
            <w:tcW w:w="3685" w:type="dxa"/>
            <w:tcBorders>
              <w:top w:val="nil"/>
              <w:left w:val="nil"/>
              <w:bottom w:val="nil"/>
              <w:right w:val="nil"/>
            </w:tcBorders>
          </w:tcPr>
          <w:p w:rsidR="00A46DCA" w:rsidRPr="00AC137D" w:rsidRDefault="00A46DCA" w:rsidP="00A26D04">
            <w:pPr>
              <w:keepLines w:val="0"/>
              <w:autoSpaceDE w:val="0"/>
              <w:autoSpaceDN w:val="0"/>
              <w:adjustRightInd w:val="0"/>
              <w:rPr>
                <w:rFonts w:eastAsiaTheme="minorEastAsia" w:cs="Calibri"/>
                <w:b/>
                <w:bCs/>
                <w:color w:val="000000"/>
                <w:szCs w:val="16"/>
                <w:lang w:eastAsia="en-AU"/>
              </w:rPr>
            </w:pPr>
            <w:r w:rsidRPr="00AC137D">
              <w:rPr>
                <w:rFonts w:eastAsiaTheme="minorEastAsia" w:cs="Calibri"/>
                <w:b/>
                <w:bCs/>
                <w:color w:val="000000"/>
                <w:szCs w:val="16"/>
                <w:lang w:eastAsia="en-AU"/>
              </w:rPr>
              <w:t>Dividends</w:t>
            </w:r>
          </w:p>
        </w:tc>
        <w:tc>
          <w:tcPr>
            <w:tcW w:w="816"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Pr>
                <w:rFonts w:eastAsiaTheme="minorEastAsia" w:cs="Arial"/>
                <w:b/>
                <w:bCs/>
                <w:color w:val="000000"/>
                <w:szCs w:val="18"/>
                <w:lang w:eastAsia="en-AU"/>
              </w:rPr>
              <w:t>958</w:t>
            </w:r>
          </w:p>
        </w:tc>
        <w:tc>
          <w:tcPr>
            <w:tcW w:w="816"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sidRPr="00AC137D">
              <w:rPr>
                <w:rFonts w:eastAsiaTheme="minorEastAsia" w:cs="Arial"/>
                <w:b/>
                <w:bCs/>
                <w:color w:val="000000"/>
                <w:szCs w:val="18"/>
                <w:lang w:eastAsia="en-AU"/>
              </w:rPr>
              <w:t>1 024</w:t>
            </w:r>
          </w:p>
        </w:tc>
        <w:tc>
          <w:tcPr>
            <w:tcW w:w="816"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Pr>
                <w:rFonts w:eastAsiaTheme="minorEastAsia" w:cs="Arial"/>
                <w:b/>
                <w:bCs/>
                <w:color w:val="000000"/>
                <w:szCs w:val="18"/>
                <w:lang w:eastAsia="en-AU"/>
              </w:rPr>
              <w:t>343</w:t>
            </w:r>
          </w:p>
        </w:tc>
        <w:tc>
          <w:tcPr>
            <w:tcW w:w="816"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Pr>
                <w:rFonts w:eastAsiaTheme="minorEastAsia" w:cs="Arial"/>
                <w:b/>
                <w:bCs/>
                <w:color w:val="000000"/>
                <w:szCs w:val="18"/>
                <w:lang w:eastAsia="en-AU"/>
              </w:rPr>
              <w:t>236</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Pr>
                <w:rFonts w:eastAsiaTheme="minorEastAsia" w:cs="Arial"/>
                <w:b/>
                <w:bCs/>
                <w:color w:val="000000"/>
                <w:szCs w:val="18"/>
                <w:lang w:eastAsia="en-AU"/>
              </w:rPr>
              <w:t>304</w:t>
            </w:r>
          </w:p>
        </w:tc>
      </w:tr>
      <w:tr w:rsidR="00A46DCA" w:rsidRPr="00AC137D" w:rsidTr="00A26D04">
        <w:tc>
          <w:tcPr>
            <w:cnfStyle w:val="001000000000" w:firstRow="0" w:lastRow="0" w:firstColumn="1" w:lastColumn="0" w:oddVBand="0" w:evenVBand="0" w:oddHBand="0" w:evenHBand="0" w:firstRowFirstColumn="0" w:firstRowLastColumn="0" w:lastRowFirstColumn="0" w:lastRowLastColumn="0"/>
            <w:tcW w:w="3685" w:type="dxa"/>
            <w:tcBorders>
              <w:top w:val="nil"/>
              <w:left w:val="nil"/>
              <w:bottom w:val="nil"/>
              <w:right w:val="nil"/>
            </w:tcBorders>
          </w:tcPr>
          <w:p w:rsidR="00A46DCA" w:rsidRPr="00AC137D" w:rsidRDefault="00A46DCA" w:rsidP="00A26D04">
            <w:pPr>
              <w:keepLines w:val="0"/>
              <w:autoSpaceDE w:val="0"/>
              <w:autoSpaceDN w:val="0"/>
              <w:adjustRightInd w:val="0"/>
              <w:rPr>
                <w:rFonts w:eastAsiaTheme="minorEastAsia" w:cs="Calibri"/>
                <w:color w:val="000000"/>
                <w:szCs w:val="16"/>
                <w:lang w:eastAsia="en-AU"/>
              </w:rPr>
            </w:pPr>
            <w:r w:rsidRPr="00AC137D">
              <w:rPr>
                <w:rFonts w:eastAsiaTheme="minorEastAsia" w:cs="Calibri"/>
                <w:color w:val="000000"/>
                <w:szCs w:val="16"/>
                <w:lang w:eastAsia="en-AU"/>
              </w:rPr>
              <w:t>Income tax equivalent revenue from PFC sector</w:t>
            </w:r>
          </w:p>
        </w:tc>
        <w:tc>
          <w:tcPr>
            <w:tcW w:w="816"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6</w:t>
            </w:r>
          </w:p>
        </w:tc>
        <w:tc>
          <w:tcPr>
            <w:tcW w:w="816"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8</w:t>
            </w:r>
          </w:p>
        </w:tc>
        <w:tc>
          <w:tcPr>
            <w:tcW w:w="816"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75</w:t>
            </w:r>
          </w:p>
        </w:tc>
        <w:tc>
          <w:tcPr>
            <w:tcW w:w="816"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46</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105</w:t>
            </w:r>
          </w:p>
        </w:tc>
      </w:tr>
      <w:tr w:rsidR="00A46DCA" w:rsidRPr="00AC137D" w:rsidTr="00A26D04">
        <w:tc>
          <w:tcPr>
            <w:cnfStyle w:val="001000000000" w:firstRow="0" w:lastRow="0" w:firstColumn="1" w:lastColumn="0" w:oddVBand="0" w:evenVBand="0" w:oddHBand="0" w:evenHBand="0" w:firstRowFirstColumn="0" w:firstRowLastColumn="0" w:lastRowFirstColumn="0" w:lastRowLastColumn="0"/>
            <w:tcW w:w="3685" w:type="dxa"/>
            <w:tcBorders>
              <w:top w:val="nil"/>
              <w:left w:val="nil"/>
              <w:bottom w:val="single" w:sz="6" w:space="0" w:color="000000"/>
              <w:right w:val="nil"/>
            </w:tcBorders>
          </w:tcPr>
          <w:p w:rsidR="00A46DCA" w:rsidRPr="00AC137D" w:rsidRDefault="00A46DCA" w:rsidP="00A26D04">
            <w:pPr>
              <w:keepLines w:val="0"/>
              <w:autoSpaceDE w:val="0"/>
              <w:autoSpaceDN w:val="0"/>
              <w:adjustRightInd w:val="0"/>
              <w:rPr>
                <w:rFonts w:eastAsiaTheme="minorEastAsia" w:cs="Calibri"/>
                <w:color w:val="000000"/>
                <w:szCs w:val="16"/>
                <w:lang w:eastAsia="en-AU"/>
              </w:rPr>
            </w:pPr>
            <w:r w:rsidRPr="00AC137D">
              <w:rPr>
                <w:rFonts w:eastAsiaTheme="minorEastAsia" w:cs="Calibri"/>
                <w:color w:val="000000"/>
                <w:szCs w:val="16"/>
                <w:lang w:eastAsia="en-AU"/>
              </w:rPr>
              <w:t>Income tax equivalent revenue from PNFC sector</w:t>
            </w:r>
          </w:p>
        </w:tc>
        <w:tc>
          <w:tcPr>
            <w:tcW w:w="816" w:type="dxa"/>
            <w:tcBorders>
              <w:top w:val="nil"/>
              <w:left w:val="nil"/>
              <w:bottom w:val="single" w:sz="6" w:space="0" w:color="000000"/>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195</w:t>
            </w:r>
          </w:p>
        </w:tc>
        <w:tc>
          <w:tcPr>
            <w:tcW w:w="816" w:type="dxa"/>
            <w:tcBorders>
              <w:top w:val="nil"/>
              <w:left w:val="nil"/>
              <w:bottom w:val="single" w:sz="6" w:space="0" w:color="000000"/>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231</w:t>
            </w:r>
          </w:p>
        </w:tc>
        <w:tc>
          <w:tcPr>
            <w:tcW w:w="816" w:type="dxa"/>
            <w:tcBorders>
              <w:top w:val="nil"/>
              <w:left w:val="nil"/>
              <w:bottom w:val="single" w:sz="6" w:space="0" w:color="000000"/>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167</w:t>
            </w:r>
          </w:p>
        </w:tc>
        <w:tc>
          <w:tcPr>
            <w:tcW w:w="816" w:type="dxa"/>
            <w:tcBorders>
              <w:top w:val="nil"/>
              <w:left w:val="nil"/>
              <w:bottom w:val="single" w:sz="6" w:space="0" w:color="000000"/>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171</w:t>
            </w:r>
          </w:p>
        </w:tc>
        <w:tc>
          <w:tcPr>
            <w:tcW w:w="850" w:type="dxa"/>
            <w:tcBorders>
              <w:top w:val="nil"/>
              <w:left w:val="nil"/>
              <w:bottom w:val="single" w:sz="6" w:space="0" w:color="000000"/>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203</w:t>
            </w:r>
          </w:p>
        </w:tc>
      </w:tr>
      <w:tr w:rsidR="00A46DCA" w:rsidRPr="00AC137D" w:rsidTr="00A26D04">
        <w:tc>
          <w:tcPr>
            <w:cnfStyle w:val="001000000000" w:firstRow="0" w:lastRow="0" w:firstColumn="1" w:lastColumn="0" w:oddVBand="0" w:evenVBand="0" w:oddHBand="0" w:evenHBand="0" w:firstRowFirstColumn="0" w:firstRowLastColumn="0" w:lastRowFirstColumn="0" w:lastRowLastColumn="0"/>
            <w:tcW w:w="3685" w:type="dxa"/>
            <w:tcBorders>
              <w:top w:val="nil"/>
              <w:left w:val="nil"/>
              <w:bottom w:val="nil"/>
              <w:right w:val="nil"/>
            </w:tcBorders>
          </w:tcPr>
          <w:p w:rsidR="00A46DCA" w:rsidRPr="00AC137D" w:rsidRDefault="00A46DCA" w:rsidP="00A26D04">
            <w:pPr>
              <w:keepLines w:val="0"/>
              <w:autoSpaceDE w:val="0"/>
              <w:autoSpaceDN w:val="0"/>
              <w:adjustRightInd w:val="0"/>
              <w:rPr>
                <w:rFonts w:eastAsiaTheme="minorEastAsia" w:cs="Calibri"/>
                <w:b/>
                <w:bCs/>
                <w:color w:val="000000"/>
                <w:szCs w:val="16"/>
                <w:lang w:eastAsia="en-AU"/>
              </w:rPr>
            </w:pPr>
            <w:r w:rsidRPr="00AC137D">
              <w:rPr>
                <w:rFonts w:eastAsiaTheme="minorEastAsia" w:cs="Calibri"/>
                <w:b/>
                <w:bCs/>
                <w:color w:val="000000"/>
                <w:szCs w:val="16"/>
                <w:lang w:eastAsia="en-AU"/>
              </w:rPr>
              <w:t>Income tax equivalent revenue</w:t>
            </w:r>
          </w:p>
        </w:tc>
        <w:tc>
          <w:tcPr>
            <w:tcW w:w="816"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Pr>
                <w:rFonts w:eastAsiaTheme="minorEastAsia" w:cs="Arial"/>
                <w:b/>
                <w:bCs/>
                <w:color w:val="000000"/>
                <w:szCs w:val="18"/>
                <w:lang w:eastAsia="en-AU"/>
              </w:rPr>
              <w:t>201</w:t>
            </w:r>
          </w:p>
        </w:tc>
        <w:tc>
          <w:tcPr>
            <w:tcW w:w="816"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Pr>
                <w:rFonts w:eastAsiaTheme="minorEastAsia" w:cs="Arial"/>
                <w:b/>
                <w:bCs/>
                <w:color w:val="000000"/>
                <w:szCs w:val="18"/>
                <w:lang w:eastAsia="en-AU"/>
              </w:rPr>
              <w:t>239</w:t>
            </w:r>
          </w:p>
        </w:tc>
        <w:tc>
          <w:tcPr>
            <w:tcW w:w="816"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Pr>
                <w:rFonts w:eastAsiaTheme="minorEastAsia" w:cs="Arial"/>
                <w:b/>
                <w:bCs/>
                <w:color w:val="000000"/>
                <w:szCs w:val="18"/>
                <w:lang w:eastAsia="en-AU"/>
              </w:rPr>
              <w:t>242</w:t>
            </w:r>
          </w:p>
        </w:tc>
        <w:tc>
          <w:tcPr>
            <w:tcW w:w="816"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Pr>
                <w:rFonts w:eastAsiaTheme="minorEastAsia" w:cs="Arial"/>
                <w:b/>
                <w:bCs/>
                <w:color w:val="000000"/>
                <w:szCs w:val="18"/>
                <w:lang w:eastAsia="en-AU"/>
              </w:rPr>
              <w:t>216</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Pr>
                <w:rFonts w:eastAsiaTheme="minorEastAsia" w:cs="Arial"/>
                <w:b/>
                <w:bCs/>
                <w:color w:val="000000"/>
                <w:szCs w:val="18"/>
                <w:lang w:eastAsia="en-AU"/>
              </w:rPr>
              <w:t>308</w:t>
            </w:r>
          </w:p>
        </w:tc>
      </w:tr>
      <w:tr w:rsidR="00A46DCA" w:rsidRPr="00AC137D" w:rsidTr="00A26D04">
        <w:tc>
          <w:tcPr>
            <w:cnfStyle w:val="001000000000" w:firstRow="0" w:lastRow="0" w:firstColumn="1" w:lastColumn="0" w:oddVBand="0" w:evenVBand="0" w:oddHBand="0" w:evenHBand="0" w:firstRowFirstColumn="0" w:firstRowLastColumn="0" w:lastRowFirstColumn="0" w:lastRowLastColumn="0"/>
            <w:tcW w:w="3685" w:type="dxa"/>
            <w:tcBorders>
              <w:top w:val="nil"/>
              <w:left w:val="nil"/>
              <w:bottom w:val="nil"/>
              <w:right w:val="nil"/>
            </w:tcBorders>
          </w:tcPr>
          <w:p w:rsidR="00A46DCA" w:rsidRPr="00AC137D" w:rsidRDefault="00A46DCA" w:rsidP="00A26D04">
            <w:pPr>
              <w:keepLines w:val="0"/>
              <w:autoSpaceDE w:val="0"/>
              <w:autoSpaceDN w:val="0"/>
              <w:adjustRightInd w:val="0"/>
              <w:rPr>
                <w:rFonts w:eastAsiaTheme="minorEastAsia" w:cs="Calibri"/>
                <w:color w:val="000000"/>
                <w:szCs w:val="16"/>
                <w:lang w:eastAsia="en-AU"/>
              </w:rPr>
            </w:pPr>
            <w:r w:rsidRPr="00AC137D">
              <w:rPr>
                <w:rFonts w:eastAsiaTheme="minorEastAsia" w:cs="Calibri"/>
                <w:color w:val="000000"/>
                <w:szCs w:val="16"/>
                <w:lang w:eastAsia="en-AU"/>
              </w:rPr>
              <w:t>Local government rate equivalent revenue</w:t>
            </w:r>
          </w:p>
        </w:tc>
        <w:tc>
          <w:tcPr>
            <w:tcW w:w="816"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12</w:t>
            </w:r>
          </w:p>
        </w:tc>
        <w:tc>
          <w:tcPr>
            <w:tcW w:w="816"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6</w:t>
            </w:r>
          </w:p>
        </w:tc>
        <w:tc>
          <w:tcPr>
            <w:tcW w:w="816"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7</w:t>
            </w:r>
          </w:p>
        </w:tc>
        <w:tc>
          <w:tcPr>
            <w:tcW w:w="816"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8</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7</w:t>
            </w:r>
          </w:p>
        </w:tc>
      </w:tr>
      <w:tr w:rsidR="00A46DCA" w:rsidRPr="00AC137D" w:rsidTr="00A26D04">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5" w:type="dxa"/>
            <w:tcBorders>
              <w:top w:val="single" w:sz="6" w:space="0" w:color="000000"/>
              <w:bottom w:val="single" w:sz="12" w:space="0" w:color="000000"/>
            </w:tcBorders>
          </w:tcPr>
          <w:p w:rsidR="00A46DCA" w:rsidRPr="00AC137D" w:rsidRDefault="00A46DCA" w:rsidP="00A26D04">
            <w:pPr>
              <w:keepLines w:val="0"/>
              <w:autoSpaceDE w:val="0"/>
              <w:autoSpaceDN w:val="0"/>
              <w:adjustRightInd w:val="0"/>
              <w:rPr>
                <w:rFonts w:eastAsiaTheme="minorEastAsia" w:cs="Calibri"/>
                <w:bCs/>
                <w:color w:val="000000"/>
                <w:szCs w:val="16"/>
                <w:lang w:eastAsia="en-AU"/>
              </w:rPr>
            </w:pPr>
            <w:r w:rsidRPr="00AC137D">
              <w:rPr>
                <w:rFonts w:eastAsiaTheme="minorEastAsia" w:cs="Calibri"/>
                <w:bCs/>
                <w:color w:val="000000"/>
                <w:szCs w:val="16"/>
                <w:lang w:eastAsia="en-AU"/>
              </w:rPr>
              <w:t>Total dividends, income tax equivalent and rate equivalent revenue</w:t>
            </w:r>
          </w:p>
        </w:tc>
        <w:tc>
          <w:tcPr>
            <w:tcW w:w="816" w:type="dxa"/>
            <w:tcBorders>
              <w:top w:val="single" w:sz="6" w:space="0" w:color="000000"/>
              <w:bottom w:val="single" w:sz="12" w:space="0" w:color="000000"/>
            </w:tcBorders>
          </w:tcPr>
          <w:p w:rsidR="00A46DCA" w:rsidRPr="00AC137D" w:rsidRDefault="00A46DCA" w:rsidP="00A26D0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Arial"/>
                <w:bCs/>
                <w:color w:val="000000"/>
                <w:szCs w:val="18"/>
                <w:lang w:eastAsia="en-AU"/>
              </w:rPr>
            </w:pPr>
            <w:r w:rsidRPr="00AC137D">
              <w:rPr>
                <w:rFonts w:eastAsiaTheme="minorEastAsia" w:cs="Arial"/>
                <w:bCs/>
                <w:color w:val="000000"/>
                <w:szCs w:val="18"/>
                <w:lang w:eastAsia="en-AU"/>
              </w:rPr>
              <w:t>1 171</w:t>
            </w:r>
          </w:p>
        </w:tc>
        <w:tc>
          <w:tcPr>
            <w:tcW w:w="816" w:type="dxa"/>
            <w:tcBorders>
              <w:top w:val="single" w:sz="6" w:space="0" w:color="000000"/>
              <w:bottom w:val="single" w:sz="12" w:space="0" w:color="000000"/>
            </w:tcBorders>
          </w:tcPr>
          <w:p w:rsidR="00A46DCA" w:rsidRPr="00AC137D" w:rsidRDefault="00A46DCA" w:rsidP="00A26D0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Arial"/>
                <w:bCs/>
                <w:color w:val="000000"/>
                <w:szCs w:val="18"/>
                <w:lang w:eastAsia="en-AU"/>
              </w:rPr>
            </w:pPr>
            <w:r w:rsidRPr="00AC137D">
              <w:rPr>
                <w:rFonts w:eastAsiaTheme="minorEastAsia" w:cs="Arial"/>
                <w:bCs/>
                <w:color w:val="000000"/>
                <w:szCs w:val="18"/>
                <w:lang w:eastAsia="en-AU"/>
              </w:rPr>
              <w:t>1 269</w:t>
            </w:r>
          </w:p>
        </w:tc>
        <w:tc>
          <w:tcPr>
            <w:tcW w:w="816" w:type="dxa"/>
            <w:tcBorders>
              <w:top w:val="single" w:sz="6" w:space="0" w:color="000000"/>
              <w:bottom w:val="single" w:sz="12" w:space="0" w:color="000000"/>
            </w:tcBorders>
          </w:tcPr>
          <w:p w:rsidR="00A46DCA" w:rsidRPr="00AC137D" w:rsidRDefault="00A46DCA" w:rsidP="00A26D0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Arial"/>
                <w:bCs/>
                <w:color w:val="000000"/>
                <w:szCs w:val="18"/>
                <w:lang w:eastAsia="en-AU"/>
              </w:rPr>
            </w:pPr>
            <w:r>
              <w:rPr>
                <w:rFonts w:eastAsiaTheme="minorEastAsia" w:cs="Arial"/>
                <w:bCs/>
                <w:color w:val="000000"/>
                <w:szCs w:val="18"/>
                <w:lang w:eastAsia="en-AU"/>
              </w:rPr>
              <w:t>592</w:t>
            </w:r>
          </w:p>
        </w:tc>
        <w:tc>
          <w:tcPr>
            <w:tcW w:w="816" w:type="dxa"/>
            <w:tcBorders>
              <w:top w:val="single" w:sz="6" w:space="0" w:color="000000"/>
              <w:bottom w:val="single" w:sz="12" w:space="0" w:color="000000"/>
            </w:tcBorders>
          </w:tcPr>
          <w:p w:rsidR="00A46DCA" w:rsidRPr="00AC137D" w:rsidRDefault="00A46DCA" w:rsidP="00A26D0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Arial"/>
                <w:bCs/>
                <w:color w:val="000000"/>
                <w:szCs w:val="18"/>
                <w:lang w:eastAsia="en-AU"/>
              </w:rPr>
            </w:pPr>
            <w:r>
              <w:rPr>
                <w:rFonts w:eastAsiaTheme="minorEastAsia" w:cs="Arial"/>
                <w:bCs/>
                <w:color w:val="000000"/>
                <w:szCs w:val="18"/>
                <w:lang w:eastAsia="en-AU"/>
              </w:rPr>
              <w:t>460</w:t>
            </w:r>
          </w:p>
        </w:tc>
        <w:tc>
          <w:tcPr>
            <w:tcW w:w="850" w:type="dxa"/>
            <w:tcBorders>
              <w:top w:val="single" w:sz="6" w:space="0" w:color="000000"/>
              <w:bottom w:val="single" w:sz="12" w:space="0" w:color="000000"/>
            </w:tcBorders>
          </w:tcPr>
          <w:p w:rsidR="00A46DCA" w:rsidRPr="00AC137D" w:rsidRDefault="00A46DCA" w:rsidP="00A26D0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Arial"/>
                <w:bCs/>
                <w:color w:val="000000"/>
                <w:szCs w:val="18"/>
                <w:lang w:eastAsia="en-AU"/>
              </w:rPr>
            </w:pPr>
            <w:r>
              <w:rPr>
                <w:rFonts w:eastAsiaTheme="minorEastAsia" w:cs="Arial"/>
                <w:bCs/>
                <w:color w:val="000000"/>
                <w:szCs w:val="18"/>
                <w:lang w:eastAsia="en-AU"/>
              </w:rPr>
              <w:t>619</w:t>
            </w:r>
          </w:p>
        </w:tc>
      </w:tr>
    </w:tbl>
    <w:p w:rsidR="00A46DCA" w:rsidRPr="00D87D22" w:rsidRDefault="00A46DCA" w:rsidP="00A26D04">
      <w:pPr>
        <w:pStyle w:val="Source"/>
      </w:pPr>
      <w:r w:rsidRPr="00D87D22">
        <w:t>Source: Department of Treasury and Finance</w:t>
      </w:r>
    </w:p>
    <w:p w:rsidR="00A46DCA" w:rsidRDefault="00A46DCA" w:rsidP="00A26D04"/>
    <w:p w:rsidR="00A46DCA" w:rsidRPr="00AC137D" w:rsidRDefault="00A46DCA" w:rsidP="00A26D04">
      <w:pPr>
        <w:pStyle w:val="TableHeading"/>
        <w:rPr>
          <w:bCs/>
          <w:lang w:val="en-US"/>
        </w:rPr>
      </w:pPr>
      <w:r w:rsidRPr="008C4F9A">
        <w:t>Dividends by entity</w:t>
      </w:r>
      <w:r w:rsidRPr="008C4F9A">
        <w:tab/>
        <w:t>($ million)</w:t>
      </w:r>
    </w:p>
    <w:tbl>
      <w:tblPr>
        <w:tblStyle w:val="DTFTable"/>
        <w:tblW w:w="7768" w:type="dxa"/>
        <w:tblInd w:w="45" w:type="dxa"/>
        <w:tblLayout w:type="fixed"/>
        <w:tblCellMar>
          <w:left w:w="45" w:type="dxa"/>
          <w:right w:w="45" w:type="dxa"/>
        </w:tblCellMar>
        <w:tblLook w:val="06A0" w:firstRow="1" w:lastRow="0" w:firstColumn="1" w:lastColumn="0" w:noHBand="1" w:noVBand="1"/>
      </w:tblPr>
      <w:tblGrid>
        <w:gridCol w:w="3685"/>
        <w:gridCol w:w="794"/>
        <w:gridCol w:w="828"/>
        <w:gridCol w:w="828"/>
        <w:gridCol w:w="828"/>
        <w:gridCol w:w="805"/>
      </w:tblGrid>
      <w:tr w:rsidR="00A26D04" w:rsidRPr="00AC137D" w:rsidTr="002677DA">
        <w:trPr>
          <w:cnfStyle w:val="100000000000" w:firstRow="1" w:lastRow="0" w:firstColumn="0" w:lastColumn="0" w:oddVBand="0" w:evenVBand="0" w:oddHBand="0" w:evenHBand="0" w:firstRowFirstColumn="0" w:firstRowLastColumn="0" w:lastRowFirstColumn="0" w:lastRowLastColumn="0"/>
          <w:trHeight w:val="70"/>
          <w:tblHeader/>
        </w:trPr>
        <w:tc>
          <w:tcPr>
            <w:cnfStyle w:val="001000000000" w:firstRow="0" w:lastRow="0" w:firstColumn="1" w:lastColumn="0" w:oddVBand="0" w:evenVBand="0" w:oddHBand="0" w:evenHBand="0" w:firstRowFirstColumn="0" w:firstRowLastColumn="0" w:lastRowFirstColumn="0" w:lastRowLastColumn="0"/>
            <w:tcW w:w="3685" w:type="dxa"/>
            <w:tcBorders>
              <w:top w:val="nil"/>
              <w:left w:val="nil"/>
              <w:right w:val="nil"/>
            </w:tcBorders>
            <w:shd w:val="solid" w:color="000000" w:fill="auto"/>
          </w:tcPr>
          <w:p w:rsidR="00A26D04" w:rsidRPr="00AC137D" w:rsidRDefault="00A26D04" w:rsidP="00A26D04">
            <w:pPr>
              <w:autoSpaceDE w:val="0"/>
              <w:autoSpaceDN w:val="0"/>
              <w:adjustRightInd w:val="0"/>
              <w:rPr>
                <w:rFonts w:eastAsiaTheme="minorEastAsia" w:cs="Calibri"/>
                <w:iCs/>
                <w:color w:val="FFFFFF"/>
                <w:lang w:eastAsia="en-AU"/>
              </w:rPr>
            </w:pPr>
            <w:r w:rsidRPr="00AC137D">
              <w:rPr>
                <w:rFonts w:eastAsiaTheme="minorEastAsia" w:cs="Calibri"/>
                <w:iCs/>
                <w:color w:val="FFFFFF"/>
                <w:lang w:eastAsia="en-AU"/>
              </w:rPr>
              <w:t xml:space="preserve">  </w:t>
            </w:r>
          </w:p>
        </w:tc>
        <w:tc>
          <w:tcPr>
            <w:tcW w:w="794" w:type="dxa"/>
            <w:tcBorders>
              <w:top w:val="nil"/>
              <w:left w:val="nil"/>
              <w:right w:val="nil"/>
            </w:tcBorders>
            <w:shd w:val="solid" w:color="000000" w:fill="auto"/>
          </w:tcPr>
          <w:p w:rsidR="00A26D04" w:rsidRPr="00AC137D" w:rsidRDefault="00A26D04" w:rsidP="00A26D0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AC137D">
              <w:rPr>
                <w:rFonts w:eastAsiaTheme="minorEastAsia" w:cs="Calibri"/>
                <w:iCs/>
                <w:color w:val="FFFFFF"/>
                <w:szCs w:val="16"/>
                <w:lang w:eastAsia="en-AU"/>
              </w:rPr>
              <w:t>2017-18</w:t>
            </w:r>
            <w:r>
              <w:rPr>
                <w:rFonts w:eastAsiaTheme="minorEastAsia" w:cs="Calibri"/>
                <w:iCs/>
                <w:color w:val="FFFFFF"/>
                <w:szCs w:val="16"/>
                <w:lang w:eastAsia="en-AU"/>
              </w:rPr>
              <w:br/>
            </w:r>
            <w:r w:rsidRPr="00AC137D">
              <w:rPr>
                <w:rFonts w:eastAsiaTheme="minorEastAsia" w:cs="Calibri"/>
                <w:iCs/>
                <w:color w:val="FFFFFF"/>
                <w:szCs w:val="16"/>
                <w:lang w:eastAsia="en-AU"/>
              </w:rPr>
              <w:t>budget</w:t>
            </w:r>
          </w:p>
        </w:tc>
        <w:tc>
          <w:tcPr>
            <w:tcW w:w="828" w:type="dxa"/>
            <w:tcBorders>
              <w:top w:val="nil"/>
              <w:left w:val="nil"/>
              <w:right w:val="nil"/>
            </w:tcBorders>
            <w:shd w:val="solid" w:color="000000" w:fill="auto"/>
          </w:tcPr>
          <w:p w:rsidR="00A26D04" w:rsidRPr="00AC137D" w:rsidRDefault="00A26D04" w:rsidP="00A26D0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AC137D">
              <w:rPr>
                <w:rFonts w:eastAsiaTheme="minorEastAsia" w:cs="Calibri"/>
                <w:iCs/>
                <w:color w:val="FFFFFF"/>
                <w:szCs w:val="16"/>
                <w:lang w:eastAsia="en-AU"/>
              </w:rPr>
              <w:t>2017-18</w:t>
            </w:r>
            <w:r>
              <w:rPr>
                <w:rFonts w:eastAsiaTheme="minorEastAsia" w:cs="Calibri"/>
                <w:iCs/>
                <w:color w:val="FFFFFF"/>
                <w:szCs w:val="16"/>
                <w:lang w:eastAsia="en-AU"/>
              </w:rPr>
              <w:br/>
            </w:r>
            <w:r w:rsidRPr="00AC137D">
              <w:rPr>
                <w:rFonts w:eastAsiaTheme="minorEastAsia" w:cs="Calibri"/>
                <w:iCs/>
                <w:color w:val="FFFFFF"/>
                <w:szCs w:val="16"/>
                <w:lang w:eastAsia="en-AU"/>
              </w:rPr>
              <w:t>revised</w:t>
            </w:r>
          </w:p>
        </w:tc>
        <w:tc>
          <w:tcPr>
            <w:tcW w:w="828" w:type="dxa"/>
            <w:tcBorders>
              <w:top w:val="nil"/>
              <w:left w:val="nil"/>
              <w:right w:val="nil"/>
            </w:tcBorders>
            <w:shd w:val="solid" w:color="000000" w:fill="auto"/>
          </w:tcPr>
          <w:p w:rsidR="00A26D04" w:rsidRPr="00AC137D" w:rsidRDefault="00A26D04" w:rsidP="00A26D0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AC137D">
              <w:rPr>
                <w:rFonts w:eastAsiaTheme="minorEastAsia" w:cs="Calibri"/>
                <w:iCs/>
                <w:color w:val="FFFFFF"/>
                <w:szCs w:val="16"/>
                <w:lang w:eastAsia="en-AU"/>
              </w:rPr>
              <w:t>2018-19</w:t>
            </w:r>
            <w:r>
              <w:rPr>
                <w:rFonts w:eastAsiaTheme="minorEastAsia" w:cs="Calibri"/>
                <w:iCs/>
                <w:color w:val="FFFFFF"/>
                <w:szCs w:val="16"/>
                <w:lang w:eastAsia="en-AU"/>
              </w:rPr>
              <w:br/>
            </w:r>
            <w:r w:rsidRPr="00AC137D">
              <w:rPr>
                <w:rFonts w:eastAsiaTheme="minorEastAsia" w:cs="Calibri"/>
                <w:iCs/>
                <w:color w:val="FFFFFF"/>
                <w:szCs w:val="16"/>
                <w:lang w:eastAsia="en-AU"/>
              </w:rPr>
              <w:t>estimate</w:t>
            </w:r>
          </w:p>
        </w:tc>
        <w:tc>
          <w:tcPr>
            <w:tcW w:w="828" w:type="dxa"/>
            <w:tcBorders>
              <w:top w:val="nil"/>
              <w:left w:val="nil"/>
              <w:right w:val="nil"/>
            </w:tcBorders>
            <w:shd w:val="solid" w:color="000000" w:fill="auto"/>
          </w:tcPr>
          <w:p w:rsidR="00A26D04" w:rsidRPr="00AC137D" w:rsidRDefault="00A26D04" w:rsidP="00A26D0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AC137D">
              <w:rPr>
                <w:rFonts w:eastAsiaTheme="minorEastAsia" w:cs="Calibri"/>
                <w:iCs/>
                <w:color w:val="FFFFFF"/>
                <w:szCs w:val="16"/>
                <w:lang w:eastAsia="en-AU"/>
              </w:rPr>
              <w:t>2019-20</w:t>
            </w:r>
            <w:r>
              <w:rPr>
                <w:rFonts w:eastAsiaTheme="minorEastAsia" w:cs="Calibri"/>
                <w:iCs/>
                <w:color w:val="FFFFFF"/>
                <w:szCs w:val="16"/>
                <w:lang w:eastAsia="en-AU"/>
              </w:rPr>
              <w:br/>
            </w:r>
            <w:r w:rsidRPr="00AC137D">
              <w:rPr>
                <w:rFonts w:eastAsiaTheme="minorEastAsia" w:cs="Calibri"/>
                <w:iCs/>
                <w:color w:val="FFFFFF"/>
                <w:szCs w:val="16"/>
                <w:lang w:eastAsia="en-AU"/>
              </w:rPr>
              <w:t>estimate</w:t>
            </w:r>
          </w:p>
        </w:tc>
        <w:tc>
          <w:tcPr>
            <w:tcW w:w="805" w:type="dxa"/>
            <w:tcBorders>
              <w:top w:val="nil"/>
              <w:left w:val="nil"/>
              <w:right w:val="nil"/>
            </w:tcBorders>
            <w:shd w:val="solid" w:color="000000" w:fill="auto"/>
          </w:tcPr>
          <w:p w:rsidR="00A26D04" w:rsidRPr="00AC137D" w:rsidRDefault="00A26D04" w:rsidP="00A26D0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AC137D">
              <w:rPr>
                <w:rFonts w:eastAsiaTheme="minorEastAsia" w:cs="Calibri"/>
                <w:iCs/>
                <w:color w:val="FFFFFF"/>
                <w:szCs w:val="16"/>
                <w:lang w:eastAsia="en-AU"/>
              </w:rPr>
              <w:t>2020-21</w:t>
            </w:r>
            <w:r>
              <w:rPr>
                <w:rFonts w:eastAsiaTheme="minorEastAsia" w:cs="Calibri"/>
                <w:iCs/>
                <w:color w:val="FFFFFF"/>
                <w:szCs w:val="16"/>
                <w:lang w:eastAsia="en-AU"/>
              </w:rPr>
              <w:br/>
            </w:r>
            <w:r w:rsidRPr="00AC137D">
              <w:rPr>
                <w:rFonts w:eastAsiaTheme="minorEastAsia" w:cs="Calibri"/>
                <w:iCs/>
                <w:color w:val="FFFFFF"/>
                <w:szCs w:val="16"/>
                <w:lang w:eastAsia="en-AU"/>
              </w:rPr>
              <w:t>estimate</w:t>
            </w:r>
          </w:p>
        </w:tc>
      </w:tr>
      <w:tr w:rsidR="00A46DCA" w:rsidRPr="00AC137D" w:rsidTr="00A26D04">
        <w:tc>
          <w:tcPr>
            <w:cnfStyle w:val="001000000000" w:firstRow="0" w:lastRow="0" w:firstColumn="1" w:lastColumn="0" w:oddVBand="0" w:evenVBand="0" w:oddHBand="0" w:evenHBand="0" w:firstRowFirstColumn="0" w:firstRowLastColumn="0" w:lastRowFirstColumn="0" w:lastRowLastColumn="0"/>
            <w:tcW w:w="3685" w:type="dxa"/>
            <w:tcBorders>
              <w:top w:val="nil"/>
              <w:left w:val="nil"/>
              <w:bottom w:val="nil"/>
              <w:right w:val="nil"/>
            </w:tcBorders>
          </w:tcPr>
          <w:p w:rsidR="00A46DCA" w:rsidRPr="00AC137D" w:rsidRDefault="00A46DCA" w:rsidP="00A26D04">
            <w:pPr>
              <w:keepLines w:val="0"/>
              <w:autoSpaceDE w:val="0"/>
              <w:autoSpaceDN w:val="0"/>
              <w:adjustRightInd w:val="0"/>
              <w:rPr>
                <w:rFonts w:eastAsiaTheme="minorEastAsia" w:cs="Calibri"/>
                <w:b/>
                <w:bCs/>
                <w:color w:val="000000"/>
                <w:szCs w:val="16"/>
                <w:lang w:eastAsia="en-AU"/>
              </w:rPr>
            </w:pPr>
            <w:r w:rsidRPr="00AC137D">
              <w:rPr>
                <w:rFonts w:eastAsiaTheme="minorEastAsia" w:cs="Calibri"/>
                <w:b/>
                <w:bCs/>
                <w:color w:val="000000"/>
                <w:szCs w:val="16"/>
                <w:lang w:eastAsia="en-AU"/>
              </w:rPr>
              <w:t>Public financial corporations</w:t>
            </w:r>
          </w:p>
        </w:tc>
        <w:tc>
          <w:tcPr>
            <w:tcW w:w="794"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AC137D">
              <w:rPr>
                <w:rFonts w:eastAsiaTheme="minorEastAsia" w:cs="Calibri"/>
                <w:b/>
                <w:bCs/>
                <w:color w:val="000000"/>
                <w:lang w:eastAsia="en-AU"/>
              </w:rPr>
              <w:t xml:space="preserve"> </w:t>
            </w:r>
          </w:p>
        </w:tc>
        <w:tc>
          <w:tcPr>
            <w:tcW w:w="828"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AC137D">
              <w:rPr>
                <w:rFonts w:eastAsiaTheme="minorEastAsia" w:cs="Calibri"/>
                <w:b/>
                <w:bCs/>
                <w:color w:val="000000"/>
                <w:lang w:eastAsia="en-AU"/>
              </w:rPr>
              <w:t xml:space="preserve"> </w:t>
            </w:r>
          </w:p>
        </w:tc>
        <w:tc>
          <w:tcPr>
            <w:tcW w:w="828"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AC137D">
              <w:rPr>
                <w:rFonts w:eastAsiaTheme="minorEastAsia" w:cs="Calibri"/>
                <w:b/>
                <w:bCs/>
                <w:color w:val="000000"/>
                <w:lang w:eastAsia="en-AU"/>
              </w:rPr>
              <w:t xml:space="preserve"> </w:t>
            </w:r>
          </w:p>
        </w:tc>
        <w:tc>
          <w:tcPr>
            <w:tcW w:w="828"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AC137D">
              <w:rPr>
                <w:rFonts w:eastAsiaTheme="minorEastAsia" w:cs="Calibri"/>
                <w:b/>
                <w:bCs/>
                <w:color w:val="000000"/>
                <w:lang w:eastAsia="en-AU"/>
              </w:rPr>
              <w:t xml:space="preserve"> </w:t>
            </w:r>
          </w:p>
        </w:tc>
        <w:tc>
          <w:tcPr>
            <w:tcW w:w="805"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AC137D">
              <w:rPr>
                <w:rFonts w:eastAsiaTheme="minorEastAsia" w:cs="Calibri"/>
                <w:b/>
                <w:bCs/>
                <w:color w:val="000000"/>
                <w:lang w:eastAsia="en-AU"/>
              </w:rPr>
              <w:t xml:space="preserve"> </w:t>
            </w:r>
          </w:p>
        </w:tc>
      </w:tr>
      <w:tr w:rsidR="00A46DCA" w:rsidRPr="00AC137D" w:rsidTr="00A26D04">
        <w:tc>
          <w:tcPr>
            <w:cnfStyle w:val="001000000000" w:firstRow="0" w:lastRow="0" w:firstColumn="1" w:lastColumn="0" w:oddVBand="0" w:evenVBand="0" w:oddHBand="0" w:evenHBand="0" w:firstRowFirstColumn="0" w:firstRowLastColumn="0" w:lastRowFirstColumn="0" w:lastRowLastColumn="0"/>
            <w:tcW w:w="3685" w:type="dxa"/>
            <w:tcBorders>
              <w:top w:val="nil"/>
              <w:left w:val="nil"/>
              <w:bottom w:val="nil"/>
              <w:right w:val="nil"/>
            </w:tcBorders>
          </w:tcPr>
          <w:p w:rsidR="00A46DCA" w:rsidRPr="00AC137D" w:rsidRDefault="00A46DCA" w:rsidP="00A26D04">
            <w:pPr>
              <w:keepLines w:val="0"/>
              <w:autoSpaceDE w:val="0"/>
              <w:autoSpaceDN w:val="0"/>
              <w:adjustRightInd w:val="0"/>
              <w:rPr>
                <w:rFonts w:eastAsiaTheme="minorEastAsia" w:cs="Calibri"/>
                <w:color w:val="000000"/>
                <w:szCs w:val="16"/>
                <w:lang w:eastAsia="en-AU"/>
              </w:rPr>
            </w:pPr>
            <w:r w:rsidRPr="00AC137D">
              <w:rPr>
                <w:rFonts w:eastAsiaTheme="minorEastAsia" w:cs="Calibri"/>
                <w:color w:val="000000"/>
                <w:szCs w:val="16"/>
                <w:lang w:eastAsia="en-AU"/>
              </w:rPr>
              <w:t>Victorian Managed Insurance Authority</w:t>
            </w:r>
          </w:p>
        </w:tc>
        <w:tc>
          <w:tcPr>
            <w:tcW w:w="794"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365</w:t>
            </w:r>
          </w:p>
        </w:tc>
        <w:tc>
          <w:tcPr>
            <w:tcW w:w="828"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365</w:t>
            </w:r>
          </w:p>
        </w:tc>
        <w:tc>
          <w:tcPr>
            <w:tcW w:w="828"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43</w:t>
            </w:r>
          </w:p>
        </w:tc>
        <w:tc>
          <w:tcPr>
            <w:tcW w:w="828"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34</w:t>
            </w:r>
          </w:p>
        </w:tc>
        <w:tc>
          <w:tcPr>
            <w:tcW w:w="805"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41</w:t>
            </w:r>
          </w:p>
        </w:tc>
      </w:tr>
      <w:tr w:rsidR="00A46DCA" w:rsidRPr="00AC137D" w:rsidTr="00A26D04">
        <w:tc>
          <w:tcPr>
            <w:cnfStyle w:val="001000000000" w:firstRow="0" w:lastRow="0" w:firstColumn="1" w:lastColumn="0" w:oddVBand="0" w:evenVBand="0" w:oddHBand="0" w:evenHBand="0" w:firstRowFirstColumn="0" w:firstRowLastColumn="0" w:lastRowFirstColumn="0" w:lastRowLastColumn="0"/>
            <w:tcW w:w="3685" w:type="dxa"/>
            <w:tcBorders>
              <w:top w:val="nil"/>
              <w:left w:val="nil"/>
              <w:bottom w:val="nil"/>
              <w:right w:val="nil"/>
            </w:tcBorders>
          </w:tcPr>
          <w:p w:rsidR="00A46DCA" w:rsidRPr="00AC137D" w:rsidRDefault="00A46DCA" w:rsidP="00A26D04">
            <w:pPr>
              <w:keepLines w:val="0"/>
              <w:autoSpaceDE w:val="0"/>
              <w:autoSpaceDN w:val="0"/>
              <w:adjustRightInd w:val="0"/>
              <w:rPr>
                <w:rFonts w:eastAsiaTheme="minorEastAsia" w:cs="Calibri"/>
                <w:color w:val="000000"/>
                <w:szCs w:val="16"/>
                <w:lang w:eastAsia="en-AU"/>
              </w:rPr>
            </w:pPr>
            <w:r w:rsidRPr="00AC137D">
              <w:rPr>
                <w:rFonts w:eastAsiaTheme="minorEastAsia" w:cs="Calibri"/>
                <w:color w:val="000000"/>
                <w:szCs w:val="16"/>
                <w:lang w:eastAsia="en-AU"/>
              </w:rPr>
              <w:t>Treasury Corporation of Victoria</w:t>
            </w:r>
          </w:p>
        </w:tc>
        <w:tc>
          <w:tcPr>
            <w:tcW w:w="794"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104</w:t>
            </w:r>
          </w:p>
        </w:tc>
        <w:tc>
          <w:tcPr>
            <w:tcW w:w="828"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125</w:t>
            </w:r>
          </w:p>
        </w:tc>
        <w:tc>
          <w:tcPr>
            <w:tcW w:w="828"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41</w:t>
            </w:r>
          </w:p>
        </w:tc>
        <w:tc>
          <w:tcPr>
            <w:tcW w:w="828"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30</w:t>
            </w:r>
          </w:p>
        </w:tc>
        <w:tc>
          <w:tcPr>
            <w:tcW w:w="805"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34</w:t>
            </w:r>
          </w:p>
        </w:tc>
      </w:tr>
      <w:tr w:rsidR="00A46DCA" w:rsidRPr="00AC137D" w:rsidTr="00A26D04">
        <w:tc>
          <w:tcPr>
            <w:cnfStyle w:val="001000000000" w:firstRow="0" w:lastRow="0" w:firstColumn="1" w:lastColumn="0" w:oddVBand="0" w:evenVBand="0" w:oddHBand="0" w:evenHBand="0" w:firstRowFirstColumn="0" w:firstRowLastColumn="0" w:lastRowFirstColumn="0" w:lastRowLastColumn="0"/>
            <w:tcW w:w="3685" w:type="dxa"/>
            <w:tcBorders>
              <w:top w:val="nil"/>
              <w:left w:val="nil"/>
              <w:bottom w:val="nil"/>
              <w:right w:val="nil"/>
            </w:tcBorders>
          </w:tcPr>
          <w:p w:rsidR="00A46DCA" w:rsidRPr="00AC137D" w:rsidRDefault="00A46DCA" w:rsidP="00A26D04">
            <w:pPr>
              <w:keepLines w:val="0"/>
              <w:autoSpaceDE w:val="0"/>
              <w:autoSpaceDN w:val="0"/>
              <w:adjustRightInd w:val="0"/>
              <w:rPr>
                <w:rFonts w:eastAsiaTheme="minorEastAsia" w:cs="Calibri"/>
                <w:color w:val="000000"/>
                <w:szCs w:val="16"/>
                <w:lang w:eastAsia="en-AU"/>
              </w:rPr>
            </w:pPr>
            <w:r w:rsidRPr="00AC137D">
              <w:rPr>
                <w:rFonts w:eastAsiaTheme="minorEastAsia" w:cs="Calibri"/>
                <w:color w:val="000000"/>
                <w:szCs w:val="16"/>
                <w:lang w:eastAsia="en-AU"/>
              </w:rPr>
              <w:t>State Trustees Ltd</w:t>
            </w:r>
          </w:p>
        </w:tc>
        <w:tc>
          <w:tcPr>
            <w:tcW w:w="794"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5</w:t>
            </w:r>
          </w:p>
        </w:tc>
        <w:tc>
          <w:tcPr>
            <w:tcW w:w="828"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5</w:t>
            </w:r>
          </w:p>
        </w:tc>
        <w:tc>
          <w:tcPr>
            <w:tcW w:w="828"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4</w:t>
            </w:r>
          </w:p>
        </w:tc>
        <w:tc>
          <w:tcPr>
            <w:tcW w:w="828"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2</w:t>
            </w:r>
          </w:p>
        </w:tc>
        <w:tc>
          <w:tcPr>
            <w:tcW w:w="805"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2</w:t>
            </w:r>
          </w:p>
        </w:tc>
      </w:tr>
      <w:tr w:rsidR="00A46DCA" w:rsidRPr="00AC137D" w:rsidTr="00A26D04">
        <w:tc>
          <w:tcPr>
            <w:cnfStyle w:val="001000000000" w:firstRow="0" w:lastRow="0" w:firstColumn="1" w:lastColumn="0" w:oddVBand="0" w:evenVBand="0" w:oddHBand="0" w:evenHBand="0" w:firstRowFirstColumn="0" w:firstRowLastColumn="0" w:lastRowFirstColumn="0" w:lastRowLastColumn="0"/>
            <w:tcW w:w="3685" w:type="dxa"/>
            <w:tcBorders>
              <w:top w:val="nil"/>
              <w:left w:val="nil"/>
              <w:bottom w:val="nil"/>
              <w:right w:val="nil"/>
            </w:tcBorders>
          </w:tcPr>
          <w:p w:rsidR="00A46DCA" w:rsidRPr="00AC137D" w:rsidRDefault="00A46DCA" w:rsidP="00A26D04">
            <w:pPr>
              <w:keepLines w:val="0"/>
              <w:autoSpaceDE w:val="0"/>
              <w:autoSpaceDN w:val="0"/>
              <w:adjustRightInd w:val="0"/>
              <w:rPr>
                <w:rFonts w:eastAsiaTheme="minorEastAsia" w:cs="Calibri"/>
                <w:color w:val="000000"/>
                <w:szCs w:val="16"/>
                <w:lang w:eastAsia="en-AU"/>
              </w:rPr>
            </w:pPr>
            <w:r w:rsidRPr="00AC137D">
              <w:rPr>
                <w:rFonts w:eastAsiaTheme="minorEastAsia" w:cs="Calibri"/>
                <w:color w:val="000000"/>
                <w:szCs w:val="16"/>
                <w:lang w:eastAsia="en-AU"/>
              </w:rPr>
              <w:t>Victorian Funds Management Corporation</w:t>
            </w:r>
          </w:p>
        </w:tc>
        <w:tc>
          <w:tcPr>
            <w:tcW w:w="794"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2</w:t>
            </w:r>
          </w:p>
        </w:tc>
        <w:tc>
          <w:tcPr>
            <w:tcW w:w="828"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7</w:t>
            </w:r>
          </w:p>
        </w:tc>
        <w:tc>
          <w:tcPr>
            <w:tcW w:w="828"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4</w:t>
            </w:r>
          </w:p>
        </w:tc>
        <w:tc>
          <w:tcPr>
            <w:tcW w:w="828"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3</w:t>
            </w:r>
          </w:p>
        </w:tc>
        <w:tc>
          <w:tcPr>
            <w:tcW w:w="805"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3</w:t>
            </w:r>
          </w:p>
        </w:tc>
      </w:tr>
      <w:tr w:rsidR="00A46DCA" w:rsidRPr="00AC137D" w:rsidTr="00A26D04">
        <w:tc>
          <w:tcPr>
            <w:cnfStyle w:val="001000000000" w:firstRow="0" w:lastRow="0" w:firstColumn="1" w:lastColumn="0" w:oddVBand="0" w:evenVBand="0" w:oddHBand="0" w:evenHBand="0" w:firstRowFirstColumn="0" w:firstRowLastColumn="0" w:lastRowFirstColumn="0" w:lastRowLastColumn="0"/>
            <w:tcW w:w="3685" w:type="dxa"/>
            <w:tcBorders>
              <w:top w:val="single" w:sz="6" w:space="0" w:color="000000"/>
              <w:left w:val="nil"/>
              <w:bottom w:val="single" w:sz="12" w:space="0" w:color="000000"/>
              <w:right w:val="nil"/>
            </w:tcBorders>
          </w:tcPr>
          <w:p w:rsidR="00A46DCA" w:rsidRPr="00AC137D" w:rsidRDefault="00A46DCA" w:rsidP="00A26D04">
            <w:pPr>
              <w:keepLines w:val="0"/>
              <w:autoSpaceDE w:val="0"/>
              <w:autoSpaceDN w:val="0"/>
              <w:adjustRightInd w:val="0"/>
              <w:rPr>
                <w:rFonts w:eastAsiaTheme="minorEastAsia" w:cs="Calibri"/>
                <w:b/>
                <w:bCs/>
                <w:color w:val="000000"/>
                <w:szCs w:val="16"/>
                <w:vertAlign w:val="superscript"/>
                <w:lang w:eastAsia="en-AU"/>
              </w:rPr>
            </w:pPr>
            <w:r>
              <w:rPr>
                <w:rFonts w:eastAsiaTheme="minorEastAsia" w:cs="Calibri"/>
                <w:b/>
                <w:bCs/>
                <w:color w:val="000000"/>
                <w:szCs w:val="16"/>
                <w:lang w:eastAsia="en-AU"/>
              </w:rPr>
              <w:t>Dividends from PFC sector</w:t>
            </w:r>
          </w:p>
        </w:tc>
        <w:tc>
          <w:tcPr>
            <w:tcW w:w="794" w:type="dxa"/>
            <w:tcBorders>
              <w:top w:val="single" w:sz="6" w:space="0" w:color="000000"/>
              <w:left w:val="nil"/>
              <w:bottom w:val="single" w:sz="12" w:space="0" w:color="000000"/>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Pr>
                <w:rFonts w:eastAsiaTheme="minorEastAsia" w:cs="Arial"/>
                <w:b/>
                <w:bCs/>
                <w:color w:val="000000"/>
                <w:szCs w:val="18"/>
                <w:lang w:eastAsia="en-AU"/>
              </w:rPr>
              <w:t>475</w:t>
            </w:r>
          </w:p>
        </w:tc>
        <w:tc>
          <w:tcPr>
            <w:tcW w:w="828" w:type="dxa"/>
            <w:tcBorders>
              <w:top w:val="single" w:sz="6" w:space="0" w:color="000000"/>
              <w:left w:val="nil"/>
              <w:bottom w:val="single" w:sz="12" w:space="0" w:color="000000"/>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Pr>
                <w:rFonts w:eastAsiaTheme="minorEastAsia" w:cs="Arial"/>
                <w:b/>
                <w:bCs/>
                <w:color w:val="000000"/>
                <w:szCs w:val="18"/>
                <w:lang w:eastAsia="en-AU"/>
              </w:rPr>
              <w:t>501</w:t>
            </w:r>
          </w:p>
        </w:tc>
        <w:tc>
          <w:tcPr>
            <w:tcW w:w="828" w:type="dxa"/>
            <w:tcBorders>
              <w:top w:val="single" w:sz="6" w:space="0" w:color="000000"/>
              <w:left w:val="nil"/>
              <w:bottom w:val="single" w:sz="12" w:space="0" w:color="000000"/>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Pr>
                <w:rFonts w:eastAsiaTheme="minorEastAsia" w:cs="Arial"/>
                <w:b/>
                <w:bCs/>
                <w:color w:val="000000"/>
                <w:szCs w:val="18"/>
                <w:lang w:eastAsia="en-AU"/>
              </w:rPr>
              <w:t>92</w:t>
            </w:r>
          </w:p>
        </w:tc>
        <w:tc>
          <w:tcPr>
            <w:tcW w:w="828" w:type="dxa"/>
            <w:tcBorders>
              <w:top w:val="single" w:sz="6" w:space="0" w:color="000000"/>
              <w:left w:val="nil"/>
              <w:bottom w:val="single" w:sz="12" w:space="0" w:color="000000"/>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Pr>
                <w:rFonts w:eastAsiaTheme="minorEastAsia" w:cs="Arial"/>
                <w:b/>
                <w:bCs/>
                <w:color w:val="000000"/>
                <w:szCs w:val="18"/>
                <w:lang w:eastAsia="en-AU"/>
              </w:rPr>
              <w:t>70</w:t>
            </w:r>
          </w:p>
        </w:tc>
        <w:tc>
          <w:tcPr>
            <w:tcW w:w="805" w:type="dxa"/>
            <w:tcBorders>
              <w:top w:val="single" w:sz="6" w:space="0" w:color="000000"/>
              <w:left w:val="nil"/>
              <w:bottom w:val="single" w:sz="12" w:space="0" w:color="000000"/>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Pr>
                <w:rFonts w:eastAsiaTheme="minorEastAsia" w:cs="Arial"/>
                <w:b/>
                <w:bCs/>
                <w:color w:val="000000"/>
                <w:szCs w:val="18"/>
                <w:lang w:eastAsia="en-AU"/>
              </w:rPr>
              <w:t>80</w:t>
            </w:r>
          </w:p>
        </w:tc>
      </w:tr>
      <w:tr w:rsidR="00A46DCA" w:rsidRPr="00AC137D" w:rsidTr="00A26D04">
        <w:tc>
          <w:tcPr>
            <w:cnfStyle w:val="001000000000" w:firstRow="0" w:lastRow="0" w:firstColumn="1" w:lastColumn="0" w:oddVBand="0" w:evenVBand="0" w:oddHBand="0" w:evenHBand="0" w:firstRowFirstColumn="0" w:firstRowLastColumn="0" w:lastRowFirstColumn="0" w:lastRowLastColumn="0"/>
            <w:tcW w:w="3685" w:type="dxa"/>
            <w:tcBorders>
              <w:top w:val="nil"/>
              <w:left w:val="nil"/>
              <w:bottom w:val="nil"/>
              <w:right w:val="nil"/>
            </w:tcBorders>
          </w:tcPr>
          <w:p w:rsidR="00A46DCA" w:rsidRPr="00AC137D" w:rsidRDefault="00A46DCA" w:rsidP="00A26D04">
            <w:pPr>
              <w:keepLines w:val="0"/>
              <w:autoSpaceDE w:val="0"/>
              <w:autoSpaceDN w:val="0"/>
              <w:adjustRightInd w:val="0"/>
              <w:rPr>
                <w:rFonts w:eastAsiaTheme="minorEastAsia" w:cs="Calibri"/>
                <w:b/>
                <w:bCs/>
                <w:color w:val="000000"/>
                <w:szCs w:val="16"/>
                <w:lang w:eastAsia="en-AU"/>
              </w:rPr>
            </w:pPr>
            <w:r w:rsidRPr="00AC137D">
              <w:rPr>
                <w:rFonts w:eastAsiaTheme="minorEastAsia" w:cs="Calibri"/>
                <w:b/>
                <w:bCs/>
                <w:color w:val="000000"/>
                <w:szCs w:val="16"/>
                <w:lang w:eastAsia="en-AU"/>
              </w:rPr>
              <w:t>Public non-financial corporations</w:t>
            </w:r>
          </w:p>
        </w:tc>
        <w:tc>
          <w:tcPr>
            <w:tcW w:w="794"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AC137D">
              <w:rPr>
                <w:rFonts w:eastAsiaTheme="minorEastAsia" w:cs="Calibri"/>
                <w:b/>
                <w:bCs/>
                <w:color w:val="000000"/>
                <w:lang w:eastAsia="en-AU"/>
              </w:rPr>
              <w:t xml:space="preserve"> </w:t>
            </w:r>
          </w:p>
        </w:tc>
        <w:tc>
          <w:tcPr>
            <w:tcW w:w="828"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AC137D">
              <w:rPr>
                <w:rFonts w:eastAsiaTheme="minorEastAsia" w:cs="Calibri"/>
                <w:b/>
                <w:bCs/>
                <w:color w:val="000000"/>
                <w:lang w:eastAsia="en-AU"/>
              </w:rPr>
              <w:t xml:space="preserve"> </w:t>
            </w:r>
          </w:p>
        </w:tc>
        <w:tc>
          <w:tcPr>
            <w:tcW w:w="828"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AC137D">
              <w:rPr>
                <w:rFonts w:eastAsiaTheme="minorEastAsia" w:cs="Calibri"/>
                <w:b/>
                <w:bCs/>
                <w:color w:val="000000"/>
                <w:lang w:eastAsia="en-AU"/>
              </w:rPr>
              <w:t xml:space="preserve"> </w:t>
            </w:r>
          </w:p>
        </w:tc>
        <w:tc>
          <w:tcPr>
            <w:tcW w:w="828"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AC137D">
              <w:rPr>
                <w:rFonts w:eastAsiaTheme="minorEastAsia" w:cs="Calibri"/>
                <w:b/>
                <w:bCs/>
                <w:color w:val="000000"/>
                <w:lang w:eastAsia="en-AU"/>
              </w:rPr>
              <w:t xml:space="preserve"> </w:t>
            </w:r>
          </w:p>
        </w:tc>
        <w:tc>
          <w:tcPr>
            <w:tcW w:w="805"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AC137D">
              <w:rPr>
                <w:rFonts w:eastAsiaTheme="minorEastAsia" w:cs="Calibri"/>
                <w:b/>
                <w:bCs/>
                <w:color w:val="000000"/>
                <w:lang w:eastAsia="en-AU"/>
              </w:rPr>
              <w:t xml:space="preserve"> </w:t>
            </w:r>
          </w:p>
        </w:tc>
      </w:tr>
      <w:tr w:rsidR="00A46DCA" w:rsidRPr="00AC137D" w:rsidTr="00A26D04">
        <w:tc>
          <w:tcPr>
            <w:cnfStyle w:val="001000000000" w:firstRow="0" w:lastRow="0" w:firstColumn="1" w:lastColumn="0" w:oddVBand="0" w:evenVBand="0" w:oddHBand="0" w:evenHBand="0" w:firstRowFirstColumn="0" w:firstRowLastColumn="0" w:lastRowFirstColumn="0" w:lastRowLastColumn="0"/>
            <w:tcW w:w="3685" w:type="dxa"/>
            <w:tcBorders>
              <w:top w:val="nil"/>
              <w:left w:val="nil"/>
              <w:bottom w:val="nil"/>
              <w:right w:val="nil"/>
            </w:tcBorders>
          </w:tcPr>
          <w:p w:rsidR="00A46DCA" w:rsidRPr="00AC137D" w:rsidRDefault="00A46DCA" w:rsidP="00A26D04">
            <w:pPr>
              <w:keepLines w:val="0"/>
              <w:autoSpaceDE w:val="0"/>
              <w:autoSpaceDN w:val="0"/>
              <w:adjustRightInd w:val="0"/>
              <w:rPr>
                <w:rFonts w:eastAsiaTheme="minorEastAsia" w:cs="Calibri"/>
                <w:color w:val="000000"/>
                <w:szCs w:val="16"/>
                <w:lang w:eastAsia="en-AU"/>
              </w:rPr>
            </w:pPr>
            <w:r w:rsidRPr="00AC137D">
              <w:rPr>
                <w:rFonts w:eastAsiaTheme="minorEastAsia" w:cs="Calibri"/>
                <w:color w:val="000000"/>
                <w:szCs w:val="16"/>
                <w:lang w:eastAsia="en-AU"/>
              </w:rPr>
              <w:t>City West Water Corporation</w:t>
            </w:r>
          </w:p>
        </w:tc>
        <w:tc>
          <w:tcPr>
            <w:tcW w:w="794"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43</w:t>
            </w:r>
          </w:p>
        </w:tc>
        <w:tc>
          <w:tcPr>
            <w:tcW w:w="828"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57</w:t>
            </w:r>
          </w:p>
        </w:tc>
        <w:tc>
          <w:tcPr>
            <w:tcW w:w="828"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24</w:t>
            </w:r>
          </w:p>
        </w:tc>
        <w:tc>
          <w:tcPr>
            <w:tcW w:w="828"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13</w:t>
            </w:r>
          </w:p>
        </w:tc>
        <w:tc>
          <w:tcPr>
            <w:tcW w:w="805"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17</w:t>
            </w:r>
          </w:p>
        </w:tc>
      </w:tr>
      <w:tr w:rsidR="00A46DCA" w:rsidRPr="00AC137D" w:rsidTr="00A26D04">
        <w:tc>
          <w:tcPr>
            <w:cnfStyle w:val="001000000000" w:firstRow="0" w:lastRow="0" w:firstColumn="1" w:lastColumn="0" w:oddVBand="0" w:evenVBand="0" w:oddHBand="0" w:evenHBand="0" w:firstRowFirstColumn="0" w:firstRowLastColumn="0" w:lastRowFirstColumn="0" w:lastRowLastColumn="0"/>
            <w:tcW w:w="3685" w:type="dxa"/>
            <w:tcBorders>
              <w:top w:val="nil"/>
              <w:left w:val="nil"/>
              <w:bottom w:val="nil"/>
              <w:right w:val="nil"/>
            </w:tcBorders>
          </w:tcPr>
          <w:p w:rsidR="00A46DCA" w:rsidRPr="00AC137D" w:rsidRDefault="00A46DCA" w:rsidP="00A26D04">
            <w:pPr>
              <w:keepLines w:val="0"/>
              <w:autoSpaceDE w:val="0"/>
              <w:autoSpaceDN w:val="0"/>
              <w:adjustRightInd w:val="0"/>
              <w:rPr>
                <w:rFonts w:eastAsiaTheme="minorEastAsia" w:cs="Calibri"/>
                <w:color w:val="000000"/>
                <w:szCs w:val="16"/>
                <w:lang w:eastAsia="en-AU"/>
              </w:rPr>
            </w:pPr>
            <w:r w:rsidRPr="00AC137D">
              <w:rPr>
                <w:rFonts w:eastAsiaTheme="minorEastAsia" w:cs="Calibri"/>
                <w:color w:val="000000"/>
                <w:szCs w:val="16"/>
                <w:lang w:eastAsia="en-AU"/>
              </w:rPr>
              <w:t>Melbourne Water Corporation</w:t>
            </w:r>
          </w:p>
        </w:tc>
        <w:tc>
          <w:tcPr>
            <w:tcW w:w="794"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44</w:t>
            </w:r>
          </w:p>
        </w:tc>
        <w:tc>
          <w:tcPr>
            <w:tcW w:w="828"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58</w:t>
            </w:r>
          </w:p>
        </w:tc>
        <w:tc>
          <w:tcPr>
            <w:tcW w:w="828"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31</w:t>
            </w:r>
          </w:p>
        </w:tc>
        <w:tc>
          <w:tcPr>
            <w:tcW w:w="828"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AC137D">
              <w:rPr>
                <w:rFonts w:eastAsiaTheme="minorEastAsia" w:cs="Arial"/>
                <w:color w:val="000000"/>
                <w:szCs w:val="18"/>
                <w:lang w:eastAsia="en-AU"/>
              </w:rPr>
              <w:t>..</w:t>
            </w:r>
          </w:p>
        </w:tc>
        <w:tc>
          <w:tcPr>
            <w:tcW w:w="805"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AC137D">
              <w:rPr>
                <w:rFonts w:eastAsiaTheme="minorEastAsia" w:cs="Arial"/>
                <w:color w:val="000000"/>
                <w:szCs w:val="18"/>
                <w:lang w:eastAsia="en-AU"/>
              </w:rPr>
              <w:t>..</w:t>
            </w:r>
          </w:p>
        </w:tc>
      </w:tr>
      <w:tr w:rsidR="00A46DCA" w:rsidRPr="00AC137D" w:rsidTr="00A26D04">
        <w:tc>
          <w:tcPr>
            <w:cnfStyle w:val="001000000000" w:firstRow="0" w:lastRow="0" w:firstColumn="1" w:lastColumn="0" w:oddVBand="0" w:evenVBand="0" w:oddHBand="0" w:evenHBand="0" w:firstRowFirstColumn="0" w:firstRowLastColumn="0" w:lastRowFirstColumn="0" w:lastRowLastColumn="0"/>
            <w:tcW w:w="3685" w:type="dxa"/>
            <w:tcBorders>
              <w:top w:val="nil"/>
              <w:left w:val="nil"/>
              <w:bottom w:val="nil"/>
              <w:right w:val="nil"/>
            </w:tcBorders>
          </w:tcPr>
          <w:p w:rsidR="00A46DCA" w:rsidRPr="00AC137D" w:rsidRDefault="00A46DCA" w:rsidP="00A26D04">
            <w:pPr>
              <w:keepLines w:val="0"/>
              <w:autoSpaceDE w:val="0"/>
              <w:autoSpaceDN w:val="0"/>
              <w:adjustRightInd w:val="0"/>
              <w:rPr>
                <w:rFonts w:eastAsiaTheme="minorEastAsia" w:cs="Calibri"/>
                <w:color w:val="000000"/>
                <w:szCs w:val="16"/>
                <w:lang w:eastAsia="en-AU"/>
              </w:rPr>
            </w:pPr>
            <w:r w:rsidRPr="00AC137D">
              <w:rPr>
                <w:rFonts w:eastAsiaTheme="minorEastAsia" w:cs="Calibri"/>
                <w:color w:val="000000"/>
                <w:szCs w:val="16"/>
                <w:lang w:eastAsia="en-AU"/>
              </w:rPr>
              <w:t>South East Water Corporation</w:t>
            </w:r>
          </w:p>
        </w:tc>
        <w:tc>
          <w:tcPr>
            <w:tcW w:w="794"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90</w:t>
            </w:r>
          </w:p>
        </w:tc>
        <w:tc>
          <w:tcPr>
            <w:tcW w:w="828"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100</w:t>
            </w:r>
          </w:p>
        </w:tc>
        <w:tc>
          <w:tcPr>
            <w:tcW w:w="828"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54</w:t>
            </w:r>
          </w:p>
        </w:tc>
        <w:tc>
          <w:tcPr>
            <w:tcW w:w="828"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41</w:t>
            </w:r>
          </w:p>
        </w:tc>
        <w:tc>
          <w:tcPr>
            <w:tcW w:w="805"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44</w:t>
            </w:r>
          </w:p>
        </w:tc>
      </w:tr>
      <w:tr w:rsidR="00A46DCA" w:rsidRPr="00AC137D" w:rsidTr="00A26D04">
        <w:tc>
          <w:tcPr>
            <w:cnfStyle w:val="001000000000" w:firstRow="0" w:lastRow="0" w:firstColumn="1" w:lastColumn="0" w:oddVBand="0" w:evenVBand="0" w:oddHBand="0" w:evenHBand="0" w:firstRowFirstColumn="0" w:firstRowLastColumn="0" w:lastRowFirstColumn="0" w:lastRowLastColumn="0"/>
            <w:tcW w:w="3685" w:type="dxa"/>
            <w:tcBorders>
              <w:top w:val="nil"/>
              <w:left w:val="nil"/>
              <w:bottom w:val="nil"/>
              <w:right w:val="nil"/>
            </w:tcBorders>
          </w:tcPr>
          <w:p w:rsidR="00A46DCA" w:rsidRPr="00AC137D" w:rsidRDefault="00A46DCA" w:rsidP="00A26D04">
            <w:pPr>
              <w:keepLines w:val="0"/>
              <w:autoSpaceDE w:val="0"/>
              <w:autoSpaceDN w:val="0"/>
              <w:adjustRightInd w:val="0"/>
              <w:rPr>
                <w:rFonts w:eastAsiaTheme="minorEastAsia" w:cs="Calibri"/>
                <w:color w:val="000000"/>
                <w:szCs w:val="16"/>
                <w:lang w:eastAsia="en-AU"/>
              </w:rPr>
            </w:pPr>
            <w:r w:rsidRPr="00AC137D">
              <w:rPr>
                <w:rFonts w:eastAsiaTheme="minorEastAsia" w:cs="Calibri"/>
                <w:color w:val="000000"/>
                <w:szCs w:val="16"/>
                <w:lang w:eastAsia="en-AU"/>
              </w:rPr>
              <w:t>Yarra Valley Water Corporation</w:t>
            </w:r>
          </w:p>
        </w:tc>
        <w:tc>
          <w:tcPr>
            <w:tcW w:w="794"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28</w:t>
            </w:r>
          </w:p>
        </w:tc>
        <w:tc>
          <w:tcPr>
            <w:tcW w:w="828"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31</w:t>
            </w:r>
          </w:p>
        </w:tc>
        <w:tc>
          <w:tcPr>
            <w:tcW w:w="828"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23</w:t>
            </w:r>
          </w:p>
        </w:tc>
        <w:tc>
          <w:tcPr>
            <w:tcW w:w="828"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10</w:t>
            </w:r>
          </w:p>
        </w:tc>
        <w:tc>
          <w:tcPr>
            <w:tcW w:w="805"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14</w:t>
            </w:r>
          </w:p>
        </w:tc>
      </w:tr>
      <w:tr w:rsidR="00A46DCA" w:rsidRPr="00AC137D" w:rsidTr="00A26D04">
        <w:tc>
          <w:tcPr>
            <w:cnfStyle w:val="001000000000" w:firstRow="0" w:lastRow="0" w:firstColumn="1" w:lastColumn="0" w:oddVBand="0" w:evenVBand="0" w:oddHBand="0" w:evenHBand="0" w:firstRowFirstColumn="0" w:firstRowLastColumn="0" w:lastRowFirstColumn="0" w:lastRowLastColumn="0"/>
            <w:tcW w:w="3685" w:type="dxa"/>
            <w:tcBorders>
              <w:top w:val="nil"/>
              <w:left w:val="nil"/>
              <w:bottom w:val="nil"/>
              <w:right w:val="nil"/>
            </w:tcBorders>
          </w:tcPr>
          <w:p w:rsidR="00A46DCA" w:rsidRPr="00AC137D" w:rsidRDefault="00A46DCA" w:rsidP="00A26D04">
            <w:pPr>
              <w:keepLines w:val="0"/>
              <w:autoSpaceDE w:val="0"/>
              <w:autoSpaceDN w:val="0"/>
              <w:adjustRightInd w:val="0"/>
              <w:rPr>
                <w:rFonts w:eastAsiaTheme="minorEastAsia" w:cs="Calibri"/>
                <w:color w:val="000000"/>
                <w:szCs w:val="16"/>
                <w:lang w:eastAsia="en-AU"/>
              </w:rPr>
            </w:pPr>
            <w:r w:rsidRPr="00AC137D">
              <w:rPr>
                <w:rFonts w:eastAsiaTheme="minorEastAsia" w:cs="Calibri"/>
                <w:color w:val="000000"/>
                <w:szCs w:val="16"/>
                <w:lang w:eastAsia="en-AU"/>
              </w:rPr>
              <w:t xml:space="preserve">State Electricity Commission of Victoria </w:t>
            </w:r>
          </w:p>
        </w:tc>
        <w:tc>
          <w:tcPr>
            <w:tcW w:w="794"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210</w:t>
            </w:r>
          </w:p>
        </w:tc>
        <w:tc>
          <w:tcPr>
            <w:tcW w:w="828"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210</w:t>
            </w:r>
          </w:p>
        </w:tc>
        <w:tc>
          <w:tcPr>
            <w:tcW w:w="828"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60</w:t>
            </w:r>
          </w:p>
        </w:tc>
        <w:tc>
          <w:tcPr>
            <w:tcW w:w="828"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30</w:t>
            </w:r>
          </w:p>
        </w:tc>
        <w:tc>
          <w:tcPr>
            <w:tcW w:w="805"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65</w:t>
            </w:r>
          </w:p>
        </w:tc>
      </w:tr>
      <w:tr w:rsidR="00A46DCA" w:rsidRPr="00AC137D" w:rsidTr="00A26D04">
        <w:tc>
          <w:tcPr>
            <w:cnfStyle w:val="001000000000" w:firstRow="0" w:lastRow="0" w:firstColumn="1" w:lastColumn="0" w:oddVBand="0" w:evenVBand="0" w:oddHBand="0" w:evenHBand="0" w:firstRowFirstColumn="0" w:firstRowLastColumn="0" w:lastRowFirstColumn="0" w:lastRowLastColumn="0"/>
            <w:tcW w:w="3685" w:type="dxa"/>
            <w:tcBorders>
              <w:top w:val="nil"/>
              <w:left w:val="nil"/>
              <w:bottom w:val="nil"/>
              <w:right w:val="nil"/>
            </w:tcBorders>
          </w:tcPr>
          <w:p w:rsidR="00A46DCA" w:rsidRPr="00AC137D" w:rsidRDefault="00A46DCA" w:rsidP="00A26D04">
            <w:pPr>
              <w:keepLines w:val="0"/>
              <w:autoSpaceDE w:val="0"/>
              <w:autoSpaceDN w:val="0"/>
              <w:adjustRightInd w:val="0"/>
              <w:rPr>
                <w:rFonts w:eastAsiaTheme="minorEastAsia" w:cs="Calibri"/>
                <w:color w:val="000000"/>
                <w:szCs w:val="16"/>
                <w:lang w:eastAsia="en-AU"/>
              </w:rPr>
            </w:pPr>
            <w:r w:rsidRPr="00AC137D">
              <w:rPr>
                <w:rFonts w:eastAsiaTheme="minorEastAsia" w:cs="Calibri"/>
                <w:color w:val="000000"/>
                <w:szCs w:val="16"/>
                <w:lang w:eastAsia="en-AU"/>
              </w:rPr>
              <w:t>Development Victoria</w:t>
            </w:r>
          </w:p>
        </w:tc>
        <w:tc>
          <w:tcPr>
            <w:tcW w:w="794"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41</w:t>
            </w:r>
          </w:p>
        </w:tc>
        <w:tc>
          <w:tcPr>
            <w:tcW w:w="828"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40</w:t>
            </w:r>
          </w:p>
        </w:tc>
        <w:tc>
          <w:tcPr>
            <w:tcW w:w="828"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29</w:t>
            </w:r>
          </w:p>
        </w:tc>
        <w:tc>
          <w:tcPr>
            <w:tcW w:w="828"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44</w:t>
            </w:r>
          </w:p>
        </w:tc>
        <w:tc>
          <w:tcPr>
            <w:tcW w:w="805"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51</w:t>
            </w:r>
          </w:p>
        </w:tc>
      </w:tr>
      <w:tr w:rsidR="00A46DCA" w:rsidRPr="00AC137D" w:rsidTr="00A26D04">
        <w:tc>
          <w:tcPr>
            <w:cnfStyle w:val="001000000000" w:firstRow="0" w:lastRow="0" w:firstColumn="1" w:lastColumn="0" w:oddVBand="0" w:evenVBand="0" w:oddHBand="0" w:evenHBand="0" w:firstRowFirstColumn="0" w:firstRowLastColumn="0" w:lastRowFirstColumn="0" w:lastRowLastColumn="0"/>
            <w:tcW w:w="3685" w:type="dxa"/>
            <w:tcBorders>
              <w:top w:val="nil"/>
              <w:left w:val="nil"/>
              <w:bottom w:val="nil"/>
              <w:right w:val="nil"/>
            </w:tcBorders>
          </w:tcPr>
          <w:p w:rsidR="00A46DCA" w:rsidRPr="00AC137D" w:rsidRDefault="00A46DCA" w:rsidP="00A26D04">
            <w:pPr>
              <w:keepLines w:val="0"/>
              <w:autoSpaceDE w:val="0"/>
              <w:autoSpaceDN w:val="0"/>
              <w:adjustRightInd w:val="0"/>
              <w:rPr>
                <w:rFonts w:eastAsiaTheme="minorEastAsia" w:cs="Calibri"/>
                <w:color w:val="000000"/>
                <w:szCs w:val="16"/>
                <w:lang w:eastAsia="en-AU"/>
              </w:rPr>
            </w:pPr>
            <w:r w:rsidRPr="00AC137D">
              <w:rPr>
                <w:rFonts w:eastAsiaTheme="minorEastAsia" w:cs="Calibri"/>
                <w:color w:val="000000"/>
                <w:szCs w:val="16"/>
                <w:lang w:eastAsia="en-AU"/>
              </w:rPr>
              <w:t>Others</w:t>
            </w:r>
          </w:p>
        </w:tc>
        <w:tc>
          <w:tcPr>
            <w:tcW w:w="794"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2</w:t>
            </w:r>
          </w:p>
        </w:tc>
        <w:tc>
          <w:tcPr>
            <w:tcW w:w="828"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2</w:t>
            </w:r>
          </w:p>
        </w:tc>
        <w:tc>
          <w:tcPr>
            <w:tcW w:w="828"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3</w:t>
            </w:r>
          </w:p>
        </w:tc>
        <w:tc>
          <w:tcPr>
            <w:tcW w:w="828"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3</w:t>
            </w:r>
          </w:p>
        </w:tc>
        <w:tc>
          <w:tcPr>
            <w:tcW w:w="805"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4</w:t>
            </w:r>
          </w:p>
        </w:tc>
      </w:tr>
      <w:tr w:rsidR="00A46DCA" w:rsidRPr="00AC137D" w:rsidTr="00A26D04">
        <w:tc>
          <w:tcPr>
            <w:cnfStyle w:val="001000000000" w:firstRow="0" w:lastRow="0" w:firstColumn="1" w:lastColumn="0" w:oddVBand="0" w:evenVBand="0" w:oddHBand="0" w:evenHBand="0" w:firstRowFirstColumn="0" w:firstRowLastColumn="0" w:lastRowFirstColumn="0" w:lastRowLastColumn="0"/>
            <w:tcW w:w="3685" w:type="dxa"/>
            <w:tcBorders>
              <w:top w:val="single" w:sz="6" w:space="0" w:color="000000"/>
              <w:left w:val="nil"/>
              <w:bottom w:val="single" w:sz="12" w:space="0" w:color="000000"/>
              <w:right w:val="nil"/>
            </w:tcBorders>
          </w:tcPr>
          <w:p w:rsidR="00A46DCA" w:rsidRPr="00AC137D" w:rsidRDefault="00A46DCA" w:rsidP="00A26D04">
            <w:pPr>
              <w:keepLines w:val="0"/>
              <w:autoSpaceDE w:val="0"/>
              <w:autoSpaceDN w:val="0"/>
              <w:adjustRightInd w:val="0"/>
              <w:rPr>
                <w:rFonts w:eastAsiaTheme="minorEastAsia" w:cs="Calibri"/>
                <w:b/>
                <w:bCs/>
                <w:color w:val="000000"/>
                <w:szCs w:val="16"/>
                <w:lang w:eastAsia="en-AU"/>
              </w:rPr>
            </w:pPr>
            <w:r w:rsidRPr="00AC137D">
              <w:rPr>
                <w:rFonts w:eastAsiaTheme="minorEastAsia" w:cs="Calibri"/>
                <w:b/>
                <w:bCs/>
                <w:color w:val="000000"/>
                <w:szCs w:val="16"/>
                <w:lang w:eastAsia="en-AU"/>
              </w:rPr>
              <w:t>Dividends from PNFC sector</w:t>
            </w:r>
          </w:p>
        </w:tc>
        <w:tc>
          <w:tcPr>
            <w:tcW w:w="794" w:type="dxa"/>
            <w:tcBorders>
              <w:top w:val="single" w:sz="6" w:space="0" w:color="000000"/>
              <w:left w:val="nil"/>
              <w:bottom w:val="single" w:sz="12" w:space="0" w:color="000000"/>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Pr>
                <w:rFonts w:eastAsiaTheme="minorEastAsia" w:cs="Arial"/>
                <w:b/>
                <w:bCs/>
                <w:color w:val="000000"/>
                <w:szCs w:val="18"/>
                <w:lang w:eastAsia="en-AU"/>
              </w:rPr>
              <w:t>457</w:t>
            </w:r>
          </w:p>
        </w:tc>
        <w:tc>
          <w:tcPr>
            <w:tcW w:w="828" w:type="dxa"/>
            <w:tcBorders>
              <w:top w:val="single" w:sz="6" w:space="0" w:color="000000"/>
              <w:left w:val="nil"/>
              <w:bottom w:val="single" w:sz="12" w:space="0" w:color="000000"/>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Pr>
                <w:rFonts w:eastAsiaTheme="minorEastAsia" w:cs="Arial"/>
                <w:b/>
                <w:bCs/>
                <w:color w:val="000000"/>
                <w:szCs w:val="18"/>
                <w:lang w:eastAsia="en-AU"/>
              </w:rPr>
              <w:t>498</w:t>
            </w:r>
          </w:p>
        </w:tc>
        <w:tc>
          <w:tcPr>
            <w:tcW w:w="828" w:type="dxa"/>
            <w:tcBorders>
              <w:top w:val="single" w:sz="6" w:space="0" w:color="000000"/>
              <w:left w:val="nil"/>
              <w:bottom w:val="single" w:sz="12" w:space="0" w:color="000000"/>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Pr>
                <w:rFonts w:eastAsiaTheme="minorEastAsia" w:cs="Arial"/>
                <w:b/>
                <w:bCs/>
                <w:color w:val="000000"/>
                <w:szCs w:val="18"/>
                <w:lang w:eastAsia="en-AU"/>
              </w:rPr>
              <w:t>225</w:t>
            </w:r>
          </w:p>
        </w:tc>
        <w:tc>
          <w:tcPr>
            <w:tcW w:w="828" w:type="dxa"/>
            <w:tcBorders>
              <w:top w:val="single" w:sz="6" w:space="0" w:color="000000"/>
              <w:left w:val="nil"/>
              <w:bottom w:val="single" w:sz="12" w:space="0" w:color="000000"/>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Pr>
                <w:rFonts w:eastAsiaTheme="minorEastAsia" w:cs="Arial"/>
                <w:b/>
                <w:bCs/>
                <w:color w:val="000000"/>
                <w:szCs w:val="18"/>
                <w:lang w:eastAsia="en-AU"/>
              </w:rPr>
              <w:t>141</w:t>
            </w:r>
          </w:p>
        </w:tc>
        <w:tc>
          <w:tcPr>
            <w:tcW w:w="805" w:type="dxa"/>
            <w:tcBorders>
              <w:top w:val="single" w:sz="6" w:space="0" w:color="000000"/>
              <w:left w:val="nil"/>
              <w:bottom w:val="single" w:sz="12" w:space="0" w:color="000000"/>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Pr>
                <w:rFonts w:eastAsiaTheme="minorEastAsia" w:cs="Arial"/>
                <w:b/>
                <w:bCs/>
                <w:color w:val="000000"/>
                <w:szCs w:val="18"/>
                <w:lang w:eastAsia="en-AU"/>
              </w:rPr>
              <w:t>195</w:t>
            </w:r>
          </w:p>
        </w:tc>
      </w:tr>
    </w:tbl>
    <w:p w:rsidR="00A46DCA" w:rsidRPr="00D87D22" w:rsidRDefault="00A46DCA" w:rsidP="00A26D04">
      <w:pPr>
        <w:pStyle w:val="Source"/>
      </w:pPr>
      <w:r w:rsidRPr="00D87D22">
        <w:t>Source: Department of Treasury and Finance</w:t>
      </w:r>
    </w:p>
    <w:p w:rsidR="00A46DCA" w:rsidRPr="00565EC1" w:rsidRDefault="00A46DCA" w:rsidP="00A26D04">
      <w:pPr>
        <w:pStyle w:val="Note"/>
      </w:pPr>
    </w:p>
    <w:p w:rsidR="00A46DCA" w:rsidRDefault="00A46DCA" w:rsidP="00A26D04">
      <w:pPr>
        <w:pStyle w:val="Note"/>
        <w:ind w:left="0" w:firstLine="0"/>
      </w:pPr>
      <w:r>
        <w:br w:type="page"/>
      </w:r>
    </w:p>
    <w:p w:rsidR="00A46DCA" w:rsidRPr="00AC137D" w:rsidRDefault="00A46DCA" w:rsidP="00A26D04">
      <w:pPr>
        <w:pStyle w:val="Heading3"/>
        <w:numPr>
          <w:ilvl w:val="2"/>
          <w:numId w:val="19"/>
        </w:numPr>
        <w:tabs>
          <w:tab w:val="clear" w:pos="9582"/>
          <w:tab w:val="left" w:pos="850"/>
          <w:tab w:val="right" w:pos="7711"/>
        </w:tabs>
        <w:spacing w:after="60"/>
        <w:rPr>
          <w:lang w:val="en-US"/>
        </w:rPr>
      </w:pPr>
      <w:bookmarkStart w:id="29" w:name="_Toc496606536"/>
      <w:r w:rsidRPr="008C4F9A">
        <w:lastRenderedPageBreak/>
        <w:t>Sales of goods and services</w:t>
      </w:r>
      <w:r w:rsidRPr="008C4F9A">
        <w:tab/>
        <w:t>($ million)</w:t>
      </w:r>
      <w:bookmarkEnd w:id="29"/>
    </w:p>
    <w:tbl>
      <w:tblPr>
        <w:tblStyle w:val="DTFTable"/>
        <w:tblW w:w="7768" w:type="dxa"/>
        <w:tblInd w:w="45" w:type="dxa"/>
        <w:tblLayout w:type="fixed"/>
        <w:tblCellMar>
          <w:left w:w="45" w:type="dxa"/>
          <w:right w:w="45" w:type="dxa"/>
        </w:tblCellMar>
        <w:tblLook w:val="06A0" w:firstRow="1" w:lastRow="0" w:firstColumn="1" w:lastColumn="0" w:noHBand="1" w:noVBand="1"/>
      </w:tblPr>
      <w:tblGrid>
        <w:gridCol w:w="3515"/>
        <w:gridCol w:w="964"/>
        <w:gridCol w:w="828"/>
        <w:gridCol w:w="811"/>
        <w:gridCol w:w="839"/>
        <w:gridCol w:w="811"/>
      </w:tblGrid>
      <w:tr w:rsidR="00A26D04" w:rsidRPr="00AC137D" w:rsidTr="002677DA">
        <w:trPr>
          <w:cnfStyle w:val="100000000000" w:firstRow="1" w:lastRow="0" w:firstColumn="0" w:lastColumn="0" w:oddVBand="0" w:evenVBand="0" w:oddHBand="0" w:evenHBand="0" w:firstRowFirstColumn="0" w:firstRowLastColumn="0" w:lastRowFirstColumn="0" w:lastRowLastColumn="0"/>
          <w:trHeight w:val="70"/>
          <w:tblHeader/>
        </w:trPr>
        <w:tc>
          <w:tcPr>
            <w:cnfStyle w:val="001000000000" w:firstRow="0" w:lastRow="0" w:firstColumn="1" w:lastColumn="0" w:oddVBand="0" w:evenVBand="0" w:oddHBand="0" w:evenHBand="0" w:firstRowFirstColumn="0" w:firstRowLastColumn="0" w:lastRowFirstColumn="0" w:lastRowLastColumn="0"/>
            <w:tcW w:w="3515" w:type="dxa"/>
            <w:tcBorders>
              <w:top w:val="nil"/>
              <w:left w:val="nil"/>
              <w:right w:val="nil"/>
            </w:tcBorders>
            <w:shd w:val="solid" w:color="000000" w:fill="auto"/>
          </w:tcPr>
          <w:p w:rsidR="00A26D04" w:rsidRPr="00AC137D" w:rsidRDefault="00A26D04" w:rsidP="00A26D04">
            <w:pPr>
              <w:autoSpaceDE w:val="0"/>
              <w:autoSpaceDN w:val="0"/>
              <w:adjustRightInd w:val="0"/>
              <w:rPr>
                <w:rFonts w:eastAsiaTheme="minorEastAsia" w:cs="Calibri"/>
                <w:iCs/>
                <w:color w:val="FFFFFF"/>
                <w:lang w:eastAsia="en-AU"/>
              </w:rPr>
            </w:pPr>
            <w:r w:rsidRPr="00AC137D">
              <w:rPr>
                <w:rFonts w:eastAsiaTheme="minorEastAsia" w:cs="Calibri"/>
                <w:iCs/>
                <w:color w:val="FFFFFF"/>
                <w:lang w:eastAsia="en-AU"/>
              </w:rPr>
              <w:t xml:space="preserve">  </w:t>
            </w:r>
          </w:p>
        </w:tc>
        <w:tc>
          <w:tcPr>
            <w:tcW w:w="964" w:type="dxa"/>
            <w:tcBorders>
              <w:top w:val="nil"/>
              <w:left w:val="nil"/>
              <w:right w:val="nil"/>
            </w:tcBorders>
            <w:shd w:val="solid" w:color="000000" w:fill="auto"/>
          </w:tcPr>
          <w:p w:rsidR="00A26D04" w:rsidRPr="00AC137D" w:rsidRDefault="00A26D04" w:rsidP="00A26D0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AC137D">
              <w:rPr>
                <w:rFonts w:eastAsiaTheme="minorEastAsia" w:cs="Calibri"/>
                <w:iCs/>
                <w:color w:val="FFFFFF"/>
                <w:szCs w:val="16"/>
                <w:lang w:eastAsia="en-AU"/>
              </w:rPr>
              <w:t>2017-18</w:t>
            </w:r>
            <w:r>
              <w:rPr>
                <w:rFonts w:eastAsiaTheme="minorEastAsia" w:cs="Calibri"/>
                <w:iCs/>
                <w:color w:val="FFFFFF"/>
                <w:szCs w:val="16"/>
                <w:lang w:eastAsia="en-AU"/>
              </w:rPr>
              <w:br/>
            </w:r>
            <w:r w:rsidRPr="00AC137D">
              <w:rPr>
                <w:rFonts w:eastAsiaTheme="minorEastAsia" w:cs="Calibri"/>
                <w:iCs/>
                <w:color w:val="FFFFFF"/>
                <w:szCs w:val="16"/>
                <w:lang w:eastAsia="en-AU"/>
              </w:rPr>
              <w:t>budget</w:t>
            </w:r>
          </w:p>
        </w:tc>
        <w:tc>
          <w:tcPr>
            <w:tcW w:w="828" w:type="dxa"/>
            <w:tcBorders>
              <w:top w:val="nil"/>
              <w:left w:val="nil"/>
              <w:right w:val="nil"/>
            </w:tcBorders>
            <w:shd w:val="solid" w:color="000000" w:fill="auto"/>
          </w:tcPr>
          <w:p w:rsidR="00A26D04" w:rsidRPr="00AC137D" w:rsidRDefault="00A26D04" w:rsidP="00A26D0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AC137D">
              <w:rPr>
                <w:rFonts w:eastAsiaTheme="minorEastAsia" w:cs="Calibri"/>
                <w:iCs/>
                <w:color w:val="FFFFFF"/>
                <w:szCs w:val="16"/>
                <w:lang w:eastAsia="en-AU"/>
              </w:rPr>
              <w:t>2017-18</w:t>
            </w:r>
            <w:r>
              <w:rPr>
                <w:rFonts w:eastAsiaTheme="minorEastAsia" w:cs="Calibri"/>
                <w:iCs/>
                <w:color w:val="FFFFFF"/>
                <w:szCs w:val="16"/>
                <w:lang w:eastAsia="en-AU"/>
              </w:rPr>
              <w:br/>
            </w:r>
            <w:r w:rsidRPr="00AC137D">
              <w:rPr>
                <w:rFonts w:eastAsiaTheme="minorEastAsia" w:cs="Calibri"/>
                <w:iCs/>
                <w:color w:val="FFFFFF"/>
                <w:szCs w:val="16"/>
                <w:lang w:eastAsia="en-AU"/>
              </w:rPr>
              <w:t>revised</w:t>
            </w:r>
          </w:p>
        </w:tc>
        <w:tc>
          <w:tcPr>
            <w:tcW w:w="811" w:type="dxa"/>
            <w:tcBorders>
              <w:top w:val="nil"/>
              <w:left w:val="nil"/>
              <w:right w:val="nil"/>
            </w:tcBorders>
            <w:shd w:val="solid" w:color="000000" w:fill="auto"/>
          </w:tcPr>
          <w:p w:rsidR="00A26D04" w:rsidRPr="00AC137D" w:rsidRDefault="00A26D04" w:rsidP="00A26D0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AC137D">
              <w:rPr>
                <w:rFonts w:eastAsiaTheme="minorEastAsia" w:cs="Calibri"/>
                <w:iCs/>
                <w:color w:val="FFFFFF"/>
                <w:szCs w:val="16"/>
                <w:lang w:eastAsia="en-AU"/>
              </w:rPr>
              <w:t>2018-19</w:t>
            </w:r>
            <w:r>
              <w:rPr>
                <w:rFonts w:eastAsiaTheme="minorEastAsia" w:cs="Calibri"/>
                <w:iCs/>
                <w:color w:val="FFFFFF"/>
                <w:szCs w:val="16"/>
                <w:lang w:eastAsia="en-AU"/>
              </w:rPr>
              <w:br/>
            </w:r>
            <w:r w:rsidRPr="00AC137D">
              <w:rPr>
                <w:rFonts w:eastAsiaTheme="minorEastAsia" w:cs="Calibri"/>
                <w:iCs/>
                <w:color w:val="FFFFFF"/>
                <w:szCs w:val="16"/>
                <w:lang w:eastAsia="en-AU"/>
              </w:rPr>
              <w:t>estimate</w:t>
            </w:r>
          </w:p>
        </w:tc>
        <w:tc>
          <w:tcPr>
            <w:tcW w:w="839" w:type="dxa"/>
            <w:tcBorders>
              <w:top w:val="nil"/>
              <w:left w:val="nil"/>
              <w:right w:val="nil"/>
            </w:tcBorders>
            <w:shd w:val="solid" w:color="000000" w:fill="auto"/>
          </w:tcPr>
          <w:p w:rsidR="00A26D04" w:rsidRPr="00AC137D" w:rsidRDefault="00A26D04" w:rsidP="00A26D0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AC137D">
              <w:rPr>
                <w:rFonts w:eastAsiaTheme="minorEastAsia" w:cs="Calibri"/>
                <w:iCs/>
                <w:color w:val="FFFFFF"/>
                <w:szCs w:val="16"/>
                <w:lang w:eastAsia="en-AU"/>
              </w:rPr>
              <w:t>2019-20</w:t>
            </w:r>
            <w:r>
              <w:rPr>
                <w:rFonts w:eastAsiaTheme="minorEastAsia" w:cs="Calibri"/>
                <w:iCs/>
                <w:color w:val="FFFFFF"/>
                <w:szCs w:val="16"/>
                <w:lang w:eastAsia="en-AU"/>
              </w:rPr>
              <w:br/>
            </w:r>
            <w:r w:rsidRPr="00AC137D">
              <w:rPr>
                <w:rFonts w:eastAsiaTheme="minorEastAsia" w:cs="Calibri"/>
                <w:iCs/>
                <w:color w:val="FFFFFF"/>
                <w:szCs w:val="16"/>
                <w:lang w:eastAsia="en-AU"/>
              </w:rPr>
              <w:t>estimate</w:t>
            </w:r>
          </w:p>
        </w:tc>
        <w:tc>
          <w:tcPr>
            <w:tcW w:w="811" w:type="dxa"/>
            <w:tcBorders>
              <w:top w:val="nil"/>
              <w:left w:val="nil"/>
              <w:right w:val="nil"/>
            </w:tcBorders>
            <w:shd w:val="solid" w:color="000000" w:fill="auto"/>
          </w:tcPr>
          <w:p w:rsidR="00A26D04" w:rsidRPr="00AC137D" w:rsidRDefault="00A26D04" w:rsidP="00A26D0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AC137D">
              <w:rPr>
                <w:rFonts w:eastAsiaTheme="minorEastAsia" w:cs="Calibri"/>
                <w:iCs/>
                <w:color w:val="FFFFFF"/>
                <w:szCs w:val="16"/>
                <w:lang w:eastAsia="en-AU"/>
              </w:rPr>
              <w:t>2020-21</w:t>
            </w:r>
            <w:r>
              <w:rPr>
                <w:rFonts w:eastAsiaTheme="minorEastAsia" w:cs="Calibri"/>
                <w:iCs/>
                <w:color w:val="FFFFFF"/>
                <w:szCs w:val="16"/>
                <w:lang w:eastAsia="en-AU"/>
              </w:rPr>
              <w:br/>
            </w:r>
            <w:r w:rsidRPr="00AC137D">
              <w:rPr>
                <w:rFonts w:eastAsiaTheme="minorEastAsia" w:cs="Calibri"/>
                <w:iCs/>
                <w:color w:val="FFFFFF"/>
                <w:szCs w:val="16"/>
                <w:lang w:eastAsia="en-AU"/>
              </w:rPr>
              <w:t>estimate</w:t>
            </w:r>
          </w:p>
        </w:tc>
      </w:tr>
      <w:tr w:rsidR="00A46DCA" w:rsidRPr="00AC137D" w:rsidTr="00A26D04">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A46DCA" w:rsidRPr="00AC137D" w:rsidRDefault="00A46DCA" w:rsidP="00A26D04">
            <w:pPr>
              <w:keepLines w:val="0"/>
              <w:autoSpaceDE w:val="0"/>
              <w:autoSpaceDN w:val="0"/>
              <w:adjustRightInd w:val="0"/>
              <w:rPr>
                <w:rFonts w:eastAsiaTheme="minorEastAsia" w:cs="Calibri"/>
                <w:color w:val="000000"/>
                <w:szCs w:val="16"/>
                <w:lang w:eastAsia="en-AU"/>
              </w:rPr>
            </w:pPr>
            <w:r w:rsidRPr="00AC137D">
              <w:rPr>
                <w:rFonts w:eastAsiaTheme="minorEastAsia" w:cs="Calibri"/>
                <w:color w:val="000000"/>
                <w:szCs w:val="16"/>
                <w:lang w:eastAsia="en-AU"/>
              </w:rPr>
              <w:t>Motor vehicle regulatory fees</w:t>
            </w:r>
          </w:p>
        </w:tc>
        <w:tc>
          <w:tcPr>
            <w:tcW w:w="964"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4"/>
                <w:lang w:eastAsia="en-AU"/>
              </w:rPr>
            </w:pPr>
            <w:r>
              <w:rPr>
                <w:rFonts w:eastAsiaTheme="minorEastAsia" w:cs="Arial"/>
                <w:color w:val="000000"/>
                <w:szCs w:val="14"/>
                <w:lang w:eastAsia="en-AU"/>
              </w:rPr>
              <w:t>206</w:t>
            </w:r>
          </w:p>
        </w:tc>
        <w:tc>
          <w:tcPr>
            <w:tcW w:w="828"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4"/>
                <w:lang w:eastAsia="en-AU"/>
              </w:rPr>
            </w:pPr>
            <w:r>
              <w:rPr>
                <w:rFonts w:eastAsiaTheme="minorEastAsia" w:cs="Arial"/>
                <w:color w:val="000000"/>
                <w:szCs w:val="14"/>
                <w:lang w:eastAsia="en-AU"/>
              </w:rPr>
              <w:t>208</w:t>
            </w:r>
          </w:p>
        </w:tc>
        <w:tc>
          <w:tcPr>
            <w:tcW w:w="811"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4"/>
                <w:lang w:eastAsia="en-AU"/>
              </w:rPr>
            </w:pPr>
            <w:r>
              <w:rPr>
                <w:rFonts w:eastAsiaTheme="minorEastAsia" w:cs="Arial"/>
                <w:color w:val="000000"/>
                <w:szCs w:val="14"/>
                <w:lang w:eastAsia="en-AU"/>
              </w:rPr>
              <w:t>218</w:t>
            </w:r>
          </w:p>
        </w:tc>
        <w:tc>
          <w:tcPr>
            <w:tcW w:w="839"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4"/>
                <w:lang w:eastAsia="en-AU"/>
              </w:rPr>
            </w:pPr>
            <w:r>
              <w:rPr>
                <w:rFonts w:eastAsiaTheme="minorEastAsia" w:cs="Arial"/>
                <w:color w:val="000000"/>
                <w:szCs w:val="14"/>
                <w:lang w:eastAsia="en-AU"/>
              </w:rPr>
              <w:t>225</w:t>
            </w:r>
          </w:p>
        </w:tc>
        <w:tc>
          <w:tcPr>
            <w:tcW w:w="811"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4"/>
                <w:lang w:eastAsia="en-AU"/>
              </w:rPr>
            </w:pPr>
            <w:r>
              <w:rPr>
                <w:rFonts w:eastAsiaTheme="minorEastAsia" w:cs="Arial"/>
                <w:color w:val="000000"/>
                <w:szCs w:val="14"/>
                <w:lang w:eastAsia="en-AU"/>
              </w:rPr>
              <w:t>259</w:t>
            </w:r>
          </w:p>
        </w:tc>
      </w:tr>
      <w:tr w:rsidR="00A46DCA" w:rsidRPr="00AC137D" w:rsidTr="00A26D04">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A46DCA" w:rsidRPr="00AC137D" w:rsidRDefault="00A46DCA" w:rsidP="00A26D04">
            <w:pPr>
              <w:keepLines w:val="0"/>
              <w:autoSpaceDE w:val="0"/>
              <w:autoSpaceDN w:val="0"/>
              <w:adjustRightInd w:val="0"/>
              <w:rPr>
                <w:rFonts w:eastAsiaTheme="minorEastAsia" w:cs="Calibri"/>
                <w:color w:val="000000"/>
                <w:szCs w:val="16"/>
                <w:lang w:eastAsia="en-AU"/>
              </w:rPr>
            </w:pPr>
            <w:r w:rsidRPr="00AC137D">
              <w:rPr>
                <w:rFonts w:eastAsiaTheme="minorEastAsia" w:cs="Calibri"/>
                <w:color w:val="000000"/>
                <w:szCs w:val="16"/>
                <w:lang w:eastAsia="en-AU"/>
              </w:rPr>
              <w:t>Other regulatory fees</w:t>
            </w:r>
          </w:p>
        </w:tc>
        <w:tc>
          <w:tcPr>
            <w:tcW w:w="964"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4"/>
                <w:lang w:eastAsia="en-AU"/>
              </w:rPr>
            </w:pPr>
            <w:r>
              <w:rPr>
                <w:rFonts w:eastAsiaTheme="minorEastAsia" w:cs="Arial"/>
                <w:color w:val="000000"/>
                <w:szCs w:val="14"/>
                <w:lang w:eastAsia="en-AU"/>
              </w:rPr>
              <w:t>534</w:t>
            </w:r>
          </w:p>
        </w:tc>
        <w:tc>
          <w:tcPr>
            <w:tcW w:w="828"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4"/>
                <w:lang w:eastAsia="en-AU"/>
              </w:rPr>
            </w:pPr>
            <w:r>
              <w:rPr>
                <w:rFonts w:eastAsiaTheme="minorEastAsia" w:cs="Arial"/>
                <w:color w:val="000000"/>
                <w:szCs w:val="14"/>
                <w:lang w:eastAsia="en-AU"/>
              </w:rPr>
              <w:t>533</w:t>
            </w:r>
          </w:p>
        </w:tc>
        <w:tc>
          <w:tcPr>
            <w:tcW w:w="811"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4"/>
                <w:lang w:eastAsia="en-AU"/>
              </w:rPr>
            </w:pPr>
            <w:r>
              <w:rPr>
                <w:rFonts w:eastAsiaTheme="minorEastAsia" w:cs="Arial"/>
                <w:color w:val="000000"/>
                <w:szCs w:val="14"/>
                <w:lang w:eastAsia="en-AU"/>
              </w:rPr>
              <w:t>536</w:t>
            </w:r>
          </w:p>
        </w:tc>
        <w:tc>
          <w:tcPr>
            <w:tcW w:w="839"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4"/>
                <w:lang w:eastAsia="en-AU"/>
              </w:rPr>
            </w:pPr>
            <w:r>
              <w:rPr>
                <w:rFonts w:eastAsiaTheme="minorEastAsia" w:cs="Arial"/>
                <w:color w:val="000000"/>
                <w:szCs w:val="14"/>
                <w:lang w:eastAsia="en-AU"/>
              </w:rPr>
              <w:t>545</w:t>
            </w:r>
          </w:p>
        </w:tc>
        <w:tc>
          <w:tcPr>
            <w:tcW w:w="811"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4"/>
                <w:lang w:eastAsia="en-AU"/>
              </w:rPr>
            </w:pPr>
            <w:r>
              <w:rPr>
                <w:rFonts w:eastAsiaTheme="minorEastAsia" w:cs="Arial"/>
                <w:color w:val="000000"/>
                <w:szCs w:val="14"/>
                <w:lang w:eastAsia="en-AU"/>
              </w:rPr>
              <w:t>555</w:t>
            </w:r>
          </w:p>
        </w:tc>
      </w:tr>
      <w:tr w:rsidR="00A46DCA" w:rsidRPr="00AC137D" w:rsidTr="00A26D04">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A46DCA" w:rsidRPr="00AC137D" w:rsidRDefault="00A46DCA" w:rsidP="00A26D04">
            <w:pPr>
              <w:keepLines w:val="0"/>
              <w:autoSpaceDE w:val="0"/>
              <w:autoSpaceDN w:val="0"/>
              <w:adjustRightInd w:val="0"/>
              <w:rPr>
                <w:rFonts w:eastAsiaTheme="minorEastAsia" w:cs="Calibri"/>
                <w:color w:val="000000"/>
                <w:szCs w:val="16"/>
                <w:lang w:eastAsia="en-AU"/>
              </w:rPr>
            </w:pPr>
            <w:r w:rsidRPr="00AC137D">
              <w:rPr>
                <w:rFonts w:eastAsiaTheme="minorEastAsia" w:cs="Calibri"/>
                <w:color w:val="000000"/>
                <w:szCs w:val="16"/>
                <w:lang w:eastAsia="en-AU"/>
              </w:rPr>
              <w:t>Sale of goods</w:t>
            </w:r>
          </w:p>
        </w:tc>
        <w:tc>
          <w:tcPr>
            <w:tcW w:w="964"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4"/>
                <w:lang w:eastAsia="en-AU"/>
              </w:rPr>
            </w:pPr>
            <w:r>
              <w:rPr>
                <w:rFonts w:eastAsiaTheme="minorEastAsia" w:cs="Arial"/>
                <w:color w:val="000000"/>
                <w:szCs w:val="14"/>
                <w:lang w:eastAsia="en-AU"/>
              </w:rPr>
              <w:t>79</w:t>
            </w:r>
          </w:p>
        </w:tc>
        <w:tc>
          <w:tcPr>
            <w:tcW w:w="828"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4"/>
                <w:lang w:eastAsia="en-AU"/>
              </w:rPr>
            </w:pPr>
            <w:r>
              <w:rPr>
                <w:rFonts w:eastAsiaTheme="minorEastAsia" w:cs="Arial"/>
                <w:color w:val="000000"/>
                <w:szCs w:val="14"/>
                <w:lang w:eastAsia="en-AU"/>
              </w:rPr>
              <w:t>79</w:t>
            </w:r>
          </w:p>
        </w:tc>
        <w:tc>
          <w:tcPr>
            <w:tcW w:w="811"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4"/>
                <w:lang w:eastAsia="en-AU"/>
              </w:rPr>
            </w:pPr>
            <w:r>
              <w:rPr>
                <w:rFonts w:eastAsiaTheme="minorEastAsia" w:cs="Arial"/>
                <w:color w:val="000000"/>
                <w:szCs w:val="14"/>
                <w:lang w:eastAsia="en-AU"/>
              </w:rPr>
              <w:t>79</w:t>
            </w:r>
          </w:p>
        </w:tc>
        <w:tc>
          <w:tcPr>
            <w:tcW w:w="839"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4"/>
                <w:lang w:eastAsia="en-AU"/>
              </w:rPr>
            </w:pPr>
            <w:r>
              <w:rPr>
                <w:rFonts w:eastAsiaTheme="minorEastAsia" w:cs="Arial"/>
                <w:color w:val="000000"/>
                <w:szCs w:val="14"/>
                <w:lang w:eastAsia="en-AU"/>
              </w:rPr>
              <w:t>82</w:t>
            </w:r>
          </w:p>
        </w:tc>
        <w:tc>
          <w:tcPr>
            <w:tcW w:w="811"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4"/>
                <w:lang w:eastAsia="en-AU"/>
              </w:rPr>
            </w:pPr>
            <w:r>
              <w:rPr>
                <w:rFonts w:eastAsiaTheme="minorEastAsia" w:cs="Arial"/>
                <w:color w:val="000000"/>
                <w:szCs w:val="14"/>
                <w:lang w:eastAsia="en-AU"/>
              </w:rPr>
              <w:t>84</w:t>
            </w:r>
          </w:p>
        </w:tc>
      </w:tr>
      <w:tr w:rsidR="00A46DCA" w:rsidRPr="00AC137D" w:rsidTr="00A26D04">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A46DCA" w:rsidRPr="00AC137D" w:rsidRDefault="00A46DCA" w:rsidP="00A26D04">
            <w:pPr>
              <w:keepLines w:val="0"/>
              <w:autoSpaceDE w:val="0"/>
              <w:autoSpaceDN w:val="0"/>
              <w:adjustRightInd w:val="0"/>
              <w:rPr>
                <w:rFonts w:eastAsiaTheme="minorEastAsia" w:cs="Calibri"/>
                <w:color w:val="000000"/>
                <w:szCs w:val="16"/>
                <w:vertAlign w:val="superscript"/>
                <w:lang w:eastAsia="en-AU"/>
              </w:rPr>
            </w:pPr>
            <w:r w:rsidRPr="00AC137D">
              <w:rPr>
                <w:rFonts w:eastAsiaTheme="minorEastAsia" w:cs="Calibri"/>
                <w:color w:val="000000"/>
                <w:szCs w:val="16"/>
                <w:lang w:eastAsia="en-AU"/>
              </w:rPr>
              <w:t xml:space="preserve">Provision of services </w:t>
            </w:r>
            <w:r w:rsidRPr="00AC137D">
              <w:rPr>
                <w:rFonts w:eastAsiaTheme="minorEastAsia" w:cs="Calibri"/>
                <w:color w:val="000000"/>
                <w:szCs w:val="16"/>
                <w:vertAlign w:val="superscript"/>
                <w:lang w:eastAsia="en-AU"/>
              </w:rPr>
              <w:t>(a)</w:t>
            </w:r>
          </w:p>
        </w:tc>
        <w:tc>
          <w:tcPr>
            <w:tcW w:w="964"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4"/>
                <w:lang w:eastAsia="en-AU"/>
              </w:rPr>
            </w:pPr>
            <w:r w:rsidRPr="00AC137D">
              <w:rPr>
                <w:rFonts w:eastAsiaTheme="minorEastAsia" w:cs="Arial"/>
                <w:color w:val="000000"/>
                <w:szCs w:val="14"/>
                <w:lang w:eastAsia="en-AU"/>
              </w:rPr>
              <w:t>4 257</w:t>
            </w:r>
          </w:p>
        </w:tc>
        <w:tc>
          <w:tcPr>
            <w:tcW w:w="828"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4"/>
                <w:lang w:eastAsia="en-AU"/>
              </w:rPr>
            </w:pPr>
            <w:r w:rsidRPr="00AC137D">
              <w:rPr>
                <w:rFonts w:eastAsiaTheme="minorEastAsia" w:cs="Arial"/>
                <w:color w:val="000000"/>
                <w:szCs w:val="14"/>
                <w:lang w:eastAsia="en-AU"/>
              </w:rPr>
              <w:t>4 268</w:t>
            </w:r>
          </w:p>
        </w:tc>
        <w:tc>
          <w:tcPr>
            <w:tcW w:w="811"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4"/>
                <w:lang w:eastAsia="en-AU"/>
              </w:rPr>
            </w:pPr>
            <w:r w:rsidRPr="00AC137D">
              <w:rPr>
                <w:rFonts w:eastAsiaTheme="minorEastAsia" w:cs="Arial"/>
                <w:color w:val="000000"/>
                <w:szCs w:val="14"/>
                <w:lang w:eastAsia="en-AU"/>
              </w:rPr>
              <w:t>4 438</w:t>
            </w:r>
          </w:p>
        </w:tc>
        <w:tc>
          <w:tcPr>
            <w:tcW w:w="839"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4"/>
                <w:lang w:eastAsia="en-AU"/>
              </w:rPr>
            </w:pPr>
            <w:r w:rsidRPr="00AC137D">
              <w:rPr>
                <w:rFonts w:eastAsiaTheme="minorEastAsia" w:cs="Arial"/>
                <w:color w:val="000000"/>
                <w:szCs w:val="14"/>
                <w:lang w:eastAsia="en-AU"/>
              </w:rPr>
              <w:t>4 768</w:t>
            </w:r>
          </w:p>
        </w:tc>
        <w:tc>
          <w:tcPr>
            <w:tcW w:w="811"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4"/>
                <w:lang w:eastAsia="en-AU"/>
              </w:rPr>
            </w:pPr>
            <w:r w:rsidRPr="00AC137D">
              <w:rPr>
                <w:rFonts w:eastAsiaTheme="minorEastAsia" w:cs="Arial"/>
                <w:color w:val="000000"/>
                <w:szCs w:val="14"/>
                <w:lang w:eastAsia="en-AU"/>
              </w:rPr>
              <w:t>4 961</w:t>
            </w:r>
          </w:p>
        </w:tc>
      </w:tr>
      <w:tr w:rsidR="00A46DCA" w:rsidRPr="00AC137D" w:rsidTr="00A26D04">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A46DCA" w:rsidRPr="00AC137D" w:rsidRDefault="00A46DCA" w:rsidP="00A26D04">
            <w:pPr>
              <w:keepLines w:val="0"/>
              <w:autoSpaceDE w:val="0"/>
              <w:autoSpaceDN w:val="0"/>
              <w:adjustRightInd w:val="0"/>
              <w:rPr>
                <w:rFonts w:eastAsiaTheme="minorEastAsia" w:cs="Calibri"/>
                <w:color w:val="000000"/>
                <w:szCs w:val="16"/>
                <w:lang w:eastAsia="en-AU"/>
              </w:rPr>
            </w:pPr>
            <w:r w:rsidRPr="00AC137D">
              <w:rPr>
                <w:rFonts w:eastAsiaTheme="minorEastAsia" w:cs="Calibri"/>
                <w:color w:val="000000"/>
                <w:szCs w:val="16"/>
                <w:lang w:eastAsia="en-AU"/>
              </w:rPr>
              <w:t>Rental</w:t>
            </w:r>
          </w:p>
        </w:tc>
        <w:tc>
          <w:tcPr>
            <w:tcW w:w="964"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4"/>
                <w:lang w:eastAsia="en-AU"/>
              </w:rPr>
            </w:pPr>
            <w:r>
              <w:rPr>
                <w:rFonts w:eastAsiaTheme="minorEastAsia" w:cs="Arial"/>
                <w:color w:val="000000"/>
                <w:szCs w:val="14"/>
                <w:lang w:eastAsia="en-AU"/>
              </w:rPr>
              <w:t>74</w:t>
            </w:r>
          </w:p>
        </w:tc>
        <w:tc>
          <w:tcPr>
            <w:tcW w:w="828"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4"/>
                <w:lang w:eastAsia="en-AU"/>
              </w:rPr>
            </w:pPr>
            <w:r>
              <w:rPr>
                <w:rFonts w:eastAsiaTheme="minorEastAsia" w:cs="Arial"/>
                <w:color w:val="000000"/>
                <w:szCs w:val="14"/>
                <w:lang w:eastAsia="en-AU"/>
              </w:rPr>
              <w:t>74</w:t>
            </w:r>
          </w:p>
        </w:tc>
        <w:tc>
          <w:tcPr>
            <w:tcW w:w="811"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4"/>
                <w:lang w:eastAsia="en-AU"/>
              </w:rPr>
            </w:pPr>
            <w:r>
              <w:rPr>
                <w:rFonts w:eastAsiaTheme="minorEastAsia" w:cs="Arial"/>
                <w:color w:val="000000"/>
                <w:szCs w:val="14"/>
                <w:lang w:eastAsia="en-AU"/>
              </w:rPr>
              <w:t>75</w:t>
            </w:r>
          </w:p>
        </w:tc>
        <w:tc>
          <w:tcPr>
            <w:tcW w:w="839"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4"/>
                <w:lang w:eastAsia="en-AU"/>
              </w:rPr>
            </w:pPr>
            <w:r>
              <w:rPr>
                <w:rFonts w:eastAsiaTheme="minorEastAsia" w:cs="Arial"/>
                <w:color w:val="000000"/>
                <w:szCs w:val="14"/>
                <w:lang w:eastAsia="en-AU"/>
              </w:rPr>
              <w:t>76</w:t>
            </w:r>
          </w:p>
        </w:tc>
        <w:tc>
          <w:tcPr>
            <w:tcW w:w="811"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4"/>
                <w:lang w:eastAsia="en-AU"/>
              </w:rPr>
            </w:pPr>
            <w:r>
              <w:rPr>
                <w:rFonts w:eastAsiaTheme="minorEastAsia" w:cs="Arial"/>
                <w:color w:val="000000"/>
                <w:szCs w:val="14"/>
                <w:lang w:eastAsia="en-AU"/>
              </w:rPr>
              <w:t>77</w:t>
            </w:r>
          </w:p>
        </w:tc>
      </w:tr>
      <w:tr w:rsidR="00A46DCA" w:rsidRPr="00AC137D" w:rsidTr="00A26D04">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A46DCA" w:rsidRPr="00AC137D" w:rsidRDefault="00A46DCA" w:rsidP="00A26D04">
            <w:pPr>
              <w:keepLines w:val="0"/>
              <w:autoSpaceDE w:val="0"/>
              <w:autoSpaceDN w:val="0"/>
              <w:adjustRightInd w:val="0"/>
              <w:rPr>
                <w:rFonts w:eastAsiaTheme="minorEastAsia" w:cs="Calibri"/>
                <w:color w:val="000000"/>
                <w:szCs w:val="16"/>
                <w:lang w:eastAsia="en-AU"/>
              </w:rPr>
            </w:pPr>
            <w:r w:rsidRPr="00AC137D">
              <w:rPr>
                <w:rFonts w:eastAsiaTheme="minorEastAsia" w:cs="Calibri"/>
                <w:color w:val="000000"/>
                <w:szCs w:val="16"/>
                <w:lang w:eastAsia="en-AU"/>
              </w:rPr>
              <w:t>Refunds and reimbursements</w:t>
            </w:r>
          </w:p>
        </w:tc>
        <w:tc>
          <w:tcPr>
            <w:tcW w:w="964"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4"/>
                <w:lang w:eastAsia="en-AU"/>
              </w:rPr>
            </w:pPr>
            <w:r>
              <w:rPr>
                <w:rFonts w:eastAsiaTheme="minorEastAsia" w:cs="Arial"/>
                <w:color w:val="000000"/>
                <w:szCs w:val="14"/>
                <w:lang w:eastAsia="en-AU"/>
              </w:rPr>
              <w:t>56</w:t>
            </w:r>
          </w:p>
        </w:tc>
        <w:tc>
          <w:tcPr>
            <w:tcW w:w="828"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4"/>
                <w:lang w:eastAsia="en-AU"/>
              </w:rPr>
            </w:pPr>
            <w:r>
              <w:rPr>
                <w:rFonts w:eastAsiaTheme="minorEastAsia" w:cs="Arial"/>
                <w:color w:val="000000"/>
                <w:szCs w:val="14"/>
                <w:lang w:eastAsia="en-AU"/>
              </w:rPr>
              <w:t>56</w:t>
            </w:r>
          </w:p>
        </w:tc>
        <w:tc>
          <w:tcPr>
            <w:tcW w:w="811"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4"/>
                <w:lang w:eastAsia="en-AU"/>
              </w:rPr>
            </w:pPr>
            <w:r>
              <w:rPr>
                <w:rFonts w:eastAsiaTheme="minorEastAsia" w:cs="Arial"/>
                <w:color w:val="000000"/>
                <w:szCs w:val="14"/>
                <w:lang w:eastAsia="en-AU"/>
              </w:rPr>
              <w:t>56</w:t>
            </w:r>
          </w:p>
        </w:tc>
        <w:tc>
          <w:tcPr>
            <w:tcW w:w="839"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4"/>
                <w:lang w:eastAsia="en-AU"/>
              </w:rPr>
            </w:pPr>
            <w:r>
              <w:rPr>
                <w:rFonts w:eastAsiaTheme="minorEastAsia" w:cs="Arial"/>
                <w:color w:val="000000"/>
                <w:szCs w:val="14"/>
                <w:lang w:eastAsia="en-AU"/>
              </w:rPr>
              <w:t>56</w:t>
            </w:r>
          </w:p>
        </w:tc>
        <w:tc>
          <w:tcPr>
            <w:tcW w:w="811"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4"/>
                <w:lang w:eastAsia="en-AU"/>
              </w:rPr>
            </w:pPr>
            <w:r>
              <w:rPr>
                <w:rFonts w:eastAsiaTheme="minorEastAsia" w:cs="Arial"/>
                <w:color w:val="000000"/>
                <w:szCs w:val="14"/>
                <w:lang w:eastAsia="en-AU"/>
              </w:rPr>
              <w:t>56</w:t>
            </w:r>
          </w:p>
        </w:tc>
      </w:tr>
      <w:tr w:rsidR="00A46DCA" w:rsidRPr="00AC137D" w:rsidTr="00A26D04">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A46DCA" w:rsidRPr="00AC137D" w:rsidRDefault="00A46DCA" w:rsidP="00A26D04">
            <w:pPr>
              <w:keepLines w:val="0"/>
              <w:autoSpaceDE w:val="0"/>
              <w:autoSpaceDN w:val="0"/>
              <w:adjustRightInd w:val="0"/>
              <w:rPr>
                <w:rFonts w:eastAsiaTheme="minorEastAsia" w:cs="Calibri"/>
                <w:color w:val="000000"/>
                <w:szCs w:val="16"/>
                <w:lang w:eastAsia="en-AU"/>
              </w:rPr>
            </w:pPr>
            <w:r w:rsidRPr="00AC137D">
              <w:rPr>
                <w:rFonts w:eastAsiaTheme="minorEastAsia" w:cs="Calibri"/>
                <w:color w:val="000000"/>
                <w:szCs w:val="16"/>
                <w:lang w:eastAsia="en-AU"/>
              </w:rPr>
              <w:t>Inter-sector capital asset charge</w:t>
            </w:r>
          </w:p>
        </w:tc>
        <w:tc>
          <w:tcPr>
            <w:tcW w:w="964"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4"/>
                <w:lang w:eastAsia="en-AU"/>
              </w:rPr>
            </w:pPr>
            <w:r w:rsidRPr="00AC137D">
              <w:rPr>
                <w:rFonts w:eastAsiaTheme="minorEastAsia" w:cs="Arial"/>
                <w:color w:val="000000"/>
                <w:szCs w:val="14"/>
                <w:lang w:eastAsia="en-AU"/>
              </w:rPr>
              <w:t>1 981</w:t>
            </w:r>
          </w:p>
        </w:tc>
        <w:tc>
          <w:tcPr>
            <w:tcW w:w="828"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4"/>
                <w:lang w:eastAsia="en-AU"/>
              </w:rPr>
            </w:pPr>
            <w:r w:rsidRPr="00AC137D">
              <w:rPr>
                <w:rFonts w:eastAsiaTheme="minorEastAsia" w:cs="Arial"/>
                <w:color w:val="000000"/>
                <w:szCs w:val="14"/>
                <w:lang w:eastAsia="en-AU"/>
              </w:rPr>
              <w:t>2 044</w:t>
            </w:r>
          </w:p>
        </w:tc>
        <w:tc>
          <w:tcPr>
            <w:tcW w:w="811"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4"/>
                <w:lang w:eastAsia="en-AU"/>
              </w:rPr>
            </w:pPr>
            <w:r w:rsidRPr="00AC137D">
              <w:rPr>
                <w:rFonts w:eastAsiaTheme="minorEastAsia" w:cs="Arial"/>
                <w:color w:val="000000"/>
                <w:szCs w:val="14"/>
                <w:lang w:eastAsia="en-AU"/>
              </w:rPr>
              <w:t>2 228</w:t>
            </w:r>
          </w:p>
        </w:tc>
        <w:tc>
          <w:tcPr>
            <w:tcW w:w="839"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4"/>
                <w:lang w:eastAsia="en-AU"/>
              </w:rPr>
            </w:pPr>
            <w:r w:rsidRPr="00AC137D">
              <w:rPr>
                <w:rFonts w:eastAsiaTheme="minorEastAsia" w:cs="Arial"/>
                <w:color w:val="000000"/>
                <w:szCs w:val="14"/>
                <w:lang w:eastAsia="en-AU"/>
              </w:rPr>
              <w:t>2 295</w:t>
            </w:r>
          </w:p>
        </w:tc>
        <w:tc>
          <w:tcPr>
            <w:tcW w:w="811"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4"/>
                <w:lang w:eastAsia="en-AU"/>
              </w:rPr>
            </w:pPr>
            <w:r w:rsidRPr="00AC137D">
              <w:rPr>
                <w:rFonts w:eastAsiaTheme="minorEastAsia" w:cs="Arial"/>
                <w:color w:val="000000"/>
                <w:szCs w:val="14"/>
                <w:lang w:eastAsia="en-AU"/>
              </w:rPr>
              <w:t>2 320</w:t>
            </w:r>
          </w:p>
        </w:tc>
      </w:tr>
      <w:tr w:rsidR="00A46DCA" w:rsidRPr="00AC137D" w:rsidTr="00A26D04">
        <w:tc>
          <w:tcPr>
            <w:cnfStyle w:val="001000000000" w:firstRow="0" w:lastRow="0" w:firstColumn="1" w:lastColumn="0" w:oddVBand="0" w:evenVBand="0" w:oddHBand="0" w:evenHBand="0" w:firstRowFirstColumn="0" w:firstRowLastColumn="0" w:lastRowFirstColumn="0" w:lastRowLastColumn="0"/>
            <w:tcW w:w="3515" w:type="dxa"/>
            <w:tcBorders>
              <w:top w:val="single" w:sz="6" w:space="0" w:color="000000"/>
              <w:left w:val="nil"/>
              <w:bottom w:val="single" w:sz="12" w:space="0" w:color="000000"/>
              <w:right w:val="nil"/>
            </w:tcBorders>
          </w:tcPr>
          <w:p w:rsidR="00A46DCA" w:rsidRPr="00AC137D" w:rsidRDefault="00A46DCA" w:rsidP="00A26D04">
            <w:pPr>
              <w:keepLines w:val="0"/>
              <w:autoSpaceDE w:val="0"/>
              <w:autoSpaceDN w:val="0"/>
              <w:adjustRightInd w:val="0"/>
              <w:rPr>
                <w:rFonts w:eastAsiaTheme="minorEastAsia" w:cs="Calibri"/>
                <w:b/>
                <w:bCs/>
                <w:color w:val="000000"/>
                <w:szCs w:val="16"/>
                <w:lang w:eastAsia="en-AU"/>
              </w:rPr>
            </w:pPr>
            <w:r w:rsidRPr="00AC137D">
              <w:rPr>
                <w:rFonts w:eastAsiaTheme="minorEastAsia" w:cs="Calibri"/>
                <w:b/>
                <w:bCs/>
                <w:color w:val="000000"/>
                <w:szCs w:val="16"/>
                <w:lang w:eastAsia="en-AU"/>
              </w:rPr>
              <w:t>Total sales of goods and services</w:t>
            </w:r>
          </w:p>
        </w:tc>
        <w:tc>
          <w:tcPr>
            <w:tcW w:w="964" w:type="dxa"/>
            <w:tcBorders>
              <w:top w:val="single" w:sz="6" w:space="0" w:color="000000"/>
              <w:left w:val="nil"/>
              <w:bottom w:val="single" w:sz="12" w:space="0" w:color="000000"/>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4"/>
                <w:lang w:eastAsia="en-AU"/>
              </w:rPr>
            </w:pPr>
            <w:r w:rsidRPr="00AC137D">
              <w:rPr>
                <w:rFonts w:eastAsiaTheme="minorEastAsia" w:cs="Arial"/>
                <w:b/>
                <w:bCs/>
                <w:color w:val="000000"/>
                <w:szCs w:val="14"/>
                <w:lang w:eastAsia="en-AU"/>
              </w:rPr>
              <w:t>7 187</w:t>
            </w:r>
          </w:p>
        </w:tc>
        <w:tc>
          <w:tcPr>
            <w:tcW w:w="828" w:type="dxa"/>
            <w:tcBorders>
              <w:top w:val="single" w:sz="6" w:space="0" w:color="000000"/>
              <w:left w:val="nil"/>
              <w:bottom w:val="single" w:sz="12" w:space="0" w:color="000000"/>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4"/>
                <w:lang w:eastAsia="en-AU"/>
              </w:rPr>
            </w:pPr>
            <w:r w:rsidRPr="00AC137D">
              <w:rPr>
                <w:rFonts w:eastAsiaTheme="minorEastAsia" w:cs="Arial"/>
                <w:b/>
                <w:bCs/>
                <w:color w:val="000000"/>
                <w:szCs w:val="14"/>
                <w:lang w:eastAsia="en-AU"/>
              </w:rPr>
              <w:t>7 261</w:t>
            </w:r>
          </w:p>
        </w:tc>
        <w:tc>
          <w:tcPr>
            <w:tcW w:w="811" w:type="dxa"/>
            <w:tcBorders>
              <w:top w:val="single" w:sz="6" w:space="0" w:color="000000"/>
              <w:left w:val="nil"/>
              <w:bottom w:val="single" w:sz="12" w:space="0" w:color="000000"/>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4"/>
                <w:lang w:eastAsia="en-AU"/>
              </w:rPr>
            </w:pPr>
            <w:r w:rsidRPr="00AC137D">
              <w:rPr>
                <w:rFonts w:eastAsiaTheme="minorEastAsia" w:cs="Arial"/>
                <w:b/>
                <w:bCs/>
                <w:color w:val="000000"/>
                <w:szCs w:val="14"/>
                <w:lang w:eastAsia="en-AU"/>
              </w:rPr>
              <w:t>7 630</w:t>
            </w:r>
          </w:p>
        </w:tc>
        <w:tc>
          <w:tcPr>
            <w:tcW w:w="839" w:type="dxa"/>
            <w:tcBorders>
              <w:top w:val="single" w:sz="6" w:space="0" w:color="000000"/>
              <w:left w:val="nil"/>
              <w:bottom w:val="single" w:sz="12" w:space="0" w:color="000000"/>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4"/>
                <w:lang w:eastAsia="en-AU"/>
              </w:rPr>
            </w:pPr>
            <w:r w:rsidRPr="00AC137D">
              <w:rPr>
                <w:rFonts w:eastAsiaTheme="minorEastAsia" w:cs="Arial"/>
                <w:b/>
                <w:bCs/>
                <w:color w:val="000000"/>
                <w:szCs w:val="14"/>
                <w:lang w:eastAsia="en-AU"/>
              </w:rPr>
              <w:t>8 046</w:t>
            </w:r>
          </w:p>
        </w:tc>
        <w:tc>
          <w:tcPr>
            <w:tcW w:w="811" w:type="dxa"/>
            <w:tcBorders>
              <w:top w:val="single" w:sz="6" w:space="0" w:color="000000"/>
              <w:left w:val="nil"/>
              <w:bottom w:val="single" w:sz="12" w:space="0" w:color="000000"/>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4"/>
                <w:lang w:eastAsia="en-AU"/>
              </w:rPr>
            </w:pPr>
            <w:r w:rsidRPr="00AC137D">
              <w:rPr>
                <w:rFonts w:eastAsiaTheme="minorEastAsia" w:cs="Arial"/>
                <w:b/>
                <w:bCs/>
                <w:color w:val="000000"/>
                <w:szCs w:val="14"/>
                <w:lang w:eastAsia="en-AU"/>
              </w:rPr>
              <w:t>8 312</w:t>
            </w:r>
          </w:p>
        </w:tc>
      </w:tr>
    </w:tbl>
    <w:p w:rsidR="00A46DCA" w:rsidRDefault="00A46DCA" w:rsidP="00A26D04">
      <w:pPr>
        <w:pStyle w:val="Source"/>
      </w:pPr>
      <w:r w:rsidRPr="00D87D22">
        <w:t>Source: Department of Treasury and Finance</w:t>
      </w:r>
    </w:p>
    <w:p w:rsidR="00A46DCA" w:rsidRDefault="00A46DCA" w:rsidP="00A26D04">
      <w:pPr>
        <w:pStyle w:val="Note"/>
      </w:pPr>
      <w:r>
        <w:t>Note:</w:t>
      </w:r>
    </w:p>
    <w:p w:rsidR="00A46DCA" w:rsidRPr="00973252" w:rsidRDefault="00A46DCA" w:rsidP="00A26D04">
      <w:pPr>
        <w:pStyle w:val="Note"/>
      </w:pPr>
      <w:r w:rsidRPr="00DC10C3">
        <w:t>(a</w:t>
      </w:r>
      <w:r>
        <w:t xml:space="preserve">) </w:t>
      </w:r>
      <w:r>
        <w:tab/>
        <w:t>Further disclosure on provision of services is available on the Department of Treasury and Finance’s website.</w:t>
      </w:r>
    </w:p>
    <w:p w:rsidR="00A46DCA" w:rsidRPr="00875AC9" w:rsidRDefault="00A46DCA" w:rsidP="00A26D04">
      <w:pPr>
        <w:rPr>
          <w:lang w:val="en-US"/>
        </w:rPr>
      </w:pPr>
      <w:bookmarkStart w:id="30" w:name="_Toc496606537"/>
    </w:p>
    <w:p w:rsidR="00A46DCA" w:rsidRPr="00AC137D" w:rsidRDefault="00A46DCA" w:rsidP="00A26D04">
      <w:pPr>
        <w:pStyle w:val="Heading3"/>
        <w:numPr>
          <w:ilvl w:val="2"/>
          <w:numId w:val="19"/>
        </w:numPr>
        <w:tabs>
          <w:tab w:val="clear" w:pos="9582"/>
          <w:tab w:val="left" w:pos="850"/>
          <w:tab w:val="right" w:pos="7711"/>
        </w:tabs>
        <w:spacing w:after="60"/>
        <w:rPr>
          <w:lang w:val="en-US"/>
        </w:rPr>
      </w:pPr>
      <w:r w:rsidRPr="008C4F9A">
        <w:t>Grant revenue</w:t>
      </w:r>
      <w:r w:rsidRPr="008C4F9A">
        <w:tab/>
        <w:t>($ million)</w:t>
      </w:r>
      <w:bookmarkEnd w:id="30"/>
    </w:p>
    <w:tbl>
      <w:tblPr>
        <w:tblStyle w:val="DTFTable"/>
        <w:tblW w:w="7765" w:type="dxa"/>
        <w:tblInd w:w="45" w:type="dxa"/>
        <w:tblLayout w:type="fixed"/>
        <w:tblCellMar>
          <w:left w:w="45" w:type="dxa"/>
          <w:right w:w="45" w:type="dxa"/>
        </w:tblCellMar>
        <w:tblLook w:val="06A0" w:firstRow="1" w:lastRow="0" w:firstColumn="1" w:lastColumn="0" w:noHBand="1" w:noVBand="1"/>
      </w:tblPr>
      <w:tblGrid>
        <w:gridCol w:w="3515"/>
        <w:gridCol w:w="850"/>
        <w:gridCol w:w="850"/>
        <w:gridCol w:w="850"/>
        <w:gridCol w:w="850"/>
        <w:gridCol w:w="850"/>
      </w:tblGrid>
      <w:tr w:rsidR="00A26D04" w:rsidRPr="00AC137D" w:rsidTr="002677DA">
        <w:trPr>
          <w:cnfStyle w:val="100000000000" w:firstRow="1" w:lastRow="0" w:firstColumn="0" w:lastColumn="0" w:oddVBand="0" w:evenVBand="0" w:oddHBand="0" w:evenHBand="0" w:firstRowFirstColumn="0" w:firstRowLastColumn="0" w:lastRowFirstColumn="0" w:lastRowLastColumn="0"/>
          <w:trHeight w:val="70"/>
          <w:tblHeader/>
        </w:trPr>
        <w:tc>
          <w:tcPr>
            <w:cnfStyle w:val="001000000000" w:firstRow="0" w:lastRow="0" w:firstColumn="1" w:lastColumn="0" w:oddVBand="0" w:evenVBand="0" w:oddHBand="0" w:evenHBand="0" w:firstRowFirstColumn="0" w:firstRowLastColumn="0" w:lastRowFirstColumn="0" w:lastRowLastColumn="0"/>
            <w:tcW w:w="3515" w:type="dxa"/>
            <w:tcBorders>
              <w:top w:val="nil"/>
              <w:left w:val="nil"/>
              <w:right w:val="nil"/>
            </w:tcBorders>
            <w:shd w:val="solid" w:color="000000" w:fill="auto"/>
          </w:tcPr>
          <w:p w:rsidR="00A26D04" w:rsidRPr="00AC137D" w:rsidRDefault="00A26D04" w:rsidP="00A26D04">
            <w:pPr>
              <w:autoSpaceDE w:val="0"/>
              <w:autoSpaceDN w:val="0"/>
              <w:adjustRightInd w:val="0"/>
              <w:rPr>
                <w:rFonts w:eastAsiaTheme="minorEastAsia" w:cs="Calibri"/>
                <w:iCs/>
                <w:color w:val="FFFFFF"/>
                <w:lang w:eastAsia="en-AU"/>
              </w:rPr>
            </w:pPr>
            <w:r w:rsidRPr="00AC137D">
              <w:rPr>
                <w:rFonts w:eastAsiaTheme="minorEastAsia" w:cs="Calibri"/>
                <w:iCs/>
                <w:color w:val="FFFFFF"/>
                <w:lang w:eastAsia="en-AU"/>
              </w:rPr>
              <w:t xml:space="preserve">  </w:t>
            </w:r>
          </w:p>
        </w:tc>
        <w:tc>
          <w:tcPr>
            <w:tcW w:w="850" w:type="dxa"/>
            <w:tcBorders>
              <w:top w:val="nil"/>
              <w:left w:val="nil"/>
              <w:right w:val="nil"/>
            </w:tcBorders>
            <w:shd w:val="solid" w:color="000000" w:fill="auto"/>
          </w:tcPr>
          <w:p w:rsidR="00A26D04" w:rsidRPr="00AC137D" w:rsidRDefault="00A26D04" w:rsidP="00A26D0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AC137D">
              <w:rPr>
                <w:rFonts w:eastAsiaTheme="minorEastAsia" w:cs="Calibri"/>
                <w:iCs/>
                <w:color w:val="FFFFFF"/>
                <w:szCs w:val="16"/>
                <w:lang w:eastAsia="en-AU"/>
              </w:rPr>
              <w:t>2017-18</w:t>
            </w:r>
            <w:r>
              <w:rPr>
                <w:rFonts w:eastAsiaTheme="minorEastAsia" w:cs="Calibri"/>
                <w:iCs/>
                <w:color w:val="FFFFFF"/>
                <w:szCs w:val="16"/>
                <w:lang w:eastAsia="en-AU"/>
              </w:rPr>
              <w:br/>
            </w:r>
            <w:r w:rsidRPr="00AC137D">
              <w:rPr>
                <w:rFonts w:eastAsiaTheme="minorEastAsia" w:cs="Calibri"/>
                <w:iCs/>
                <w:color w:val="FFFFFF"/>
                <w:szCs w:val="16"/>
                <w:lang w:eastAsia="en-AU"/>
              </w:rPr>
              <w:t>budget</w:t>
            </w:r>
          </w:p>
        </w:tc>
        <w:tc>
          <w:tcPr>
            <w:tcW w:w="850" w:type="dxa"/>
            <w:tcBorders>
              <w:top w:val="nil"/>
              <w:left w:val="nil"/>
              <w:right w:val="nil"/>
            </w:tcBorders>
            <w:shd w:val="solid" w:color="000000" w:fill="auto"/>
          </w:tcPr>
          <w:p w:rsidR="00A26D04" w:rsidRPr="00AC137D" w:rsidRDefault="00A26D04" w:rsidP="00A26D0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AC137D">
              <w:rPr>
                <w:rFonts w:eastAsiaTheme="minorEastAsia" w:cs="Calibri"/>
                <w:iCs/>
                <w:color w:val="FFFFFF"/>
                <w:szCs w:val="16"/>
                <w:lang w:eastAsia="en-AU"/>
              </w:rPr>
              <w:t>2017-18</w:t>
            </w:r>
            <w:r>
              <w:rPr>
                <w:rFonts w:eastAsiaTheme="minorEastAsia" w:cs="Calibri"/>
                <w:iCs/>
                <w:color w:val="FFFFFF"/>
                <w:szCs w:val="16"/>
                <w:lang w:eastAsia="en-AU"/>
              </w:rPr>
              <w:br/>
            </w:r>
            <w:r w:rsidRPr="00AC137D">
              <w:rPr>
                <w:rFonts w:eastAsiaTheme="minorEastAsia" w:cs="Calibri"/>
                <w:iCs/>
                <w:color w:val="FFFFFF"/>
                <w:szCs w:val="16"/>
                <w:lang w:eastAsia="en-AU"/>
              </w:rPr>
              <w:t>revised</w:t>
            </w:r>
          </w:p>
        </w:tc>
        <w:tc>
          <w:tcPr>
            <w:tcW w:w="850" w:type="dxa"/>
            <w:tcBorders>
              <w:top w:val="nil"/>
              <w:left w:val="nil"/>
              <w:right w:val="nil"/>
            </w:tcBorders>
            <w:shd w:val="solid" w:color="000000" w:fill="auto"/>
          </w:tcPr>
          <w:p w:rsidR="00A26D04" w:rsidRPr="00AC137D" w:rsidRDefault="00A26D04" w:rsidP="00A26D0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AC137D">
              <w:rPr>
                <w:rFonts w:eastAsiaTheme="minorEastAsia" w:cs="Calibri"/>
                <w:iCs/>
                <w:color w:val="FFFFFF"/>
                <w:szCs w:val="16"/>
                <w:lang w:eastAsia="en-AU"/>
              </w:rPr>
              <w:t>2018-19</w:t>
            </w:r>
            <w:r>
              <w:rPr>
                <w:rFonts w:eastAsiaTheme="minorEastAsia" w:cs="Calibri"/>
                <w:iCs/>
                <w:color w:val="FFFFFF"/>
                <w:szCs w:val="16"/>
                <w:lang w:eastAsia="en-AU"/>
              </w:rPr>
              <w:br/>
            </w:r>
            <w:r w:rsidRPr="00AC137D">
              <w:rPr>
                <w:rFonts w:eastAsiaTheme="minorEastAsia" w:cs="Calibri"/>
                <w:iCs/>
                <w:color w:val="FFFFFF"/>
                <w:szCs w:val="16"/>
                <w:lang w:eastAsia="en-AU"/>
              </w:rPr>
              <w:t>estimate</w:t>
            </w:r>
          </w:p>
        </w:tc>
        <w:tc>
          <w:tcPr>
            <w:tcW w:w="850" w:type="dxa"/>
            <w:tcBorders>
              <w:top w:val="nil"/>
              <w:left w:val="nil"/>
              <w:right w:val="nil"/>
            </w:tcBorders>
            <w:shd w:val="solid" w:color="000000" w:fill="auto"/>
          </w:tcPr>
          <w:p w:rsidR="00A26D04" w:rsidRPr="00AC137D" w:rsidRDefault="00A26D04" w:rsidP="00A26D0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AC137D">
              <w:rPr>
                <w:rFonts w:eastAsiaTheme="minorEastAsia" w:cs="Calibri"/>
                <w:iCs/>
                <w:color w:val="FFFFFF"/>
                <w:szCs w:val="16"/>
                <w:lang w:eastAsia="en-AU"/>
              </w:rPr>
              <w:t>2019-20</w:t>
            </w:r>
            <w:r>
              <w:rPr>
                <w:rFonts w:eastAsiaTheme="minorEastAsia" w:cs="Calibri"/>
                <w:iCs/>
                <w:color w:val="FFFFFF"/>
                <w:szCs w:val="16"/>
                <w:lang w:eastAsia="en-AU"/>
              </w:rPr>
              <w:br/>
            </w:r>
            <w:r w:rsidRPr="00AC137D">
              <w:rPr>
                <w:rFonts w:eastAsiaTheme="minorEastAsia" w:cs="Calibri"/>
                <w:iCs/>
                <w:color w:val="FFFFFF"/>
                <w:szCs w:val="16"/>
                <w:lang w:eastAsia="en-AU"/>
              </w:rPr>
              <w:t>estimate</w:t>
            </w:r>
          </w:p>
        </w:tc>
        <w:tc>
          <w:tcPr>
            <w:tcW w:w="850" w:type="dxa"/>
            <w:tcBorders>
              <w:top w:val="nil"/>
              <w:left w:val="nil"/>
              <w:right w:val="nil"/>
            </w:tcBorders>
            <w:shd w:val="solid" w:color="000000" w:fill="auto"/>
          </w:tcPr>
          <w:p w:rsidR="00A26D04" w:rsidRPr="00AC137D" w:rsidRDefault="00A26D04" w:rsidP="00A26D0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AC137D">
              <w:rPr>
                <w:rFonts w:eastAsiaTheme="minorEastAsia" w:cs="Calibri"/>
                <w:iCs/>
                <w:color w:val="FFFFFF"/>
                <w:szCs w:val="16"/>
                <w:lang w:eastAsia="en-AU"/>
              </w:rPr>
              <w:t>2020-21</w:t>
            </w:r>
            <w:r>
              <w:rPr>
                <w:rFonts w:eastAsiaTheme="minorEastAsia" w:cs="Calibri"/>
                <w:iCs/>
                <w:color w:val="FFFFFF"/>
                <w:szCs w:val="16"/>
                <w:lang w:eastAsia="en-AU"/>
              </w:rPr>
              <w:br/>
            </w:r>
            <w:r w:rsidRPr="00AC137D">
              <w:rPr>
                <w:rFonts w:eastAsiaTheme="minorEastAsia" w:cs="Calibri"/>
                <w:iCs/>
                <w:color w:val="FFFFFF"/>
                <w:szCs w:val="16"/>
                <w:lang w:eastAsia="en-AU"/>
              </w:rPr>
              <w:t>estimate</w:t>
            </w:r>
          </w:p>
        </w:tc>
      </w:tr>
      <w:tr w:rsidR="00A46DCA" w:rsidRPr="00AC137D" w:rsidTr="00A26D04">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A46DCA" w:rsidRPr="00AC137D" w:rsidRDefault="00A46DCA" w:rsidP="00A26D04">
            <w:pPr>
              <w:keepLines w:val="0"/>
              <w:autoSpaceDE w:val="0"/>
              <w:autoSpaceDN w:val="0"/>
              <w:adjustRightInd w:val="0"/>
              <w:rPr>
                <w:rFonts w:eastAsiaTheme="minorEastAsia" w:cs="Calibri"/>
                <w:color w:val="000000"/>
                <w:szCs w:val="16"/>
                <w:lang w:eastAsia="en-AU"/>
              </w:rPr>
            </w:pPr>
            <w:r w:rsidRPr="00AC137D">
              <w:rPr>
                <w:rFonts w:eastAsiaTheme="minorEastAsia" w:cs="Calibri"/>
                <w:color w:val="000000"/>
                <w:szCs w:val="16"/>
                <w:lang w:eastAsia="en-AU"/>
              </w:rPr>
              <w:t>General purpose grants</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AC137D">
              <w:rPr>
                <w:rFonts w:eastAsiaTheme="minorEastAsia" w:cs="Arial"/>
                <w:color w:val="000000"/>
                <w:szCs w:val="18"/>
                <w:lang w:eastAsia="en-AU"/>
              </w:rPr>
              <w:t>14 744</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AC137D">
              <w:rPr>
                <w:rFonts w:eastAsiaTheme="minorEastAsia" w:cs="Arial"/>
                <w:color w:val="000000"/>
                <w:szCs w:val="18"/>
                <w:lang w:eastAsia="en-AU"/>
              </w:rPr>
              <w:t>15 381</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AC137D">
              <w:rPr>
                <w:rFonts w:eastAsiaTheme="minorEastAsia" w:cs="Arial"/>
                <w:color w:val="000000"/>
                <w:szCs w:val="18"/>
                <w:lang w:eastAsia="en-AU"/>
              </w:rPr>
              <w:t>16 168</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AC137D">
              <w:rPr>
                <w:rFonts w:eastAsiaTheme="minorEastAsia" w:cs="Arial"/>
                <w:color w:val="000000"/>
                <w:szCs w:val="18"/>
                <w:lang w:eastAsia="en-AU"/>
              </w:rPr>
              <w:t>16 964</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AC137D">
              <w:rPr>
                <w:rFonts w:eastAsiaTheme="minorEastAsia" w:cs="Arial"/>
                <w:color w:val="000000"/>
                <w:szCs w:val="18"/>
                <w:lang w:eastAsia="en-AU"/>
              </w:rPr>
              <w:t>18 016</w:t>
            </w:r>
          </w:p>
        </w:tc>
      </w:tr>
      <w:tr w:rsidR="00A46DCA" w:rsidRPr="00AC137D" w:rsidTr="00A26D04">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A46DCA" w:rsidRPr="00AC137D" w:rsidRDefault="00A46DCA" w:rsidP="00A26D04">
            <w:pPr>
              <w:keepLines w:val="0"/>
              <w:autoSpaceDE w:val="0"/>
              <w:autoSpaceDN w:val="0"/>
              <w:adjustRightInd w:val="0"/>
              <w:rPr>
                <w:rFonts w:eastAsiaTheme="minorEastAsia" w:cs="Calibri"/>
                <w:color w:val="000000"/>
                <w:szCs w:val="16"/>
                <w:lang w:eastAsia="en-AU"/>
              </w:rPr>
            </w:pPr>
            <w:r w:rsidRPr="00AC137D">
              <w:rPr>
                <w:rFonts w:eastAsiaTheme="minorEastAsia" w:cs="Calibri"/>
                <w:color w:val="000000"/>
                <w:szCs w:val="16"/>
                <w:lang w:eastAsia="en-AU"/>
              </w:rPr>
              <w:t>Specific purpose grants for on-passing</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AC137D">
              <w:rPr>
                <w:rFonts w:eastAsiaTheme="minorEastAsia" w:cs="Arial"/>
                <w:color w:val="000000"/>
                <w:szCs w:val="18"/>
                <w:lang w:eastAsia="en-AU"/>
              </w:rPr>
              <w:t>3 757</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AC137D">
              <w:rPr>
                <w:rFonts w:eastAsiaTheme="minorEastAsia" w:cs="Arial"/>
                <w:color w:val="000000"/>
                <w:szCs w:val="18"/>
                <w:lang w:eastAsia="en-AU"/>
              </w:rPr>
              <w:t>3 493</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AC137D">
              <w:rPr>
                <w:rFonts w:eastAsiaTheme="minorEastAsia" w:cs="Arial"/>
                <w:color w:val="000000"/>
                <w:szCs w:val="18"/>
                <w:lang w:eastAsia="en-AU"/>
              </w:rPr>
              <w:t>3 955</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AC137D">
              <w:rPr>
                <w:rFonts w:eastAsiaTheme="minorEastAsia" w:cs="Arial"/>
                <w:color w:val="000000"/>
                <w:szCs w:val="18"/>
                <w:lang w:eastAsia="en-AU"/>
              </w:rPr>
              <w:t>4 172</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AC137D">
              <w:rPr>
                <w:rFonts w:eastAsiaTheme="minorEastAsia" w:cs="Arial"/>
                <w:color w:val="000000"/>
                <w:szCs w:val="18"/>
                <w:lang w:eastAsia="en-AU"/>
              </w:rPr>
              <w:t>4 381</w:t>
            </w:r>
          </w:p>
        </w:tc>
      </w:tr>
      <w:tr w:rsidR="00A46DCA" w:rsidRPr="00AC137D" w:rsidTr="00A26D04">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single" w:sz="6" w:space="0" w:color="000000"/>
              <w:right w:val="nil"/>
            </w:tcBorders>
          </w:tcPr>
          <w:p w:rsidR="00A46DCA" w:rsidRPr="00AC137D" w:rsidRDefault="00A46DCA" w:rsidP="00A26D04">
            <w:pPr>
              <w:keepLines w:val="0"/>
              <w:autoSpaceDE w:val="0"/>
              <w:autoSpaceDN w:val="0"/>
              <w:adjustRightInd w:val="0"/>
              <w:rPr>
                <w:rFonts w:eastAsiaTheme="minorEastAsia" w:cs="Calibri"/>
                <w:color w:val="000000"/>
                <w:szCs w:val="16"/>
                <w:lang w:eastAsia="en-AU"/>
              </w:rPr>
            </w:pPr>
            <w:r w:rsidRPr="00AC137D">
              <w:rPr>
                <w:rFonts w:eastAsiaTheme="minorEastAsia" w:cs="Calibri"/>
                <w:color w:val="000000"/>
                <w:szCs w:val="16"/>
                <w:lang w:eastAsia="en-AU"/>
              </w:rPr>
              <w:t>Grants for specific purposes</w:t>
            </w:r>
          </w:p>
        </w:tc>
        <w:tc>
          <w:tcPr>
            <w:tcW w:w="850" w:type="dxa"/>
            <w:tcBorders>
              <w:top w:val="nil"/>
              <w:left w:val="nil"/>
              <w:bottom w:val="single" w:sz="6" w:space="0" w:color="000000"/>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AC137D">
              <w:rPr>
                <w:rFonts w:eastAsiaTheme="minorEastAsia" w:cs="Arial"/>
                <w:color w:val="000000"/>
                <w:szCs w:val="18"/>
                <w:lang w:eastAsia="en-AU"/>
              </w:rPr>
              <w:t>10 503</w:t>
            </w:r>
          </w:p>
        </w:tc>
        <w:tc>
          <w:tcPr>
            <w:tcW w:w="850" w:type="dxa"/>
            <w:tcBorders>
              <w:top w:val="nil"/>
              <w:left w:val="nil"/>
              <w:bottom w:val="single" w:sz="6" w:space="0" w:color="000000"/>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AC137D">
              <w:rPr>
                <w:rFonts w:eastAsiaTheme="minorEastAsia" w:cs="Arial"/>
                <w:color w:val="000000"/>
                <w:szCs w:val="18"/>
                <w:lang w:eastAsia="en-AU"/>
              </w:rPr>
              <w:t>10 543</w:t>
            </w:r>
          </w:p>
        </w:tc>
        <w:tc>
          <w:tcPr>
            <w:tcW w:w="850" w:type="dxa"/>
            <w:tcBorders>
              <w:top w:val="nil"/>
              <w:left w:val="nil"/>
              <w:bottom w:val="single" w:sz="6" w:space="0" w:color="000000"/>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AC137D">
              <w:rPr>
                <w:rFonts w:eastAsiaTheme="minorEastAsia" w:cs="Arial"/>
                <w:color w:val="000000"/>
                <w:szCs w:val="18"/>
                <w:lang w:eastAsia="en-AU"/>
              </w:rPr>
              <w:t>11 404</w:t>
            </w:r>
          </w:p>
        </w:tc>
        <w:tc>
          <w:tcPr>
            <w:tcW w:w="850" w:type="dxa"/>
            <w:tcBorders>
              <w:top w:val="nil"/>
              <w:left w:val="nil"/>
              <w:bottom w:val="single" w:sz="6" w:space="0" w:color="000000"/>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AC137D">
              <w:rPr>
                <w:rFonts w:eastAsiaTheme="minorEastAsia" w:cs="Arial"/>
                <w:color w:val="000000"/>
                <w:szCs w:val="18"/>
                <w:lang w:eastAsia="en-AU"/>
              </w:rPr>
              <w:t>10 321</w:t>
            </w:r>
          </w:p>
        </w:tc>
        <w:tc>
          <w:tcPr>
            <w:tcW w:w="850" w:type="dxa"/>
            <w:tcBorders>
              <w:top w:val="nil"/>
              <w:left w:val="nil"/>
              <w:bottom w:val="single" w:sz="6" w:space="0" w:color="000000"/>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AC137D">
              <w:rPr>
                <w:rFonts w:eastAsiaTheme="minorEastAsia" w:cs="Arial"/>
                <w:color w:val="000000"/>
                <w:szCs w:val="18"/>
                <w:lang w:eastAsia="en-AU"/>
              </w:rPr>
              <w:t>10 330</w:t>
            </w:r>
          </w:p>
        </w:tc>
      </w:tr>
      <w:tr w:rsidR="00A46DCA" w:rsidRPr="00AC137D" w:rsidTr="00A26D04">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A46DCA" w:rsidRPr="00AC137D" w:rsidRDefault="00A46DCA" w:rsidP="00A26D04">
            <w:pPr>
              <w:keepLines w:val="0"/>
              <w:autoSpaceDE w:val="0"/>
              <w:autoSpaceDN w:val="0"/>
              <w:adjustRightInd w:val="0"/>
              <w:rPr>
                <w:rFonts w:eastAsiaTheme="minorEastAsia" w:cs="Calibri"/>
                <w:b/>
                <w:bCs/>
                <w:color w:val="000000"/>
                <w:szCs w:val="16"/>
                <w:lang w:eastAsia="en-AU"/>
              </w:rPr>
            </w:pPr>
            <w:r w:rsidRPr="00AC137D">
              <w:rPr>
                <w:rFonts w:eastAsiaTheme="minorEastAsia" w:cs="Calibri"/>
                <w:b/>
                <w:bCs/>
                <w:color w:val="000000"/>
                <w:szCs w:val="16"/>
                <w:lang w:eastAsia="en-AU"/>
              </w:rPr>
              <w:t>Total</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sidRPr="00AC137D">
              <w:rPr>
                <w:rFonts w:eastAsiaTheme="minorEastAsia" w:cs="Arial"/>
                <w:b/>
                <w:bCs/>
                <w:color w:val="000000"/>
                <w:szCs w:val="18"/>
                <w:lang w:eastAsia="en-AU"/>
              </w:rPr>
              <w:t>29 004</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sidRPr="00AC137D">
              <w:rPr>
                <w:rFonts w:eastAsiaTheme="minorEastAsia" w:cs="Arial"/>
                <w:b/>
                <w:bCs/>
                <w:color w:val="000000"/>
                <w:szCs w:val="18"/>
                <w:lang w:eastAsia="en-AU"/>
              </w:rPr>
              <w:t>29 418</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sidRPr="00AC137D">
              <w:rPr>
                <w:rFonts w:eastAsiaTheme="minorEastAsia" w:cs="Arial"/>
                <w:b/>
                <w:bCs/>
                <w:color w:val="000000"/>
                <w:szCs w:val="18"/>
                <w:lang w:eastAsia="en-AU"/>
              </w:rPr>
              <w:t>31 526</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sidRPr="00AC137D">
              <w:rPr>
                <w:rFonts w:eastAsiaTheme="minorEastAsia" w:cs="Arial"/>
                <w:b/>
                <w:bCs/>
                <w:color w:val="000000"/>
                <w:szCs w:val="18"/>
                <w:lang w:eastAsia="en-AU"/>
              </w:rPr>
              <w:t>31 457</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sidRPr="00AC137D">
              <w:rPr>
                <w:rFonts w:eastAsiaTheme="minorEastAsia" w:cs="Arial"/>
                <w:b/>
                <w:bCs/>
                <w:color w:val="000000"/>
                <w:szCs w:val="18"/>
                <w:lang w:eastAsia="en-AU"/>
              </w:rPr>
              <w:t>32 727</w:t>
            </w:r>
          </w:p>
        </w:tc>
      </w:tr>
      <w:tr w:rsidR="00A46DCA" w:rsidRPr="00AC137D" w:rsidTr="00A26D04">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A46DCA" w:rsidRPr="00AC137D" w:rsidRDefault="00A46DCA" w:rsidP="00A26D04">
            <w:pPr>
              <w:keepLines w:val="0"/>
              <w:autoSpaceDE w:val="0"/>
              <w:autoSpaceDN w:val="0"/>
              <w:adjustRightInd w:val="0"/>
              <w:rPr>
                <w:rFonts w:eastAsiaTheme="minorEastAsia" w:cs="Calibri"/>
                <w:color w:val="000000"/>
                <w:szCs w:val="16"/>
                <w:vertAlign w:val="superscript"/>
                <w:lang w:eastAsia="en-AU"/>
              </w:rPr>
            </w:pPr>
            <w:r w:rsidRPr="00AC137D">
              <w:rPr>
                <w:rFonts w:eastAsiaTheme="minorEastAsia" w:cs="Calibri"/>
                <w:color w:val="000000"/>
                <w:szCs w:val="16"/>
                <w:lang w:eastAsia="en-AU"/>
              </w:rPr>
              <w:t xml:space="preserve">Other contributions and grants </w:t>
            </w:r>
            <w:r w:rsidRPr="00AC137D">
              <w:rPr>
                <w:rFonts w:eastAsiaTheme="minorEastAsia" w:cs="Calibri"/>
                <w:color w:val="000000"/>
                <w:szCs w:val="16"/>
                <w:vertAlign w:val="superscript"/>
                <w:lang w:eastAsia="en-AU"/>
              </w:rPr>
              <w:t>(a)</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814</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804</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689</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732</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685</w:t>
            </w:r>
          </w:p>
        </w:tc>
      </w:tr>
      <w:tr w:rsidR="00A46DCA" w:rsidRPr="00AC137D" w:rsidTr="00A26D04">
        <w:tc>
          <w:tcPr>
            <w:cnfStyle w:val="001000000000" w:firstRow="0" w:lastRow="0" w:firstColumn="1" w:lastColumn="0" w:oddVBand="0" w:evenVBand="0" w:oddHBand="0" w:evenHBand="0" w:firstRowFirstColumn="0" w:firstRowLastColumn="0" w:lastRowFirstColumn="0" w:lastRowLastColumn="0"/>
            <w:tcW w:w="3515" w:type="dxa"/>
            <w:tcBorders>
              <w:top w:val="single" w:sz="6" w:space="0" w:color="000000"/>
              <w:left w:val="nil"/>
              <w:bottom w:val="single" w:sz="12" w:space="0" w:color="000000"/>
              <w:right w:val="nil"/>
            </w:tcBorders>
          </w:tcPr>
          <w:p w:rsidR="00A46DCA" w:rsidRPr="00AC137D" w:rsidRDefault="00A46DCA" w:rsidP="00A26D04">
            <w:pPr>
              <w:keepLines w:val="0"/>
              <w:autoSpaceDE w:val="0"/>
              <w:autoSpaceDN w:val="0"/>
              <w:adjustRightInd w:val="0"/>
              <w:rPr>
                <w:rFonts w:eastAsiaTheme="minorEastAsia" w:cs="Calibri"/>
                <w:b/>
                <w:bCs/>
                <w:color w:val="000000"/>
                <w:szCs w:val="16"/>
                <w:lang w:eastAsia="en-AU"/>
              </w:rPr>
            </w:pPr>
            <w:r w:rsidRPr="00AC137D">
              <w:rPr>
                <w:rFonts w:eastAsiaTheme="minorEastAsia" w:cs="Calibri"/>
                <w:b/>
                <w:bCs/>
                <w:color w:val="000000"/>
                <w:szCs w:val="16"/>
                <w:lang w:eastAsia="en-AU"/>
              </w:rPr>
              <w:t>Total grant revenue</w:t>
            </w:r>
          </w:p>
        </w:tc>
        <w:tc>
          <w:tcPr>
            <w:tcW w:w="850" w:type="dxa"/>
            <w:tcBorders>
              <w:top w:val="single" w:sz="6" w:space="0" w:color="000000"/>
              <w:left w:val="nil"/>
              <w:bottom w:val="single" w:sz="12" w:space="0" w:color="000000"/>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sidRPr="00AC137D">
              <w:rPr>
                <w:rFonts w:eastAsiaTheme="minorEastAsia" w:cs="Arial"/>
                <w:b/>
                <w:bCs/>
                <w:color w:val="000000"/>
                <w:szCs w:val="18"/>
                <w:lang w:eastAsia="en-AU"/>
              </w:rPr>
              <w:t>29 818</w:t>
            </w:r>
          </w:p>
        </w:tc>
        <w:tc>
          <w:tcPr>
            <w:tcW w:w="850" w:type="dxa"/>
            <w:tcBorders>
              <w:top w:val="single" w:sz="6" w:space="0" w:color="000000"/>
              <w:left w:val="nil"/>
              <w:bottom w:val="single" w:sz="12" w:space="0" w:color="000000"/>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sidRPr="00AC137D">
              <w:rPr>
                <w:rFonts w:eastAsiaTheme="minorEastAsia" w:cs="Arial"/>
                <w:b/>
                <w:bCs/>
                <w:color w:val="000000"/>
                <w:szCs w:val="18"/>
                <w:lang w:eastAsia="en-AU"/>
              </w:rPr>
              <w:t>30 221</w:t>
            </w:r>
          </w:p>
        </w:tc>
        <w:tc>
          <w:tcPr>
            <w:tcW w:w="850" w:type="dxa"/>
            <w:tcBorders>
              <w:top w:val="single" w:sz="6" w:space="0" w:color="000000"/>
              <w:left w:val="nil"/>
              <w:bottom w:val="single" w:sz="12" w:space="0" w:color="000000"/>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sidRPr="00AC137D">
              <w:rPr>
                <w:rFonts w:eastAsiaTheme="minorEastAsia" w:cs="Arial"/>
                <w:b/>
                <w:bCs/>
                <w:color w:val="000000"/>
                <w:szCs w:val="18"/>
                <w:lang w:eastAsia="en-AU"/>
              </w:rPr>
              <w:t>32 216</w:t>
            </w:r>
          </w:p>
        </w:tc>
        <w:tc>
          <w:tcPr>
            <w:tcW w:w="850" w:type="dxa"/>
            <w:tcBorders>
              <w:top w:val="single" w:sz="6" w:space="0" w:color="000000"/>
              <w:left w:val="nil"/>
              <w:bottom w:val="single" w:sz="12" w:space="0" w:color="000000"/>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sidRPr="00AC137D">
              <w:rPr>
                <w:rFonts w:eastAsiaTheme="minorEastAsia" w:cs="Arial"/>
                <w:b/>
                <w:bCs/>
                <w:color w:val="000000"/>
                <w:szCs w:val="18"/>
                <w:lang w:eastAsia="en-AU"/>
              </w:rPr>
              <w:t>32 190</w:t>
            </w:r>
          </w:p>
        </w:tc>
        <w:tc>
          <w:tcPr>
            <w:tcW w:w="850" w:type="dxa"/>
            <w:tcBorders>
              <w:top w:val="single" w:sz="6" w:space="0" w:color="000000"/>
              <w:left w:val="nil"/>
              <w:bottom w:val="single" w:sz="12" w:space="0" w:color="000000"/>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sidRPr="00AC137D">
              <w:rPr>
                <w:rFonts w:eastAsiaTheme="minorEastAsia" w:cs="Arial"/>
                <w:b/>
                <w:bCs/>
                <w:color w:val="000000"/>
                <w:szCs w:val="18"/>
                <w:lang w:eastAsia="en-AU"/>
              </w:rPr>
              <w:t>33 413</w:t>
            </w:r>
          </w:p>
        </w:tc>
      </w:tr>
    </w:tbl>
    <w:p w:rsidR="00A46DCA" w:rsidRDefault="00A46DCA" w:rsidP="00A26D04">
      <w:pPr>
        <w:pStyle w:val="Source"/>
      </w:pPr>
      <w:r>
        <w:t>S</w:t>
      </w:r>
      <w:r w:rsidRPr="00D87D22">
        <w:t>ource: Department of Treasury and Finance</w:t>
      </w:r>
    </w:p>
    <w:p w:rsidR="00A46DCA" w:rsidRDefault="00A46DCA" w:rsidP="00A26D04">
      <w:pPr>
        <w:pStyle w:val="Note"/>
      </w:pPr>
      <w:r w:rsidRPr="00D87D22">
        <w:t>Note:</w:t>
      </w:r>
    </w:p>
    <w:p w:rsidR="00A46DCA" w:rsidRDefault="00A46DCA" w:rsidP="00A26D04">
      <w:pPr>
        <w:pStyle w:val="Note"/>
      </w:pPr>
      <w:r>
        <w:t>(a)</w:t>
      </w:r>
      <w:r>
        <w:tab/>
        <w:t>Includes contributions from other sectors.</w:t>
      </w:r>
    </w:p>
    <w:p w:rsidR="00A46DCA" w:rsidRDefault="00A46DCA" w:rsidP="00A26D04"/>
    <w:p w:rsidR="00A46DCA" w:rsidRPr="00AC137D" w:rsidRDefault="00A46DCA" w:rsidP="00A26D04">
      <w:pPr>
        <w:pStyle w:val="Heading3"/>
        <w:numPr>
          <w:ilvl w:val="2"/>
          <w:numId w:val="19"/>
        </w:numPr>
        <w:tabs>
          <w:tab w:val="clear" w:pos="9582"/>
          <w:tab w:val="left" w:pos="850"/>
          <w:tab w:val="right" w:pos="7711"/>
        </w:tabs>
        <w:spacing w:after="60"/>
        <w:rPr>
          <w:lang w:val="en-US"/>
        </w:rPr>
      </w:pPr>
      <w:bookmarkStart w:id="31" w:name="_Toc496606538"/>
      <w:r w:rsidRPr="008C4F9A">
        <w:t>Other revenue</w:t>
      </w:r>
      <w:r w:rsidRPr="008C4F9A">
        <w:tab/>
        <w:t>($ million)</w:t>
      </w:r>
      <w:bookmarkEnd w:id="31"/>
    </w:p>
    <w:tbl>
      <w:tblPr>
        <w:tblStyle w:val="DTFTable"/>
        <w:tblW w:w="7767" w:type="dxa"/>
        <w:tblInd w:w="45" w:type="dxa"/>
        <w:tblLayout w:type="fixed"/>
        <w:tblCellMar>
          <w:left w:w="45" w:type="dxa"/>
          <w:right w:w="45" w:type="dxa"/>
        </w:tblCellMar>
        <w:tblLook w:val="06A0" w:firstRow="1" w:lastRow="0" w:firstColumn="1" w:lastColumn="0" w:noHBand="1" w:noVBand="1"/>
      </w:tblPr>
      <w:tblGrid>
        <w:gridCol w:w="3657"/>
        <w:gridCol w:w="811"/>
        <w:gridCol w:w="839"/>
        <w:gridCol w:w="811"/>
        <w:gridCol w:w="799"/>
        <w:gridCol w:w="850"/>
      </w:tblGrid>
      <w:tr w:rsidR="00A26D04" w:rsidRPr="00AC137D" w:rsidTr="002677DA">
        <w:trPr>
          <w:cnfStyle w:val="100000000000" w:firstRow="1" w:lastRow="0" w:firstColumn="0" w:lastColumn="0" w:oddVBand="0" w:evenVBand="0" w:oddHBand="0" w:evenHBand="0" w:firstRowFirstColumn="0" w:firstRowLastColumn="0" w:lastRowFirstColumn="0" w:lastRowLastColumn="0"/>
          <w:trHeight w:val="70"/>
          <w:tblHeader/>
        </w:trPr>
        <w:tc>
          <w:tcPr>
            <w:cnfStyle w:val="001000000000" w:firstRow="0" w:lastRow="0" w:firstColumn="1" w:lastColumn="0" w:oddVBand="0" w:evenVBand="0" w:oddHBand="0" w:evenHBand="0" w:firstRowFirstColumn="0" w:firstRowLastColumn="0" w:lastRowFirstColumn="0" w:lastRowLastColumn="0"/>
            <w:tcW w:w="3657" w:type="dxa"/>
            <w:tcBorders>
              <w:top w:val="nil"/>
              <w:left w:val="nil"/>
              <w:right w:val="nil"/>
            </w:tcBorders>
            <w:shd w:val="solid" w:color="000000" w:fill="auto"/>
          </w:tcPr>
          <w:p w:rsidR="00A26D04" w:rsidRPr="00AC137D" w:rsidRDefault="00A26D04" w:rsidP="00A26D04">
            <w:pPr>
              <w:autoSpaceDE w:val="0"/>
              <w:autoSpaceDN w:val="0"/>
              <w:adjustRightInd w:val="0"/>
              <w:rPr>
                <w:rFonts w:eastAsiaTheme="minorEastAsia" w:cs="Calibri"/>
                <w:iCs/>
                <w:color w:val="FFFFFF"/>
                <w:lang w:eastAsia="en-AU"/>
              </w:rPr>
            </w:pPr>
            <w:r w:rsidRPr="00AC137D">
              <w:rPr>
                <w:rFonts w:eastAsiaTheme="minorEastAsia" w:cs="Calibri"/>
                <w:iCs/>
                <w:color w:val="FFFFFF"/>
                <w:lang w:eastAsia="en-AU"/>
              </w:rPr>
              <w:t xml:space="preserve">  </w:t>
            </w:r>
          </w:p>
        </w:tc>
        <w:tc>
          <w:tcPr>
            <w:tcW w:w="811" w:type="dxa"/>
            <w:tcBorders>
              <w:top w:val="nil"/>
              <w:left w:val="nil"/>
              <w:right w:val="nil"/>
            </w:tcBorders>
            <w:shd w:val="solid" w:color="000000" w:fill="auto"/>
          </w:tcPr>
          <w:p w:rsidR="00A26D04" w:rsidRPr="00AC137D" w:rsidRDefault="00A26D04" w:rsidP="00A26D0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AC137D">
              <w:rPr>
                <w:rFonts w:eastAsiaTheme="minorEastAsia" w:cs="Calibri"/>
                <w:iCs/>
                <w:color w:val="FFFFFF"/>
                <w:szCs w:val="16"/>
                <w:lang w:eastAsia="en-AU"/>
              </w:rPr>
              <w:t>2017-18</w:t>
            </w:r>
            <w:r>
              <w:rPr>
                <w:rFonts w:eastAsiaTheme="minorEastAsia" w:cs="Calibri"/>
                <w:iCs/>
                <w:color w:val="FFFFFF"/>
                <w:szCs w:val="16"/>
                <w:lang w:eastAsia="en-AU"/>
              </w:rPr>
              <w:br/>
            </w:r>
            <w:r w:rsidRPr="00AC137D">
              <w:rPr>
                <w:rFonts w:eastAsiaTheme="minorEastAsia" w:cs="Calibri"/>
                <w:iCs/>
                <w:color w:val="FFFFFF"/>
                <w:szCs w:val="16"/>
                <w:lang w:eastAsia="en-AU"/>
              </w:rPr>
              <w:t>budget</w:t>
            </w:r>
          </w:p>
        </w:tc>
        <w:tc>
          <w:tcPr>
            <w:tcW w:w="839" w:type="dxa"/>
            <w:tcBorders>
              <w:top w:val="nil"/>
              <w:left w:val="nil"/>
              <w:right w:val="nil"/>
            </w:tcBorders>
            <w:shd w:val="solid" w:color="000000" w:fill="auto"/>
          </w:tcPr>
          <w:p w:rsidR="00A26D04" w:rsidRPr="00AC137D" w:rsidRDefault="00A26D04" w:rsidP="00A26D0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AC137D">
              <w:rPr>
                <w:rFonts w:eastAsiaTheme="minorEastAsia" w:cs="Calibri"/>
                <w:iCs/>
                <w:color w:val="FFFFFF"/>
                <w:szCs w:val="16"/>
                <w:lang w:eastAsia="en-AU"/>
              </w:rPr>
              <w:t>2017-18</w:t>
            </w:r>
            <w:r>
              <w:rPr>
                <w:rFonts w:eastAsiaTheme="minorEastAsia" w:cs="Calibri"/>
                <w:iCs/>
                <w:color w:val="FFFFFF"/>
                <w:szCs w:val="16"/>
                <w:lang w:eastAsia="en-AU"/>
              </w:rPr>
              <w:br/>
            </w:r>
            <w:r w:rsidRPr="00AC137D">
              <w:rPr>
                <w:rFonts w:eastAsiaTheme="minorEastAsia" w:cs="Calibri"/>
                <w:iCs/>
                <w:color w:val="FFFFFF"/>
                <w:szCs w:val="16"/>
                <w:lang w:eastAsia="en-AU"/>
              </w:rPr>
              <w:t>revised</w:t>
            </w:r>
          </w:p>
        </w:tc>
        <w:tc>
          <w:tcPr>
            <w:tcW w:w="811" w:type="dxa"/>
            <w:tcBorders>
              <w:top w:val="nil"/>
              <w:left w:val="nil"/>
              <w:right w:val="nil"/>
            </w:tcBorders>
            <w:shd w:val="solid" w:color="000000" w:fill="auto"/>
          </w:tcPr>
          <w:p w:rsidR="00A26D04" w:rsidRPr="00AC137D" w:rsidRDefault="00A26D04" w:rsidP="00A26D0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AC137D">
              <w:rPr>
                <w:rFonts w:eastAsiaTheme="minorEastAsia" w:cs="Calibri"/>
                <w:iCs/>
                <w:color w:val="FFFFFF"/>
                <w:szCs w:val="16"/>
                <w:lang w:eastAsia="en-AU"/>
              </w:rPr>
              <w:t>2018-19</w:t>
            </w:r>
            <w:r>
              <w:rPr>
                <w:rFonts w:eastAsiaTheme="minorEastAsia" w:cs="Calibri"/>
                <w:iCs/>
                <w:color w:val="FFFFFF"/>
                <w:szCs w:val="16"/>
                <w:lang w:eastAsia="en-AU"/>
              </w:rPr>
              <w:br/>
            </w:r>
            <w:r w:rsidRPr="00AC137D">
              <w:rPr>
                <w:rFonts w:eastAsiaTheme="minorEastAsia" w:cs="Calibri"/>
                <w:iCs/>
                <w:color w:val="FFFFFF"/>
                <w:szCs w:val="16"/>
                <w:lang w:eastAsia="en-AU"/>
              </w:rPr>
              <w:t>estimate</w:t>
            </w:r>
          </w:p>
        </w:tc>
        <w:tc>
          <w:tcPr>
            <w:tcW w:w="799" w:type="dxa"/>
            <w:tcBorders>
              <w:top w:val="nil"/>
              <w:left w:val="nil"/>
              <w:right w:val="nil"/>
            </w:tcBorders>
            <w:shd w:val="solid" w:color="000000" w:fill="auto"/>
          </w:tcPr>
          <w:p w:rsidR="00A26D04" w:rsidRPr="00AC137D" w:rsidRDefault="00A26D04" w:rsidP="00A26D0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AC137D">
              <w:rPr>
                <w:rFonts w:eastAsiaTheme="minorEastAsia" w:cs="Calibri"/>
                <w:iCs/>
                <w:color w:val="FFFFFF"/>
                <w:szCs w:val="16"/>
                <w:lang w:eastAsia="en-AU"/>
              </w:rPr>
              <w:t>2019-20</w:t>
            </w:r>
            <w:r>
              <w:rPr>
                <w:rFonts w:eastAsiaTheme="minorEastAsia" w:cs="Calibri"/>
                <w:iCs/>
                <w:color w:val="FFFFFF"/>
                <w:szCs w:val="16"/>
                <w:lang w:eastAsia="en-AU"/>
              </w:rPr>
              <w:br/>
            </w:r>
            <w:r w:rsidRPr="00AC137D">
              <w:rPr>
                <w:rFonts w:eastAsiaTheme="minorEastAsia" w:cs="Calibri"/>
                <w:iCs/>
                <w:color w:val="FFFFFF"/>
                <w:szCs w:val="16"/>
                <w:lang w:eastAsia="en-AU"/>
              </w:rPr>
              <w:t>estimate</w:t>
            </w:r>
          </w:p>
        </w:tc>
        <w:tc>
          <w:tcPr>
            <w:tcW w:w="850" w:type="dxa"/>
            <w:tcBorders>
              <w:top w:val="nil"/>
              <w:left w:val="nil"/>
              <w:right w:val="nil"/>
            </w:tcBorders>
            <w:shd w:val="solid" w:color="000000" w:fill="auto"/>
          </w:tcPr>
          <w:p w:rsidR="00A26D04" w:rsidRPr="00AC137D" w:rsidRDefault="00A26D04" w:rsidP="00A26D0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AC137D">
              <w:rPr>
                <w:rFonts w:eastAsiaTheme="minorEastAsia" w:cs="Calibri"/>
                <w:iCs/>
                <w:color w:val="FFFFFF"/>
                <w:szCs w:val="16"/>
                <w:lang w:eastAsia="en-AU"/>
              </w:rPr>
              <w:t>2020-21</w:t>
            </w:r>
            <w:r>
              <w:rPr>
                <w:rFonts w:eastAsiaTheme="minorEastAsia" w:cs="Calibri"/>
                <w:iCs/>
                <w:color w:val="FFFFFF"/>
                <w:szCs w:val="16"/>
                <w:lang w:eastAsia="en-AU"/>
              </w:rPr>
              <w:br/>
            </w:r>
            <w:r w:rsidRPr="00AC137D">
              <w:rPr>
                <w:rFonts w:eastAsiaTheme="minorEastAsia" w:cs="Calibri"/>
                <w:iCs/>
                <w:color w:val="FFFFFF"/>
                <w:szCs w:val="16"/>
                <w:lang w:eastAsia="en-AU"/>
              </w:rPr>
              <w:t>estimate</w:t>
            </w:r>
          </w:p>
        </w:tc>
      </w:tr>
      <w:tr w:rsidR="00A46DCA" w:rsidRPr="00AC137D" w:rsidTr="00A26D04">
        <w:tc>
          <w:tcPr>
            <w:cnfStyle w:val="001000000000" w:firstRow="0" w:lastRow="0" w:firstColumn="1" w:lastColumn="0" w:oddVBand="0" w:evenVBand="0" w:oddHBand="0" w:evenHBand="0" w:firstRowFirstColumn="0" w:firstRowLastColumn="0" w:lastRowFirstColumn="0" w:lastRowLastColumn="0"/>
            <w:tcW w:w="3657" w:type="dxa"/>
            <w:tcBorders>
              <w:top w:val="nil"/>
              <w:left w:val="nil"/>
              <w:bottom w:val="nil"/>
              <w:right w:val="nil"/>
            </w:tcBorders>
          </w:tcPr>
          <w:p w:rsidR="00A46DCA" w:rsidRPr="00AC137D" w:rsidRDefault="00A46DCA" w:rsidP="00A26D04">
            <w:pPr>
              <w:keepLines w:val="0"/>
              <w:autoSpaceDE w:val="0"/>
              <w:autoSpaceDN w:val="0"/>
              <w:adjustRightInd w:val="0"/>
              <w:rPr>
                <w:rFonts w:eastAsiaTheme="minorEastAsia" w:cs="Calibri"/>
                <w:color w:val="000000"/>
                <w:szCs w:val="16"/>
                <w:lang w:eastAsia="en-AU"/>
              </w:rPr>
            </w:pPr>
            <w:r w:rsidRPr="00AC137D">
              <w:rPr>
                <w:rFonts w:eastAsiaTheme="minorEastAsia" w:cs="Calibri"/>
                <w:color w:val="000000"/>
                <w:szCs w:val="16"/>
                <w:lang w:eastAsia="en-AU"/>
              </w:rPr>
              <w:t>Fair value of assets received free of charge or for nominal consideration</w:t>
            </w:r>
          </w:p>
        </w:tc>
        <w:tc>
          <w:tcPr>
            <w:tcW w:w="811"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80</w:t>
            </w:r>
          </w:p>
        </w:tc>
        <w:tc>
          <w:tcPr>
            <w:tcW w:w="839"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81</w:t>
            </w:r>
          </w:p>
        </w:tc>
        <w:tc>
          <w:tcPr>
            <w:tcW w:w="811"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68</w:t>
            </w:r>
          </w:p>
        </w:tc>
        <w:tc>
          <w:tcPr>
            <w:tcW w:w="799"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69</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57</w:t>
            </w:r>
          </w:p>
        </w:tc>
      </w:tr>
      <w:tr w:rsidR="00A46DCA" w:rsidRPr="00AC137D" w:rsidTr="00A26D04">
        <w:tc>
          <w:tcPr>
            <w:cnfStyle w:val="001000000000" w:firstRow="0" w:lastRow="0" w:firstColumn="1" w:lastColumn="0" w:oddVBand="0" w:evenVBand="0" w:oddHBand="0" w:evenHBand="0" w:firstRowFirstColumn="0" w:firstRowLastColumn="0" w:lastRowFirstColumn="0" w:lastRowLastColumn="0"/>
            <w:tcW w:w="3657" w:type="dxa"/>
            <w:tcBorders>
              <w:top w:val="nil"/>
              <w:left w:val="nil"/>
              <w:bottom w:val="nil"/>
              <w:right w:val="nil"/>
            </w:tcBorders>
          </w:tcPr>
          <w:p w:rsidR="00A46DCA" w:rsidRPr="00AC137D" w:rsidRDefault="00A46DCA" w:rsidP="00A26D04">
            <w:pPr>
              <w:keepLines w:val="0"/>
              <w:autoSpaceDE w:val="0"/>
              <w:autoSpaceDN w:val="0"/>
              <w:adjustRightInd w:val="0"/>
              <w:rPr>
                <w:rFonts w:eastAsiaTheme="minorEastAsia" w:cs="Calibri"/>
                <w:color w:val="000000"/>
                <w:szCs w:val="16"/>
                <w:lang w:eastAsia="en-AU"/>
              </w:rPr>
            </w:pPr>
            <w:r w:rsidRPr="00AC137D">
              <w:rPr>
                <w:rFonts w:eastAsiaTheme="minorEastAsia" w:cs="Calibri"/>
                <w:color w:val="000000"/>
                <w:szCs w:val="16"/>
                <w:lang w:eastAsia="en-AU"/>
              </w:rPr>
              <w:t>Fines</w:t>
            </w:r>
          </w:p>
        </w:tc>
        <w:tc>
          <w:tcPr>
            <w:tcW w:w="811"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820</w:t>
            </w:r>
          </w:p>
        </w:tc>
        <w:tc>
          <w:tcPr>
            <w:tcW w:w="839"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821</w:t>
            </w:r>
          </w:p>
        </w:tc>
        <w:tc>
          <w:tcPr>
            <w:tcW w:w="811"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836</w:t>
            </w:r>
          </w:p>
        </w:tc>
        <w:tc>
          <w:tcPr>
            <w:tcW w:w="799"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853</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871</w:t>
            </w:r>
          </w:p>
        </w:tc>
      </w:tr>
      <w:tr w:rsidR="00A46DCA" w:rsidRPr="00AC137D" w:rsidTr="00A26D04">
        <w:tc>
          <w:tcPr>
            <w:cnfStyle w:val="001000000000" w:firstRow="0" w:lastRow="0" w:firstColumn="1" w:lastColumn="0" w:oddVBand="0" w:evenVBand="0" w:oddHBand="0" w:evenHBand="0" w:firstRowFirstColumn="0" w:firstRowLastColumn="0" w:lastRowFirstColumn="0" w:lastRowLastColumn="0"/>
            <w:tcW w:w="3657" w:type="dxa"/>
            <w:tcBorders>
              <w:top w:val="nil"/>
              <w:left w:val="nil"/>
              <w:bottom w:val="nil"/>
              <w:right w:val="nil"/>
            </w:tcBorders>
          </w:tcPr>
          <w:p w:rsidR="00A46DCA" w:rsidRPr="00AC137D" w:rsidRDefault="00A46DCA" w:rsidP="00A26D04">
            <w:pPr>
              <w:keepLines w:val="0"/>
              <w:autoSpaceDE w:val="0"/>
              <w:autoSpaceDN w:val="0"/>
              <w:adjustRightInd w:val="0"/>
              <w:rPr>
                <w:rFonts w:eastAsiaTheme="minorEastAsia" w:cs="Calibri"/>
                <w:color w:val="000000"/>
                <w:szCs w:val="16"/>
                <w:lang w:eastAsia="en-AU"/>
              </w:rPr>
            </w:pPr>
            <w:r w:rsidRPr="00AC137D">
              <w:rPr>
                <w:rFonts w:eastAsiaTheme="minorEastAsia" w:cs="Calibri"/>
                <w:color w:val="000000"/>
                <w:szCs w:val="16"/>
                <w:lang w:eastAsia="en-AU"/>
              </w:rPr>
              <w:t>Royalties</w:t>
            </w:r>
          </w:p>
        </w:tc>
        <w:tc>
          <w:tcPr>
            <w:tcW w:w="811"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95</w:t>
            </w:r>
          </w:p>
        </w:tc>
        <w:tc>
          <w:tcPr>
            <w:tcW w:w="839"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95</w:t>
            </w:r>
          </w:p>
        </w:tc>
        <w:tc>
          <w:tcPr>
            <w:tcW w:w="811"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90</w:t>
            </w:r>
          </w:p>
        </w:tc>
        <w:tc>
          <w:tcPr>
            <w:tcW w:w="799"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90</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98</w:t>
            </w:r>
          </w:p>
        </w:tc>
      </w:tr>
      <w:tr w:rsidR="00A46DCA" w:rsidRPr="00AC137D" w:rsidTr="00A26D04">
        <w:tc>
          <w:tcPr>
            <w:cnfStyle w:val="001000000000" w:firstRow="0" w:lastRow="0" w:firstColumn="1" w:lastColumn="0" w:oddVBand="0" w:evenVBand="0" w:oddHBand="0" w:evenHBand="0" w:firstRowFirstColumn="0" w:firstRowLastColumn="0" w:lastRowFirstColumn="0" w:lastRowLastColumn="0"/>
            <w:tcW w:w="3657" w:type="dxa"/>
            <w:tcBorders>
              <w:top w:val="nil"/>
              <w:left w:val="nil"/>
              <w:bottom w:val="nil"/>
              <w:right w:val="nil"/>
            </w:tcBorders>
          </w:tcPr>
          <w:p w:rsidR="00A46DCA" w:rsidRPr="00AC137D" w:rsidRDefault="00A46DCA" w:rsidP="00A26D04">
            <w:pPr>
              <w:keepLines w:val="0"/>
              <w:autoSpaceDE w:val="0"/>
              <w:autoSpaceDN w:val="0"/>
              <w:adjustRightInd w:val="0"/>
              <w:rPr>
                <w:rFonts w:eastAsiaTheme="minorEastAsia" w:cs="Calibri"/>
                <w:color w:val="000000"/>
                <w:szCs w:val="16"/>
                <w:lang w:eastAsia="en-AU"/>
              </w:rPr>
            </w:pPr>
            <w:r w:rsidRPr="00AC137D">
              <w:rPr>
                <w:rFonts w:eastAsiaTheme="minorEastAsia" w:cs="Calibri"/>
                <w:color w:val="000000"/>
                <w:szCs w:val="16"/>
                <w:lang w:eastAsia="en-AU"/>
              </w:rPr>
              <w:t>Donations and gifts</w:t>
            </w:r>
          </w:p>
        </w:tc>
        <w:tc>
          <w:tcPr>
            <w:tcW w:w="811"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248</w:t>
            </w:r>
          </w:p>
        </w:tc>
        <w:tc>
          <w:tcPr>
            <w:tcW w:w="839"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255</w:t>
            </w:r>
          </w:p>
        </w:tc>
        <w:tc>
          <w:tcPr>
            <w:tcW w:w="811"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255</w:t>
            </w:r>
          </w:p>
        </w:tc>
        <w:tc>
          <w:tcPr>
            <w:tcW w:w="799"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245</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267</w:t>
            </w:r>
          </w:p>
        </w:tc>
      </w:tr>
      <w:tr w:rsidR="00A46DCA" w:rsidRPr="00AC137D" w:rsidTr="00A26D04">
        <w:tc>
          <w:tcPr>
            <w:cnfStyle w:val="001000000000" w:firstRow="0" w:lastRow="0" w:firstColumn="1" w:lastColumn="0" w:oddVBand="0" w:evenVBand="0" w:oddHBand="0" w:evenHBand="0" w:firstRowFirstColumn="0" w:firstRowLastColumn="0" w:lastRowFirstColumn="0" w:lastRowLastColumn="0"/>
            <w:tcW w:w="3657" w:type="dxa"/>
            <w:tcBorders>
              <w:top w:val="nil"/>
              <w:left w:val="nil"/>
              <w:bottom w:val="nil"/>
              <w:right w:val="nil"/>
            </w:tcBorders>
          </w:tcPr>
          <w:p w:rsidR="00A46DCA" w:rsidRPr="00AC137D" w:rsidRDefault="00A46DCA" w:rsidP="00A26D04">
            <w:pPr>
              <w:keepLines w:val="0"/>
              <w:autoSpaceDE w:val="0"/>
              <w:autoSpaceDN w:val="0"/>
              <w:adjustRightInd w:val="0"/>
              <w:rPr>
                <w:rFonts w:eastAsiaTheme="minorEastAsia" w:cs="Calibri"/>
                <w:color w:val="000000"/>
                <w:szCs w:val="16"/>
                <w:lang w:eastAsia="en-AU"/>
              </w:rPr>
            </w:pPr>
            <w:r w:rsidRPr="00AC137D">
              <w:rPr>
                <w:rFonts w:eastAsiaTheme="minorEastAsia" w:cs="Calibri"/>
                <w:color w:val="000000"/>
                <w:szCs w:val="16"/>
                <w:lang w:eastAsia="en-AU"/>
              </w:rPr>
              <w:t>Other non-property rental</w:t>
            </w:r>
          </w:p>
        </w:tc>
        <w:tc>
          <w:tcPr>
            <w:tcW w:w="811"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21</w:t>
            </w:r>
          </w:p>
        </w:tc>
        <w:tc>
          <w:tcPr>
            <w:tcW w:w="839"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25</w:t>
            </w:r>
          </w:p>
        </w:tc>
        <w:tc>
          <w:tcPr>
            <w:tcW w:w="811"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26</w:t>
            </w:r>
          </w:p>
        </w:tc>
        <w:tc>
          <w:tcPr>
            <w:tcW w:w="799"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26</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26</w:t>
            </w:r>
          </w:p>
        </w:tc>
      </w:tr>
      <w:tr w:rsidR="00A46DCA" w:rsidRPr="00AC137D" w:rsidTr="00A26D04">
        <w:tc>
          <w:tcPr>
            <w:cnfStyle w:val="001000000000" w:firstRow="0" w:lastRow="0" w:firstColumn="1" w:lastColumn="0" w:oddVBand="0" w:evenVBand="0" w:oddHBand="0" w:evenHBand="0" w:firstRowFirstColumn="0" w:firstRowLastColumn="0" w:lastRowFirstColumn="0" w:lastRowLastColumn="0"/>
            <w:tcW w:w="3657" w:type="dxa"/>
            <w:tcBorders>
              <w:top w:val="nil"/>
              <w:left w:val="nil"/>
              <w:bottom w:val="nil"/>
              <w:right w:val="nil"/>
            </w:tcBorders>
          </w:tcPr>
          <w:p w:rsidR="00A46DCA" w:rsidRPr="00AC137D" w:rsidRDefault="00A46DCA" w:rsidP="00A26D04">
            <w:pPr>
              <w:keepLines w:val="0"/>
              <w:autoSpaceDE w:val="0"/>
              <w:autoSpaceDN w:val="0"/>
              <w:adjustRightInd w:val="0"/>
              <w:rPr>
                <w:rFonts w:eastAsiaTheme="minorEastAsia" w:cs="Calibri"/>
                <w:color w:val="000000"/>
                <w:szCs w:val="16"/>
                <w:lang w:eastAsia="en-AU"/>
              </w:rPr>
            </w:pPr>
            <w:r w:rsidRPr="00AC137D">
              <w:rPr>
                <w:rFonts w:eastAsiaTheme="minorEastAsia" w:cs="Calibri"/>
                <w:color w:val="000000"/>
                <w:szCs w:val="16"/>
                <w:lang w:eastAsia="en-AU"/>
              </w:rPr>
              <w:t>Other revenue – Education</w:t>
            </w:r>
          </w:p>
        </w:tc>
        <w:tc>
          <w:tcPr>
            <w:tcW w:w="811"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535</w:t>
            </w:r>
          </w:p>
        </w:tc>
        <w:tc>
          <w:tcPr>
            <w:tcW w:w="839"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603</w:t>
            </w:r>
          </w:p>
        </w:tc>
        <w:tc>
          <w:tcPr>
            <w:tcW w:w="811"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618</w:t>
            </w:r>
          </w:p>
        </w:tc>
        <w:tc>
          <w:tcPr>
            <w:tcW w:w="799"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634</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649</w:t>
            </w:r>
          </w:p>
        </w:tc>
      </w:tr>
      <w:tr w:rsidR="00A46DCA" w:rsidRPr="00AC137D" w:rsidTr="00A26D04">
        <w:tc>
          <w:tcPr>
            <w:cnfStyle w:val="001000000000" w:firstRow="0" w:lastRow="0" w:firstColumn="1" w:lastColumn="0" w:oddVBand="0" w:evenVBand="0" w:oddHBand="0" w:evenHBand="0" w:firstRowFirstColumn="0" w:firstRowLastColumn="0" w:lastRowFirstColumn="0" w:lastRowLastColumn="0"/>
            <w:tcW w:w="3657" w:type="dxa"/>
            <w:tcBorders>
              <w:top w:val="nil"/>
              <w:left w:val="nil"/>
              <w:bottom w:val="nil"/>
              <w:right w:val="nil"/>
            </w:tcBorders>
          </w:tcPr>
          <w:p w:rsidR="00A46DCA" w:rsidRPr="00AC137D" w:rsidRDefault="00A46DCA" w:rsidP="00A26D04">
            <w:pPr>
              <w:keepLines w:val="0"/>
              <w:autoSpaceDE w:val="0"/>
              <w:autoSpaceDN w:val="0"/>
              <w:adjustRightInd w:val="0"/>
              <w:rPr>
                <w:rFonts w:eastAsiaTheme="minorEastAsia" w:cs="Calibri"/>
                <w:color w:val="000000"/>
                <w:szCs w:val="16"/>
                <w:lang w:eastAsia="en-AU"/>
              </w:rPr>
            </w:pPr>
            <w:r w:rsidRPr="00AC137D">
              <w:rPr>
                <w:rFonts w:eastAsiaTheme="minorEastAsia" w:cs="Calibri"/>
                <w:color w:val="000000"/>
                <w:szCs w:val="16"/>
                <w:lang w:eastAsia="en-AU"/>
              </w:rPr>
              <w:t>Other revenue – Health</w:t>
            </w:r>
          </w:p>
        </w:tc>
        <w:tc>
          <w:tcPr>
            <w:tcW w:w="811"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54</w:t>
            </w:r>
          </w:p>
        </w:tc>
        <w:tc>
          <w:tcPr>
            <w:tcW w:w="839"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75</w:t>
            </w:r>
          </w:p>
        </w:tc>
        <w:tc>
          <w:tcPr>
            <w:tcW w:w="811"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79</w:t>
            </w:r>
          </w:p>
        </w:tc>
        <w:tc>
          <w:tcPr>
            <w:tcW w:w="799"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83</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87</w:t>
            </w:r>
          </w:p>
        </w:tc>
      </w:tr>
      <w:tr w:rsidR="00A46DCA" w:rsidRPr="00AC137D" w:rsidTr="00A26D04">
        <w:tc>
          <w:tcPr>
            <w:cnfStyle w:val="001000000000" w:firstRow="0" w:lastRow="0" w:firstColumn="1" w:lastColumn="0" w:oddVBand="0" w:evenVBand="0" w:oddHBand="0" w:evenHBand="0" w:firstRowFirstColumn="0" w:firstRowLastColumn="0" w:lastRowFirstColumn="0" w:lastRowLastColumn="0"/>
            <w:tcW w:w="3657" w:type="dxa"/>
            <w:tcBorders>
              <w:top w:val="nil"/>
              <w:left w:val="nil"/>
              <w:bottom w:val="nil"/>
              <w:right w:val="nil"/>
            </w:tcBorders>
          </w:tcPr>
          <w:p w:rsidR="00A46DCA" w:rsidRPr="00AC137D" w:rsidRDefault="00A46DCA" w:rsidP="00A26D04">
            <w:pPr>
              <w:keepLines w:val="0"/>
              <w:autoSpaceDE w:val="0"/>
              <w:autoSpaceDN w:val="0"/>
              <w:adjustRightInd w:val="0"/>
              <w:rPr>
                <w:rFonts w:eastAsiaTheme="minorEastAsia" w:cs="Calibri"/>
                <w:color w:val="000000"/>
                <w:szCs w:val="16"/>
                <w:lang w:eastAsia="en-AU"/>
              </w:rPr>
            </w:pPr>
            <w:r w:rsidRPr="00AC137D">
              <w:rPr>
                <w:rFonts w:eastAsiaTheme="minorEastAsia" w:cs="Calibri"/>
                <w:color w:val="000000"/>
                <w:szCs w:val="16"/>
                <w:lang w:eastAsia="en-AU"/>
              </w:rPr>
              <w:t>Other miscellaneous revenue</w:t>
            </w:r>
          </w:p>
        </w:tc>
        <w:tc>
          <w:tcPr>
            <w:tcW w:w="811"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650</w:t>
            </w:r>
          </w:p>
        </w:tc>
        <w:tc>
          <w:tcPr>
            <w:tcW w:w="839"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598</w:t>
            </w:r>
          </w:p>
        </w:tc>
        <w:tc>
          <w:tcPr>
            <w:tcW w:w="811"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715</w:t>
            </w:r>
          </w:p>
        </w:tc>
        <w:tc>
          <w:tcPr>
            <w:tcW w:w="799"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629</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632</w:t>
            </w:r>
          </w:p>
        </w:tc>
      </w:tr>
      <w:tr w:rsidR="00A46DCA" w:rsidRPr="00AC137D" w:rsidTr="00A26D04">
        <w:tc>
          <w:tcPr>
            <w:cnfStyle w:val="001000000000" w:firstRow="0" w:lastRow="0" w:firstColumn="1" w:lastColumn="0" w:oddVBand="0" w:evenVBand="0" w:oddHBand="0" w:evenHBand="0" w:firstRowFirstColumn="0" w:firstRowLastColumn="0" w:lastRowFirstColumn="0" w:lastRowLastColumn="0"/>
            <w:tcW w:w="3657" w:type="dxa"/>
            <w:tcBorders>
              <w:top w:val="single" w:sz="6" w:space="0" w:color="000000"/>
              <w:left w:val="nil"/>
              <w:bottom w:val="single" w:sz="12" w:space="0" w:color="000000"/>
              <w:right w:val="nil"/>
            </w:tcBorders>
          </w:tcPr>
          <w:p w:rsidR="00A46DCA" w:rsidRPr="00AC137D" w:rsidRDefault="00A46DCA" w:rsidP="00A26D04">
            <w:pPr>
              <w:keepLines w:val="0"/>
              <w:autoSpaceDE w:val="0"/>
              <w:autoSpaceDN w:val="0"/>
              <w:adjustRightInd w:val="0"/>
              <w:rPr>
                <w:rFonts w:eastAsiaTheme="minorEastAsia" w:cs="Calibri"/>
                <w:b/>
                <w:bCs/>
                <w:color w:val="000000"/>
                <w:szCs w:val="16"/>
                <w:lang w:eastAsia="en-AU"/>
              </w:rPr>
            </w:pPr>
            <w:r w:rsidRPr="00AC137D">
              <w:rPr>
                <w:rFonts w:eastAsiaTheme="minorEastAsia" w:cs="Calibri"/>
                <w:b/>
                <w:bCs/>
                <w:color w:val="000000"/>
                <w:szCs w:val="16"/>
                <w:lang w:eastAsia="en-AU"/>
              </w:rPr>
              <w:t>Total other revenue</w:t>
            </w:r>
          </w:p>
        </w:tc>
        <w:tc>
          <w:tcPr>
            <w:tcW w:w="811" w:type="dxa"/>
            <w:tcBorders>
              <w:top w:val="single" w:sz="6" w:space="0" w:color="000000"/>
              <w:left w:val="nil"/>
              <w:bottom w:val="single" w:sz="12" w:space="0" w:color="000000"/>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sidRPr="00AC137D">
              <w:rPr>
                <w:rFonts w:eastAsiaTheme="minorEastAsia" w:cs="Arial"/>
                <w:b/>
                <w:bCs/>
                <w:color w:val="000000"/>
                <w:szCs w:val="18"/>
                <w:lang w:eastAsia="en-AU"/>
              </w:rPr>
              <w:t>2 502</w:t>
            </w:r>
          </w:p>
        </w:tc>
        <w:tc>
          <w:tcPr>
            <w:tcW w:w="839" w:type="dxa"/>
            <w:tcBorders>
              <w:top w:val="single" w:sz="6" w:space="0" w:color="000000"/>
              <w:left w:val="nil"/>
              <w:bottom w:val="single" w:sz="12" w:space="0" w:color="000000"/>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sidRPr="00AC137D">
              <w:rPr>
                <w:rFonts w:eastAsiaTheme="minorEastAsia" w:cs="Arial"/>
                <w:b/>
                <w:bCs/>
                <w:color w:val="000000"/>
                <w:szCs w:val="18"/>
                <w:lang w:eastAsia="en-AU"/>
              </w:rPr>
              <w:t>2 554</w:t>
            </w:r>
          </w:p>
        </w:tc>
        <w:tc>
          <w:tcPr>
            <w:tcW w:w="811" w:type="dxa"/>
            <w:tcBorders>
              <w:top w:val="single" w:sz="6" w:space="0" w:color="000000"/>
              <w:left w:val="nil"/>
              <w:bottom w:val="single" w:sz="12" w:space="0" w:color="000000"/>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sidRPr="00AC137D">
              <w:rPr>
                <w:rFonts w:eastAsiaTheme="minorEastAsia" w:cs="Arial"/>
                <w:b/>
                <w:bCs/>
                <w:color w:val="000000"/>
                <w:szCs w:val="18"/>
                <w:lang w:eastAsia="en-AU"/>
              </w:rPr>
              <w:t>2 687</w:t>
            </w:r>
          </w:p>
        </w:tc>
        <w:tc>
          <w:tcPr>
            <w:tcW w:w="799" w:type="dxa"/>
            <w:tcBorders>
              <w:top w:val="single" w:sz="6" w:space="0" w:color="000000"/>
              <w:left w:val="nil"/>
              <w:bottom w:val="single" w:sz="12" w:space="0" w:color="000000"/>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sidRPr="00AC137D">
              <w:rPr>
                <w:rFonts w:eastAsiaTheme="minorEastAsia" w:cs="Arial"/>
                <w:b/>
                <w:bCs/>
                <w:color w:val="000000"/>
                <w:szCs w:val="18"/>
                <w:lang w:eastAsia="en-AU"/>
              </w:rPr>
              <w:t>2 629</w:t>
            </w:r>
          </w:p>
        </w:tc>
        <w:tc>
          <w:tcPr>
            <w:tcW w:w="850" w:type="dxa"/>
            <w:tcBorders>
              <w:top w:val="single" w:sz="6" w:space="0" w:color="000000"/>
              <w:left w:val="nil"/>
              <w:bottom w:val="single" w:sz="12" w:space="0" w:color="000000"/>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sidRPr="00AC137D">
              <w:rPr>
                <w:rFonts w:eastAsiaTheme="minorEastAsia" w:cs="Arial"/>
                <w:b/>
                <w:bCs/>
                <w:color w:val="000000"/>
                <w:szCs w:val="18"/>
                <w:lang w:eastAsia="en-AU"/>
              </w:rPr>
              <w:t>2 688</w:t>
            </w:r>
          </w:p>
        </w:tc>
      </w:tr>
    </w:tbl>
    <w:p w:rsidR="00A46DCA" w:rsidRDefault="00A46DCA" w:rsidP="00A26D04">
      <w:pPr>
        <w:pStyle w:val="Source"/>
      </w:pPr>
      <w:r w:rsidRPr="00D87D22">
        <w:t>Source: Department of Treasury and Finance</w:t>
      </w:r>
    </w:p>
    <w:bookmarkEnd w:id="27"/>
    <w:p w:rsidR="00A46DCA" w:rsidRDefault="00A46DCA" w:rsidP="00A26D04">
      <w:pPr>
        <w:pStyle w:val="Heading2"/>
        <w:pageBreakBefore/>
        <w:numPr>
          <w:ilvl w:val="1"/>
          <w:numId w:val="19"/>
        </w:numPr>
      </w:pPr>
      <w:r>
        <w:lastRenderedPageBreak/>
        <w:t>HOW FUNDS ARE SPENT</w:t>
      </w:r>
    </w:p>
    <w:p w:rsidR="00A46DCA" w:rsidRDefault="00A46DCA" w:rsidP="00A26D04">
      <w:pPr>
        <w:pStyle w:val="Heading2"/>
        <w:pageBreakBefore/>
        <w:numPr>
          <w:ilvl w:val="1"/>
          <w:numId w:val="19"/>
        </w:numPr>
        <w:sectPr w:rsidR="00A46DCA" w:rsidSect="00A26D04">
          <w:type w:val="continuous"/>
          <w:pgSz w:w="9979" w:h="14175" w:code="9"/>
          <w:pgMar w:top="851" w:right="1134" w:bottom="851" w:left="1134" w:header="624" w:footer="567" w:gutter="0"/>
          <w:cols w:sep="1" w:space="567"/>
          <w:docGrid w:linePitch="360"/>
        </w:sectPr>
      </w:pPr>
    </w:p>
    <w:p w:rsidR="00A46DCA" w:rsidRDefault="00A46DCA" w:rsidP="00A26D04">
      <w:pPr>
        <w:pStyle w:val="Heading30"/>
        <w:pBdr>
          <w:bottom w:val="single" w:sz="4" w:space="1" w:color="auto"/>
        </w:pBdr>
      </w:pPr>
      <w:r>
        <w:lastRenderedPageBreak/>
        <w:t>Introduction</w:t>
      </w:r>
    </w:p>
    <w:p w:rsidR="00A46DCA" w:rsidRDefault="00A46DCA" w:rsidP="00A26D04">
      <w:r>
        <w:t>This section details the major forecast operating expenditure for the general government sector’s operating activities (expenses from transactions) and capital or infrastructure projects during the year, as well as any related obligations.</w:t>
      </w:r>
    </w:p>
    <w:p w:rsidR="00A46DCA" w:rsidRDefault="00A46DCA" w:rsidP="00A26D04">
      <w:pPr>
        <w:pStyle w:val="Heading30"/>
        <w:pBdr>
          <w:bottom w:val="single" w:sz="4" w:space="1" w:color="auto"/>
        </w:pBdr>
      </w:pPr>
      <w:r>
        <w:br w:type="column"/>
      </w:r>
      <w:r>
        <w:lastRenderedPageBreak/>
        <w:t>Structure</w:t>
      </w:r>
    </w:p>
    <w:p w:rsidR="00A46DCA" w:rsidRDefault="00A46DCA">
      <w:pPr>
        <w:pStyle w:val="TOC9"/>
        <w:rPr>
          <w:rFonts w:eastAsiaTheme="minorEastAsia"/>
          <w:noProof/>
          <w:spacing w:val="0"/>
          <w:lang w:eastAsia="en-AU"/>
        </w:rPr>
      </w:pPr>
      <w:r>
        <w:fldChar w:fldCharType="begin"/>
      </w:r>
      <w:r>
        <w:instrText xml:space="preserve"> TOC \h \z \t "Heading 3 (#),9" \b Section_3 \* MERGEFORMAT </w:instrText>
      </w:r>
      <w:r>
        <w:fldChar w:fldCharType="separate"/>
      </w:r>
      <w:hyperlink w:anchor="_Toc496606574" w:history="1">
        <w:r w:rsidRPr="004E4A14">
          <w:rPr>
            <w:rStyle w:val="Hyperlink"/>
            <w:noProof/>
          </w:rPr>
          <w:t>4.3.1</w:t>
        </w:r>
        <w:r>
          <w:rPr>
            <w:rFonts w:eastAsiaTheme="minorEastAsia"/>
            <w:noProof/>
            <w:spacing w:val="0"/>
            <w:lang w:eastAsia="en-AU"/>
          </w:rPr>
          <w:tab/>
        </w:r>
        <w:r w:rsidRPr="004E4A14">
          <w:rPr>
            <w:rStyle w:val="Hyperlink"/>
            <w:noProof/>
          </w:rPr>
          <w:t>Employee expenses and provision for outstanding employee benefits</w:t>
        </w:r>
        <w:r>
          <w:rPr>
            <w:noProof/>
            <w:webHidden/>
          </w:rPr>
          <w:tab/>
        </w:r>
        <w:r>
          <w:rPr>
            <w:noProof/>
            <w:webHidden/>
          </w:rPr>
          <w:fldChar w:fldCharType="begin"/>
        </w:r>
        <w:r>
          <w:rPr>
            <w:noProof/>
            <w:webHidden/>
          </w:rPr>
          <w:instrText xml:space="preserve"> PAGEREF _Toc496606574 \h </w:instrText>
        </w:r>
        <w:r>
          <w:rPr>
            <w:noProof/>
            <w:webHidden/>
          </w:rPr>
        </w:r>
        <w:r>
          <w:rPr>
            <w:noProof/>
            <w:webHidden/>
          </w:rPr>
          <w:fldChar w:fldCharType="separate"/>
        </w:r>
        <w:r w:rsidR="00715FC3">
          <w:rPr>
            <w:noProof/>
            <w:webHidden/>
          </w:rPr>
          <w:t>50</w:t>
        </w:r>
        <w:r>
          <w:rPr>
            <w:noProof/>
            <w:webHidden/>
          </w:rPr>
          <w:fldChar w:fldCharType="end"/>
        </w:r>
      </w:hyperlink>
    </w:p>
    <w:p w:rsidR="00A46DCA" w:rsidRDefault="00715FC3">
      <w:pPr>
        <w:pStyle w:val="TOC9"/>
        <w:rPr>
          <w:rFonts w:eastAsiaTheme="minorEastAsia"/>
          <w:noProof/>
          <w:spacing w:val="0"/>
          <w:lang w:eastAsia="en-AU"/>
        </w:rPr>
      </w:pPr>
      <w:hyperlink w:anchor="_Toc496606575" w:history="1">
        <w:r w:rsidR="00A46DCA" w:rsidRPr="004E4A14">
          <w:rPr>
            <w:rStyle w:val="Hyperlink"/>
            <w:noProof/>
          </w:rPr>
          <w:t>4.3.2</w:t>
        </w:r>
        <w:r w:rsidR="00A46DCA">
          <w:rPr>
            <w:rFonts w:eastAsiaTheme="minorEastAsia"/>
            <w:noProof/>
            <w:spacing w:val="0"/>
            <w:lang w:eastAsia="en-AU"/>
          </w:rPr>
          <w:tab/>
        </w:r>
        <w:r w:rsidR="00A46DCA" w:rsidRPr="004E4A14">
          <w:rPr>
            <w:rStyle w:val="Hyperlink"/>
            <w:noProof/>
          </w:rPr>
          <w:t>Superannuation expense and other superannuation expenses</w:t>
        </w:r>
        <w:r w:rsidR="00A46DCA">
          <w:rPr>
            <w:noProof/>
            <w:webHidden/>
          </w:rPr>
          <w:tab/>
        </w:r>
        <w:r w:rsidR="00A46DCA">
          <w:rPr>
            <w:noProof/>
            <w:webHidden/>
          </w:rPr>
          <w:fldChar w:fldCharType="begin"/>
        </w:r>
        <w:r w:rsidR="00A46DCA">
          <w:rPr>
            <w:noProof/>
            <w:webHidden/>
          </w:rPr>
          <w:instrText xml:space="preserve"> PAGEREF _Toc496606575 \h </w:instrText>
        </w:r>
        <w:r w:rsidR="00A46DCA">
          <w:rPr>
            <w:noProof/>
            <w:webHidden/>
          </w:rPr>
        </w:r>
        <w:r w:rsidR="00A46DCA">
          <w:rPr>
            <w:noProof/>
            <w:webHidden/>
          </w:rPr>
          <w:fldChar w:fldCharType="separate"/>
        </w:r>
        <w:r>
          <w:rPr>
            <w:noProof/>
            <w:webHidden/>
          </w:rPr>
          <w:t>51</w:t>
        </w:r>
        <w:r w:rsidR="00A46DCA">
          <w:rPr>
            <w:noProof/>
            <w:webHidden/>
          </w:rPr>
          <w:fldChar w:fldCharType="end"/>
        </w:r>
      </w:hyperlink>
    </w:p>
    <w:p w:rsidR="00A46DCA" w:rsidRDefault="00715FC3">
      <w:pPr>
        <w:pStyle w:val="TOC9"/>
        <w:rPr>
          <w:rFonts w:eastAsiaTheme="minorEastAsia"/>
          <w:noProof/>
          <w:spacing w:val="0"/>
          <w:lang w:eastAsia="en-AU"/>
        </w:rPr>
      </w:pPr>
      <w:hyperlink w:anchor="_Toc496606576" w:history="1">
        <w:r w:rsidR="00A46DCA" w:rsidRPr="004E4A14">
          <w:rPr>
            <w:rStyle w:val="Hyperlink"/>
            <w:noProof/>
          </w:rPr>
          <w:t>4.3.3</w:t>
        </w:r>
        <w:r w:rsidR="00A46DCA">
          <w:rPr>
            <w:rFonts w:eastAsiaTheme="minorEastAsia"/>
            <w:noProof/>
            <w:spacing w:val="0"/>
            <w:lang w:eastAsia="en-AU"/>
          </w:rPr>
          <w:tab/>
        </w:r>
        <w:r w:rsidR="00A46DCA" w:rsidRPr="004E4A14">
          <w:rPr>
            <w:rStyle w:val="Hyperlink"/>
            <w:noProof/>
          </w:rPr>
          <w:t>Grant expense</w:t>
        </w:r>
        <w:r w:rsidR="00A46DCA">
          <w:rPr>
            <w:noProof/>
            <w:webHidden/>
          </w:rPr>
          <w:tab/>
        </w:r>
        <w:r w:rsidR="00A46DCA">
          <w:rPr>
            <w:noProof/>
            <w:webHidden/>
          </w:rPr>
          <w:fldChar w:fldCharType="begin"/>
        </w:r>
        <w:r w:rsidR="00A46DCA">
          <w:rPr>
            <w:noProof/>
            <w:webHidden/>
          </w:rPr>
          <w:instrText xml:space="preserve"> PAGEREF _Toc496606576 \h </w:instrText>
        </w:r>
        <w:r w:rsidR="00A46DCA">
          <w:rPr>
            <w:noProof/>
            <w:webHidden/>
          </w:rPr>
        </w:r>
        <w:r w:rsidR="00A46DCA">
          <w:rPr>
            <w:noProof/>
            <w:webHidden/>
          </w:rPr>
          <w:fldChar w:fldCharType="separate"/>
        </w:r>
        <w:r>
          <w:rPr>
            <w:noProof/>
            <w:webHidden/>
          </w:rPr>
          <w:t>52</w:t>
        </w:r>
        <w:r w:rsidR="00A46DCA">
          <w:rPr>
            <w:noProof/>
            <w:webHidden/>
          </w:rPr>
          <w:fldChar w:fldCharType="end"/>
        </w:r>
      </w:hyperlink>
    </w:p>
    <w:p w:rsidR="00A46DCA" w:rsidRDefault="00715FC3">
      <w:pPr>
        <w:pStyle w:val="TOC9"/>
        <w:rPr>
          <w:rFonts w:eastAsiaTheme="minorEastAsia"/>
          <w:noProof/>
          <w:spacing w:val="0"/>
          <w:lang w:eastAsia="en-AU"/>
        </w:rPr>
      </w:pPr>
      <w:hyperlink w:anchor="_Toc496606577" w:history="1">
        <w:r w:rsidR="00A46DCA" w:rsidRPr="004E4A14">
          <w:rPr>
            <w:rStyle w:val="Hyperlink"/>
            <w:noProof/>
          </w:rPr>
          <w:t>4.3.4</w:t>
        </w:r>
        <w:r w:rsidR="00A46DCA">
          <w:rPr>
            <w:rFonts w:eastAsiaTheme="minorEastAsia"/>
            <w:noProof/>
            <w:spacing w:val="0"/>
            <w:lang w:eastAsia="en-AU"/>
          </w:rPr>
          <w:tab/>
        </w:r>
        <w:r w:rsidR="00A46DCA" w:rsidRPr="004E4A14">
          <w:rPr>
            <w:rStyle w:val="Hyperlink"/>
            <w:noProof/>
          </w:rPr>
          <w:t>Other operating expenses</w:t>
        </w:r>
        <w:r w:rsidR="00A46DCA">
          <w:rPr>
            <w:noProof/>
            <w:webHidden/>
          </w:rPr>
          <w:tab/>
        </w:r>
        <w:r w:rsidR="00A46DCA">
          <w:rPr>
            <w:noProof/>
            <w:webHidden/>
          </w:rPr>
          <w:fldChar w:fldCharType="begin"/>
        </w:r>
        <w:r w:rsidR="00A46DCA">
          <w:rPr>
            <w:noProof/>
            <w:webHidden/>
          </w:rPr>
          <w:instrText xml:space="preserve"> PAGEREF _Toc496606577 \h </w:instrText>
        </w:r>
        <w:r w:rsidR="00A46DCA">
          <w:rPr>
            <w:noProof/>
            <w:webHidden/>
          </w:rPr>
        </w:r>
        <w:r w:rsidR="00A46DCA">
          <w:rPr>
            <w:noProof/>
            <w:webHidden/>
          </w:rPr>
          <w:fldChar w:fldCharType="separate"/>
        </w:r>
        <w:r>
          <w:rPr>
            <w:noProof/>
            <w:webHidden/>
          </w:rPr>
          <w:t>53</w:t>
        </w:r>
        <w:r w:rsidR="00A46DCA">
          <w:rPr>
            <w:noProof/>
            <w:webHidden/>
          </w:rPr>
          <w:fldChar w:fldCharType="end"/>
        </w:r>
      </w:hyperlink>
    </w:p>
    <w:p w:rsidR="00A46DCA" w:rsidRDefault="00715FC3">
      <w:pPr>
        <w:pStyle w:val="TOC9"/>
        <w:rPr>
          <w:rFonts w:eastAsiaTheme="minorEastAsia"/>
          <w:noProof/>
          <w:spacing w:val="0"/>
          <w:lang w:eastAsia="en-AU"/>
        </w:rPr>
      </w:pPr>
      <w:hyperlink w:anchor="_Toc496606578" w:history="1">
        <w:r w:rsidR="00A46DCA" w:rsidRPr="004E4A14">
          <w:rPr>
            <w:rStyle w:val="Hyperlink"/>
            <w:noProof/>
          </w:rPr>
          <w:t>4.3.5</w:t>
        </w:r>
        <w:r w:rsidR="00A46DCA">
          <w:rPr>
            <w:rFonts w:eastAsiaTheme="minorEastAsia"/>
            <w:noProof/>
            <w:spacing w:val="0"/>
            <w:lang w:eastAsia="en-AU"/>
          </w:rPr>
          <w:tab/>
        </w:r>
        <w:r w:rsidR="00A46DCA" w:rsidRPr="004E4A14">
          <w:rPr>
            <w:rStyle w:val="Hyperlink"/>
            <w:noProof/>
          </w:rPr>
          <w:t>Total expenses by government purpose and by portfolio department</w:t>
        </w:r>
        <w:r w:rsidR="00A46DCA">
          <w:rPr>
            <w:noProof/>
            <w:webHidden/>
          </w:rPr>
          <w:tab/>
        </w:r>
        <w:r w:rsidR="00A46DCA">
          <w:rPr>
            <w:noProof/>
            <w:webHidden/>
          </w:rPr>
          <w:fldChar w:fldCharType="begin"/>
        </w:r>
        <w:r w:rsidR="00A46DCA">
          <w:rPr>
            <w:noProof/>
            <w:webHidden/>
          </w:rPr>
          <w:instrText xml:space="preserve"> PAGEREF _Toc496606578 \h </w:instrText>
        </w:r>
        <w:r w:rsidR="00A46DCA">
          <w:rPr>
            <w:noProof/>
            <w:webHidden/>
          </w:rPr>
        </w:r>
        <w:r w:rsidR="00A46DCA">
          <w:rPr>
            <w:noProof/>
            <w:webHidden/>
          </w:rPr>
          <w:fldChar w:fldCharType="separate"/>
        </w:r>
        <w:r>
          <w:rPr>
            <w:noProof/>
            <w:webHidden/>
          </w:rPr>
          <w:t>54</w:t>
        </w:r>
        <w:r w:rsidR="00A46DCA">
          <w:rPr>
            <w:noProof/>
            <w:webHidden/>
          </w:rPr>
          <w:fldChar w:fldCharType="end"/>
        </w:r>
      </w:hyperlink>
    </w:p>
    <w:p w:rsidR="00A46DCA" w:rsidRDefault="00715FC3">
      <w:pPr>
        <w:pStyle w:val="TOC9"/>
        <w:rPr>
          <w:noProof/>
        </w:rPr>
      </w:pPr>
      <w:hyperlink w:anchor="_Toc496606579" w:history="1">
        <w:r w:rsidR="00A46DCA" w:rsidRPr="004E4A14">
          <w:rPr>
            <w:rStyle w:val="Hyperlink"/>
            <w:noProof/>
          </w:rPr>
          <w:t>4.3.6</w:t>
        </w:r>
        <w:r w:rsidR="00A46DCA">
          <w:rPr>
            <w:rFonts w:eastAsiaTheme="minorEastAsia"/>
            <w:noProof/>
            <w:spacing w:val="0"/>
            <w:lang w:eastAsia="en-AU"/>
          </w:rPr>
          <w:tab/>
        </w:r>
        <w:r w:rsidR="00A46DCA" w:rsidRPr="004E4A14">
          <w:rPr>
            <w:rStyle w:val="Hyperlink"/>
            <w:noProof/>
          </w:rPr>
          <w:t>Purchases of non-financial assets by government purpose and by portfolio department</w:t>
        </w:r>
        <w:r w:rsidR="00A46DCA">
          <w:rPr>
            <w:noProof/>
            <w:webHidden/>
          </w:rPr>
          <w:tab/>
        </w:r>
        <w:r w:rsidR="00A46DCA">
          <w:rPr>
            <w:noProof/>
            <w:webHidden/>
          </w:rPr>
          <w:fldChar w:fldCharType="begin"/>
        </w:r>
        <w:r w:rsidR="00A46DCA">
          <w:rPr>
            <w:noProof/>
            <w:webHidden/>
          </w:rPr>
          <w:instrText xml:space="preserve"> PAGEREF _Toc496606579 \h </w:instrText>
        </w:r>
        <w:r w:rsidR="00A46DCA">
          <w:rPr>
            <w:noProof/>
            <w:webHidden/>
          </w:rPr>
        </w:r>
        <w:r w:rsidR="00A46DCA">
          <w:rPr>
            <w:noProof/>
            <w:webHidden/>
          </w:rPr>
          <w:fldChar w:fldCharType="separate"/>
        </w:r>
        <w:r>
          <w:rPr>
            <w:noProof/>
            <w:webHidden/>
          </w:rPr>
          <w:t>56</w:t>
        </w:r>
        <w:r w:rsidR="00A46DCA">
          <w:rPr>
            <w:noProof/>
            <w:webHidden/>
          </w:rPr>
          <w:fldChar w:fldCharType="end"/>
        </w:r>
      </w:hyperlink>
    </w:p>
    <w:p w:rsidR="00A46DCA" w:rsidRDefault="00715FC3" w:rsidP="00A26D04">
      <w:pPr>
        <w:pStyle w:val="TOC9"/>
        <w:rPr>
          <w:lang w:val="en-US"/>
        </w:rPr>
      </w:pPr>
      <w:hyperlink w:anchor="_Toc496606579" w:history="1">
        <w:r w:rsidR="00A46DCA">
          <w:rPr>
            <w:rStyle w:val="Hyperlink"/>
            <w:noProof/>
          </w:rPr>
          <w:t>4.3.7</w:t>
        </w:r>
        <w:r w:rsidR="00A46DCA">
          <w:rPr>
            <w:rFonts w:eastAsiaTheme="minorEastAsia"/>
            <w:noProof/>
            <w:spacing w:val="0"/>
            <w:lang w:eastAsia="en-AU"/>
          </w:rPr>
          <w:tab/>
        </w:r>
        <w:r w:rsidR="00A46DCA" w:rsidRPr="004E2C98">
          <w:rPr>
            <w:rStyle w:val="Hyperlink"/>
            <w:noProof/>
          </w:rPr>
          <w:t>Net acquisition of non-financial assets from transactions</w:t>
        </w:r>
        <w:r w:rsidR="00A46DCA">
          <w:rPr>
            <w:noProof/>
            <w:webHidden/>
          </w:rPr>
          <w:tab/>
        </w:r>
        <w:r w:rsidR="00A46DCA">
          <w:rPr>
            <w:noProof/>
            <w:webHidden/>
          </w:rPr>
          <w:fldChar w:fldCharType="begin"/>
        </w:r>
        <w:r w:rsidR="00A46DCA">
          <w:rPr>
            <w:noProof/>
            <w:webHidden/>
          </w:rPr>
          <w:instrText xml:space="preserve"> PAGEREF _Toc496606579 \h </w:instrText>
        </w:r>
        <w:r w:rsidR="00A46DCA">
          <w:rPr>
            <w:noProof/>
            <w:webHidden/>
          </w:rPr>
        </w:r>
        <w:r w:rsidR="00A46DCA">
          <w:rPr>
            <w:noProof/>
            <w:webHidden/>
          </w:rPr>
          <w:fldChar w:fldCharType="separate"/>
        </w:r>
        <w:r>
          <w:rPr>
            <w:noProof/>
            <w:webHidden/>
          </w:rPr>
          <w:t>56</w:t>
        </w:r>
        <w:r w:rsidR="00A46DCA">
          <w:rPr>
            <w:noProof/>
            <w:webHidden/>
          </w:rPr>
          <w:fldChar w:fldCharType="end"/>
        </w:r>
      </w:hyperlink>
      <w:r w:rsidR="00A46DCA">
        <w:rPr>
          <w:b/>
          <w:bCs/>
          <w:noProof/>
          <w:lang w:val="en-US"/>
        </w:rPr>
        <w:fldChar w:fldCharType="end"/>
      </w:r>
    </w:p>
    <w:p w:rsidR="00A46DCA" w:rsidRPr="00CF661C" w:rsidRDefault="00A46DCA" w:rsidP="00A26D04">
      <w:pPr>
        <w:rPr>
          <w:lang w:val="en-US"/>
        </w:rPr>
        <w:sectPr w:rsidR="00A46DCA" w:rsidRPr="00CF661C" w:rsidSect="00A26D04">
          <w:type w:val="continuous"/>
          <w:pgSz w:w="9979" w:h="14175" w:code="9"/>
          <w:pgMar w:top="850" w:right="1134" w:bottom="850" w:left="1134" w:header="624" w:footer="567" w:gutter="0"/>
          <w:cols w:num="2" w:space="567"/>
          <w:docGrid w:linePitch="360"/>
        </w:sectPr>
      </w:pPr>
    </w:p>
    <w:p w:rsidR="00A46DCA" w:rsidRDefault="00A46DCA" w:rsidP="00A26D04">
      <w:pPr>
        <w:pStyle w:val="Heading3"/>
        <w:numPr>
          <w:ilvl w:val="2"/>
          <w:numId w:val="19"/>
        </w:numPr>
        <w:tabs>
          <w:tab w:val="clear" w:pos="9582"/>
          <w:tab w:val="left" w:pos="850"/>
          <w:tab w:val="right" w:pos="7711"/>
        </w:tabs>
        <w:spacing w:after="60"/>
      </w:pPr>
      <w:bookmarkStart w:id="32" w:name="_Toc496606574"/>
      <w:bookmarkStart w:id="33" w:name="Section_3"/>
      <w:r>
        <w:lastRenderedPageBreak/>
        <w:t>Employee expenses and provision for outstanding employee benefits</w:t>
      </w:r>
      <w:bookmarkEnd w:id="32"/>
    </w:p>
    <w:p w:rsidR="00A46DCA" w:rsidRDefault="00A46DCA" w:rsidP="00A26D04">
      <w:r>
        <w:t>Employee expenses and employee benefits are forecast on the basis of staffing profiles and current salaries, conditions and on costs. For the forecast period, employee expenses and employee benefits includes the expected financial impact of employing more staff to increase service delivery and approved wage outcomes, with allowance made for further adjustments and expected wages growth in line with wages policy. Employee expenses forecasts also reflect the estimated impact of expected savings and new initiatives. The majority of employee expenses in the operating statement are salaries and wages.</w:t>
      </w:r>
    </w:p>
    <w:p w:rsidR="00A46DCA" w:rsidRPr="00AC137D" w:rsidRDefault="00A46DCA" w:rsidP="00A26D04">
      <w:pPr>
        <w:pStyle w:val="TableHeading"/>
        <w:rPr>
          <w:bCs/>
          <w:lang w:val="en-US"/>
        </w:rPr>
      </w:pPr>
      <w:r>
        <w:t>Employee benefits (balance sheet)</w:t>
      </w:r>
      <w:r>
        <w:tab/>
        <w:t>($ million)</w:t>
      </w:r>
    </w:p>
    <w:tbl>
      <w:tblPr>
        <w:tblStyle w:val="DTFTable"/>
        <w:tblW w:w="7765" w:type="dxa"/>
        <w:tblInd w:w="45" w:type="dxa"/>
        <w:tblLayout w:type="fixed"/>
        <w:tblCellMar>
          <w:left w:w="45" w:type="dxa"/>
          <w:right w:w="45" w:type="dxa"/>
        </w:tblCellMar>
        <w:tblLook w:val="06A0" w:firstRow="1" w:lastRow="0" w:firstColumn="1" w:lastColumn="0" w:noHBand="1" w:noVBand="1"/>
      </w:tblPr>
      <w:tblGrid>
        <w:gridCol w:w="3515"/>
        <w:gridCol w:w="850"/>
        <w:gridCol w:w="850"/>
        <w:gridCol w:w="850"/>
        <w:gridCol w:w="850"/>
        <w:gridCol w:w="850"/>
      </w:tblGrid>
      <w:tr w:rsidR="00A26D04" w:rsidRPr="00AC137D" w:rsidTr="002677DA">
        <w:trPr>
          <w:cnfStyle w:val="100000000000" w:firstRow="1" w:lastRow="0" w:firstColumn="0" w:lastColumn="0" w:oddVBand="0" w:evenVBand="0" w:oddHBand="0" w:evenHBand="0" w:firstRowFirstColumn="0" w:firstRowLastColumn="0" w:lastRowFirstColumn="0" w:lastRowLastColumn="0"/>
          <w:trHeight w:val="70"/>
          <w:tblHeader/>
        </w:trPr>
        <w:tc>
          <w:tcPr>
            <w:cnfStyle w:val="001000000000" w:firstRow="0" w:lastRow="0" w:firstColumn="1" w:lastColumn="0" w:oddVBand="0" w:evenVBand="0" w:oddHBand="0" w:evenHBand="0" w:firstRowFirstColumn="0" w:firstRowLastColumn="0" w:lastRowFirstColumn="0" w:lastRowLastColumn="0"/>
            <w:tcW w:w="3515" w:type="dxa"/>
            <w:tcBorders>
              <w:top w:val="nil"/>
              <w:left w:val="nil"/>
              <w:right w:val="nil"/>
            </w:tcBorders>
            <w:shd w:val="solid" w:color="000000" w:fill="auto"/>
          </w:tcPr>
          <w:p w:rsidR="00A26D04" w:rsidRPr="00AC137D" w:rsidRDefault="00A26D04" w:rsidP="00A26D04">
            <w:pPr>
              <w:autoSpaceDE w:val="0"/>
              <w:autoSpaceDN w:val="0"/>
              <w:adjustRightInd w:val="0"/>
              <w:rPr>
                <w:rFonts w:eastAsiaTheme="minorEastAsia" w:cs="Calibri"/>
                <w:iCs/>
                <w:color w:val="FFFFFF"/>
                <w:lang w:eastAsia="en-AU"/>
              </w:rPr>
            </w:pPr>
            <w:r w:rsidRPr="00AC137D">
              <w:rPr>
                <w:rFonts w:eastAsiaTheme="minorEastAsia" w:cs="Calibri"/>
                <w:iCs/>
                <w:color w:val="FFFFFF"/>
                <w:lang w:eastAsia="en-AU"/>
              </w:rPr>
              <w:t xml:space="preserve">  </w:t>
            </w:r>
          </w:p>
        </w:tc>
        <w:tc>
          <w:tcPr>
            <w:tcW w:w="850" w:type="dxa"/>
            <w:tcBorders>
              <w:top w:val="nil"/>
              <w:left w:val="nil"/>
              <w:right w:val="nil"/>
            </w:tcBorders>
            <w:shd w:val="solid" w:color="000000" w:fill="auto"/>
          </w:tcPr>
          <w:p w:rsidR="00A26D04" w:rsidRPr="00AC137D" w:rsidRDefault="00A26D04" w:rsidP="00A26D0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AC137D">
              <w:rPr>
                <w:rFonts w:eastAsiaTheme="minorEastAsia" w:cs="Calibri"/>
                <w:iCs/>
                <w:color w:val="FFFFFF"/>
                <w:szCs w:val="18"/>
                <w:lang w:eastAsia="en-AU"/>
              </w:rPr>
              <w:t>2018</w:t>
            </w:r>
            <w:r>
              <w:rPr>
                <w:rFonts w:eastAsiaTheme="minorEastAsia" w:cs="Calibri"/>
                <w:iCs/>
                <w:color w:val="FFFFFF"/>
                <w:szCs w:val="18"/>
                <w:lang w:eastAsia="en-AU"/>
              </w:rPr>
              <w:br/>
            </w:r>
            <w:r w:rsidRPr="00AC137D">
              <w:rPr>
                <w:rFonts w:eastAsiaTheme="minorEastAsia" w:cs="Calibri"/>
                <w:iCs/>
                <w:color w:val="FFFFFF"/>
                <w:szCs w:val="18"/>
                <w:lang w:eastAsia="en-AU"/>
              </w:rPr>
              <w:t>budget</w:t>
            </w:r>
          </w:p>
        </w:tc>
        <w:tc>
          <w:tcPr>
            <w:tcW w:w="850" w:type="dxa"/>
            <w:tcBorders>
              <w:top w:val="nil"/>
              <w:left w:val="nil"/>
              <w:right w:val="nil"/>
            </w:tcBorders>
            <w:shd w:val="solid" w:color="000000" w:fill="auto"/>
          </w:tcPr>
          <w:p w:rsidR="00A26D04" w:rsidRPr="00AC137D" w:rsidRDefault="00A26D04" w:rsidP="00A26D0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AC137D">
              <w:rPr>
                <w:rFonts w:eastAsiaTheme="minorEastAsia" w:cs="Calibri"/>
                <w:iCs/>
                <w:color w:val="FFFFFF"/>
                <w:szCs w:val="18"/>
                <w:lang w:eastAsia="en-AU"/>
              </w:rPr>
              <w:t>2018</w:t>
            </w:r>
            <w:r>
              <w:rPr>
                <w:rFonts w:eastAsiaTheme="minorEastAsia" w:cs="Calibri"/>
                <w:iCs/>
                <w:color w:val="FFFFFF"/>
                <w:szCs w:val="18"/>
                <w:lang w:eastAsia="en-AU"/>
              </w:rPr>
              <w:br/>
            </w:r>
            <w:r w:rsidRPr="00AC137D">
              <w:rPr>
                <w:rFonts w:eastAsiaTheme="minorEastAsia" w:cs="Calibri"/>
                <w:iCs/>
                <w:color w:val="FFFFFF"/>
                <w:szCs w:val="18"/>
                <w:lang w:eastAsia="en-AU"/>
              </w:rPr>
              <w:t>revised</w:t>
            </w:r>
          </w:p>
        </w:tc>
        <w:tc>
          <w:tcPr>
            <w:tcW w:w="850" w:type="dxa"/>
            <w:tcBorders>
              <w:top w:val="nil"/>
              <w:left w:val="nil"/>
              <w:right w:val="nil"/>
            </w:tcBorders>
            <w:shd w:val="solid" w:color="000000" w:fill="auto"/>
          </w:tcPr>
          <w:p w:rsidR="00A26D04" w:rsidRPr="00AC137D" w:rsidRDefault="00A26D04" w:rsidP="00A26D0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AC137D">
              <w:rPr>
                <w:rFonts w:eastAsiaTheme="minorEastAsia" w:cs="Calibri"/>
                <w:iCs/>
                <w:color w:val="FFFFFF"/>
                <w:szCs w:val="18"/>
                <w:lang w:eastAsia="en-AU"/>
              </w:rPr>
              <w:t>2019</w:t>
            </w:r>
            <w:r>
              <w:rPr>
                <w:rFonts w:eastAsiaTheme="minorEastAsia" w:cs="Calibri"/>
                <w:iCs/>
                <w:color w:val="FFFFFF"/>
                <w:szCs w:val="18"/>
                <w:lang w:eastAsia="en-AU"/>
              </w:rPr>
              <w:br/>
            </w:r>
            <w:r w:rsidRPr="00AC137D">
              <w:rPr>
                <w:rFonts w:eastAsiaTheme="minorEastAsia" w:cs="Calibri"/>
                <w:iCs/>
                <w:color w:val="FFFFFF"/>
                <w:szCs w:val="18"/>
                <w:lang w:eastAsia="en-AU"/>
              </w:rPr>
              <w:t>estimate</w:t>
            </w:r>
          </w:p>
        </w:tc>
        <w:tc>
          <w:tcPr>
            <w:tcW w:w="850" w:type="dxa"/>
            <w:tcBorders>
              <w:top w:val="nil"/>
              <w:left w:val="nil"/>
              <w:right w:val="nil"/>
            </w:tcBorders>
            <w:shd w:val="solid" w:color="000000" w:fill="auto"/>
          </w:tcPr>
          <w:p w:rsidR="00A26D04" w:rsidRPr="00AC137D" w:rsidRDefault="00A26D04" w:rsidP="00A26D0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AC137D">
              <w:rPr>
                <w:rFonts w:eastAsiaTheme="minorEastAsia" w:cs="Calibri"/>
                <w:iCs/>
                <w:color w:val="FFFFFF"/>
                <w:szCs w:val="18"/>
                <w:lang w:eastAsia="en-AU"/>
              </w:rPr>
              <w:t>2020</w:t>
            </w:r>
            <w:r>
              <w:rPr>
                <w:rFonts w:eastAsiaTheme="minorEastAsia" w:cs="Calibri"/>
                <w:iCs/>
                <w:color w:val="FFFFFF"/>
                <w:szCs w:val="18"/>
                <w:lang w:eastAsia="en-AU"/>
              </w:rPr>
              <w:br/>
            </w:r>
            <w:r w:rsidRPr="00AC137D">
              <w:rPr>
                <w:rFonts w:eastAsiaTheme="minorEastAsia" w:cs="Calibri"/>
                <w:iCs/>
                <w:color w:val="FFFFFF"/>
                <w:szCs w:val="18"/>
                <w:lang w:eastAsia="en-AU"/>
              </w:rPr>
              <w:t>estimate</w:t>
            </w:r>
          </w:p>
        </w:tc>
        <w:tc>
          <w:tcPr>
            <w:tcW w:w="850" w:type="dxa"/>
            <w:tcBorders>
              <w:top w:val="nil"/>
              <w:left w:val="nil"/>
              <w:right w:val="nil"/>
            </w:tcBorders>
            <w:shd w:val="solid" w:color="000000" w:fill="auto"/>
          </w:tcPr>
          <w:p w:rsidR="00A26D04" w:rsidRPr="00AC137D" w:rsidRDefault="00A26D04" w:rsidP="00A26D0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AC137D">
              <w:rPr>
                <w:rFonts w:eastAsiaTheme="minorEastAsia" w:cs="Calibri"/>
                <w:iCs/>
                <w:color w:val="FFFFFF"/>
                <w:szCs w:val="18"/>
                <w:lang w:eastAsia="en-AU"/>
              </w:rPr>
              <w:t>2021</w:t>
            </w:r>
            <w:r>
              <w:rPr>
                <w:rFonts w:eastAsiaTheme="minorEastAsia" w:cs="Calibri"/>
                <w:iCs/>
                <w:color w:val="FFFFFF"/>
                <w:szCs w:val="18"/>
                <w:lang w:eastAsia="en-AU"/>
              </w:rPr>
              <w:br/>
            </w:r>
            <w:r w:rsidRPr="00AC137D">
              <w:rPr>
                <w:rFonts w:eastAsiaTheme="minorEastAsia" w:cs="Calibri"/>
                <w:iCs/>
                <w:color w:val="FFFFFF"/>
                <w:szCs w:val="18"/>
                <w:lang w:eastAsia="en-AU"/>
              </w:rPr>
              <w:t>estimate</w:t>
            </w:r>
          </w:p>
        </w:tc>
      </w:tr>
      <w:tr w:rsidR="00A46DCA" w:rsidRPr="00AC137D" w:rsidTr="00A26D04">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A46DCA" w:rsidRPr="00AC137D" w:rsidRDefault="00A46DCA" w:rsidP="00A26D04">
            <w:pPr>
              <w:keepLines w:val="0"/>
              <w:autoSpaceDE w:val="0"/>
              <w:autoSpaceDN w:val="0"/>
              <w:adjustRightInd w:val="0"/>
              <w:rPr>
                <w:rFonts w:eastAsiaTheme="minorEastAsia" w:cs="Calibri"/>
                <w:b/>
                <w:bCs/>
                <w:color w:val="000000"/>
                <w:szCs w:val="18"/>
                <w:lang w:eastAsia="en-AU"/>
              </w:rPr>
            </w:pPr>
            <w:r w:rsidRPr="00AC137D">
              <w:rPr>
                <w:rFonts w:eastAsiaTheme="minorEastAsia" w:cs="Calibri"/>
                <w:b/>
                <w:bCs/>
                <w:color w:val="000000"/>
                <w:szCs w:val="18"/>
                <w:lang w:eastAsia="en-AU"/>
              </w:rPr>
              <w:t>Current</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AC137D">
              <w:rPr>
                <w:rFonts w:eastAsiaTheme="minorEastAsia" w:cs="Calibri"/>
                <w:b/>
                <w:bCs/>
                <w:color w:val="000000"/>
                <w:lang w:eastAsia="en-AU"/>
              </w:rPr>
              <w:t xml:space="preserve"> </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AC137D">
              <w:rPr>
                <w:rFonts w:eastAsiaTheme="minorEastAsia" w:cs="Calibri"/>
                <w:b/>
                <w:bCs/>
                <w:color w:val="000000"/>
                <w:lang w:eastAsia="en-AU"/>
              </w:rPr>
              <w:t xml:space="preserve"> </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AC137D">
              <w:rPr>
                <w:rFonts w:eastAsiaTheme="minorEastAsia" w:cs="Calibri"/>
                <w:b/>
                <w:bCs/>
                <w:color w:val="000000"/>
                <w:lang w:eastAsia="en-AU"/>
              </w:rPr>
              <w:t xml:space="preserve"> </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AC137D">
              <w:rPr>
                <w:rFonts w:eastAsiaTheme="minorEastAsia" w:cs="Calibri"/>
                <w:b/>
                <w:bCs/>
                <w:color w:val="000000"/>
                <w:lang w:eastAsia="en-AU"/>
              </w:rPr>
              <w:t xml:space="preserve"> </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AC137D">
              <w:rPr>
                <w:rFonts w:eastAsiaTheme="minorEastAsia" w:cs="Calibri"/>
                <w:b/>
                <w:bCs/>
                <w:color w:val="000000"/>
                <w:lang w:eastAsia="en-AU"/>
              </w:rPr>
              <w:t xml:space="preserve"> </w:t>
            </w:r>
          </w:p>
        </w:tc>
      </w:tr>
      <w:tr w:rsidR="00A46DCA" w:rsidRPr="00AC137D" w:rsidTr="00A26D04">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A46DCA" w:rsidRPr="00AC137D" w:rsidRDefault="00A46DCA" w:rsidP="00A26D04">
            <w:pPr>
              <w:keepLines w:val="0"/>
              <w:autoSpaceDE w:val="0"/>
              <w:autoSpaceDN w:val="0"/>
              <w:adjustRightInd w:val="0"/>
              <w:rPr>
                <w:rFonts w:eastAsiaTheme="minorEastAsia" w:cs="Calibri"/>
                <w:color w:val="000000"/>
                <w:szCs w:val="18"/>
                <w:lang w:eastAsia="en-AU"/>
              </w:rPr>
            </w:pPr>
            <w:r w:rsidRPr="00AC137D">
              <w:rPr>
                <w:rFonts w:eastAsiaTheme="minorEastAsia" w:cs="Calibri"/>
                <w:color w:val="000000"/>
                <w:szCs w:val="18"/>
                <w:lang w:eastAsia="en-AU"/>
              </w:rPr>
              <w:t>Accrued salaries and wages</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516</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507</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522</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533</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549</w:t>
            </w:r>
          </w:p>
        </w:tc>
      </w:tr>
      <w:tr w:rsidR="00A46DCA" w:rsidRPr="00AC137D" w:rsidTr="00A26D04">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A46DCA" w:rsidRPr="00AC137D" w:rsidRDefault="00A46DCA" w:rsidP="00A26D04">
            <w:pPr>
              <w:keepLines w:val="0"/>
              <w:autoSpaceDE w:val="0"/>
              <w:autoSpaceDN w:val="0"/>
              <w:adjustRightInd w:val="0"/>
              <w:rPr>
                <w:rFonts w:eastAsiaTheme="minorEastAsia" w:cs="Calibri"/>
                <w:color w:val="000000"/>
                <w:szCs w:val="18"/>
                <w:lang w:eastAsia="en-AU"/>
              </w:rPr>
            </w:pPr>
            <w:r w:rsidRPr="00AC137D">
              <w:rPr>
                <w:rFonts w:eastAsiaTheme="minorEastAsia" w:cs="Calibri"/>
                <w:color w:val="000000"/>
                <w:szCs w:val="18"/>
                <w:lang w:eastAsia="en-AU"/>
              </w:rPr>
              <w:t>Other employee benefits</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66</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66</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66</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66</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66</w:t>
            </w:r>
          </w:p>
        </w:tc>
      </w:tr>
      <w:tr w:rsidR="00A46DCA" w:rsidRPr="00AC137D" w:rsidTr="00A26D04">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A46DCA" w:rsidRPr="00AC137D" w:rsidRDefault="00A46DCA" w:rsidP="00A26D04">
            <w:pPr>
              <w:keepLines w:val="0"/>
              <w:autoSpaceDE w:val="0"/>
              <w:autoSpaceDN w:val="0"/>
              <w:adjustRightInd w:val="0"/>
              <w:rPr>
                <w:rFonts w:eastAsiaTheme="minorEastAsia" w:cs="Calibri"/>
                <w:color w:val="000000"/>
                <w:szCs w:val="18"/>
                <w:lang w:eastAsia="en-AU"/>
              </w:rPr>
            </w:pPr>
            <w:r w:rsidRPr="00AC137D">
              <w:rPr>
                <w:rFonts w:eastAsiaTheme="minorEastAsia" w:cs="Calibri"/>
                <w:color w:val="000000"/>
                <w:szCs w:val="18"/>
                <w:lang w:eastAsia="en-AU"/>
              </w:rPr>
              <w:t>Annual leave</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AC137D">
              <w:rPr>
                <w:rFonts w:eastAsiaTheme="minorEastAsia" w:cs="Calibri"/>
                <w:color w:val="000000"/>
                <w:szCs w:val="18"/>
                <w:lang w:eastAsia="en-AU"/>
              </w:rPr>
              <w:t>1 522</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AC137D">
              <w:rPr>
                <w:rFonts w:eastAsiaTheme="minorEastAsia" w:cs="Calibri"/>
                <w:color w:val="000000"/>
                <w:szCs w:val="18"/>
                <w:lang w:eastAsia="en-AU"/>
              </w:rPr>
              <w:t>1 520</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AC137D">
              <w:rPr>
                <w:rFonts w:eastAsiaTheme="minorEastAsia" w:cs="Calibri"/>
                <w:color w:val="000000"/>
                <w:szCs w:val="18"/>
                <w:lang w:eastAsia="en-AU"/>
              </w:rPr>
              <w:t>1 556</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AC137D">
              <w:rPr>
                <w:rFonts w:eastAsiaTheme="minorEastAsia" w:cs="Calibri"/>
                <w:color w:val="000000"/>
                <w:szCs w:val="18"/>
                <w:lang w:eastAsia="en-AU"/>
              </w:rPr>
              <w:t>1 578</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AC137D">
              <w:rPr>
                <w:rFonts w:eastAsiaTheme="minorEastAsia" w:cs="Calibri"/>
                <w:color w:val="000000"/>
                <w:szCs w:val="18"/>
                <w:lang w:eastAsia="en-AU"/>
              </w:rPr>
              <w:t>1 614</w:t>
            </w:r>
          </w:p>
        </w:tc>
      </w:tr>
      <w:tr w:rsidR="00A46DCA" w:rsidRPr="00AC137D" w:rsidTr="00A26D04">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single" w:sz="6" w:space="0" w:color="000000"/>
              <w:right w:val="nil"/>
            </w:tcBorders>
          </w:tcPr>
          <w:p w:rsidR="00A46DCA" w:rsidRPr="00AC137D" w:rsidRDefault="00A46DCA" w:rsidP="00A26D04">
            <w:pPr>
              <w:keepLines w:val="0"/>
              <w:autoSpaceDE w:val="0"/>
              <w:autoSpaceDN w:val="0"/>
              <w:adjustRightInd w:val="0"/>
              <w:rPr>
                <w:rFonts w:eastAsiaTheme="minorEastAsia" w:cs="Calibri"/>
                <w:color w:val="000000"/>
                <w:szCs w:val="18"/>
                <w:lang w:eastAsia="en-AU"/>
              </w:rPr>
            </w:pPr>
            <w:r w:rsidRPr="00AC137D">
              <w:rPr>
                <w:rFonts w:eastAsiaTheme="minorEastAsia" w:cs="Calibri"/>
                <w:color w:val="000000"/>
                <w:szCs w:val="18"/>
                <w:lang w:eastAsia="en-AU"/>
              </w:rPr>
              <w:t>Long service leave</w:t>
            </w:r>
          </w:p>
        </w:tc>
        <w:tc>
          <w:tcPr>
            <w:tcW w:w="850" w:type="dxa"/>
            <w:tcBorders>
              <w:top w:val="nil"/>
              <w:left w:val="nil"/>
              <w:bottom w:val="single" w:sz="6" w:space="0" w:color="000000"/>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AC137D">
              <w:rPr>
                <w:rFonts w:eastAsiaTheme="minorEastAsia" w:cs="Calibri"/>
                <w:color w:val="000000"/>
                <w:szCs w:val="18"/>
                <w:lang w:eastAsia="en-AU"/>
              </w:rPr>
              <w:t>3 777</w:t>
            </w:r>
          </w:p>
        </w:tc>
        <w:tc>
          <w:tcPr>
            <w:tcW w:w="850" w:type="dxa"/>
            <w:tcBorders>
              <w:top w:val="nil"/>
              <w:left w:val="nil"/>
              <w:bottom w:val="single" w:sz="6" w:space="0" w:color="000000"/>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AC137D">
              <w:rPr>
                <w:rFonts w:eastAsiaTheme="minorEastAsia" w:cs="Calibri"/>
                <w:color w:val="000000"/>
                <w:szCs w:val="18"/>
                <w:lang w:eastAsia="en-AU"/>
              </w:rPr>
              <w:t>3 776</w:t>
            </w:r>
          </w:p>
        </w:tc>
        <w:tc>
          <w:tcPr>
            <w:tcW w:w="850" w:type="dxa"/>
            <w:tcBorders>
              <w:top w:val="nil"/>
              <w:left w:val="nil"/>
              <w:bottom w:val="single" w:sz="6" w:space="0" w:color="000000"/>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AC137D">
              <w:rPr>
                <w:rFonts w:eastAsiaTheme="minorEastAsia" w:cs="Calibri"/>
                <w:color w:val="000000"/>
                <w:szCs w:val="18"/>
                <w:lang w:eastAsia="en-AU"/>
              </w:rPr>
              <w:t>3 917</w:t>
            </w:r>
          </w:p>
        </w:tc>
        <w:tc>
          <w:tcPr>
            <w:tcW w:w="850" w:type="dxa"/>
            <w:tcBorders>
              <w:top w:val="nil"/>
              <w:left w:val="nil"/>
              <w:bottom w:val="single" w:sz="6" w:space="0" w:color="000000"/>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AC137D">
              <w:rPr>
                <w:rFonts w:eastAsiaTheme="minorEastAsia" w:cs="Calibri"/>
                <w:color w:val="000000"/>
                <w:szCs w:val="18"/>
                <w:lang w:eastAsia="en-AU"/>
              </w:rPr>
              <w:t>4 026</w:t>
            </w:r>
          </w:p>
        </w:tc>
        <w:tc>
          <w:tcPr>
            <w:tcW w:w="850" w:type="dxa"/>
            <w:tcBorders>
              <w:top w:val="nil"/>
              <w:left w:val="nil"/>
              <w:bottom w:val="single" w:sz="6" w:space="0" w:color="000000"/>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AC137D">
              <w:rPr>
                <w:rFonts w:eastAsiaTheme="minorEastAsia" w:cs="Calibri"/>
                <w:color w:val="000000"/>
                <w:szCs w:val="18"/>
                <w:lang w:eastAsia="en-AU"/>
              </w:rPr>
              <w:t>4 172</w:t>
            </w:r>
          </w:p>
        </w:tc>
      </w:tr>
      <w:tr w:rsidR="00A46DCA" w:rsidRPr="00AC137D" w:rsidTr="00A26D04">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A46DCA" w:rsidRPr="00AC137D" w:rsidRDefault="00A46DCA" w:rsidP="00A26D04">
            <w:pPr>
              <w:keepLines w:val="0"/>
              <w:autoSpaceDE w:val="0"/>
              <w:autoSpaceDN w:val="0"/>
              <w:adjustRightInd w:val="0"/>
              <w:rPr>
                <w:rFonts w:eastAsiaTheme="minorEastAsia" w:cs="Calibri"/>
                <w:b/>
                <w:bCs/>
                <w:color w:val="000000"/>
                <w:szCs w:val="18"/>
                <w:lang w:eastAsia="en-AU"/>
              </w:rPr>
            </w:pPr>
            <w:r w:rsidRPr="00AC137D">
              <w:rPr>
                <w:rFonts w:eastAsiaTheme="minorEastAsia" w:cs="Calibri"/>
                <w:b/>
                <w:bCs/>
                <w:color w:val="000000"/>
                <w:szCs w:val="18"/>
                <w:lang w:eastAsia="en-AU"/>
              </w:rPr>
              <w:t>Total current employee benefits and on-costs</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AC137D">
              <w:rPr>
                <w:rFonts w:eastAsiaTheme="minorEastAsia" w:cs="Calibri"/>
                <w:b/>
                <w:bCs/>
                <w:color w:val="000000"/>
                <w:szCs w:val="18"/>
                <w:lang w:eastAsia="en-AU"/>
              </w:rPr>
              <w:t>5 882</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AC137D">
              <w:rPr>
                <w:rFonts w:eastAsiaTheme="minorEastAsia" w:cs="Calibri"/>
                <w:b/>
                <w:bCs/>
                <w:color w:val="000000"/>
                <w:szCs w:val="18"/>
                <w:lang w:eastAsia="en-AU"/>
              </w:rPr>
              <w:t>5 869</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AC137D">
              <w:rPr>
                <w:rFonts w:eastAsiaTheme="minorEastAsia" w:cs="Calibri"/>
                <w:b/>
                <w:bCs/>
                <w:color w:val="000000"/>
                <w:szCs w:val="18"/>
                <w:lang w:eastAsia="en-AU"/>
              </w:rPr>
              <w:t>6 061</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AC137D">
              <w:rPr>
                <w:rFonts w:eastAsiaTheme="minorEastAsia" w:cs="Calibri"/>
                <w:b/>
                <w:bCs/>
                <w:color w:val="000000"/>
                <w:szCs w:val="18"/>
                <w:lang w:eastAsia="en-AU"/>
              </w:rPr>
              <w:t>6 204</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AC137D">
              <w:rPr>
                <w:rFonts w:eastAsiaTheme="minorEastAsia" w:cs="Calibri"/>
                <w:b/>
                <w:bCs/>
                <w:color w:val="000000"/>
                <w:szCs w:val="18"/>
                <w:lang w:eastAsia="en-AU"/>
              </w:rPr>
              <w:t>6 401</w:t>
            </w:r>
          </w:p>
        </w:tc>
      </w:tr>
      <w:tr w:rsidR="00A46DCA" w:rsidRPr="00AC137D" w:rsidTr="00A26D04">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A46DCA" w:rsidRPr="00AC137D" w:rsidRDefault="00A46DCA" w:rsidP="00A26D04">
            <w:pPr>
              <w:keepLines w:val="0"/>
              <w:autoSpaceDE w:val="0"/>
              <w:autoSpaceDN w:val="0"/>
              <w:adjustRightInd w:val="0"/>
              <w:rPr>
                <w:rFonts w:eastAsiaTheme="minorEastAsia" w:cs="Calibri"/>
                <w:b/>
                <w:bCs/>
                <w:color w:val="000000"/>
                <w:szCs w:val="18"/>
                <w:lang w:eastAsia="en-AU"/>
              </w:rPr>
            </w:pPr>
            <w:r w:rsidRPr="00AC137D">
              <w:rPr>
                <w:rFonts w:eastAsiaTheme="minorEastAsia" w:cs="Calibri"/>
                <w:b/>
                <w:bCs/>
                <w:color w:val="000000"/>
                <w:szCs w:val="18"/>
                <w:lang w:eastAsia="en-AU"/>
              </w:rPr>
              <w:t>Non-current</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AC137D">
              <w:rPr>
                <w:rFonts w:eastAsiaTheme="minorEastAsia" w:cs="Calibri"/>
                <w:b/>
                <w:bCs/>
                <w:color w:val="000000"/>
                <w:lang w:eastAsia="en-AU"/>
              </w:rPr>
              <w:t xml:space="preserve"> </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AC137D">
              <w:rPr>
                <w:rFonts w:eastAsiaTheme="minorEastAsia" w:cs="Calibri"/>
                <w:b/>
                <w:bCs/>
                <w:color w:val="000000"/>
                <w:lang w:eastAsia="en-AU"/>
              </w:rPr>
              <w:t xml:space="preserve"> </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AC137D">
              <w:rPr>
                <w:rFonts w:eastAsiaTheme="minorEastAsia" w:cs="Calibri"/>
                <w:b/>
                <w:bCs/>
                <w:color w:val="000000"/>
                <w:lang w:eastAsia="en-AU"/>
              </w:rPr>
              <w:t xml:space="preserve"> </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AC137D">
              <w:rPr>
                <w:rFonts w:eastAsiaTheme="minorEastAsia" w:cs="Calibri"/>
                <w:b/>
                <w:bCs/>
                <w:color w:val="000000"/>
                <w:lang w:eastAsia="en-AU"/>
              </w:rPr>
              <w:t xml:space="preserve"> </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AC137D">
              <w:rPr>
                <w:rFonts w:eastAsiaTheme="minorEastAsia" w:cs="Calibri"/>
                <w:b/>
                <w:bCs/>
                <w:color w:val="000000"/>
                <w:lang w:eastAsia="en-AU"/>
              </w:rPr>
              <w:t xml:space="preserve"> </w:t>
            </w:r>
          </w:p>
        </w:tc>
      </w:tr>
      <w:tr w:rsidR="00A46DCA" w:rsidRPr="00AC137D" w:rsidTr="00A26D04">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A46DCA" w:rsidRPr="00AC137D" w:rsidRDefault="00A46DCA" w:rsidP="00A26D04">
            <w:pPr>
              <w:keepLines w:val="0"/>
              <w:autoSpaceDE w:val="0"/>
              <w:autoSpaceDN w:val="0"/>
              <w:adjustRightInd w:val="0"/>
              <w:rPr>
                <w:rFonts w:eastAsiaTheme="minorEastAsia" w:cs="Calibri"/>
                <w:color w:val="000000"/>
                <w:szCs w:val="18"/>
                <w:lang w:eastAsia="en-AU"/>
              </w:rPr>
            </w:pPr>
            <w:r w:rsidRPr="00AC137D">
              <w:rPr>
                <w:rFonts w:eastAsiaTheme="minorEastAsia" w:cs="Calibri"/>
                <w:color w:val="000000"/>
                <w:szCs w:val="18"/>
                <w:lang w:eastAsia="en-AU"/>
              </w:rPr>
              <w:t>Long service leave</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865</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896</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AC137D">
              <w:rPr>
                <w:rFonts w:eastAsiaTheme="minorEastAsia" w:cs="Calibri"/>
                <w:color w:val="000000"/>
                <w:szCs w:val="18"/>
                <w:lang w:eastAsia="en-AU"/>
              </w:rPr>
              <w:t>1 005</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AC137D">
              <w:rPr>
                <w:rFonts w:eastAsiaTheme="minorEastAsia" w:cs="Calibri"/>
                <w:color w:val="000000"/>
                <w:szCs w:val="18"/>
                <w:lang w:eastAsia="en-AU"/>
              </w:rPr>
              <w:t>1 111</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AC137D">
              <w:rPr>
                <w:rFonts w:eastAsiaTheme="minorEastAsia" w:cs="Calibri"/>
                <w:color w:val="000000"/>
                <w:szCs w:val="18"/>
                <w:lang w:eastAsia="en-AU"/>
              </w:rPr>
              <w:t>1 189</w:t>
            </w:r>
          </w:p>
        </w:tc>
      </w:tr>
      <w:tr w:rsidR="00A46DCA" w:rsidRPr="00AC137D" w:rsidTr="00A26D04">
        <w:tc>
          <w:tcPr>
            <w:cnfStyle w:val="001000000000" w:firstRow="0" w:lastRow="0" w:firstColumn="1" w:lastColumn="0" w:oddVBand="0" w:evenVBand="0" w:oddHBand="0" w:evenHBand="0" w:firstRowFirstColumn="0" w:firstRowLastColumn="0" w:lastRowFirstColumn="0" w:lastRowLastColumn="0"/>
            <w:tcW w:w="3515" w:type="dxa"/>
            <w:tcBorders>
              <w:top w:val="single" w:sz="6" w:space="0" w:color="000000"/>
              <w:left w:val="nil"/>
              <w:bottom w:val="nil"/>
              <w:right w:val="nil"/>
            </w:tcBorders>
          </w:tcPr>
          <w:p w:rsidR="00A46DCA" w:rsidRPr="00AC137D" w:rsidRDefault="00A46DCA" w:rsidP="00A26D04">
            <w:pPr>
              <w:keepLines w:val="0"/>
              <w:autoSpaceDE w:val="0"/>
              <w:autoSpaceDN w:val="0"/>
              <w:adjustRightInd w:val="0"/>
              <w:rPr>
                <w:rFonts w:eastAsiaTheme="minorEastAsia" w:cs="Calibri"/>
                <w:b/>
                <w:bCs/>
                <w:color w:val="000000"/>
                <w:szCs w:val="18"/>
                <w:lang w:eastAsia="en-AU"/>
              </w:rPr>
            </w:pPr>
            <w:r w:rsidRPr="00AC137D">
              <w:rPr>
                <w:rFonts w:eastAsiaTheme="minorEastAsia" w:cs="Calibri"/>
                <w:b/>
                <w:bCs/>
                <w:color w:val="000000"/>
                <w:szCs w:val="18"/>
                <w:lang w:eastAsia="en-AU"/>
              </w:rPr>
              <w:t>Total non-current employee benefits</w:t>
            </w:r>
          </w:p>
        </w:tc>
        <w:tc>
          <w:tcPr>
            <w:tcW w:w="850" w:type="dxa"/>
            <w:tcBorders>
              <w:top w:val="single" w:sz="6" w:space="0" w:color="000000"/>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865</w:t>
            </w:r>
          </w:p>
        </w:tc>
        <w:tc>
          <w:tcPr>
            <w:tcW w:w="850" w:type="dxa"/>
            <w:tcBorders>
              <w:top w:val="single" w:sz="6" w:space="0" w:color="000000"/>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896</w:t>
            </w:r>
          </w:p>
        </w:tc>
        <w:tc>
          <w:tcPr>
            <w:tcW w:w="850" w:type="dxa"/>
            <w:tcBorders>
              <w:top w:val="single" w:sz="6" w:space="0" w:color="000000"/>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AC137D">
              <w:rPr>
                <w:rFonts w:eastAsiaTheme="minorEastAsia" w:cs="Calibri"/>
                <w:b/>
                <w:bCs/>
                <w:color w:val="000000"/>
                <w:szCs w:val="18"/>
                <w:lang w:eastAsia="en-AU"/>
              </w:rPr>
              <w:t>1 005</w:t>
            </w:r>
          </w:p>
        </w:tc>
        <w:tc>
          <w:tcPr>
            <w:tcW w:w="850" w:type="dxa"/>
            <w:tcBorders>
              <w:top w:val="single" w:sz="6" w:space="0" w:color="000000"/>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AC137D">
              <w:rPr>
                <w:rFonts w:eastAsiaTheme="minorEastAsia" w:cs="Calibri"/>
                <w:b/>
                <w:bCs/>
                <w:color w:val="000000"/>
                <w:szCs w:val="18"/>
                <w:lang w:eastAsia="en-AU"/>
              </w:rPr>
              <w:t>1 111</w:t>
            </w:r>
          </w:p>
        </w:tc>
        <w:tc>
          <w:tcPr>
            <w:tcW w:w="850" w:type="dxa"/>
            <w:tcBorders>
              <w:top w:val="single" w:sz="6" w:space="0" w:color="000000"/>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AC137D">
              <w:rPr>
                <w:rFonts w:eastAsiaTheme="minorEastAsia" w:cs="Calibri"/>
                <w:b/>
                <w:bCs/>
                <w:color w:val="000000"/>
                <w:szCs w:val="18"/>
                <w:lang w:eastAsia="en-AU"/>
              </w:rPr>
              <w:t>1 189</w:t>
            </w:r>
          </w:p>
        </w:tc>
      </w:tr>
      <w:tr w:rsidR="00A46DCA" w:rsidRPr="00AC137D" w:rsidTr="00A26D04">
        <w:tc>
          <w:tcPr>
            <w:cnfStyle w:val="001000000000" w:firstRow="0" w:lastRow="0" w:firstColumn="1" w:lastColumn="0" w:oddVBand="0" w:evenVBand="0" w:oddHBand="0" w:evenHBand="0" w:firstRowFirstColumn="0" w:firstRowLastColumn="0" w:lastRowFirstColumn="0" w:lastRowLastColumn="0"/>
            <w:tcW w:w="3515" w:type="dxa"/>
            <w:tcBorders>
              <w:top w:val="single" w:sz="6" w:space="0" w:color="000000"/>
              <w:left w:val="nil"/>
              <w:bottom w:val="single" w:sz="12" w:space="0" w:color="000000"/>
              <w:right w:val="nil"/>
            </w:tcBorders>
          </w:tcPr>
          <w:p w:rsidR="00A46DCA" w:rsidRPr="00AC137D" w:rsidRDefault="00A46DCA" w:rsidP="00A26D04">
            <w:pPr>
              <w:keepLines w:val="0"/>
              <w:autoSpaceDE w:val="0"/>
              <w:autoSpaceDN w:val="0"/>
              <w:adjustRightInd w:val="0"/>
              <w:rPr>
                <w:rFonts w:eastAsiaTheme="minorEastAsia" w:cs="Calibri"/>
                <w:b/>
                <w:bCs/>
                <w:color w:val="000000"/>
                <w:szCs w:val="18"/>
                <w:lang w:eastAsia="en-AU"/>
              </w:rPr>
            </w:pPr>
            <w:r w:rsidRPr="00AC137D">
              <w:rPr>
                <w:rFonts w:eastAsiaTheme="minorEastAsia" w:cs="Calibri"/>
                <w:b/>
                <w:bCs/>
                <w:color w:val="000000"/>
                <w:szCs w:val="18"/>
                <w:lang w:eastAsia="en-AU"/>
              </w:rPr>
              <w:t>Total employee benefits</w:t>
            </w:r>
          </w:p>
        </w:tc>
        <w:tc>
          <w:tcPr>
            <w:tcW w:w="850" w:type="dxa"/>
            <w:tcBorders>
              <w:top w:val="single" w:sz="6" w:space="0" w:color="000000"/>
              <w:left w:val="nil"/>
              <w:bottom w:val="single" w:sz="12" w:space="0" w:color="000000"/>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AC137D">
              <w:rPr>
                <w:rFonts w:eastAsiaTheme="minorEastAsia" w:cs="Calibri"/>
                <w:b/>
                <w:bCs/>
                <w:color w:val="000000"/>
                <w:szCs w:val="18"/>
                <w:lang w:eastAsia="en-AU"/>
              </w:rPr>
              <w:t>6 747</w:t>
            </w:r>
          </w:p>
        </w:tc>
        <w:tc>
          <w:tcPr>
            <w:tcW w:w="850" w:type="dxa"/>
            <w:tcBorders>
              <w:top w:val="single" w:sz="6" w:space="0" w:color="000000"/>
              <w:left w:val="nil"/>
              <w:bottom w:val="single" w:sz="12" w:space="0" w:color="000000"/>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AC137D">
              <w:rPr>
                <w:rFonts w:eastAsiaTheme="minorEastAsia" w:cs="Calibri"/>
                <w:b/>
                <w:bCs/>
                <w:color w:val="000000"/>
                <w:szCs w:val="18"/>
                <w:lang w:eastAsia="en-AU"/>
              </w:rPr>
              <w:t>6 765</w:t>
            </w:r>
          </w:p>
        </w:tc>
        <w:tc>
          <w:tcPr>
            <w:tcW w:w="850" w:type="dxa"/>
            <w:tcBorders>
              <w:top w:val="single" w:sz="6" w:space="0" w:color="000000"/>
              <w:left w:val="nil"/>
              <w:bottom w:val="single" w:sz="12" w:space="0" w:color="000000"/>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AC137D">
              <w:rPr>
                <w:rFonts w:eastAsiaTheme="minorEastAsia" w:cs="Calibri"/>
                <w:b/>
                <w:bCs/>
                <w:color w:val="000000"/>
                <w:szCs w:val="18"/>
                <w:lang w:eastAsia="en-AU"/>
              </w:rPr>
              <w:t>7 065</w:t>
            </w:r>
          </w:p>
        </w:tc>
        <w:tc>
          <w:tcPr>
            <w:tcW w:w="850" w:type="dxa"/>
            <w:tcBorders>
              <w:top w:val="single" w:sz="6" w:space="0" w:color="000000"/>
              <w:left w:val="nil"/>
              <w:bottom w:val="single" w:sz="12" w:space="0" w:color="000000"/>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AC137D">
              <w:rPr>
                <w:rFonts w:eastAsiaTheme="minorEastAsia" w:cs="Calibri"/>
                <w:b/>
                <w:bCs/>
                <w:color w:val="000000"/>
                <w:szCs w:val="18"/>
                <w:lang w:eastAsia="en-AU"/>
              </w:rPr>
              <w:t>7 315</w:t>
            </w:r>
          </w:p>
        </w:tc>
        <w:tc>
          <w:tcPr>
            <w:tcW w:w="850" w:type="dxa"/>
            <w:tcBorders>
              <w:top w:val="single" w:sz="6" w:space="0" w:color="000000"/>
              <w:left w:val="nil"/>
              <w:bottom w:val="single" w:sz="12" w:space="0" w:color="000000"/>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AC137D">
              <w:rPr>
                <w:rFonts w:eastAsiaTheme="minorEastAsia" w:cs="Calibri"/>
                <w:b/>
                <w:bCs/>
                <w:color w:val="000000"/>
                <w:szCs w:val="18"/>
                <w:lang w:eastAsia="en-AU"/>
              </w:rPr>
              <w:t>7 590</w:t>
            </w:r>
          </w:p>
        </w:tc>
      </w:tr>
    </w:tbl>
    <w:p w:rsidR="00A46DCA" w:rsidRDefault="00A46DCA" w:rsidP="00A26D04">
      <w:pPr>
        <w:pStyle w:val="Source"/>
      </w:pPr>
      <w:r w:rsidRPr="00D87D22">
        <w:t>Source: Department of Treasury and Finance</w:t>
      </w:r>
    </w:p>
    <w:p w:rsidR="00A46DCA" w:rsidRDefault="00A46DCA" w:rsidP="00A26D04">
      <w:pPr>
        <w:pStyle w:val="Heading3"/>
        <w:numPr>
          <w:ilvl w:val="2"/>
          <w:numId w:val="19"/>
        </w:numPr>
        <w:tabs>
          <w:tab w:val="clear" w:pos="9582"/>
          <w:tab w:val="left" w:pos="850"/>
          <w:tab w:val="right" w:pos="7711"/>
        </w:tabs>
        <w:spacing w:after="60"/>
      </w:pPr>
      <w:bookmarkStart w:id="34" w:name="_Toc496606575"/>
      <w:r>
        <w:lastRenderedPageBreak/>
        <w:t>Superannuation expense and other superannuation expenses</w:t>
      </w:r>
      <w:bookmarkEnd w:id="34"/>
    </w:p>
    <w:p w:rsidR="00A46DCA" w:rsidRPr="00AC137D" w:rsidRDefault="00A46DCA" w:rsidP="00A26D04">
      <w:pPr>
        <w:pStyle w:val="TableHeading"/>
        <w:rPr>
          <w:bCs/>
          <w:lang w:val="en-US"/>
        </w:rPr>
      </w:pPr>
      <w:r>
        <w:t>Superannuation expense recognised in the operating statement</w:t>
      </w:r>
      <w:r>
        <w:tab/>
        <w:t>($ million)</w:t>
      </w:r>
    </w:p>
    <w:tbl>
      <w:tblPr>
        <w:tblStyle w:val="DTFTable"/>
        <w:tblW w:w="7765" w:type="dxa"/>
        <w:tblInd w:w="45" w:type="dxa"/>
        <w:tblLayout w:type="fixed"/>
        <w:tblCellMar>
          <w:left w:w="45" w:type="dxa"/>
          <w:right w:w="45" w:type="dxa"/>
        </w:tblCellMar>
        <w:tblLook w:val="06A0" w:firstRow="1" w:lastRow="0" w:firstColumn="1" w:lastColumn="0" w:noHBand="1" w:noVBand="1"/>
      </w:tblPr>
      <w:tblGrid>
        <w:gridCol w:w="3515"/>
        <w:gridCol w:w="850"/>
        <w:gridCol w:w="850"/>
        <w:gridCol w:w="850"/>
        <w:gridCol w:w="850"/>
        <w:gridCol w:w="850"/>
      </w:tblGrid>
      <w:tr w:rsidR="00A26D04" w:rsidRPr="00AC137D" w:rsidTr="002677DA">
        <w:trPr>
          <w:cnfStyle w:val="100000000000" w:firstRow="1" w:lastRow="0" w:firstColumn="0" w:lastColumn="0" w:oddVBand="0" w:evenVBand="0" w:oddHBand="0" w:evenHBand="0" w:firstRowFirstColumn="0" w:firstRowLastColumn="0" w:lastRowFirstColumn="0" w:lastRowLastColumn="0"/>
          <w:trHeight w:val="70"/>
          <w:tblHeader/>
        </w:trPr>
        <w:tc>
          <w:tcPr>
            <w:cnfStyle w:val="001000000000" w:firstRow="0" w:lastRow="0" w:firstColumn="1" w:lastColumn="0" w:oddVBand="0" w:evenVBand="0" w:oddHBand="0" w:evenHBand="0" w:firstRowFirstColumn="0" w:firstRowLastColumn="0" w:lastRowFirstColumn="0" w:lastRowLastColumn="0"/>
            <w:tcW w:w="3515" w:type="dxa"/>
            <w:tcBorders>
              <w:top w:val="nil"/>
              <w:left w:val="nil"/>
              <w:right w:val="nil"/>
            </w:tcBorders>
            <w:shd w:val="solid" w:color="000000" w:fill="auto"/>
          </w:tcPr>
          <w:p w:rsidR="00A26D04" w:rsidRPr="00AC137D" w:rsidRDefault="00A26D04" w:rsidP="00A26D04">
            <w:pPr>
              <w:autoSpaceDE w:val="0"/>
              <w:autoSpaceDN w:val="0"/>
              <w:adjustRightInd w:val="0"/>
              <w:rPr>
                <w:rFonts w:eastAsiaTheme="minorEastAsia" w:cs="Calibri"/>
                <w:iCs/>
                <w:color w:val="FFFFFF"/>
                <w:lang w:eastAsia="en-AU"/>
              </w:rPr>
            </w:pPr>
            <w:r w:rsidRPr="00AC137D">
              <w:rPr>
                <w:rFonts w:eastAsiaTheme="minorEastAsia" w:cs="Calibri"/>
                <w:iCs/>
                <w:color w:val="FFFFFF"/>
                <w:lang w:eastAsia="en-AU"/>
              </w:rPr>
              <w:t xml:space="preserve">  </w:t>
            </w:r>
          </w:p>
        </w:tc>
        <w:tc>
          <w:tcPr>
            <w:tcW w:w="850" w:type="dxa"/>
            <w:tcBorders>
              <w:top w:val="nil"/>
              <w:left w:val="nil"/>
              <w:right w:val="nil"/>
            </w:tcBorders>
            <w:shd w:val="solid" w:color="000000" w:fill="auto"/>
          </w:tcPr>
          <w:p w:rsidR="00A26D04" w:rsidRPr="00AC137D" w:rsidRDefault="00A26D04" w:rsidP="00A26D0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AC137D">
              <w:rPr>
                <w:rFonts w:eastAsiaTheme="minorEastAsia" w:cs="Calibri"/>
                <w:iCs/>
                <w:color w:val="FFFFFF"/>
                <w:szCs w:val="16"/>
                <w:lang w:eastAsia="en-AU"/>
              </w:rPr>
              <w:t>2017-18</w:t>
            </w:r>
            <w:r>
              <w:rPr>
                <w:rFonts w:eastAsiaTheme="minorEastAsia" w:cs="Calibri"/>
                <w:iCs/>
                <w:color w:val="FFFFFF"/>
                <w:szCs w:val="16"/>
                <w:lang w:eastAsia="en-AU"/>
              </w:rPr>
              <w:br/>
            </w:r>
            <w:r w:rsidRPr="00AC137D">
              <w:rPr>
                <w:rFonts w:eastAsiaTheme="minorEastAsia" w:cs="Calibri"/>
                <w:iCs/>
                <w:color w:val="FFFFFF"/>
                <w:szCs w:val="16"/>
                <w:lang w:eastAsia="en-AU"/>
              </w:rPr>
              <w:t>budget</w:t>
            </w:r>
          </w:p>
        </w:tc>
        <w:tc>
          <w:tcPr>
            <w:tcW w:w="850" w:type="dxa"/>
            <w:tcBorders>
              <w:top w:val="nil"/>
              <w:left w:val="nil"/>
              <w:right w:val="nil"/>
            </w:tcBorders>
            <w:shd w:val="solid" w:color="000000" w:fill="auto"/>
          </w:tcPr>
          <w:p w:rsidR="00A26D04" w:rsidRPr="00AC137D" w:rsidRDefault="00A26D04" w:rsidP="00A26D0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AC137D">
              <w:rPr>
                <w:rFonts w:eastAsiaTheme="minorEastAsia" w:cs="Calibri"/>
                <w:iCs/>
                <w:color w:val="FFFFFF"/>
                <w:szCs w:val="16"/>
                <w:lang w:eastAsia="en-AU"/>
              </w:rPr>
              <w:t>2017-18</w:t>
            </w:r>
            <w:r>
              <w:rPr>
                <w:rFonts w:eastAsiaTheme="minorEastAsia" w:cs="Calibri"/>
                <w:iCs/>
                <w:color w:val="FFFFFF"/>
                <w:szCs w:val="16"/>
                <w:lang w:eastAsia="en-AU"/>
              </w:rPr>
              <w:br/>
            </w:r>
            <w:r w:rsidRPr="00AC137D">
              <w:rPr>
                <w:rFonts w:eastAsiaTheme="minorEastAsia" w:cs="Calibri"/>
                <w:iCs/>
                <w:color w:val="FFFFFF"/>
                <w:szCs w:val="16"/>
                <w:lang w:eastAsia="en-AU"/>
              </w:rPr>
              <w:t>revised</w:t>
            </w:r>
          </w:p>
        </w:tc>
        <w:tc>
          <w:tcPr>
            <w:tcW w:w="850" w:type="dxa"/>
            <w:tcBorders>
              <w:top w:val="nil"/>
              <w:left w:val="nil"/>
              <w:right w:val="nil"/>
            </w:tcBorders>
            <w:shd w:val="solid" w:color="000000" w:fill="auto"/>
          </w:tcPr>
          <w:p w:rsidR="00A26D04" w:rsidRPr="00AC137D" w:rsidRDefault="00A26D04" w:rsidP="00A26D0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AC137D">
              <w:rPr>
                <w:rFonts w:eastAsiaTheme="minorEastAsia" w:cs="Calibri"/>
                <w:iCs/>
                <w:color w:val="FFFFFF"/>
                <w:szCs w:val="16"/>
                <w:lang w:eastAsia="en-AU"/>
              </w:rPr>
              <w:t>2018-19</w:t>
            </w:r>
            <w:r>
              <w:rPr>
                <w:rFonts w:eastAsiaTheme="minorEastAsia" w:cs="Calibri"/>
                <w:iCs/>
                <w:color w:val="FFFFFF"/>
                <w:szCs w:val="16"/>
                <w:lang w:eastAsia="en-AU"/>
              </w:rPr>
              <w:br/>
            </w:r>
            <w:r w:rsidRPr="00AC137D">
              <w:rPr>
                <w:rFonts w:eastAsiaTheme="minorEastAsia" w:cs="Calibri"/>
                <w:iCs/>
                <w:color w:val="FFFFFF"/>
                <w:szCs w:val="16"/>
                <w:lang w:eastAsia="en-AU"/>
              </w:rPr>
              <w:t>estimate</w:t>
            </w:r>
          </w:p>
        </w:tc>
        <w:tc>
          <w:tcPr>
            <w:tcW w:w="850" w:type="dxa"/>
            <w:tcBorders>
              <w:top w:val="nil"/>
              <w:left w:val="nil"/>
              <w:right w:val="nil"/>
            </w:tcBorders>
            <w:shd w:val="solid" w:color="000000" w:fill="auto"/>
          </w:tcPr>
          <w:p w:rsidR="00A26D04" w:rsidRPr="00AC137D" w:rsidRDefault="00A26D04" w:rsidP="00A26D0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AC137D">
              <w:rPr>
                <w:rFonts w:eastAsiaTheme="minorEastAsia" w:cs="Calibri"/>
                <w:iCs/>
                <w:color w:val="FFFFFF"/>
                <w:szCs w:val="16"/>
                <w:lang w:eastAsia="en-AU"/>
              </w:rPr>
              <w:t>2019-20</w:t>
            </w:r>
            <w:r>
              <w:rPr>
                <w:rFonts w:eastAsiaTheme="minorEastAsia" w:cs="Calibri"/>
                <w:iCs/>
                <w:color w:val="FFFFFF"/>
                <w:szCs w:val="16"/>
                <w:lang w:eastAsia="en-AU"/>
              </w:rPr>
              <w:br/>
            </w:r>
            <w:r w:rsidRPr="00AC137D">
              <w:rPr>
                <w:rFonts w:eastAsiaTheme="minorEastAsia" w:cs="Calibri"/>
                <w:iCs/>
                <w:color w:val="FFFFFF"/>
                <w:szCs w:val="16"/>
                <w:lang w:eastAsia="en-AU"/>
              </w:rPr>
              <w:t>estimate</w:t>
            </w:r>
          </w:p>
        </w:tc>
        <w:tc>
          <w:tcPr>
            <w:tcW w:w="850" w:type="dxa"/>
            <w:tcBorders>
              <w:top w:val="nil"/>
              <w:left w:val="nil"/>
              <w:right w:val="nil"/>
            </w:tcBorders>
            <w:shd w:val="solid" w:color="000000" w:fill="auto"/>
          </w:tcPr>
          <w:p w:rsidR="00A26D04" w:rsidRPr="00AC137D" w:rsidRDefault="00A26D04" w:rsidP="00A26D0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AC137D">
              <w:rPr>
                <w:rFonts w:eastAsiaTheme="minorEastAsia" w:cs="Calibri"/>
                <w:iCs/>
                <w:color w:val="FFFFFF"/>
                <w:szCs w:val="16"/>
                <w:lang w:eastAsia="en-AU"/>
              </w:rPr>
              <w:t>2020-21</w:t>
            </w:r>
            <w:r>
              <w:rPr>
                <w:rFonts w:eastAsiaTheme="minorEastAsia" w:cs="Calibri"/>
                <w:iCs/>
                <w:color w:val="FFFFFF"/>
                <w:szCs w:val="16"/>
                <w:lang w:eastAsia="en-AU"/>
              </w:rPr>
              <w:br/>
            </w:r>
            <w:r w:rsidRPr="00AC137D">
              <w:rPr>
                <w:rFonts w:eastAsiaTheme="minorEastAsia" w:cs="Calibri"/>
                <w:iCs/>
                <w:color w:val="FFFFFF"/>
                <w:szCs w:val="16"/>
                <w:lang w:eastAsia="en-AU"/>
              </w:rPr>
              <w:t>estimate</w:t>
            </w:r>
          </w:p>
        </w:tc>
      </w:tr>
      <w:tr w:rsidR="00A46DCA" w:rsidRPr="00AC137D" w:rsidTr="00A26D04">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A46DCA" w:rsidRPr="00AC137D" w:rsidRDefault="00A46DCA" w:rsidP="00A26D04">
            <w:pPr>
              <w:keepLines w:val="0"/>
              <w:autoSpaceDE w:val="0"/>
              <w:autoSpaceDN w:val="0"/>
              <w:adjustRightInd w:val="0"/>
              <w:rPr>
                <w:rFonts w:eastAsiaTheme="minorEastAsia" w:cs="Calibri"/>
                <w:b/>
                <w:bCs/>
                <w:color w:val="000000"/>
                <w:szCs w:val="16"/>
                <w:lang w:eastAsia="en-AU"/>
              </w:rPr>
            </w:pPr>
            <w:r w:rsidRPr="00AC137D">
              <w:rPr>
                <w:rFonts w:eastAsiaTheme="minorEastAsia" w:cs="Calibri"/>
                <w:b/>
                <w:bCs/>
                <w:color w:val="000000"/>
                <w:szCs w:val="16"/>
                <w:lang w:eastAsia="en-AU"/>
              </w:rPr>
              <w:t>Defined benefit plans</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AC137D">
              <w:rPr>
                <w:rFonts w:eastAsiaTheme="minorEastAsia" w:cs="Calibri"/>
                <w:b/>
                <w:bCs/>
                <w:color w:val="000000"/>
                <w:lang w:eastAsia="en-AU"/>
              </w:rPr>
              <w:t xml:space="preserve"> </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AC137D">
              <w:rPr>
                <w:rFonts w:eastAsiaTheme="minorEastAsia" w:cs="Calibri"/>
                <w:b/>
                <w:bCs/>
                <w:color w:val="000000"/>
                <w:lang w:eastAsia="en-AU"/>
              </w:rPr>
              <w:t xml:space="preserve"> </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AC137D">
              <w:rPr>
                <w:rFonts w:eastAsiaTheme="minorEastAsia" w:cs="Calibri"/>
                <w:b/>
                <w:bCs/>
                <w:color w:val="000000"/>
                <w:lang w:eastAsia="en-AU"/>
              </w:rPr>
              <w:t xml:space="preserve"> </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AC137D">
              <w:rPr>
                <w:rFonts w:eastAsiaTheme="minorEastAsia" w:cs="Calibri"/>
                <w:b/>
                <w:bCs/>
                <w:color w:val="000000"/>
                <w:lang w:eastAsia="en-AU"/>
              </w:rPr>
              <w:t xml:space="preserve"> </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AC137D">
              <w:rPr>
                <w:rFonts w:eastAsiaTheme="minorEastAsia" w:cs="Calibri"/>
                <w:b/>
                <w:bCs/>
                <w:color w:val="000000"/>
                <w:lang w:eastAsia="en-AU"/>
              </w:rPr>
              <w:t xml:space="preserve"> </w:t>
            </w:r>
          </w:p>
        </w:tc>
      </w:tr>
      <w:tr w:rsidR="00A46DCA" w:rsidRPr="00AC137D" w:rsidTr="00A26D04">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A46DCA" w:rsidRPr="00AC137D" w:rsidRDefault="00A46DCA" w:rsidP="00A26D04">
            <w:pPr>
              <w:keepLines w:val="0"/>
              <w:autoSpaceDE w:val="0"/>
              <w:autoSpaceDN w:val="0"/>
              <w:adjustRightInd w:val="0"/>
              <w:rPr>
                <w:rFonts w:eastAsiaTheme="minorEastAsia" w:cs="Calibri"/>
                <w:color w:val="000000"/>
                <w:szCs w:val="16"/>
                <w:lang w:eastAsia="en-AU"/>
              </w:rPr>
            </w:pPr>
            <w:r w:rsidRPr="00AC137D">
              <w:rPr>
                <w:rFonts w:eastAsiaTheme="minorEastAsia" w:cs="Calibri"/>
                <w:color w:val="000000"/>
                <w:szCs w:val="16"/>
                <w:lang w:eastAsia="en-AU"/>
              </w:rPr>
              <w:t>Net superannuation interest expense</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761</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714</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699</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670</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639</w:t>
            </w:r>
          </w:p>
        </w:tc>
      </w:tr>
      <w:tr w:rsidR="00A46DCA" w:rsidRPr="00AC137D" w:rsidTr="00A26D04">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A46DCA" w:rsidRPr="00AC137D" w:rsidRDefault="00A46DCA" w:rsidP="00A26D04">
            <w:pPr>
              <w:keepLines w:val="0"/>
              <w:autoSpaceDE w:val="0"/>
              <w:autoSpaceDN w:val="0"/>
              <w:adjustRightInd w:val="0"/>
              <w:rPr>
                <w:rFonts w:eastAsiaTheme="minorEastAsia" w:cs="Calibri"/>
                <w:color w:val="000000"/>
                <w:szCs w:val="16"/>
                <w:lang w:eastAsia="en-AU"/>
              </w:rPr>
            </w:pPr>
            <w:r w:rsidRPr="00AC137D">
              <w:rPr>
                <w:rFonts w:eastAsiaTheme="minorEastAsia" w:cs="Calibri"/>
                <w:color w:val="000000"/>
                <w:szCs w:val="16"/>
                <w:lang w:eastAsia="en-AU"/>
              </w:rPr>
              <w:t xml:space="preserve">Current service cost </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780</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920</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890</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886</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884</w:t>
            </w:r>
          </w:p>
        </w:tc>
      </w:tr>
      <w:tr w:rsidR="00A46DCA" w:rsidRPr="00AC137D" w:rsidTr="00A26D04">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A46DCA" w:rsidRPr="00AC137D" w:rsidRDefault="00A46DCA" w:rsidP="00A26D04">
            <w:pPr>
              <w:keepLines w:val="0"/>
              <w:autoSpaceDE w:val="0"/>
              <w:autoSpaceDN w:val="0"/>
              <w:adjustRightInd w:val="0"/>
              <w:rPr>
                <w:rFonts w:eastAsiaTheme="minorEastAsia" w:cs="Calibri"/>
                <w:color w:val="000000"/>
                <w:szCs w:val="16"/>
                <w:lang w:eastAsia="en-AU"/>
              </w:rPr>
            </w:pPr>
            <w:r w:rsidRPr="00AC137D">
              <w:rPr>
                <w:rFonts w:eastAsiaTheme="minorEastAsia" w:cs="Calibri"/>
                <w:color w:val="000000"/>
                <w:szCs w:val="16"/>
                <w:lang w:eastAsia="en-AU"/>
              </w:rPr>
              <w:t>Remeasurements:</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AC137D">
              <w:rPr>
                <w:rFonts w:eastAsiaTheme="minorEastAsia" w:cs="Calibri"/>
                <w:color w:val="000000"/>
                <w:lang w:eastAsia="en-AU"/>
              </w:rPr>
              <w:t xml:space="preserve"> </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AC137D">
              <w:rPr>
                <w:rFonts w:eastAsiaTheme="minorEastAsia" w:cs="Calibri"/>
                <w:color w:val="000000"/>
                <w:lang w:eastAsia="en-AU"/>
              </w:rPr>
              <w:t xml:space="preserve"> </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AC137D">
              <w:rPr>
                <w:rFonts w:eastAsiaTheme="minorEastAsia" w:cs="Calibri"/>
                <w:color w:val="000000"/>
                <w:lang w:eastAsia="en-AU"/>
              </w:rPr>
              <w:t xml:space="preserve"> </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AC137D">
              <w:rPr>
                <w:rFonts w:eastAsiaTheme="minorEastAsia" w:cs="Calibri"/>
                <w:color w:val="000000"/>
                <w:lang w:eastAsia="en-AU"/>
              </w:rPr>
              <w:t xml:space="preserve"> </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AC137D">
              <w:rPr>
                <w:rFonts w:eastAsiaTheme="minorEastAsia" w:cs="Calibri"/>
                <w:color w:val="000000"/>
                <w:lang w:eastAsia="en-AU"/>
              </w:rPr>
              <w:t xml:space="preserve"> </w:t>
            </w:r>
          </w:p>
        </w:tc>
      </w:tr>
      <w:tr w:rsidR="00A46DCA" w:rsidRPr="00AC137D" w:rsidTr="00A26D04">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A46DCA" w:rsidRPr="00AC137D" w:rsidRDefault="00A46DCA" w:rsidP="00A26D04">
            <w:pPr>
              <w:keepLines w:val="0"/>
              <w:autoSpaceDE w:val="0"/>
              <w:autoSpaceDN w:val="0"/>
              <w:adjustRightInd w:val="0"/>
              <w:rPr>
                <w:rFonts w:eastAsiaTheme="minorEastAsia" w:cs="Calibri"/>
                <w:color w:val="000000"/>
                <w:szCs w:val="16"/>
                <w:lang w:eastAsia="en-AU"/>
              </w:rPr>
            </w:pPr>
            <w:r w:rsidRPr="00AC137D">
              <w:rPr>
                <w:rFonts w:eastAsiaTheme="minorEastAsia" w:cs="Calibri"/>
                <w:color w:val="000000"/>
                <w:szCs w:val="16"/>
                <w:lang w:eastAsia="en-AU"/>
              </w:rPr>
              <w:t xml:space="preserve">   Expected return on superannuation assets excluding interest income</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(915)</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(950)</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(921)</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(935)</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(949)</w:t>
            </w:r>
          </w:p>
        </w:tc>
      </w:tr>
      <w:tr w:rsidR="00A46DCA" w:rsidRPr="00AC137D" w:rsidTr="00A26D04">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A46DCA" w:rsidRPr="00AC137D" w:rsidRDefault="00A46DCA" w:rsidP="00A26D04">
            <w:pPr>
              <w:keepLines w:val="0"/>
              <w:autoSpaceDE w:val="0"/>
              <w:autoSpaceDN w:val="0"/>
              <w:adjustRightInd w:val="0"/>
              <w:rPr>
                <w:rFonts w:eastAsiaTheme="minorEastAsia" w:cs="Calibri"/>
                <w:color w:val="000000"/>
                <w:szCs w:val="16"/>
                <w:lang w:eastAsia="en-AU"/>
              </w:rPr>
            </w:pPr>
            <w:r w:rsidRPr="00AC137D">
              <w:rPr>
                <w:rFonts w:eastAsiaTheme="minorEastAsia" w:cs="Calibri"/>
                <w:color w:val="000000"/>
                <w:szCs w:val="16"/>
                <w:lang w:eastAsia="en-AU"/>
              </w:rPr>
              <w:t xml:space="preserve">   Other actuarial (gain)/loss on superannuation assets</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AC137D">
              <w:rPr>
                <w:rFonts w:eastAsiaTheme="minorEastAsia" w:cs="Arial"/>
                <w:color w:val="000000"/>
                <w:szCs w:val="18"/>
                <w:lang w:eastAsia="en-AU"/>
              </w:rPr>
              <w:t>..</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90</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AC137D">
              <w:rPr>
                <w:rFonts w:eastAsiaTheme="minorEastAsia" w:cs="Arial"/>
                <w:color w:val="000000"/>
                <w:szCs w:val="18"/>
                <w:lang w:eastAsia="en-AU"/>
              </w:rPr>
              <w:t>..</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AC137D">
              <w:rPr>
                <w:rFonts w:eastAsiaTheme="minorEastAsia" w:cs="Arial"/>
                <w:color w:val="000000"/>
                <w:szCs w:val="18"/>
                <w:lang w:eastAsia="en-AU"/>
              </w:rPr>
              <w:t>..</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AC137D">
              <w:rPr>
                <w:rFonts w:eastAsiaTheme="minorEastAsia" w:cs="Arial"/>
                <w:color w:val="000000"/>
                <w:szCs w:val="18"/>
                <w:lang w:eastAsia="en-AU"/>
              </w:rPr>
              <w:t>..</w:t>
            </w:r>
          </w:p>
        </w:tc>
      </w:tr>
      <w:tr w:rsidR="00A46DCA" w:rsidRPr="00AC137D" w:rsidTr="00A26D04">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single" w:sz="6" w:space="0" w:color="000000"/>
              <w:right w:val="nil"/>
            </w:tcBorders>
          </w:tcPr>
          <w:p w:rsidR="00A46DCA" w:rsidRPr="00AC137D" w:rsidRDefault="00A46DCA" w:rsidP="00A26D04">
            <w:pPr>
              <w:keepLines w:val="0"/>
              <w:autoSpaceDE w:val="0"/>
              <w:autoSpaceDN w:val="0"/>
              <w:adjustRightInd w:val="0"/>
              <w:rPr>
                <w:rFonts w:eastAsiaTheme="minorEastAsia" w:cs="Calibri"/>
                <w:color w:val="000000"/>
                <w:szCs w:val="16"/>
                <w:lang w:eastAsia="en-AU"/>
              </w:rPr>
            </w:pPr>
            <w:r w:rsidRPr="00AC137D">
              <w:rPr>
                <w:rFonts w:eastAsiaTheme="minorEastAsia" w:cs="Calibri"/>
                <w:color w:val="000000"/>
                <w:szCs w:val="16"/>
                <w:lang w:eastAsia="en-AU"/>
              </w:rPr>
              <w:t xml:space="preserve">   Actuarial and other adjustments to unfunded superannuation liability</w:t>
            </w:r>
          </w:p>
        </w:tc>
        <w:tc>
          <w:tcPr>
            <w:tcW w:w="850" w:type="dxa"/>
            <w:tcBorders>
              <w:top w:val="nil"/>
              <w:left w:val="nil"/>
              <w:bottom w:val="single" w:sz="6" w:space="0" w:color="000000"/>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AC137D">
              <w:rPr>
                <w:rFonts w:eastAsiaTheme="minorEastAsia" w:cs="Arial"/>
                <w:color w:val="000000"/>
                <w:szCs w:val="18"/>
                <w:lang w:eastAsia="en-AU"/>
              </w:rPr>
              <w:t>..</w:t>
            </w:r>
          </w:p>
        </w:tc>
        <w:tc>
          <w:tcPr>
            <w:tcW w:w="850" w:type="dxa"/>
            <w:tcBorders>
              <w:top w:val="nil"/>
              <w:left w:val="nil"/>
              <w:bottom w:val="single" w:sz="6" w:space="0" w:color="000000"/>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(1 118)</w:t>
            </w:r>
          </w:p>
        </w:tc>
        <w:tc>
          <w:tcPr>
            <w:tcW w:w="850" w:type="dxa"/>
            <w:tcBorders>
              <w:top w:val="nil"/>
              <w:left w:val="nil"/>
              <w:bottom w:val="single" w:sz="6" w:space="0" w:color="000000"/>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AC137D">
              <w:rPr>
                <w:rFonts w:eastAsiaTheme="minorEastAsia" w:cs="Arial"/>
                <w:color w:val="000000"/>
                <w:szCs w:val="18"/>
                <w:lang w:eastAsia="en-AU"/>
              </w:rPr>
              <w:t>..</w:t>
            </w:r>
          </w:p>
        </w:tc>
        <w:tc>
          <w:tcPr>
            <w:tcW w:w="850" w:type="dxa"/>
            <w:tcBorders>
              <w:top w:val="nil"/>
              <w:left w:val="nil"/>
              <w:bottom w:val="single" w:sz="6" w:space="0" w:color="000000"/>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AC137D">
              <w:rPr>
                <w:rFonts w:eastAsiaTheme="minorEastAsia" w:cs="Arial"/>
                <w:color w:val="000000"/>
                <w:szCs w:val="18"/>
                <w:lang w:eastAsia="en-AU"/>
              </w:rPr>
              <w:t>..</w:t>
            </w:r>
          </w:p>
        </w:tc>
        <w:tc>
          <w:tcPr>
            <w:tcW w:w="850" w:type="dxa"/>
            <w:tcBorders>
              <w:top w:val="nil"/>
              <w:left w:val="nil"/>
              <w:bottom w:val="single" w:sz="6" w:space="0" w:color="000000"/>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AC137D">
              <w:rPr>
                <w:rFonts w:eastAsiaTheme="minorEastAsia" w:cs="Arial"/>
                <w:color w:val="000000"/>
                <w:szCs w:val="18"/>
                <w:lang w:eastAsia="en-AU"/>
              </w:rPr>
              <w:t>..</w:t>
            </w:r>
          </w:p>
        </w:tc>
      </w:tr>
      <w:tr w:rsidR="00A46DCA" w:rsidRPr="00AC137D" w:rsidTr="00A26D04">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A46DCA" w:rsidRPr="00AC137D" w:rsidRDefault="00A46DCA" w:rsidP="00A26D04">
            <w:pPr>
              <w:keepLines w:val="0"/>
              <w:autoSpaceDE w:val="0"/>
              <w:autoSpaceDN w:val="0"/>
              <w:adjustRightInd w:val="0"/>
              <w:rPr>
                <w:rFonts w:eastAsiaTheme="minorEastAsia" w:cs="Calibri"/>
                <w:b/>
                <w:bCs/>
                <w:color w:val="000000"/>
                <w:szCs w:val="16"/>
                <w:lang w:eastAsia="en-AU"/>
              </w:rPr>
            </w:pPr>
            <w:r w:rsidRPr="00AC137D">
              <w:rPr>
                <w:rFonts w:eastAsiaTheme="minorEastAsia" w:cs="Calibri"/>
                <w:b/>
                <w:bCs/>
                <w:color w:val="000000"/>
                <w:szCs w:val="16"/>
                <w:lang w:eastAsia="en-AU"/>
              </w:rPr>
              <w:t>Total expense recognised in respect of defined benefit plans</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Pr>
                <w:rFonts w:eastAsiaTheme="minorEastAsia" w:cs="Arial"/>
                <w:b/>
                <w:bCs/>
                <w:color w:val="000000"/>
                <w:szCs w:val="18"/>
                <w:lang w:eastAsia="en-AU"/>
              </w:rPr>
              <w:t>626</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Pr>
                <w:rFonts w:eastAsiaTheme="minorEastAsia" w:cs="Arial"/>
                <w:b/>
                <w:bCs/>
                <w:color w:val="000000"/>
                <w:szCs w:val="18"/>
                <w:lang w:eastAsia="en-AU"/>
              </w:rPr>
              <w:t>(344)</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Pr>
                <w:rFonts w:eastAsiaTheme="minorEastAsia" w:cs="Arial"/>
                <w:b/>
                <w:bCs/>
                <w:color w:val="000000"/>
                <w:szCs w:val="18"/>
                <w:lang w:eastAsia="en-AU"/>
              </w:rPr>
              <w:t>668</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Pr>
                <w:rFonts w:eastAsiaTheme="minorEastAsia" w:cs="Arial"/>
                <w:b/>
                <w:bCs/>
                <w:color w:val="000000"/>
                <w:szCs w:val="18"/>
                <w:lang w:eastAsia="en-AU"/>
              </w:rPr>
              <w:t>621</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Pr>
                <w:rFonts w:eastAsiaTheme="minorEastAsia" w:cs="Arial"/>
                <w:b/>
                <w:bCs/>
                <w:color w:val="000000"/>
                <w:szCs w:val="18"/>
                <w:lang w:eastAsia="en-AU"/>
              </w:rPr>
              <w:t>574</w:t>
            </w:r>
          </w:p>
        </w:tc>
      </w:tr>
      <w:tr w:rsidR="00A46DCA" w:rsidRPr="00AC137D" w:rsidTr="00A26D04">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A46DCA" w:rsidRPr="00AC137D" w:rsidRDefault="00A46DCA" w:rsidP="00A26D04">
            <w:pPr>
              <w:keepLines w:val="0"/>
              <w:autoSpaceDE w:val="0"/>
              <w:autoSpaceDN w:val="0"/>
              <w:adjustRightInd w:val="0"/>
              <w:rPr>
                <w:rFonts w:eastAsiaTheme="minorEastAsia" w:cs="Calibri"/>
                <w:b/>
                <w:bCs/>
                <w:color w:val="000000"/>
                <w:szCs w:val="16"/>
                <w:lang w:eastAsia="en-AU"/>
              </w:rPr>
            </w:pPr>
            <w:r w:rsidRPr="00AC137D">
              <w:rPr>
                <w:rFonts w:eastAsiaTheme="minorEastAsia" w:cs="Calibri"/>
                <w:b/>
                <w:bCs/>
                <w:color w:val="000000"/>
                <w:szCs w:val="16"/>
                <w:lang w:eastAsia="en-AU"/>
              </w:rPr>
              <w:t>Defined contribution plans</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AC137D">
              <w:rPr>
                <w:rFonts w:eastAsiaTheme="minorEastAsia" w:cs="Calibri"/>
                <w:b/>
                <w:bCs/>
                <w:color w:val="000000"/>
                <w:lang w:eastAsia="en-AU"/>
              </w:rPr>
              <w:t xml:space="preserve"> </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AC137D">
              <w:rPr>
                <w:rFonts w:eastAsiaTheme="minorEastAsia" w:cs="Calibri"/>
                <w:b/>
                <w:bCs/>
                <w:color w:val="000000"/>
                <w:lang w:eastAsia="en-AU"/>
              </w:rPr>
              <w:t xml:space="preserve"> </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AC137D">
              <w:rPr>
                <w:rFonts w:eastAsiaTheme="minorEastAsia" w:cs="Calibri"/>
                <w:b/>
                <w:bCs/>
                <w:color w:val="000000"/>
                <w:lang w:eastAsia="en-AU"/>
              </w:rPr>
              <w:t xml:space="preserve"> </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AC137D">
              <w:rPr>
                <w:rFonts w:eastAsiaTheme="minorEastAsia" w:cs="Calibri"/>
                <w:b/>
                <w:bCs/>
                <w:color w:val="000000"/>
                <w:lang w:eastAsia="en-AU"/>
              </w:rPr>
              <w:t xml:space="preserve"> </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AC137D">
              <w:rPr>
                <w:rFonts w:eastAsiaTheme="minorEastAsia" w:cs="Calibri"/>
                <w:b/>
                <w:bCs/>
                <w:color w:val="000000"/>
                <w:lang w:eastAsia="en-AU"/>
              </w:rPr>
              <w:t xml:space="preserve"> </w:t>
            </w:r>
          </w:p>
        </w:tc>
      </w:tr>
      <w:tr w:rsidR="00A46DCA" w:rsidRPr="00AC137D" w:rsidTr="00A26D04">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A46DCA" w:rsidRPr="00AC137D" w:rsidRDefault="00A46DCA" w:rsidP="00A26D04">
            <w:pPr>
              <w:keepLines w:val="0"/>
              <w:autoSpaceDE w:val="0"/>
              <w:autoSpaceDN w:val="0"/>
              <w:adjustRightInd w:val="0"/>
              <w:rPr>
                <w:rFonts w:eastAsiaTheme="minorEastAsia" w:cs="Calibri"/>
                <w:color w:val="000000"/>
                <w:szCs w:val="16"/>
                <w:lang w:eastAsia="en-AU"/>
              </w:rPr>
            </w:pPr>
            <w:r w:rsidRPr="00AC137D">
              <w:rPr>
                <w:rFonts w:eastAsiaTheme="minorEastAsia" w:cs="Calibri"/>
                <w:color w:val="000000"/>
                <w:szCs w:val="16"/>
                <w:lang w:eastAsia="en-AU"/>
              </w:rPr>
              <w:t xml:space="preserve">Employer contributions to defined contribution plans </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AC137D">
              <w:rPr>
                <w:rFonts w:eastAsiaTheme="minorEastAsia" w:cs="Arial"/>
                <w:color w:val="000000"/>
                <w:szCs w:val="18"/>
                <w:lang w:eastAsia="en-AU"/>
              </w:rPr>
              <w:t>1 502</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AC137D">
              <w:rPr>
                <w:rFonts w:eastAsiaTheme="minorEastAsia" w:cs="Arial"/>
                <w:color w:val="000000"/>
                <w:szCs w:val="18"/>
                <w:lang w:eastAsia="en-AU"/>
              </w:rPr>
              <w:t>1 510</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AC137D">
              <w:rPr>
                <w:rFonts w:eastAsiaTheme="minorEastAsia" w:cs="Arial"/>
                <w:color w:val="000000"/>
                <w:szCs w:val="18"/>
                <w:lang w:eastAsia="en-AU"/>
              </w:rPr>
              <w:t>1 547</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AC137D">
              <w:rPr>
                <w:rFonts w:eastAsiaTheme="minorEastAsia" w:cs="Arial"/>
                <w:color w:val="000000"/>
                <w:szCs w:val="18"/>
                <w:lang w:eastAsia="en-AU"/>
              </w:rPr>
              <w:t>1 612</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AC137D">
              <w:rPr>
                <w:rFonts w:eastAsiaTheme="minorEastAsia" w:cs="Arial"/>
                <w:color w:val="000000"/>
                <w:szCs w:val="18"/>
                <w:lang w:eastAsia="en-AU"/>
              </w:rPr>
              <w:t>1 659</w:t>
            </w:r>
          </w:p>
        </w:tc>
      </w:tr>
      <w:tr w:rsidR="00A46DCA" w:rsidRPr="00AC137D" w:rsidTr="00A26D04">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A46DCA" w:rsidRPr="00AC137D" w:rsidRDefault="00A46DCA" w:rsidP="00A26D04">
            <w:pPr>
              <w:keepLines w:val="0"/>
              <w:autoSpaceDE w:val="0"/>
              <w:autoSpaceDN w:val="0"/>
              <w:adjustRightInd w:val="0"/>
              <w:rPr>
                <w:rFonts w:eastAsiaTheme="minorEastAsia" w:cs="Calibri"/>
                <w:color w:val="000000"/>
                <w:szCs w:val="16"/>
                <w:lang w:eastAsia="en-AU"/>
              </w:rPr>
            </w:pPr>
            <w:r w:rsidRPr="00AC137D">
              <w:rPr>
                <w:rFonts w:eastAsiaTheme="minorEastAsia" w:cs="Calibri"/>
                <w:color w:val="000000"/>
                <w:szCs w:val="16"/>
                <w:lang w:eastAsia="en-AU"/>
              </w:rPr>
              <w:t>Other (including pensions)</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65</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65</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66</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68</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69</w:t>
            </w:r>
          </w:p>
        </w:tc>
      </w:tr>
      <w:tr w:rsidR="00A46DCA" w:rsidRPr="00AC137D" w:rsidTr="00A26D04">
        <w:tc>
          <w:tcPr>
            <w:cnfStyle w:val="001000000000" w:firstRow="0" w:lastRow="0" w:firstColumn="1" w:lastColumn="0" w:oddVBand="0" w:evenVBand="0" w:oddHBand="0" w:evenHBand="0" w:firstRowFirstColumn="0" w:firstRowLastColumn="0" w:lastRowFirstColumn="0" w:lastRowLastColumn="0"/>
            <w:tcW w:w="3515" w:type="dxa"/>
            <w:tcBorders>
              <w:top w:val="single" w:sz="6" w:space="0" w:color="000000"/>
              <w:left w:val="nil"/>
              <w:bottom w:val="nil"/>
              <w:right w:val="nil"/>
            </w:tcBorders>
          </w:tcPr>
          <w:p w:rsidR="00A46DCA" w:rsidRPr="00AC137D" w:rsidRDefault="00A46DCA" w:rsidP="00A26D04">
            <w:pPr>
              <w:keepLines w:val="0"/>
              <w:autoSpaceDE w:val="0"/>
              <w:autoSpaceDN w:val="0"/>
              <w:adjustRightInd w:val="0"/>
              <w:rPr>
                <w:rFonts w:eastAsiaTheme="minorEastAsia" w:cs="Calibri"/>
                <w:b/>
                <w:bCs/>
                <w:color w:val="000000"/>
                <w:szCs w:val="16"/>
                <w:lang w:eastAsia="en-AU"/>
              </w:rPr>
            </w:pPr>
            <w:r w:rsidRPr="00AC137D">
              <w:rPr>
                <w:rFonts w:eastAsiaTheme="minorEastAsia" w:cs="Calibri"/>
                <w:b/>
                <w:bCs/>
                <w:color w:val="000000"/>
                <w:szCs w:val="16"/>
                <w:lang w:eastAsia="en-AU"/>
              </w:rPr>
              <w:t>Total expense recognised in respect of defined contribution plans</w:t>
            </w:r>
          </w:p>
        </w:tc>
        <w:tc>
          <w:tcPr>
            <w:tcW w:w="850" w:type="dxa"/>
            <w:tcBorders>
              <w:top w:val="single" w:sz="6" w:space="0" w:color="000000"/>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sidRPr="00AC137D">
              <w:rPr>
                <w:rFonts w:eastAsiaTheme="minorEastAsia" w:cs="Arial"/>
                <w:b/>
                <w:bCs/>
                <w:color w:val="000000"/>
                <w:szCs w:val="18"/>
                <w:lang w:eastAsia="en-AU"/>
              </w:rPr>
              <w:t>1 567</w:t>
            </w:r>
          </w:p>
        </w:tc>
        <w:tc>
          <w:tcPr>
            <w:tcW w:w="850" w:type="dxa"/>
            <w:tcBorders>
              <w:top w:val="single" w:sz="6" w:space="0" w:color="000000"/>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sidRPr="00AC137D">
              <w:rPr>
                <w:rFonts w:eastAsiaTheme="minorEastAsia" w:cs="Arial"/>
                <w:b/>
                <w:bCs/>
                <w:color w:val="000000"/>
                <w:szCs w:val="18"/>
                <w:lang w:eastAsia="en-AU"/>
              </w:rPr>
              <w:t>1 575</w:t>
            </w:r>
          </w:p>
        </w:tc>
        <w:tc>
          <w:tcPr>
            <w:tcW w:w="850" w:type="dxa"/>
            <w:tcBorders>
              <w:top w:val="single" w:sz="6" w:space="0" w:color="000000"/>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sidRPr="00AC137D">
              <w:rPr>
                <w:rFonts w:eastAsiaTheme="minorEastAsia" w:cs="Arial"/>
                <w:b/>
                <w:bCs/>
                <w:color w:val="000000"/>
                <w:szCs w:val="18"/>
                <w:lang w:eastAsia="en-AU"/>
              </w:rPr>
              <w:t>1 614</w:t>
            </w:r>
          </w:p>
        </w:tc>
        <w:tc>
          <w:tcPr>
            <w:tcW w:w="850" w:type="dxa"/>
            <w:tcBorders>
              <w:top w:val="single" w:sz="6" w:space="0" w:color="000000"/>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sidRPr="00AC137D">
              <w:rPr>
                <w:rFonts w:eastAsiaTheme="minorEastAsia" w:cs="Arial"/>
                <w:b/>
                <w:bCs/>
                <w:color w:val="000000"/>
                <w:szCs w:val="18"/>
                <w:lang w:eastAsia="en-AU"/>
              </w:rPr>
              <w:t>1 680</w:t>
            </w:r>
          </w:p>
        </w:tc>
        <w:tc>
          <w:tcPr>
            <w:tcW w:w="850" w:type="dxa"/>
            <w:tcBorders>
              <w:top w:val="single" w:sz="6" w:space="0" w:color="000000"/>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sidRPr="00AC137D">
              <w:rPr>
                <w:rFonts w:eastAsiaTheme="minorEastAsia" w:cs="Arial"/>
                <w:b/>
                <w:bCs/>
                <w:color w:val="000000"/>
                <w:szCs w:val="18"/>
                <w:lang w:eastAsia="en-AU"/>
              </w:rPr>
              <w:t>1 728</w:t>
            </w:r>
          </w:p>
        </w:tc>
      </w:tr>
      <w:tr w:rsidR="00A46DCA" w:rsidRPr="00AC137D" w:rsidTr="00A26D04">
        <w:tc>
          <w:tcPr>
            <w:cnfStyle w:val="001000000000" w:firstRow="0" w:lastRow="0" w:firstColumn="1" w:lastColumn="0" w:oddVBand="0" w:evenVBand="0" w:oddHBand="0" w:evenHBand="0" w:firstRowFirstColumn="0" w:firstRowLastColumn="0" w:lastRowFirstColumn="0" w:lastRowLastColumn="0"/>
            <w:tcW w:w="3515" w:type="dxa"/>
            <w:tcBorders>
              <w:top w:val="single" w:sz="6" w:space="0" w:color="000000"/>
              <w:left w:val="nil"/>
              <w:bottom w:val="single" w:sz="12" w:space="0" w:color="000000"/>
              <w:right w:val="nil"/>
            </w:tcBorders>
          </w:tcPr>
          <w:p w:rsidR="00A46DCA" w:rsidRPr="00AC137D" w:rsidRDefault="00A46DCA" w:rsidP="00A26D04">
            <w:pPr>
              <w:keepLines w:val="0"/>
              <w:autoSpaceDE w:val="0"/>
              <w:autoSpaceDN w:val="0"/>
              <w:adjustRightInd w:val="0"/>
              <w:rPr>
                <w:rFonts w:eastAsiaTheme="minorEastAsia" w:cs="Calibri"/>
                <w:b/>
                <w:bCs/>
                <w:color w:val="000000"/>
                <w:szCs w:val="16"/>
                <w:lang w:eastAsia="en-AU"/>
              </w:rPr>
            </w:pPr>
            <w:r w:rsidRPr="00AC137D">
              <w:rPr>
                <w:rFonts w:eastAsiaTheme="minorEastAsia" w:cs="Calibri"/>
                <w:b/>
                <w:bCs/>
                <w:color w:val="000000"/>
                <w:szCs w:val="16"/>
                <w:lang w:eastAsia="en-AU"/>
              </w:rPr>
              <w:t>Total superannuation (gain)/expense recognised in operating statement</w:t>
            </w:r>
          </w:p>
        </w:tc>
        <w:tc>
          <w:tcPr>
            <w:tcW w:w="850" w:type="dxa"/>
            <w:tcBorders>
              <w:top w:val="single" w:sz="6" w:space="0" w:color="000000"/>
              <w:left w:val="nil"/>
              <w:bottom w:val="single" w:sz="12" w:space="0" w:color="000000"/>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sidRPr="00AC137D">
              <w:rPr>
                <w:rFonts w:eastAsiaTheme="minorEastAsia" w:cs="Arial"/>
                <w:b/>
                <w:bCs/>
                <w:color w:val="000000"/>
                <w:szCs w:val="18"/>
                <w:lang w:eastAsia="en-AU"/>
              </w:rPr>
              <w:t>2 193</w:t>
            </w:r>
          </w:p>
        </w:tc>
        <w:tc>
          <w:tcPr>
            <w:tcW w:w="850" w:type="dxa"/>
            <w:tcBorders>
              <w:top w:val="single" w:sz="6" w:space="0" w:color="000000"/>
              <w:left w:val="nil"/>
              <w:bottom w:val="single" w:sz="12" w:space="0" w:color="000000"/>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sidRPr="00AC137D">
              <w:rPr>
                <w:rFonts w:eastAsiaTheme="minorEastAsia" w:cs="Arial"/>
                <w:b/>
                <w:bCs/>
                <w:color w:val="000000"/>
                <w:szCs w:val="18"/>
                <w:lang w:eastAsia="en-AU"/>
              </w:rPr>
              <w:t>1 231</w:t>
            </w:r>
          </w:p>
        </w:tc>
        <w:tc>
          <w:tcPr>
            <w:tcW w:w="850" w:type="dxa"/>
            <w:tcBorders>
              <w:top w:val="single" w:sz="6" w:space="0" w:color="000000"/>
              <w:left w:val="nil"/>
              <w:bottom w:val="single" w:sz="12" w:space="0" w:color="000000"/>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sidRPr="00AC137D">
              <w:rPr>
                <w:rFonts w:eastAsiaTheme="minorEastAsia" w:cs="Arial"/>
                <w:b/>
                <w:bCs/>
                <w:color w:val="000000"/>
                <w:szCs w:val="18"/>
                <w:lang w:eastAsia="en-AU"/>
              </w:rPr>
              <w:t>2 281</w:t>
            </w:r>
          </w:p>
        </w:tc>
        <w:tc>
          <w:tcPr>
            <w:tcW w:w="850" w:type="dxa"/>
            <w:tcBorders>
              <w:top w:val="single" w:sz="6" w:space="0" w:color="000000"/>
              <w:left w:val="nil"/>
              <w:bottom w:val="single" w:sz="12" w:space="0" w:color="000000"/>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sidRPr="00AC137D">
              <w:rPr>
                <w:rFonts w:eastAsiaTheme="minorEastAsia" w:cs="Arial"/>
                <w:b/>
                <w:bCs/>
                <w:color w:val="000000"/>
                <w:szCs w:val="18"/>
                <w:lang w:eastAsia="en-AU"/>
              </w:rPr>
              <w:t>2 301</w:t>
            </w:r>
          </w:p>
        </w:tc>
        <w:tc>
          <w:tcPr>
            <w:tcW w:w="850" w:type="dxa"/>
            <w:tcBorders>
              <w:top w:val="single" w:sz="6" w:space="0" w:color="000000"/>
              <w:left w:val="nil"/>
              <w:bottom w:val="single" w:sz="12" w:space="0" w:color="000000"/>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sidRPr="00AC137D">
              <w:rPr>
                <w:rFonts w:eastAsiaTheme="minorEastAsia" w:cs="Arial"/>
                <w:b/>
                <w:bCs/>
                <w:color w:val="000000"/>
                <w:szCs w:val="18"/>
                <w:lang w:eastAsia="en-AU"/>
              </w:rPr>
              <w:t>2 302</w:t>
            </w:r>
          </w:p>
        </w:tc>
      </w:tr>
      <w:tr w:rsidR="00A46DCA" w:rsidRPr="00AC137D" w:rsidTr="00A26D04">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A46DCA" w:rsidRPr="00AC137D" w:rsidRDefault="00A46DCA" w:rsidP="00A26D04">
            <w:pPr>
              <w:keepLines w:val="0"/>
              <w:autoSpaceDE w:val="0"/>
              <w:autoSpaceDN w:val="0"/>
              <w:adjustRightInd w:val="0"/>
              <w:rPr>
                <w:rFonts w:eastAsiaTheme="minorEastAsia" w:cs="Calibri"/>
                <w:b/>
                <w:bCs/>
                <w:color w:val="000000"/>
                <w:szCs w:val="16"/>
                <w:lang w:eastAsia="en-AU"/>
              </w:rPr>
            </w:pPr>
            <w:r w:rsidRPr="00AC137D">
              <w:rPr>
                <w:rFonts w:eastAsiaTheme="minorEastAsia" w:cs="Calibri"/>
                <w:b/>
                <w:bCs/>
                <w:color w:val="000000"/>
                <w:szCs w:val="16"/>
                <w:lang w:eastAsia="en-AU"/>
              </w:rPr>
              <w:t>Represented by:</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AC137D">
              <w:rPr>
                <w:rFonts w:eastAsiaTheme="minorEastAsia" w:cs="Calibri"/>
                <w:b/>
                <w:bCs/>
                <w:color w:val="000000"/>
                <w:lang w:eastAsia="en-AU"/>
              </w:rPr>
              <w:t xml:space="preserve"> </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AC137D">
              <w:rPr>
                <w:rFonts w:eastAsiaTheme="minorEastAsia" w:cs="Calibri"/>
                <w:b/>
                <w:bCs/>
                <w:color w:val="000000"/>
                <w:lang w:eastAsia="en-AU"/>
              </w:rPr>
              <w:t xml:space="preserve"> </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AC137D">
              <w:rPr>
                <w:rFonts w:eastAsiaTheme="minorEastAsia" w:cs="Calibri"/>
                <w:b/>
                <w:bCs/>
                <w:color w:val="000000"/>
                <w:lang w:eastAsia="en-AU"/>
              </w:rPr>
              <w:t xml:space="preserve"> </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AC137D">
              <w:rPr>
                <w:rFonts w:eastAsiaTheme="minorEastAsia" w:cs="Calibri"/>
                <w:b/>
                <w:bCs/>
                <w:color w:val="000000"/>
                <w:lang w:eastAsia="en-AU"/>
              </w:rPr>
              <w:t xml:space="preserve"> </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AC137D">
              <w:rPr>
                <w:rFonts w:eastAsiaTheme="minorEastAsia" w:cs="Calibri"/>
                <w:b/>
                <w:bCs/>
                <w:color w:val="000000"/>
                <w:lang w:eastAsia="en-AU"/>
              </w:rPr>
              <w:t xml:space="preserve"> </w:t>
            </w:r>
          </w:p>
        </w:tc>
      </w:tr>
      <w:tr w:rsidR="00A46DCA" w:rsidRPr="00AC137D" w:rsidTr="00A26D04">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A46DCA" w:rsidRPr="00AC137D" w:rsidRDefault="00A46DCA" w:rsidP="00A26D04">
            <w:pPr>
              <w:keepLines w:val="0"/>
              <w:autoSpaceDE w:val="0"/>
              <w:autoSpaceDN w:val="0"/>
              <w:adjustRightInd w:val="0"/>
              <w:rPr>
                <w:rFonts w:eastAsiaTheme="minorEastAsia" w:cs="Calibri"/>
                <w:color w:val="000000"/>
                <w:szCs w:val="16"/>
                <w:lang w:eastAsia="en-AU"/>
              </w:rPr>
            </w:pPr>
            <w:r w:rsidRPr="00AC137D">
              <w:rPr>
                <w:rFonts w:eastAsiaTheme="minorEastAsia" w:cs="Calibri"/>
                <w:color w:val="000000"/>
                <w:szCs w:val="16"/>
                <w:lang w:eastAsia="en-AU"/>
              </w:rPr>
              <w:t xml:space="preserve">   Net superannuation interest expense</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761</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714</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699</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670</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639</w:t>
            </w:r>
          </w:p>
        </w:tc>
      </w:tr>
      <w:tr w:rsidR="00A46DCA" w:rsidRPr="00AC137D" w:rsidTr="00A26D04">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A46DCA" w:rsidRPr="00AC137D" w:rsidRDefault="00A46DCA" w:rsidP="00A26D04">
            <w:pPr>
              <w:keepLines w:val="0"/>
              <w:autoSpaceDE w:val="0"/>
              <w:autoSpaceDN w:val="0"/>
              <w:adjustRightInd w:val="0"/>
              <w:rPr>
                <w:rFonts w:eastAsiaTheme="minorEastAsia" w:cs="Calibri"/>
                <w:color w:val="000000"/>
                <w:szCs w:val="16"/>
                <w:lang w:eastAsia="en-AU"/>
              </w:rPr>
            </w:pPr>
            <w:r w:rsidRPr="00AC137D">
              <w:rPr>
                <w:rFonts w:eastAsiaTheme="minorEastAsia" w:cs="Calibri"/>
                <w:color w:val="000000"/>
                <w:szCs w:val="16"/>
                <w:lang w:eastAsia="en-AU"/>
              </w:rPr>
              <w:t xml:space="preserve">   Other superannuation</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AC137D">
              <w:rPr>
                <w:rFonts w:eastAsiaTheme="minorEastAsia" w:cs="Arial"/>
                <w:color w:val="000000"/>
                <w:szCs w:val="18"/>
                <w:lang w:eastAsia="en-AU"/>
              </w:rPr>
              <w:t>2 347</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AC137D">
              <w:rPr>
                <w:rFonts w:eastAsiaTheme="minorEastAsia" w:cs="Arial"/>
                <w:color w:val="000000"/>
                <w:szCs w:val="18"/>
                <w:lang w:eastAsia="en-AU"/>
              </w:rPr>
              <w:t>2 495</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AC137D">
              <w:rPr>
                <w:rFonts w:eastAsiaTheme="minorEastAsia" w:cs="Arial"/>
                <w:color w:val="000000"/>
                <w:szCs w:val="18"/>
                <w:lang w:eastAsia="en-AU"/>
              </w:rPr>
              <w:t>2 503</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AC137D">
              <w:rPr>
                <w:rFonts w:eastAsiaTheme="minorEastAsia" w:cs="Arial"/>
                <w:color w:val="000000"/>
                <w:szCs w:val="18"/>
                <w:lang w:eastAsia="en-AU"/>
              </w:rPr>
              <w:t>2 566</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AC137D">
              <w:rPr>
                <w:rFonts w:eastAsiaTheme="minorEastAsia" w:cs="Arial"/>
                <w:color w:val="000000"/>
                <w:szCs w:val="18"/>
                <w:lang w:eastAsia="en-AU"/>
              </w:rPr>
              <w:t>2 612</w:t>
            </w:r>
          </w:p>
        </w:tc>
      </w:tr>
      <w:tr w:rsidR="00A46DCA" w:rsidRPr="00AC137D" w:rsidTr="00A26D04">
        <w:tc>
          <w:tcPr>
            <w:cnfStyle w:val="001000000000" w:firstRow="0" w:lastRow="0" w:firstColumn="1" w:lastColumn="0" w:oddVBand="0" w:evenVBand="0" w:oddHBand="0" w:evenHBand="0" w:firstRowFirstColumn="0" w:firstRowLastColumn="0" w:lastRowFirstColumn="0" w:lastRowLastColumn="0"/>
            <w:tcW w:w="3515" w:type="dxa"/>
            <w:tcBorders>
              <w:top w:val="single" w:sz="6" w:space="0" w:color="000000"/>
              <w:left w:val="nil"/>
              <w:bottom w:val="nil"/>
              <w:right w:val="nil"/>
            </w:tcBorders>
          </w:tcPr>
          <w:p w:rsidR="00A46DCA" w:rsidRPr="00AC137D" w:rsidRDefault="00A46DCA" w:rsidP="00A26D04">
            <w:pPr>
              <w:keepLines w:val="0"/>
              <w:autoSpaceDE w:val="0"/>
              <w:autoSpaceDN w:val="0"/>
              <w:adjustRightInd w:val="0"/>
              <w:rPr>
                <w:rFonts w:eastAsiaTheme="minorEastAsia" w:cs="Calibri"/>
                <w:b/>
                <w:bCs/>
                <w:color w:val="000000"/>
                <w:szCs w:val="16"/>
                <w:lang w:eastAsia="en-AU"/>
              </w:rPr>
            </w:pPr>
            <w:r w:rsidRPr="00AC137D">
              <w:rPr>
                <w:rFonts w:eastAsiaTheme="minorEastAsia" w:cs="Calibri"/>
                <w:b/>
                <w:bCs/>
                <w:color w:val="000000"/>
                <w:szCs w:val="16"/>
                <w:lang w:eastAsia="en-AU"/>
              </w:rPr>
              <w:t>Superannuation expense from transactions</w:t>
            </w:r>
          </w:p>
        </w:tc>
        <w:tc>
          <w:tcPr>
            <w:tcW w:w="850" w:type="dxa"/>
            <w:tcBorders>
              <w:top w:val="single" w:sz="6" w:space="0" w:color="000000"/>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sidRPr="00AC137D">
              <w:rPr>
                <w:rFonts w:eastAsiaTheme="minorEastAsia" w:cs="Arial"/>
                <w:b/>
                <w:bCs/>
                <w:color w:val="000000"/>
                <w:szCs w:val="18"/>
                <w:lang w:eastAsia="en-AU"/>
              </w:rPr>
              <w:t>3 108</w:t>
            </w:r>
          </w:p>
        </w:tc>
        <w:tc>
          <w:tcPr>
            <w:tcW w:w="850" w:type="dxa"/>
            <w:tcBorders>
              <w:top w:val="single" w:sz="6" w:space="0" w:color="000000"/>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sidRPr="00AC137D">
              <w:rPr>
                <w:rFonts w:eastAsiaTheme="minorEastAsia" w:cs="Arial"/>
                <w:b/>
                <w:bCs/>
                <w:color w:val="000000"/>
                <w:szCs w:val="18"/>
                <w:lang w:eastAsia="en-AU"/>
              </w:rPr>
              <w:t>3 210</w:t>
            </w:r>
          </w:p>
        </w:tc>
        <w:tc>
          <w:tcPr>
            <w:tcW w:w="850" w:type="dxa"/>
            <w:tcBorders>
              <w:top w:val="single" w:sz="6" w:space="0" w:color="000000"/>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sidRPr="00AC137D">
              <w:rPr>
                <w:rFonts w:eastAsiaTheme="minorEastAsia" w:cs="Arial"/>
                <w:b/>
                <w:bCs/>
                <w:color w:val="000000"/>
                <w:szCs w:val="18"/>
                <w:lang w:eastAsia="en-AU"/>
              </w:rPr>
              <w:t>3 202</w:t>
            </w:r>
          </w:p>
        </w:tc>
        <w:tc>
          <w:tcPr>
            <w:tcW w:w="850" w:type="dxa"/>
            <w:tcBorders>
              <w:top w:val="single" w:sz="6" w:space="0" w:color="000000"/>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sidRPr="00AC137D">
              <w:rPr>
                <w:rFonts w:eastAsiaTheme="minorEastAsia" w:cs="Arial"/>
                <w:b/>
                <w:bCs/>
                <w:color w:val="000000"/>
                <w:szCs w:val="18"/>
                <w:lang w:eastAsia="en-AU"/>
              </w:rPr>
              <w:t>3 236</w:t>
            </w:r>
          </w:p>
        </w:tc>
        <w:tc>
          <w:tcPr>
            <w:tcW w:w="850" w:type="dxa"/>
            <w:tcBorders>
              <w:top w:val="single" w:sz="6" w:space="0" w:color="000000"/>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sidRPr="00AC137D">
              <w:rPr>
                <w:rFonts w:eastAsiaTheme="minorEastAsia" w:cs="Arial"/>
                <w:b/>
                <w:bCs/>
                <w:color w:val="000000"/>
                <w:szCs w:val="18"/>
                <w:lang w:eastAsia="en-AU"/>
              </w:rPr>
              <w:t>3 250</w:t>
            </w:r>
          </w:p>
        </w:tc>
      </w:tr>
      <w:tr w:rsidR="00A46DCA" w:rsidRPr="00AC137D" w:rsidTr="00A26D04">
        <w:tc>
          <w:tcPr>
            <w:cnfStyle w:val="001000000000" w:firstRow="0" w:lastRow="0" w:firstColumn="1" w:lastColumn="0" w:oddVBand="0" w:evenVBand="0" w:oddHBand="0" w:evenHBand="0" w:firstRowFirstColumn="0" w:firstRowLastColumn="0" w:lastRowFirstColumn="0" w:lastRowLastColumn="0"/>
            <w:tcW w:w="3515" w:type="dxa"/>
            <w:tcBorders>
              <w:top w:val="single" w:sz="6" w:space="0" w:color="000000"/>
              <w:left w:val="nil"/>
              <w:bottom w:val="nil"/>
              <w:right w:val="nil"/>
            </w:tcBorders>
          </w:tcPr>
          <w:p w:rsidR="00A46DCA" w:rsidRPr="00AC137D" w:rsidRDefault="00A46DCA" w:rsidP="00A26D04">
            <w:pPr>
              <w:keepLines w:val="0"/>
              <w:autoSpaceDE w:val="0"/>
              <w:autoSpaceDN w:val="0"/>
              <w:adjustRightInd w:val="0"/>
              <w:rPr>
                <w:rFonts w:eastAsiaTheme="minorEastAsia" w:cs="Calibri"/>
                <w:b/>
                <w:bCs/>
                <w:color w:val="000000"/>
                <w:szCs w:val="16"/>
                <w:lang w:eastAsia="en-AU"/>
              </w:rPr>
            </w:pPr>
            <w:r w:rsidRPr="00AC137D">
              <w:rPr>
                <w:rFonts w:eastAsiaTheme="minorEastAsia" w:cs="Calibri"/>
                <w:b/>
                <w:bCs/>
                <w:color w:val="000000"/>
                <w:szCs w:val="16"/>
                <w:lang w:eastAsia="en-AU"/>
              </w:rPr>
              <w:t>Remeasurements recognised in other comprehensive income</w:t>
            </w:r>
          </w:p>
        </w:tc>
        <w:tc>
          <w:tcPr>
            <w:tcW w:w="850" w:type="dxa"/>
            <w:tcBorders>
              <w:top w:val="single" w:sz="6" w:space="0" w:color="000000"/>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Pr>
                <w:rFonts w:eastAsiaTheme="minorEastAsia" w:cs="Arial"/>
                <w:b/>
                <w:bCs/>
                <w:color w:val="000000"/>
                <w:szCs w:val="18"/>
                <w:lang w:eastAsia="en-AU"/>
              </w:rPr>
              <w:t>(915)</w:t>
            </w:r>
          </w:p>
        </w:tc>
        <w:tc>
          <w:tcPr>
            <w:tcW w:w="850" w:type="dxa"/>
            <w:tcBorders>
              <w:top w:val="single" w:sz="6" w:space="0" w:color="000000"/>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Pr>
                <w:rFonts w:eastAsiaTheme="minorEastAsia" w:cs="Arial"/>
                <w:b/>
                <w:bCs/>
                <w:color w:val="000000"/>
                <w:szCs w:val="18"/>
                <w:lang w:eastAsia="en-AU"/>
              </w:rPr>
              <w:t>(1 979)</w:t>
            </w:r>
          </w:p>
        </w:tc>
        <w:tc>
          <w:tcPr>
            <w:tcW w:w="850" w:type="dxa"/>
            <w:tcBorders>
              <w:top w:val="single" w:sz="6" w:space="0" w:color="000000"/>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Pr>
                <w:rFonts w:eastAsiaTheme="minorEastAsia" w:cs="Arial"/>
                <w:b/>
                <w:bCs/>
                <w:color w:val="000000"/>
                <w:szCs w:val="18"/>
                <w:lang w:eastAsia="en-AU"/>
              </w:rPr>
              <w:t>(921)</w:t>
            </w:r>
          </w:p>
        </w:tc>
        <w:tc>
          <w:tcPr>
            <w:tcW w:w="850" w:type="dxa"/>
            <w:tcBorders>
              <w:top w:val="single" w:sz="6" w:space="0" w:color="000000"/>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Pr>
                <w:rFonts w:eastAsiaTheme="minorEastAsia" w:cs="Arial"/>
                <w:b/>
                <w:bCs/>
                <w:color w:val="000000"/>
                <w:szCs w:val="18"/>
                <w:lang w:eastAsia="en-AU"/>
              </w:rPr>
              <w:t>(935)</w:t>
            </w:r>
          </w:p>
        </w:tc>
        <w:tc>
          <w:tcPr>
            <w:tcW w:w="850" w:type="dxa"/>
            <w:tcBorders>
              <w:top w:val="single" w:sz="6" w:space="0" w:color="000000"/>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Pr>
                <w:rFonts w:eastAsiaTheme="minorEastAsia" w:cs="Arial"/>
                <w:b/>
                <w:bCs/>
                <w:color w:val="000000"/>
                <w:szCs w:val="18"/>
                <w:lang w:eastAsia="en-AU"/>
              </w:rPr>
              <w:t>(949)</w:t>
            </w:r>
          </w:p>
        </w:tc>
      </w:tr>
      <w:tr w:rsidR="00A46DCA" w:rsidRPr="00AC137D" w:rsidTr="00A26D04">
        <w:tc>
          <w:tcPr>
            <w:cnfStyle w:val="001000000000" w:firstRow="0" w:lastRow="0" w:firstColumn="1" w:lastColumn="0" w:oddVBand="0" w:evenVBand="0" w:oddHBand="0" w:evenHBand="0" w:firstRowFirstColumn="0" w:firstRowLastColumn="0" w:lastRowFirstColumn="0" w:lastRowLastColumn="0"/>
            <w:tcW w:w="3515" w:type="dxa"/>
            <w:tcBorders>
              <w:top w:val="single" w:sz="6" w:space="0" w:color="000000"/>
              <w:left w:val="nil"/>
              <w:bottom w:val="single" w:sz="12" w:space="0" w:color="000000"/>
              <w:right w:val="nil"/>
            </w:tcBorders>
          </w:tcPr>
          <w:p w:rsidR="00A46DCA" w:rsidRPr="00AC137D" w:rsidRDefault="00A46DCA" w:rsidP="00A26D04">
            <w:pPr>
              <w:keepLines w:val="0"/>
              <w:autoSpaceDE w:val="0"/>
              <w:autoSpaceDN w:val="0"/>
              <w:adjustRightInd w:val="0"/>
              <w:rPr>
                <w:rFonts w:eastAsiaTheme="minorEastAsia" w:cs="Calibri"/>
                <w:b/>
                <w:bCs/>
                <w:color w:val="000000"/>
                <w:szCs w:val="16"/>
                <w:lang w:eastAsia="en-AU"/>
              </w:rPr>
            </w:pPr>
            <w:r w:rsidRPr="00AC137D">
              <w:rPr>
                <w:rFonts w:eastAsiaTheme="minorEastAsia" w:cs="Calibri"/>
                <w:b/>
                <w:bCs/>
                <w:color w:val="000000"/>
                <w:szCs w:val="16"/>
                <w:lang w:eastAsia="en-AU"/>
              </w:rPr>
              <w:t>Total superannuation expense recognised in operating statement</w:t>
            </w:r>
          </w:p>
        </w:tc>
        <w:tc>
          <w:tcPr>
            <w:tcW w:w="850" w:type="dxa"/>
            <w:tcBorders>
              <w:top w:val="single" w:sz="6" w:space="0" w:color="000000"/>
              <w:left w:val="nil"/>
              <w:bottom w:val="single" w:sz="12" w:space="0" w:color="000000"/>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sidRPr="00AC137D">
              <w:rPr>
                <w:rFonts w:eastAsiaTheme="minorEastAsia" w:cs="Arial"/>
                <w:b/>
                <w:bCs/>
                <w:color w:val="000000"/>
                <w:szCs w:val="18"/>
                <w:lang w:eastAsia="en-AU"/>
              </w:rPr>
              <w:t>2 193</w:t>
            </w:r>
          </w:p>
        </w:tc>
        <w:tc>
          <w:tcPr>
            <w:tcW w:w="850" w:type="dxa"/>
            <w:tcBorders>
              <w:top w:val="single" w:sz="6" w:space="0" w:color="000000"/>
              <w:left w:val="nil"/>
              <w:bottom w:val="single" w:sz="12" w:space="0" w:color="000000"/>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sidRPr="00AC137D">
              <w:rPr>
                <w:rFonts w:eastAsiaTheme="minorEastAsia" w:cs="Arial"/>
                <w:b/>
                <w:bCs/>
                <w:color w:val="000000"/>
                <w:szCs w:val="18"/>
                <w:lang w:eastAsia="en-AU"/>
              </w:rPr>
              <w:t>1 231</w:t>
            </w:r>
          </w:p>
        </w:tc>
        <w:tc>
          <w:tcPr>
            <w:tcW w:w="850" w:type="dxa"/>
            <w:tcBorders>
              <w:top w:val="single" w:sz="6" w:space="0" w:color="000000"/>
              <w:left w:val="nil"/>
              <w:bottom w:val="single" w:sz="12" w:space="0" w:color="000000"/>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sidRPr="00AC137D">
              <w:rPr>
                <w:rFonts w:eastAsiaTheme="minorEastAsia" w:cs="Arial"/>
                <w:b/>
                <w:bCs/>
                <w:color w:val="000000"/>
                <w:szCs w:val="18"/>
                <w:lang w:eastAsia="en-AU"/>
              </w:rPr>
              <w:t>2 281</w:t>
            </w:r>
          </w:p>
        </w:tc>
        <w:tc>
          <w:tcPr>
            <w:tcW w:w="850" w:type="dxa"/>
            <w:tcBorders>
              <w:top w:val="single" w:sz="6" w:space="0" w:color="000000"/>
              <w:left w:val="nil"/>
              <w:bottom w:val="single" w:sz="12" w:space="0" w:color="000000"/>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sidRPr="00AC137D">
              <w:rPr>
                <w:rFonts w:eastAsiaTheme="minorEastAsia" w:cs="Arial"/>
                <w:b/>
                <w:bCs/>
                <w:color w:val="000000"/>
                <w:szCs w:val="18"/>
                <w:lang w:eastAsia="en-AU"/>
              </w:rPr>
              <w:t>2 301</w:t>
            </w:r>
          </w:p>
        </w:tc>
        <w:tc>
          <w:tcPr>
            <w:tcW w:w="850" w:type="dxa"/>
            <w:tcBorders>
              <w:top w:val="single" w:sz="6" w:space="0" w:color="000000"/>
              <w:left w:val="nil"/>
              <w:bottom w:val="single" w:sz="12" w:space="0" w:color="000000"/>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sidRPr="00AC137D">
              <w:rPr>
                <w:rFonts w:eastAsiaTheme="minorEastAsia" w:cs="Arial"/>
                <w:b/>
                <w:bCs/>
                <w:color w:val="000000"/>
                <w:szCs w:val="18"/>
                <w:lang w:eastAsia="en-AU"/>
              </w:rPr>
              <w:t>2 302</w:t>
            </w:r>
          </w:p>
        </w:tc>
      </w:tr>
    </w:tbl>
    <w:p w:rsidR="00A46DCA" w:rsidRDefault="00A46DCA" w:rsidP="00A26D04">
      <w:pPr>
        <w:pStyle w:val="Source"/>
      </w:pPr>
      <w:r w:rsidRPr="00D87D22">
        <w:t>Source: Department of Treasury and Finance</w:t>
      </w:r>
    </w:p>
    <w:p w:rsidR="00A46DCA" w:rsidRDefault="00A46DCA" w:rsidP="00A26D04"/>
    <w:p w:rsidR="00A46DCA" w:rsidRDefault="00A46DCA" w:rsidP="00A26D04">
      <w:r w:rsidRPr="00D87D22">
        <w:t>The accounting policies relating to superannuation expenses and liabilities are</w:t>
      </w:r>
      <w:r>
        <w:t xml:space="preserve"> consistent with </w:t>
      </w:r>
      <w:r w:rsidRPr="00D87D22">
        <w:t xml:space="preserve">the </w:t>
      </w:r>
      <w:r w:rsidRPr="00D87D22">
        <w:rPr>
          <w:i/>
        </w:rPr>
        <w:t>201</w:t>
      </w:r>
      <w:r>
        <w:rPr>
          <w:i/>
        </w:rPr>
        <w:t>7</w:t>
      </w:r>
      <w:r w:rsidRPr="00D87D22">
        <w:rPr>
          <w:i/>
        </w:rPr>
        <w:t>-1</w:t>
      </w:r>
      <w:r>
        <w:rPr>
          <w:i/>
        </w:rPr>
        <w:t>8</w:t>
      </w:r>
      <w:r w:rsidRPr="00D87D22">
        <w:rPr>
          <w:i/>
        </w:rPr>
        <w:t xml:space="preserve"> Budget</w:t>
      </w:r>
      <w:r w:rsidRPr="00D87D22">
        <w:t>. However, the forecast assumptions have been revised for each relevant defined benefit superannuation scheme as in the following table.</w:t>
      </w:r>
    </w:p>
    <w:p w:rsidR="00A46DCA" w:rsidRDefault="00A46DCA" w:rsidP="00A26D04">
      <w:pPr>
        <w:keepLines w:val="0"/>
      </w:pPr>
      <w:r>
        <w:br w:type="page"/>
      </w:r>
    </w:p>
    <w:p w:rsidR="00A46DCA" w:rsidRDefault="00A46DCA" w:rsidP="00A26D04">
      <w:pPr>
        <w:pStyle w:val="TableHeading"/>
      </w:pPr>
      <w:r w:rsidRPr="00273F4E">
        <w:lastRenderedPageBreak/>
        <w:t>Superannuation assumptions</w:t>
      </w:r>
      <w:r>
        <w:tab/>
      </w:r>
      <w:r w:rsidRPr="00273F4E">
        <w:t>(per cent)</w:t>
      </w:r>
    </w:p>
    <w:tbl>
      <w:tblPr>
        <w:tblStyle w:val="DTFTable"/>
        <w:tblW w:w="7768" w:type="dxa"/>
        <w:tblLayout w:type="fixed"/>
        <w:tblLook w:val="06A0" w:firstRow="1" w:lastRow="0" w:firstColumn="1" w:lastColumn="0" w:noHBand="1" w:noVBand="1"/>
      </w:tblPr>
      <w:tblGrid>
        <w:gridCol w:w="6620"/>
        <w:gridCol w:w="1148"/>
      </w:tblGrid>
      <w:tr w:rsidR="00A46DCA" w:rsidRPr="00273F4E" w:rsidTr="00A26D0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32" w:type="dxa"/>
          </w:tcPr>
          <w:p w:rsidR="00A46DCA" w:rsidRPr="00273F4E" w:rsidRDefault="00A46DCA" w:rsidP="00A26D04">
            <w:pPr>
              <w:ind w:left="0" w:firstLine="0"/>
            </w:pPr>
            <w:r w:rsidRPr="00273F4E">
              <w:t>Underlying ass</w:t>
            </w:r>
            <w:r>
              <w:t xml:space="preserve">umptions for all listed schemes </w:t>
            </w:r>
            <w:r w:rsidRPr="00704EC6">
              <w:rPr>
                <w:vertAlign w:val="superscript"/>
              </w:rPr>
              <w:t>(a)</w:t>
            </w:r>
          </w:p>
        </w:tc>
        <w:tc>
          <w:tcPr>
            <w:tcW w:w="1133" w:type="dxa"/>
          </w:tcPr>
          <w:p w:rsidR="00A46DCA" w:rsidRPr="00273F4E" w:rsidRDefault="00A46DCA" w:rsidP="00A26D04">
            <w:pPr>
              <w:cnfStyle w:val="100000000000" w:firstRow="1" w:lastRow="0" w:firstColumn="0" w:lastColumn="0" w:oddVBand="0" w:evenVBand="0" w:oddHBand="0" w:evenHBand="0" w:firstRowFirstColumn="0" w:firstRowLastColumn="0" w:lastRowFirstColumn="0" w:lastRowLastColumn="0"/>
            </w:pPr>
          </w:p>
        </w:tc>
      </w:tr>
      <w:tr w:rsidR="00A46DCA" w:rsidRPr="00273F4E" w:rsidTr="00A26D04">
        <w:tc>
          <w:tcPr>
            <w:cnfStyle w:val="001000000000" w:firstRow="0" w:lastRow="0" w:firstColumn="1" w:lastColumn="0" w:oddVBand="0" w:evenVBand="0" w:oddHBand="0" w:evenHBand="0" w:firstRowFirstColumn="0" w:firstRowLastColumn="0" w:lastRowFirstColumn="0" w:lastRowLastColumn="0"/>
            <w:tcW w:w="6532" w:type="dxa"/>
          </w:tcPr>
          <w:p w:rsidR="00A46DCA" w:rsidRPr="00273F4E" w:rsidRDefault="00A46DCA" w:rsidP="00A26D04">
            <w:pPr>
              <w:ind w:left="0" w:firstLine="0"/>
            </w:pPr>
            <w:r w:rsidRPr="00273F4E">
              <w:t xml:space="preserve">Discount rate </w:t>
            </w:r>
            <w:r w:rsidRPr="00704EC6">
              <w:rPr>
                <w:vertAlign w:val="superscript"/>
              </w:rPr>
              <w:t>(b)</w:t>
            </w:r>
          </w:p>
        </w:tc>
        <w:tc>
          <w:tcPr>
            <w:tcW w:w="1133" w:type="dxa"/>
          </w:tcPr>
          <w:p w:rsidR="00A46DCA" w:rsidRPr="00273F4E" w:rsidRDefault="00A46DCA" w:rsidP="00A26D04">
            <w:pPr>
              <w:cnfStyle w:val="000000000000" w:firstRow="0" w:lastRow="0" w:firstColumn="0" w:lastColumn="0" w:oddVBand="0" w:evenVBand="0" w:oddHBand="0" w:evenHBand="0" w:firstRowFirstColumn="0" w:firstRowLastColumn="0" w:lastRowFirstColumn="0" w:lastRowLastColumn="0"/>
            </w:pPr>
            <w:r>
              <w:t>3.1</w:t>
            </w:r>
          </w:p>
        </w:tc>
      </w:tr>
      <w:tr w:rsidR="00A46DCA" w:rsidRPr="00273F4E" w:rsidTr="00A26D04">
        <w:tc>
          <w:tcPr>
            <w:cnfStyle w:val="001000000000" w:firstRow="0" w:lastRow="0" w:firstColumn="1" w:lastColumn="0" w:oddVBand="0" w:evenVBand="0" w:oddHBand="0" w:evenHBand="0" w:firstRowFirstColumn="0" w:firstRowLastColumn="0" w:lastRowFirstColumn="0" w:lastRowLastColumn="0"/>
            <w:tcW w:w="6532" w:type="dxa"/>
          </w:tcPr>
          <w:p w:rsidR="00A46DCA" w:rsidRPr="00273F4E" w:rsidRDefault="00A46DCA" w:rsidP="00A26D04">
            <w:pPr>
              <w:ind w:left="0" w:firstLine="0"/>
            </w:pPr>
            <w:r w:rsidRPr="00273F4E">
              <w:t xml:space="preserve">Wages growth </w:t>
            </w:r>
            <w:r w:rsidRPr="00704EC6">
              <w:rPr>
                <w:vertAlign w:val="superscript"/>
              </w:rPr>
              <w:t>(c)</w:t>
            </w:r>
          </w:p>
        </w:tc>
        <w:tc>
          <w:tcPr>
            <w:tcW w:w="1133" w:type="dxa"/>
          </w:tcPr>
          <w:p w:rsidR="00A46DCA" w:rsidRPr="00273F4E" w:rsidRDefault="00A46DCA" w:rsidP="00A26D04">
            <w:pPr>
              <w:cnfStyle w:val="000000000000" w:firstRow="0" w:lastRow="0" w:firstColumn="0" w:lastColumn="0" w:oddVBand="0" w:evenVBand="0" w:oddHBand="0" w:evenHBand="0" w:firstRowFirstColumn="0" w:firstRowLastColumn="0" w:lastRowFirstColumn="0" w:lastRowLastColumn="0"/>
            </w:pPr>
            <w:r>
              <w:t>3.3</w:t>
            </w:r>
          </w:p>
        </w:tc>
      </w:tr>
      <w:tr w:rsidR="00A46DCA" w:rsidRPr="00273F4E" w:rsidTr="00A26D04">
        <w:tc>
          <w:tcPr>
            <w:cnfStyle w:val="001000000000" w:firstRow="0" w:lastRow="0" w:firstColumn="1" w:lastColumn="0" w:oddVBand="0" w:evenVBand="0" w:oddHBand="0" w:evenHBand="0" w:firstRowFirstColumn="0" w:firstRowLastColumn="0" w:lastRowFirstColumn="0" w:lastRowLastColumn="0"/>
            <w:tcW w:w="6532" w:type="dxa"/>
          </w:tcPr>
          <w:p w:rsidR="00A46DCA" w:rsidRPr="00273F4E" w:rsidRDefault="00A46DCA" w:rsidP="00A26D04">
            <w:pPr>
              <w:ind w:left="0" w:firstLine="0"/>
            </w:pPr>
            <w:r>
              <w:t xml:space="preserve">Inflation rate </w:t>
            </w:r>
            <w:r w:rsidRPr="00704EC6">
              <w:rPr>
                <w:vertAlign w:val="superscript"/>
              </w:rPr>
              <w:t>(d)</w:t>
            </w:r>
          </w:p>
        </w:tc>
        <w:tc>
          <w:tcPr>
            <w:tcW w:w="1133" w:type="dxa"/>
          </w:tcPr>
          <w:p w:rsidR="00A46DCA" w:rsidRPr="00273F4E" w:rsidRDefault="00A46DCA" w:rsidP="00A26D04">
            <w:pPr>
              <w:cnfStyle w:val="000000000000" w:firstRow="0" w:lastRow="0" w:firstColumn="0" w:lastColumn="0" w:oddVBand="0" w:evenVBand="0" w:oddHBand="0" w:evenHBand="0" w:firstRowFirstColumn="0" w:firstRowLastColumn="0" w:lastRowFirstColumn="0" w:lastRowLastColumn="0"/>
            </w:pPr>
            <w:r>
              <w:t>1.8</w:t>
            </w:r>
          </w:p>
        </w:tc>
      </w:tr>
      <w:tr w:rsidR="00A46DCA" w:rsidRPr="00273F4E" w:rsidTr="00A26D04">
        <w:tc>
          <w:tcPr>
            <w:cnfStyle w:val="001000000000" w:firstRow="0" w:lastRow="0" w:firstColumn="1" w:lastColumn="0" w:oddVBand="0" w:evenVBand="0" w:oddHBand="0" w:evenHBand="0" w:firstRowFirstColumn="0" w:firstRowLastColumn="0" w:lastRowFirstColumn="0" w:lastRowLastColumn="0"/>
            <w:tcW w:w="6532" w:type="dxa"/>
            <w:shd w:val="clear" w:color="auto" w:fill="000000" w:themeFill="text1"/>
          </w:tcPr>
          <w:p w:rsidR="00A46DCA" w:rsidRPr="00273F4E" w:rsidRDefault="00A46DCA" w:rsidP="00A26D04">
            <w:pPr>
              <w:ind w:left="0" w:firstLine="0"/>
              <w:rPr>
                <w:i/>
              </w:rPr>
            </w:pPr>
            <w:r w:rsidRPr="00273F4E">
              <w:rPr>
                <w:i/>
              </w:rPr>
              <w:t>Expected return on assets</w:t>
            </w:r>
            <w:r>
              <w:rPr>
                <w:i/>
              </w:rPr>
              <w:t xml:space="preserve"> </w:t>
            </w:r>
            <w:r w:rsidRPr="00704EC6">
              <w:rPr>
                <w:i/>
                <w:vertAlign w:val="superscript"/>
              </w:rPr>
              <w:t>(e)</w:t>
            </w:r>
          </w:p>
        </w:tc>
        <w:tc>
          <w:tcPr>
            <w:tcW w:w="1133" w:type="dxa"/>
            <w:shd w:val="clear" w:color="auto" w:fill="000000" w:themeFill="text1"/>
          </w:tcPr>
          <w:p w:rsidR="00A46DCA" w:rsidRPr="00273F4E" w:rsidRDefault="00A46DCA" w:rsidP="00A26D04">
            <w:pPr>
              <w:cnfStyle w:val="000000000000" w:firstRow="0" w:lastRow="0" w:firstColumn="0" w:lastColumn="0" w:oddVBand="0" w:evenVBand="0" w:oddHBand="0" w:evenHBand="0" w:firstRowFirstColumn="0" w:firstRowLastColumn="0" w:lastRowFirstColumn="0" w:lastRowLastColumn="0"/>
              <w:rPr>
                <w:i/>
              </w:rPr>
            </w:pPr>
          </w:p>
        </w:tc>
      </w:tr>
      <w:tr w:rsidR="00A46DCA" w:rsidRPr="00273F4E" w:rsidTr="00A26D04">
        <w:tc>
          <w:tcPr>
            <w:cnfStyle w:val="001000000000" w:firstRow="0" w:lastRow="0" w:firstColumn="1" w:lastColumn="0" w:oddVBand="0" w:evenVBand="0" w:oddHBand="0" w:evenHBand="0" w:firstRowFirstColumn="0" w:firstRowLastColumn="0" w:lastRowFirstColumn="0" w:lastRowLastColumn="0"/>
            <w:tcW w:w="6532" w:type="dxa"/>
          </w:tcPr>
          <w:p w:rsidR="00A46DCA" w:rsidRPr="00273F4E" w:rsidRDefault="00A46DCA" w:rsidP="00A26D04">
            <w:pPr>
              <w:ind w:left="0" w:firstLine="0"/>
            </w:pPr>
            <w:r w:rsidRPr="00273F4E">
              <w:t xml:space="preserve">Emergency Services and State Super </w:t>
            </w:r>
          </w:p>
        </w:tc>
        <w:tc>
          <w:tcPr>
            <w:tcW w:w="1133" w:type="dxa"/>
          </w:tcPr>
          <w:p w:rsidR="00A46DCA" w:rsidRPr="00273F4E" w:rsidRDefault="00A46DCA" w:rsidP="00A26D04">
            <w:pPr>
              <w:cnfStyle w:val="000000000000" w:firstRow="0" w:lastRow="0" w:firstColumn="0" w:lastColumn="0" w:oddVBand="0" w:evenVBand="0" w:oddHBand="0" w:evenHBand="0" w:firstRowFirstColumn="0" w:firstRowLastColumn="0" w:lastRowFirstColumn="0" w:lastRowLastColumn="0"/>
            </w:pPr>
            <w:r w:rsidRPr="00273F4E">
              <w:t>8.0</w:t>
            </w:r>
          </w:p>
        </w:tc>
      </w:tr>
      <w:tr w:rsidR="00A46DCA" w:rsidRPr="00273F4E" w:rsidTr="00A26D04">
        <w:tc>
          <w:tcPr>
            <w:cnfStyle w:val="001000000000" w:firstRow="0" w:lastRow="0" w:firstColumn="1" w:lastColumn="0" w:oddVBand="0" w:evenVBand="0" w:oddHBand="0" w:evenHBand="0" w:firstRowFirstColumn="0" w:firstRowLastColumn="0" w:lastRowFirstColumn="0" w:lastRowLastColumn="0"/>
            <w:tcW w:w="6532" w:type="dxa"/>
          </w:tcPr>
          <w:p w:rsidR="00A46DCA" w:rsidRPr="00273F4E" w:rsidRDefault="00A46DCA" w:rsidP="00A26D04">
            <w:pPr>
              <w:ind w:left="0" w:firstLine="0"/>
            </w:pPr>
            <w:r w:rsidRPr="00273F4E">
              <w:t>Health Super Fund Defined Benefit Scheme</w:t>
            </w:r>
          </w:p>
        </w:tc>
        <w:tc>
          <w:tcPr>
            <w:tcW w:w="1133" w:type="dxa"/>
          </w:tcPr>
          <w:p w:rsidR="00A46DCA" w:rsidRPr="00273F4E" w:rsidRDefault="00A46DCA" w:rsidP="00A26D04">
            <w:pPr>
              <w:cnfStyle w:val="000000000000" w:firstRow="0" w:lastRow="0" w:firstColumn="0" w:lastColumn="0" w:oddVBand="0" w:evenVBand="0" w:oddHBand="0" w:evenHBand="0" w:firstRowFirstColumn="0" w:firstRowLastColumn="0" w:lastRowFirstColumn="0" w:lastRowLastColumn="0"/>
            </w:pPr>
            <w:r w:rsidRPr="00273F4E">
              <w:t>5.</w:t>
            </w:r>
            <w:r>
              <w:t>7</w:t>
            </w:r>
          </w:p>
        </w:tc>
      </w:tr>
      <w:tr w:rsidR="00A46DCA" w:rsidRPr="00273F4E" w:rsidTr="00A26D04">
        <w:tc>
          <w:tcPr>
            <w:cnfStyle w:val="001000000000" w:firstRow="0" w:lastRow="0" w:firstColumn="1" w:lastColumn="0" w:oddVBand="0" w:evenVBand="0" w:oddHBand="0" w:evenHBand="0" w:firstRowFirstColumn="0" w:firstRowLastColumn="0" w:lastRowFirstColumn="0" w:lastRowLastColumn="0"/>
            <w:tcW w:w="6532" w:type="dxa"/>
          </w:tcPr>
          <w:p w:rsidR="00A46DCA" w:rsidRPr="00273F4E" w:rsidRDefault="00A46DCA" w:rsidP="00A26D04">
            <w:pPr>
              <w:ind w:left="0" w:firstLine="0"/>
            </w:pPr>
            <w:r w:rsidRPr="00273F4E">
              <w:t>Constitutionally protected schemes</w:t>
            </w:r>
            <w:r>
              <w:t xml:space="preserve"> </w:t>
            </w:r>
            <w:r w:rsidRPr="00704EC6">
              <w:rPr>
                <w:vertAlign w:val="superscript"/>
              </w:rPr>
              <w:t>(f)</w:t>
            </w:r>
            <w:r w:rsidRPr="00273F4E">
              <w:t xml:space="preserve"> </w:t>
            </w:r>
          </w:p>
        </w:tc>
        <w:tc>
          <w:tcPr>
            <w:tcW w:w="1133" w:type="dxa"/>
          </w:tcPr>
          <w:p w:rsidR="00A46DCA" w:rsidRPr="00273F4E" w:rsidRDefault="00A46DCA" w:rsidP="00A26D04">
            <w:pPr>
              <w:cnfStyle w:val="000000000000" w:firstRow="0" w:lastRow="0" w:firstColumn="0" w:lastColumn="0" w:oddVBand="0" w:evenVBand="0" w:oddHBand="0" w:evenHBand="0" w:firstRowFirstColumn="0" w:firstRowLastColumn="0" w:lastRowFirstColumn="0" w:lastRowLastColumn="0"/>
            </w:pPr>
            <w:proofErr w:type="spellStart"/>
            <w:r w:rsidRPr="00273F4E">
              <w:t>n.a</w:t>
            </w:r>
            <w:proofErr w:type="spellEnd"/>
            <w:r w:rsidRPr="00273F4E">
              <w:t>.</w:t>
            </w:r>
          </w:p>
        </w:tc>
      </w:tr>
    </w:tbl>
    <w:p w:rsidR="00A46DCA" w:rsidRDefault="00A46DCA" w:rsidP="00A26D04">
      <w:pPr>
        <w:pStyle w:val="Source"/>
      </w:pPr>
      <w:r>
        <w:t>Source: Department of Treasury and Finance</w:t>
      </w:r>
    </w:p>
    <w:p w:rsidR="00A46DCA" w:rsidRPr="00D87D22" w:rsidRDefault="00A46DCA" w:rsidP="00A26D04">
      <w:pPr>
        <w:pStyle w:val="Note"/>
      </w:pPr>
      <w:r w:rsidRPr="00D87D22">
        <w:t>Notes:</w:t>
      </w:r>
    </w:p>
    <w:p w:rsidR="00A46DCA" w:rsidRPr="00D87D22" w:rsidRDefault="00A46DCA" w:rsidP="00A26D04">
      <w:pPr>
        <w:pStyle w:val="Note"/>
      </w:pPr>
      <w:r w:rsidRPr="00D87D22">
        <w:t>(a)</w:t>
      </w:r>
      <w:r w:rsidRPr="00D87D22">
        <w:tab/>
        <w:t>All rates are nominal annual rates and are applicable to all the listed schemes.</w:t>
      </w:r>
    </w:p>
    <w:p w:rsidR="00A46DCA" w:rsidRPr="00D87D22" w:rsidRDefault="00A46DCA" w:rsidP="00A26D04">
      <w:pPr>
        <w:pStyle w:val="Note"/>
      </w:pPr>
      <w:r w:rsidRPr="00D87D22">
        <w:t>(b)</w:t>
      </w:r>
      <w:r w:rsidRPr="00D87D22">
        <w:tab/>
        <w:t>The d</w:t>
      </w:r>
      <w:r>
        <w:t>iscount rate is based on a long-</w:t>
      </w:r>
      <w:r w:rsidRPr="00D87D22">
        <w:t>term fixed interest Commonwealth bond rate. The rate stated above is an annual effective rate, gross of tax.</w:t>
      </w:r>
    </w:p>
    <w:p w:rsidR="00A46DCA" w:rsidRPr="00D87D22" w:rsidRDefault="00A46DCA" w:rsidP="00A26D04">
      <w:pPr>
        <w:pStyle w:val="Note"/>
      </w:pPr>
      <w:r w:rsidRPr="00D87D22">
        <w:t>(c)</w:t>
      </w:r>
      <w:r w:rsidRPr="00D87D22">
        <w:tab/>
        <w:t>Based on the historical relationship between price and wage inflation, wages growth is assumed to be 1.5 per cent higher than price inflation.</w:t>
      </w:r>
    </w:p>
    <w:p w:rsidR="00A46DCA" w:rsidRDefault="00A46DCA" w:rsidP="00A26D04">
      <w:pPr>
        <w:pStyle w:val="Note"/>
      </w:pPr>
      <w:r w:rsidRPr="00D87D22">
        <w:t>(d)</w:t>
      </w:r>
      <w:r w:rsidRPr="00D87D22">
        <w:tab/>
        <w:t xml:space="preserve">The superannuation assumptions are determined in accordance with Australian accounting standard </w:t>
      </w:r>
      <w:r w:rsidRPr="00812D30">
        <w:rPr>
          <w:i w:val="0"/>
        </w:rPr>
        <w:t>AASB 119 Employee Benefits</w:t>
      </w:r>
      <w:r>
        <w:t>,</w:t>
      </w:r>
      <w:r w:rsidRPr="00D87D22">
        <w:t xml:space="preserve"> which requires that the discount rate be based on Commonwealth bond yields. To ensure consistency with the market-based discount rate, the inflation rate assumed by the actuary reflects market expectations of price inflation</w:t>
      </w:r>
      <w:r>
        <w:t>,</w:t>
      </w:r>
      <w:r w:rsidRPr="00D87D22">
        <w:t xml:space="preserve"> as implied by the relationship between the yields on nominal and inflation linked Commonwealth bonds. Therefore, these assumptions differ from the key economic assumptions in this note</w:t>
      </w:r>
      <w:r>
        <w:t>,</w:t>
      </w:r>
      <w:r w:rsidRPr="00D87D22">
        <w:t xml:space="preserve"> which reflect the expected change in consumer prices in Melbourne and movements in wages and salaries in the Victorian labour market.</w:t>
      </w:r>
    </w:p>
    <w:p w:rsidR="00A46DCA" w:rsidRPr="00D87D22" w:rsidRDefault="00A46DCA" w:rsidP="00A26D04">
      <w:pPr>
        <w:pStyle w:val="Note"/>
      </w:pPr>
      <w:r w:rsidRPr="00D87D22">
        <w:t>(e)</w:t>
      </w:r>
      <w:r w:rsidRPr="00D87D22">
        <w:tab/>
        <w:t>The expected return on assets stated is gross of tax. Estimated tax payments are explicitly allowed for in the calculation process.</w:t>
      </w:r>
    </w:p>
    <w:p w:rsidR="00A46DCA" w:rsidRPr="00D87D22" w:rsidRDefault="00A46DCA" w:rsidP="00A26D04">
      <w:pPr>
        <w:pStyle w:val="Note"/>
      </w:pPr>
      <w:r w:rsidRPr="00D87D22">
        <w:t>(f)</w:t>
      </w:r>
      <w:r w:rsidRPr="00D87D22">
        <w:tab/>
        <w:t>Pensions payable from constitutionally protected schemes are paid from the Consolidated Fund. These schemes hold no assets so there is no expected return on assets.</w:t>
      </w:r>
    </w:p>
    <w:p w:rsidR="00A46DCA" w:rsidRPr="00B9186A" w:rsidRDefault="00A46DCA" w:rsidP="00A26D04"/>
    <w:p w:rsidR="00A46DCA" w:rsidRPr="00AC137D" w:rsidRDefault="00A46DCA" w:rsidP="00A26D04">
      <w:pPr>
        <w:pStyle w:val="Heading3"/>
        <w:numPr>
          <w:ilvl w:val="2"/>
          <w:numId w:val="19"/>
        </w:numPr>
        <w:tabs>
          <w:tab w:val="clear" w:pos="9582"/>
          <w:tab w:val="left" w:pos="850"/>
          <w:tab w:val="right" w:pos="7711"/>
        </w:tabs>
        <w:spacing w:after="60"/>
        <w:rPr>
          <w:lang w:val="en-US"/>
        </w:rPr>
      </w:pPr>
      <w:bookmarkStart w:id="35" w:name="_Toc496606576"/>
      <w:r>
        <w:t>Grant expense</w:t>
      </w:r>
      <w:r>
        <w:tab/>
        <w:t>($ million)</w:t>
      </w:r>
      <w:bookmarkEnd w:id="35"/>
    </w:p>
    <w:tbl>
      <w:tblPr>
        <w:tblStyle w:val="DTFTable"/>
        <w:tblW w:w="7765" w:type="dxa"/>
        <w:tblInd w:w="45" w:type="dxa"/>
        <w:tblLayout w:type="fixed"/>
        <w:tblCellMar>
          <w:left w:w="45" w:type="dxa"/>
          <w:right w:w="45" w:type="dxa"/>
        </w:tblCellMar>
        <w:tblLook w:val="06A0" w:firstRow="1" w:lastRow="0" w:firstColumn="1" w:lastColumn="0" w:noHBand="1" w:noVBand="1"/>
      </w:tblPr>
      <w:tblGrid>
        <w:gridCol w:w="3514"/>
        <w:gridCol w:w="171"/>
        <w:gridCol w:w="680"/>
        <w:gridCol w:w="850"/>
        <w:gridCol w:w="850"/>
        <w:gridCol w:w="850"/>
        <w:gridCol w:w="850"/>
      </w:tblGrid>
      <w:tr w:rsidR="00A26D04" w:rsidRPr="00AC137D" w:rsidTr="002677DA">
        <w:trPr>
          <w:cnfStyle w:val="100000000000" w:firstRow="1" w:lastRow="0" w:firstColumn="0" w:lastColumn="0" w:oddVBand="0" w:evenVBand="0" w:oddHBand="0" w:evenHBand="0" w:firstRowFirstColumn="0" w:firstRowLastColumn="0" w:lastRowFirstColumn="0" w:lastRowLastColumn="0"/>
          <w:trHeight w:val="70"/>
          <w:tblHeader/>
        </w:trPr>
        <w:tc>
          <w:tcPr>
            <w:cnfStyle w:val="001000000000" w:firstRow="0" w:lastRow="0" w:firstColumn="1" w:lastColumn="0" w:oddVBand="0" w:evenVBand="0" w:oddHBand="0" w:evenHBand="0" w:firstRowFirstColumn="0" w:firstRowLastColumn="0" w:lastRowFirstColumn="0" w:lastRowLastColumn="0"/>
            <w:tcW w:w="3515" w:type="dxa"/>
            <w:tcBorders>
              <w:top w:val="nil"/>
              <w:left w:val="nil"/>
              <w:right w:val="nil"/>
            </w:tcBorders>
            <w:shd w:val="solid" w:color="000000" w:fill="auto"/>
          </w:tcPr>
          <w:p w:rsidR="00A26D04" w:rsidRPr="00AC137D" w:rsidRDefault="00A26D04" w:rsidP="00A26D04">
            <w:pPr>
              <w:autoSpaceDE w:val="0"/>
              <w:autoSpaceDN w:val="0"/>
              <w:adjustRightInd w:val="0"/>
              <w:jc w:val="center"/>
              <w:rPr>
                <w:rFonts w:eastAsiaTheme="minorEastAsia" w:cs="Calibri"/>
                <w:iCs/>
                <w:color w:val="FFFFFF"/>
                <w:lang w:eastAsia="en-AU"/>
              </w:rPr>
            </w:pPr>
            <w:r w:rsidRPr="00AC137D">
              <w:rPr>
                <w:rFonts w:eastAsiaTheme="minorEastAsia" w:cs="Calibri"/>
                <w:iCs/>
                <w:color w:val="FFFFFF"/>
                <w:lang w:eastAsia="en-AU"/>
              </w:rPr>
              <w:t xml:space="preserve">  </w:t>
            </w:r>
          </w:p>
        </w:tc>
        <w:tc>
          <w:tcPr>
            <w:tcW w:w="850" w:type="dxa"/>
            <w:gridSpan w:val="2"/>
            <w:tcBorders>
              <w:top w:val="nil"/>
              <w:left w:val="nil"/>
              <w:right w:val="nil"/>
            </w:tcBorders>
            <w:shd w:val="solid" w:color="000000" w:fill="auto"/>
          </w:tcPr>
          <w:p w:rsidR="00A26D04" w:rsidRPr="00AC137D" w:rsidRDefault="00A26D04" w:rsidP="00A26D0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AC137D">
              <w:rPr>
                <w:rFonts w:eastAsiaTheme="minorEastAsia" w:cs="Calibri"/>
                <w:iCs/>
                <w:color w:val="FFFFFF"/>
                <w:szCs w:val="16"/>
                <w:lang w:eastAsia="en-AU"/>
              </w:rPr>
              <w:t>2017-18</w:t>
            </w:r>
            <w:r>
              <w:rPr>
                <w:rFonts w:eastAsiaTheme="minorEastAsia" w:cs="Calibri"/>
                <w:iCs/>
                <w:color w:val="FFFFFF"/>
                <w:szCs w:val="16"/>
                <w:lang w:eastAsia="en-AU"/>
              </w:rPr>
              <w:br/>
            </w:r>
            <w:r w:rsidRPr="00AC137D">
              <w:rPr>
                <w:rFonts w:eastAsiaTheme="minorEastAsia" w:cs="Calibri"/>
                <w:iCs/>
                <w:color w:val="FFFFFF"/>
                <w:szCs w:val="16"/>
                <w:lang w:eastAsia="en-AU"/>
              </w:rPr>
              <w:t>budget</w:t>
            </w:r>
          </w:p>
        </w:tc>
        <w:tc>
          <w:tcPr>
            <w:tcW w:w="850" w:type="dxa"/>
            <w:tcBorders>
              <w:top w:val="nil"/>
              <w:left w:val="nil"/>
              <w:right w:val="nil"/>
            </w:tcBorders>
            <w:shd w:val="solid" w:color="000000" w:fill="auto"/>
          </w:tcPr>
          <w:p w:rsidR="00A26D04" w:rsidRPr="00AC137D" w:rsidRDefault="00A26D04" w:rsidP="00A26D0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AC137D">
              <w:rPr>
                <w:rFonts w:eastAsiaTheme="minorEastAsia" w:cs="Calibri"/>
                <w:iCs/>
                <w:color w:val="FFFFFF"/>
                <w:szCs w:val="16"/>
                <w:lang w:eastAsia="en-AU"/>
              </w:rPr>
              <w:t>2017-18</w:t>
            </w:r>
            <w:r>
              <w:rPr>
                <w:rFonts w:eastAsiaTheme="minorEastAsia" w:cs="Calibri"/>
                <w:iCs/>
                <w:color w:val="FFFFFF"/>
                <w:szCs w:val="16"/>
                <w:lang w:eastAsia="en-AU"/>
              </w:rPr>
              <w:br/>
            </w:r>
            <w:r w:rsidRPr="00AC137D">
              <w:rPr>
                <w:rFonts w:eastAsiaTheme="minorEastAsia" w:cs="Calibri"/>
                <w:iCs/>
                <w:color w:val="FFFFFF"/>
                <w:szCs w:val="16"/>
                <w:lang w:eastAsia="en-AU"/>
              </w:rPr>
              <w:t>revised</w:t>
            </w:r>
          </w:p>
        </w:tc>
        <w:tc>
          <w:tcPr>
            <w:tcW w:w="850" w:type="dxa"/>
            <w:tcBorders>
              <w:top w:val="nil"/>
              <w:left w:val="nil"/>
              <w:right w:val="nil"/>
            </w:tcBorders>
            <w:shd w:val="solid" w:color="000000" w:fill="auto"/>
          </w:tcPr>
          <w:p w:rsidR="00A26D04" w:rsidRPr="00AC137D" w:rsidRDefault="00A26D04" w:rsidP="00A26D0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AC137D">
              <w:rPr>
                <w:rFonts w:eastAsiaTheme="minorEastAsia" w:cs="Calibri"/>
                <w:iCs/>
                <w:color w:val="FFFFFF"/>
                <w:szCs w:val="16"/>
                <w:lang w:eastAsia="en-AU"/>
              </w:rPr>
              <w:t>2018-19</w:t>
            </w:r>
            <w:r>
              <w:rPr>
                <w:rFonts w:eastAsiaTheme="minorEastAsia" w:cs="Calibri"/>
                <w:iCs/>
                <w:color w:val="FFFFFF"/>
                <w:szCs w:val="16"/>
                <w:lang w:eastAsia="en-AU"/>
              </w:rPr>
              <w:br/>
            </w:r>
            <w:r w:rsidRPr="00AC137D">
              <w:rPr>
                <w:rFonts w:eastAsiaTheme="minorEastAsia" w:cs="Calibri"/>
                <w:iCs/>
                <w:color w:val="FFFFFF"/>
                <w:szCs w:val="16"/>
                <w:lang w:eastAsia="en-AU"/>
              </w:rPr>
              <w:t>estimate</w:t>
            </w:r>
          </w:p>
        </w:tc>
        <w:tc>
          <w:tcPr>
            <w:tcW w:w="850" w:type="dxa"/>
            <w:tcBorders>
              <w:top w:val="nil"/>
              <w:left w:val="nil"/>
              <w:right w:val="nil"/>
            </w:tcBorders>
            <w:shd w:val="solid" w:color="000000" w:fill="auto"/>
          </w:tcPr>
          <w:p w:rsidR="00A26D04" w:rsidRPr="00AC137D" w:rsidRDefault="00A26D04" w:rsidP="00A26D0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AC137D">
              <w:rPr>
                <w:rFonts w:eastAsiaTheme="minorEastAsia" w:cs="Calibri"/>
                <w:iCs/>
                <w:color w:val="FFFFFF"/>
                <w:szCs w:val="16"/>
                <w:lang w:eastAsia="en-AU"/>
              </w:rPr>
              <w:t>2019-20</w:t>
            </w:r>
            <w:r>
              <w:rPr>
                <w:rFonts w:eastAsiaTheme="minorEastAsia" w:cs="Calibri"/>
                <w:iCs/>
                <w:color w:val="FFFFFF"/>
                <w:szCs w:val="16"/>
                <w:lang w:eastAsia="en-AU"/>
              </w:rPr>
              <w:br/>
            </w:r>
            <w:r w:rsidRPr="00AC137D">
              <w:rPr>
                <w:rFonts w:eastAsiaTheme="minorEastAsia" w:cs="Calibri"/>
                <w:iCs/>
                <w:color w:val="FFFFFF"/>
                <w:szCs w:val="16"/>
                <w:lang w:eastAsia="en-AU"/>
              </w:rPr>
              <w:t>estimate</w:t>
            </w:r>
          </w:p>
        </w:tc>
        <w:tc>
          <w:tcPr>
            <w:tcW w:w="850" w:type="dxa"/>
            <w:tcBorders>
              <w:top w:val="nil"/>
              <w:left w:val="nil"/>
              <w:right w:val="nil"/>
            </w:tcBorders>
            <w:shd w:val="solid" w:color="000000" w:fill="auto"/>
          </w:tcPr>
          <w:p w:rsidR="00A26D04" w:rsidRPr="00AC137D" w:rsidRDefault="00A26D04" w:rsidP="00A26D0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AC137D">
              <w:rPr>
                <w:rFonts w:eastAsiaTheme="minorEastAsia" w:cs="Calibri"/>
                <w:iCs/>
                <w:color w:val="FFFFFF"/>
                <w:szCs w:val="16"/>
                <w:lang w:eastAsia="en-AU"/>
              </w:rPr>
              <w:t>2020-21</w:t>
            </w:r>
            <w:r>
              <w:rPr>
                <w:rFonts w:eastAsiaTheme="minorEastAsia" w:cs="Calibri"/>
                <w:iCs/>
                <w:color w:val="FFFFFF"/>
                <w:szCs w:val="16"/>
                <w:lang w:eastAsia="en-AU"/>
              </w:rPr>
              <w:br/>
            </w:r>
            <w:r w:rsidRPr="00AC137D">
              <w:rPr>
                <w:rFonts w:eastAsiaTheme="minorEastAsia" w:cs="Calibri"/>
                <w:iCs/>
                <w:color w:val="FFFFFF"/>
                <w:szCs w:val="16"/>
                <w:lang w:eastAsia="en-AU"/>
              </w:rPr>
              <w:t>estimate</w:t>
            </w:r>
          </w:p>
        </w:tc>
      </w:tr>
      <w:tr w:rsidR="00A46DCA" w:rsidRPr="00AC137D" w:rsidTr="00A26D04">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A46DCA" w:rsidRPr="00AC137D" w:rsidRDefault="00A46DCA" w:rsidP="00A26D04">
            <w:pPr>
              <w:keepLines w:val="0"/>
              <w:autoSpaceDE w:val="0"/>
              <w:autoSpaceDN w:val="0"/>
              <w:adjustRightInd w:val="0"/>
              <w:rPr>
                <w:rFonts w:eastAsiaTheme="minorEastAsia" w:cs="Calibri"/>
                <w:b/>
                <w:bCs/>
                <w:color w:val="000000"/>
                <w:szCs w:val="16"/>
                <w:lang w:eastAsia="en-AU"/>
              </w:rPr>
            </w:pPr>
            <w:r w:rsidRPr="00AC137D">
              <w:rPr>
                <w:rFonts w:eastAsiaTheme="minorEastAsia" w:cs="Calibri"/>
                <w:b/>
                <w:bCs/>
                <w:color w:val="000000"/>
                <w:szCs w:val="16"/>
                <w:lang w:eastAsia="en-AU"/>
              </w:rPr>
              <w:t>Current grant expense</w:t>
            </w:r>
          </w:p>
        </w:tc>
        <w:tc>
          <w:tcPr>
            <w:tcW w:w="850" w:type="dxa"/>
            <w:gridSpan w:val="2"/>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AC137D">
              <w:rPr>
                <w:rFonts w:eastAsiaTheme="minorEastAsia" w:cs="Calibri"/>
                <w:b/>
                <w:bCs/>
                <w:color w:val="000000"/>
                <w:lang w:eastAsia="en-AU"/>
              </w:rPr>
              <w:t xml:space="preserve"> </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AC137D">
              <w:rPr>
                <w:rFonts w:eastAsiaTheme="minorEastAsia" w:cs="Calibri"/>
                <w:b/>
                <w:bCs/>
                <w:color w:val="000000"/>
                <w:lang w:eastAsia="en-AU"/>
              </w:rPr>
              <w:t xml:space="preserve"> </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AC137D">
              <w:rPr>
                <w:rFonts w:eastAsiaTheme="minorEastAsia" w:cs="Calibri"/>
                <w:b/>
                <w:bCs/>
                <w:color w:val="000000"/>
                <w:lang w:eastAsia="en-AU"/>
              </w:rPr>
              <w:t xml:space="preserve"> </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AC137D">
              <w:rPr>
                <w:rFonts w:eastAsiaTheme="minorEastAsia" w:cs="Calibri"/>
                <w:b/>
                <w:bCs/>
                <w:color w:val="000000"/>
                <w:lang w:eastAsia="en-AU"/>
              </w:rPr>
              <w:t xml:space="preserve"> </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AC137D">
              <w:rPr>
                <w:rFonts w:eastAsiaTheme="minorEastAsia" w:cs="Calibri"/>
                <w:b/>
                <w:bCs/>
                <w:color w:val="000000"/>
                <w:lang w:eastAsia="en-AU"/>
              </w:rPr>
              <w:t xml:space="preserve"> </w:t>
            </w:r>
          </w:p>
        </w:tc>
      </w:tr>
      <w:tr w:rsidR="00A46DCA" w:rsidRPr="00AC137D" w:rsidTr="00A26D04">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A46DCA" w:rsidRPr="00AC137D" w:rsidRDefault="00A46DCA" w:rsidP="00A26D04">
            <w:pPr>
              <w:keepLines w:val="0"/>
              <w:autoSpaceDE w:val="0"/>
              <w:autoSpaceDN w:val="0"/>
              <w:adjustRightInd w:val="0"/>
              <w:rPr>
                <w:rFonts w:eastAsiaTheme="minorEastAsia" w:cs="Calibri"/>
                <w:color w:val="000000"/>
                <w:szCs w:val="16"/>
                <w:vertAlign w:val="superscript"/>
                <w:lang w:eastAsia="en-AU"/>
              </w:rPr>
            </w:pPr>
            <w:r w:rsidRPr="00AC137D">
              <w:rPr>
                <w:rFonts w:eastAsiaTheme="minorEastAsia" w:cs="Calibri"/>
                <w:color w:val="000000"/>
                <w:szCs w:val="16"/>
                <w:lang w:eastAsia="en-AU"/>
              </w:rPr>
              <w:t xml:space="preserve">Commonwealth Government </w:t>
            </w:r>
            <w:r w:rsidRPr="00AC137D">
              <w:rPr>
                <w:rFonts w:eastAsiaTheme="minorEastAsia" w:cs="Calibri"/>
                <w:color w:val="000000"/>
                <w:szCs w:val="16"/>
                <w:vertAlign w:val="superscript"/>
                <w:lang w:eastAsia="en-AU"/>
              </w:rPr>
              <w:t>(a)</w:t>
            </w:r>
          </w:p>
        </w:tc>
        <w:tc>
          <w:tcPr>
            <w:tcW w:w="850" w:type="dxa"/>
            <w:gridSpan w:val="2"/>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AC137D">
              <w:rPr>
                <w:rFonts w:eastAsiaTheme="minorEastAsia" w:cs="Arial"/>
                <w:color w:val="000000"/>
                <w:szCs w:val="18"/>
                <w:lang w:eastAsia="en-AU"/>
              </w:rPr>
              <w:t>1 041</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AC137D">
              <w:rPr>
                <w:rFonts w:eastAsiaTheme="minorEastAsia" w:cs="Arial"/>
                <w:color w:val="000000"/>
                <w:szCs w:val="18"/>
                <w:lang w:eastAsia="en-AU"/>
              </w:rPr>
              <w:t>1 056</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AC137D">
              <w:rPr>
                <w:rFonts w:eastAsiaTheme="minorEastAsia" w:cs="Arial"/>
                <w:color w:val="000000"/>
                <w:szCs w:val="18"/>
                <w:lang w:eastAsia="en-AU"/>
              </w:rPr>
              <w:t>1 946</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AC137D">
              <w:rPr>
                <w:rFonts w:eastAsiaTheme="minorEastAsia" w:cs="Arial"/>
                <w:color w:val="000000"/>
                <w:szCs w:val="18"/>
                <w:lang w:eastAsia="en-AU"/>
              </w:rPr>
              <w:t>2 776</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AC137D">
              <w:rPr>
                <w:rFonts w:eastAsiaTheme="minorEastAsia" w:cs="Arial"/>
                <w:color w:val="000000"/>
                <w:szCs w:val="18"/>
                <w:lang w:eastAsia="en-AU"/>
              </w:rPr>
              <w:t>2 865</w:t>
            </w:r>
          </w:p>
        </w:tc>
      </w:tr>
      <w:tr w:rsidR="00A46DCA" w:rsidRPr="00AC137D" w:rsidTr="00A26D04">
        <w:tc>
          <w:tcPr>
            <w:cnfStyle w:val="001000000000" w:firstRow="0" w:lastRow="0" w:firstColumn="1" w:lastColumn="0" w:oddVBand="0" w:evenVBand="0" w:oddHBand="0" w:evenHBand="0" w:firstRowFirstColumn="0" w:firstRowLastColumn="0" w:lastRowFirstColumn="0" w:lastRowLastColumn="0"/>
            <w:tcW w:w="3685" w:type="dxa"/>
            <w:gridSpan w:val="2"/>
            <w:tcBorders>
              <w:top w:val="nil"/>
              <w:left w:val="nil"/>
              <w:bottom w:val="nil"/>
              <w:right w:val="nil"/>
            </w:tcBorders>
          </w:tcPr>
          <w:p w:rsidR="00A46DCA" w:rsidRPr="00AC137D" w:rsidRDefault="00A46DCA" w:rsidP="00A26D04">
            <w:pPr>
              <w:keepLines w:val="0"/>
              <w:autoSpaceDE w:val="0"/>
              <w:autoSpaceDN w:val="0"/>
              <w:adjustRightInd w:val="0"/>
              <w:rPr>
                <w:rFonts w:eastAsiaTheme="minorEastAsia" w:cs="Calibri"/>
                <w:color w:val="000000"/>
                <w:szCs w:val="16"/>
                <w:lang w:eastAsia="en-AU"/>
              </w:rPr>
            </w:pPr>
            <w:r w:rsidRPr="00AC137D">
              <w:rPr>
                <w:rFonts w:eastAsiaTheme="minorEastAsia" w:cs="Calibri"/>
                <w:color w:val="000000"/>
                <w:szCs w:val="16"/>
                <w:lang w:eastAsia="en-AU"/>
              </w:rPr>
              <w:t>Local government (including grants for on-passing)</w:t>
            </w:r>
          </w:p>
        </w:tc>
        <w:tc>
          <w:tcPr>
            <w:tcW w:w="68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976</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802</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939</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773</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788</w:t>
            </w:r>
          </w:p>
        </w:tc>
      </w:tr>
      <w:tr w:rsidR="00A46DCA" w:rsidRPr="00AC137D" w:rsidTr="00A26D04">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A46DCA" w:rsidRPr="00AC137D" w:rsidRDefault="00A46DCA" w:rsidP="00A26D04">
            <w:pPr>
              <w:keepLines w:val="0"/>
              <w:autoSpaceDE w:val="0"/>
              <w:autoSpaceDN w:val="0"/>
              <w:adjustRightInd w:val="0"/>
              <w:rPr>
                <w:rFonts w:eastAsiaTheme="minorEastAsia" w:cs="Calibri"/>
                <w:color w:val="000000"/>
                <w:szCs w:val="16"/>
                <w:lang w:eastAsia="en-AU"/>
              </w:rPr>
            </w:pPr>
            <w:r w:rsidRPr="00AC137D">
              <w:rPr>
                <w:rFonts w:eastAsiaTheme="minorEastAsia" w:cs="Calibri"/>
                <w:color w:val="000000"/>
                <w:szCs w:val="16"/>
                <w:lang w:eastAsia="en-AU"/>
              </w:rPr>
              <w:t>Private sector and not-for-profit for on-passing</w:t>
            </w:r>
          </w:p>
        </w:tc>
        <w:tc>
          <w:tcPr>
            <w:tcW w:w="850" w:type="dxa"/>
            <w:gridSpan w:val="2"/>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AC137D">
              <w:rPr>
                <w:rFonts w:eastAsiaTheme="minorEastAsia" w:cs="Arial"/>
                <w:color w:val="000000"/>
                <w:szCs w:val="18"/>
                <w:lang w:eastAsia="en-AU"/>
              </w:rPr>
              <w:t>3 195</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AC137D">
              <w:rPr>
                <w:rFonts w:eastAsiaTheme="minorEastAsia" w:cs="Arial"/>
                <w:color w:val="000000"/>
                <w:szCs w:val="18"/>
                <w:lang w:eastAsia="en-AU"/>
              </w:rPr>
              <w:t>3 209</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AC137D">
              <w:rPr>
                <w:rFonts w:eastAsiaTheme="minorEastAsia" w:cs="Arial"/>
                <w:color w:val="000000"/>
                <w:szCs w:val="18"/>
                <w:lang w:eastAsia="en-AU"/>
              </w:rPr>
              <w:t>3 372</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AC137D">
              <w:rPr>
                <w:rFonts w:eastAsiaTheme="minorEastAsia" w:cs="Arial"/>
                <w:color w:val="000000"/>
                <w:szCs w:val="18"/>
                <w:lang w:eastAsia="en-AU"/>
              </w:rPr>
              <w:t>3 559</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AC137D">
              <w:rPr>
                <w:rFonts w:eastAsiaTheme="minorEastAsia" w:cs="Arial"/>
                <w:color w:val="000000"/>
                <w:szCs w:val="18"/>
                <w:lang w:eastAsia="en-AU"/>
              </w:rPr>
              <w:t>3 763</w:t>
            </w:r>
          </w:p>
        </w:tc>
      </w:tr>
      <w:tr w:rsidR="00A46DCA" w:rsidRPr="00AC137D" w:rsidTr="00A26D04">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A46DCA" w:rsidRPr="00AC137D" w:rsidRDefault="00A46DCA" w:rsidP="00A26D04">
            <w:pPr>
              <w:keepLines w:val="0"/>
              <w:autoSpaceDE w:val="0"/>
              <w:autoSpaceDN w:val="0"/>
              <w:adjustRightInd w:val="0"/>
              <w:rPr>
                <w:rFonts w:eastAsiaTheme="minorEastAsia" w:cs="Calibri"/>
                <w:color w:val="000000"/>
                <w:szCs w:val="16"/>
                <w:lang w:eastAsia="en-AU"/>
              </w:rPr>
            </w:pPr>
            <w:r w:rsidRPr="00AC137D">
              <w:rPr>
                <w:rFonts w:eastAsiaTheme="minorEastAsia" w:cs="Calibri"/>
                <w:color w:val="000000"/>
                <w:szCs w:val="16"/>
                <w:lang w:eastAsia="en-AU"/>
              </w:rPr>
              <w:t>Other private sector and not-for-profit</w:t>
            </w:r>
          </w:p>
        </w:tc>
        <w:tc>
          <w:tcPr>
            <w:tcW w:w="850" w:type="dxa"/>
            <w:gridSpan w:val="2"/>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AC137D">
              <w:rPr>
                <w:rFonts w:eastAsiaTheme="minorEastAsia" w:cs="Arial"/>
                <w:color w:val="000000"/>
                <w:szCs w:val="18"/>
                <w:lang w:eastAsia="en-AU"/>
              </w:rPr>
              <w:t>2 579</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AC137D">
              <w:rPr>
                <w:rFonts w:eastAsiaTheme="minorEastAsia" w:cs="Arial"/>
                <w:color w:val="000000"/>
                <w:szCs w:val="18"/>
                <w:lang w:eastAsia="en-AU"/>
              </w:rPr>
              <w:t>2 072</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AC137D">
              <w:rPr>
                <w:rFonts w:eastAsiaTheme="minorEastAsia" w:cs="Arial"/>
                <w:color w:val="000000"/>
                <w:szCs w:val="18"/>
                <w:lang w:eastAsia="en-AU"/>
              </w:rPr>
              <w:t>2 479</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AC137D">
              <w:rPr>
                <w:rFonts w:eastAsiaTheme="minorEastAsia" w:cs="Arial"/>
                <w:color w:val="000000"/>
                <w:szCs w:val="18"/>
                <w:lang w:eastAsia="en-AU"/>
              </w:rPr>
              <w:t>2 819</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AC137D">
              <w:rPr>
                <w:rFonts w:eastAsiaTheme="minorEastAsia" w:cs="Arial"/>
                <w:color w:val="000000"/>
                <w:szCs w:val="18"/>
                <w:lang w:eastAsia="en-AU"/>
              </w:rPr>
              <w:t>2 504</w:t>
            </w:r>
          </w:p>
        </w:tc>
      </w:tr>
      <w:tr w:rsidR="00A46DCA" w:rsidRPr="00AC137D" w:rsidTr="00A26D04">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A46DCA" w:rsidRPr="00AC137D" w:rsidRDefault="00A46DCA" w:rsidP="00A26D04">
            <w:pPr>
              <w:keepLines w:val="0"/>
              <w:autoSpaceDE w:val="0"/>
              <w:autoSpaceDN w:val="0"/>
              <w:adjustRightInd w:val="0"/>
              <w:rPr>
                <w:rFonts w:eastAsiaTheme="minorEastAsia" w:cs="Calibri"/>
                <w:color w:val="000000"/>
                <w:szCs w:val="16"/>
                <w:lang w:eastAsia="en-AU"/>
              </w:rPr>
            </w:pPr>
            <w:r w:rsidRPr="00AC137D">
              <w:rPr>
                <w:rFonts w:eastAsiaTheme="minorEastAsia" w:cs="Calibri"/>
                <w:color w:val="000000"/>
                <w:szCs w:val="16"/>
                <w:lang w:eastAsia="en-AU"/>
              </w:rPr>
              <w:t>Grants within the Victorian Government</w:t>
            </w:r>
          </w:p>
        </w:tc>
        <w:tc>
          <w:tcPr>
            <w:tcW w:w="850" w:type="dxa"/>
            <w:gridSpan w:val="2"/>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AC137D">
              <w:rPr>
                <w:rFonts w:eastAsiaTheme="minorEastAsia" w:cs="Arial"/>
                <w:color w:val="000000"/>
                <w:szCs w:val="18"/>
                <w:lang w:eastAsia="en-AU"/>
              </w:rPr>
              <w:t>3 444</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AC137D">
              <w:rPr>
                <w:rFonts w:eastAsiaTheme="minorEastAsia" w:cs="Arial"/>
                <w:color w:val="000000"/>
                <w:szCs w:val="18"/>
                <w:lang w:eastAsia="en-AU"/>
              </w:rPr>
              <w:t>3 506</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AC137D">
              <w:rPr>
                <w:rFonts w:eastAsiaTheme="minorEastAsia" w:cs="Arial"/>
                <w:color w:val="000000"/>
                <w:szCs w:val="18"/>
                <w:lang w:eastAsia="en-AU"/>
              </w:rPr>
              <w:t>3 468</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AC137D">
              <w:rPr>
                <w:rFonts w:eastAsiaTheme="minorEastAsia" w:cs="Arial"/>
                <w:color w:val="000000"/>
                <w:szCs w:val="18"/>
                <w:lang w:eastAsia="en-AU"/>
              </w:rPr>
              <w:t>3 525</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AC137D">
              <w:rPr>
                <w:rFonts w:eastAsiaTheme="minorEastAsia" w:cs="Arial"/>
                <w:color w:val="000000"/>
                <w:szCs w:val="18"/>
                <w:lang w:eastAsia="en-AU"/>
              </w:rPr>
              <w:t>3 534</w:t>
            </w:r>
          </w:p>
        </w:tc>
      </w:tr>
      <w:tr w:rsidR="00A46DCA" w:rsidRPr="00AC137D" w:rsidTr="00A26D04">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A46DCA" w:rsidRPr="00AC137D" w:rsidRDefault="00A46DCA" w:rsidP="00A26D04">
            <w:pPr>
              <w:keepLines w:val="0"/>
              <w:autoSpaceDE w:val="0"/>
              <w:autoSpaceDN w:val="0"/>
              <w:adjustRightInd w:val="0"/>
              <w:rPr>
                <w:rFonts w:eastAsiaTheme="minorEastAsia" w:cs="Calibri"/>
                <w:color w:val="000000"/>
                <w:szCs w:val="16"/>
                <w:lang w:eastAsia="en-AU"/>
              </w:rPr>
            </w:pPr>
            <w:r w:rsidRPr="00AC137D">
              <w:rPr>
                <w:rFonts w:eastAsiaTheme="minorEastAsia" w:cs="Calibri"/>
                <w:color w:val="000000"/>
                <w:szCs w:val="16"/>
                <w:lang w:eastAsia="en-AU"/>
              </w:rPr>
              <w:t>Grants to other state governments</w:t>
            </w:r>
          </w:p>
        </w:tc>
        <w:tc>
          <w:tcPr>
            <w:tcW w:w="850" w:type="dxa"/>
            <w:gridSpan w:val="2"/>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11</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13</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11</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11</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11</w:t>
            </w:r>
          </w:p>
        </w:tc>
      </w:tr>
      <w:tr w:rsidR="00A46DCA" w:rsidRPr="00AC137D" w:rsidTr="00A26D04">
        <w:tc>
          <w:tcPr>
            <w:cnfStyle w:val="001000000000" w:firstRow="0" w:lastRow="0" w:firstColumn="1" w:lastColumn="0" w:oddVBand="0" w:evenVBand="0" w:oddHBand="0" w:evenHBand="0" w:firstRowFirstColumn="0" w:firstRowLastColumn="0" w:lastRowFirstColumn="0" w:lastRowLastColumn="0"/>
            <w:tcW w:w="3515" w:type="dxa"/>
            <w:tcBorders>
              <w:top w:val="single" w:sz="6" w:space="0" w:color="000000"/>
              <w:left w:val="nil"/>
              <w:bottom w:val="single" w:sz="6" w:space="0" w:color="000000"/>
              <w:right w:val="nil"/>
            </w:tcBorders>
          </w:tcPr>
          <w:p w:rsidR="00A46DCA" w:rsidRPr="00AC137D" w:rsidRDefault="00A46DCA" w:rsidP="00A26D04">
            <w:pPr>
              <w:keepLines w:val="0"/>
              <w:autoSpaceDE w:val="0"/>
              <w:autoSpaceDN w:val="0"/>
              <w:adjustRightInd w:val="0"/>
              <w:rPr>
                <w:rFonts w:eastAsiaTheme="minorEastAsia" w:cs="Calibri"/>
                <w:b/>
                <w:bCs/>
                <w:color w:val="000000"/>
                <w:szCs w:val="16"/>
                <w:lang w:eastAsia="en-AU"/>
              </w:rPr>
            </w:pPr>
            <w:r w:rsidRPr="00AC137D">
              <w:rPr>
                <w:rFonts w:eastAsiaTheme="minorEastAsia" w:cs="Calibri"/>
                <w:b/>
                <w:bCs/>
                <w:color w:val="000000"/>
                <w:szCs w:val="16"/>
                <w:lang w:eastAsia="en-AU"/>
              </w:rPr>
              <w:t>Total current grant expense</w:t>
            </w:r>
          </w:p>
        </w:tc>
        <w:tc>
          <w:tcPr>
            <w:tcW w:w="850" w:type="dxa"/>
            <w:gridSpan w:val="2"/>
            <w:tcBorders>
              <w:top w:val="single" w:sz="6" w:space="0" w:color="000000"/>
              <w:left w:val="nil"/>
              <w:bottom w:val="single" w:sz="6" w:space="0" w:color="000000"/>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sidRPr="00AC137D">
              <w:rPr>
                <w:rFonts w:eastAsiaTheme="minorEastAsia" w:cs="Arial"/>
                <w:b/>
                <w:bCs/>
                <w:color w:val="000000"/>
                <w:szCs w:val="18"/>
                <w:lang w:eastAsia="en-AU"/>
              </w:rPr>
              <w:t>11 247</w:t>
            </w:r>
          </w:p>
        </w:tc>
        <w:tc>
          <w:tcPr>
            <w:tcW w:w="850" w:type="dxa"/>
            <w:tcBorders>
              <w:top w:val="single" w:sz="6" w:space="0" w:color="000000"/>
              <w:left w:val="nil"/>
              <w:bottom w:val="single" w:sz="6" w:space="0" w:color="000000"/>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sidRPr="00AC137D">
              <w:rPr>
                <w:rFonts w:eastAsiaTheme="minorEastAsia" w:cs="Arial"/>
                <w:b/>
                <w:bCs/>
                <w:color w:val="000000"/>
                <w:szCs w:val="18"/>
                <w:lang w:eastAsia="en-AU"/>
              </w:rPr>
              <w:t>10 659</w:t>
            </w:r>
          </w:p>
        </w:tc>
        <w:tc>
          <w:tcPr>
            <w:tcW w:w="850" w:type="dxa"/>
            <w:tcBorders>
              <w:top w:val="single" w:sz="6" w:space="0" w:color="000000"/>
              <w:left w:val="nil"/>
              <w:bottom w:val="single" w:sz="6" w:space="0" w:color="000000"/>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sidRPr="00AC137D">
              <w:rPr>
                <w:rFonts w:eastAsiaTheme="minorEastAsia" w:cs="Arial"/>
                <w:b/>
                <w:bCs/>
                <w:color w:val="000000"/>
                <w:szCs w:val="18"/>
                <w:lang w:eastAsia="en-AU"/>
              </w:rPr>
              <w:t>12 215</w:t>
            </w:r>
          </w:p>
        </w:tc>
        <w:tc>
          <w:tcPr>
            <w:tcW w:w="850" w:type="dxa"/>
            <w:tcBorders>
              <w:top w:val="single" w:sz="6" w:space="0" w:color="000000"/>
              <w:left w:val="nil"/>
              <w:bottom w:val="single" w:sz="6" w:space="0" w:color="000000"/>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sidRPr="00AC137D">
              <w:rPr>
                <w:rFonts w:eastAsiaTheme="minorEastAsia" w:cs="Arial"/>
                <w:b/>
                <w:bCs/>
                <w:color w:val="000000"/>
                <w:szCs w:val="18"/>
                <w:lang w:eastAsia="en-AU"/>
              </w:rPr>
              <w:t>13 462</w:t>
            </w:r>
          </w:p>
        </w:tc>
        <w:tc>
          <w:tcPr>
            <w:tcW w:w="850" w:type="dxa"/>
            <w:tcBorders>
              <w:top w:val="single" w:sz="6" w:space="0" w:color="000000"/>
              <w:left w:val="nil"/>
              <w:bottom w:val="single" w:sz="6" w:space="0" w:color="000000"/>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sidRPr="00AC137D">
              <w:rPr>
                <w:rFonts w:eastAsiaTheme="minorEastAsia" w:cs="Arial"/>
                <w:b/>
                <w:bCs/>
                <w:color w:val="000000"/>
                <w:szCs w:val="18"/>
                <w:lang w:eastAsia="en-AU"/>
              </w:rPr>
              <w:t>13 465</w:t>
            </w:r>
          </w:p>
        </w:tc>
      </w:tr>
      <w:tr w:rsidR="00A46DCA" w:rsidRPr="00AC137D" w:rsidTr="00A26D04">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A46DCA" w:rsidRPr="00AC137D" w:rsidRDefault="00A46DCA" w:rsidP="00A26D04">
            <w:pPr>
              <w:keepLines w:val="0"/>
              <w:autoSpaceDE w:val="0"/>
              <w:autoSpaceDN w:val="0"/>
              <w:adjustRightInd w:val="0"/>
              <w:rPr>
                <w:rFonts w:eastAsiaTheme="minorEastAsia" w:cs="Calibri"/>
                <w:b/>
                <w:bCs/>
                <w:color w:val="000000"/>
                <w:szCs w:val="16"/>
                <w:lang w:eastAsia="en-AU"/>
              </w:rPr>
            </w:pPr>
            <w:r w:rsidRPr="00AC137D">
              <w:rPr>
                <w:rFonts w:eastAsiaTheme="minorEastAsia" w:cs="Calibri"/>
                <w:b/>
                <w:bCs/>
                <w:color w:val="000000"/>
                <w:szCs w:val="16"/>
                <w:lang w:eastAsia="en-AU"/>
              </w:rPr>
              <w:t>Capital grant expense</w:t>
            </w:r>
          </w:p>
        </w:tc>
        <w:tc>
          <w:tcPr>
            <w:tcW w:w="850" w:type="dxa"/>
            <w:gridSpan w:val="2"/>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AC137D">
              <w:rPr>
                <w:rFonts w:eastAsiaTheme="minorEastAsia" w:cs="Calibri"/>
                <w:b/>
                <w:bCs/>
                <w:color w:val="000000"/>
                <w:lang w:eastAsia="en-AU"/>
              </w:rPr>
              <w:t xml:space="preserve"> </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AC137D">
              <w:rPr>
                <w:rFonts w:eastAsiaTheme="minorEastAsia" w:cs="Calibri"/>
                <w:b/>
                <w:bCs/>
                <w:color w:val="000000"/>
                <w:lang w:eastAsia="en-AU"/>
              </w:rPr>
              <w:t xml:space="preserve"> </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AC137D">
              <w:rPr>
                <w:rFonts w:eastAsiaTheme="minorEastAsia" w:cs="Calibri"/>
                <w:b/>
                <w:bCs/>
                <w:color w:val="000000"/>
                <w:lang w:eastAsia="en-AU"/>
              </w:rPr>
              <w:t xml:space="preserve"> </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AC137D">
              <w:rPr>
                <w:rFonts w:eastAsiaTheme="minorEastAsia" w:cs="Calibri"/>
                <w:b/>
                <w:bCs/>
                <w:color w:val="000000"/>
                <w:lang w:eastAsia="en-AU"/>
              </w:rPr>
              <w:t xml:space="preserve"> </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AC137D">
              <w:rPr>
                <w:rFonts w:eastAsiaTheme="minorEastAsia" w:cs="Calibri"/>
                <w:b/>
                <w:bCs/>
                <w:color w:val="000000"/>
                <w:lang w:eastAsia="en-AU"/>
              </w:rPr>
              <w:t xml:space="preserve"> </w:t>
            </w:r>
          </w:p>
        </w:tc>
      </w:tr>
      <w:tr w:rsidR="00A46DCA" w:rsidRPr="00AC137D" w:rsidTr="002677DA">
        <w:tc>
          <w:tcPr>
            <w:cnfStyle w:val="001000000000" w:firstRow="0" w:lastRow="0" w:firstColumn="1" w:lastColumn="0" w:oddVBand="0" w:evenVBand="0" w:oddHBand="0" w:evenHBand="0" w:firstRowFirstColumn="0" w:firstRowLastColumn="0" w:lastRowFirstColumn="0" w:lastRowLastColumn="0"/>
            <w:tcW w:w="3686" w:type="dxa"/>
            <w:gridSpan w:val="2"/>
            <w:tcBorders>
              <w:top w:val="nil"/>
              <w:left w:val="nil"/>
              <w:bottom w:val="nil"/>
              <w:right w:val="nil"/>
            </w:tcBorders>
          </w:tcPr>
          <w:p w:rsidR="00A46DCA" w:rsidRPr="00AC137D" w:rsidRDefault="00A46DCA" w:rsidP="002677DA">
            <w:pPr>
              <w:keepLines w:val="0"/>
              <w:autoSpaceDE w:val="0"/>
              <w:autoSpaceDN w:val="0"/>
              <w:adjustRightInd w:val="0"/>
              <w:rPr>
                <w:rFonts w:eastAsiaTheme="minorEastAsia" w:cs="Calibri"/>
                <w:color w:val="000000"/>
                <w:szCs w:val="16"/>
                <w:lang w:eastAsia="en-AU"/>
              </w:rPr>
            </w:pPr>
            <w:r w:rsidRPr="00AC137D">
              <w:rPr>
                <w:rFonts w:eastAsiaTheme="minorEastAsia" w:cs="Calibri"/>
                <w:color w:val="000000"/>
                <w:szCs w:val="16"/>
                <w:lang w:eastAsia="en-AU"/>
              </w:rPr>
              <w:t>Local government (including grants for on-passing)</w:t>
            </w:r>
          </w:p>
        </w:tc>
        <w:tc>
          <w:tcPr>
            <w:tcW w:w="679"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15</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15</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20</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AC137D">
              <w:rPr>
                <w:rFonts w:eastAsiaTheme="minorEastAsia" w:cs="Arial"/>
                <w:color w:val="000000"/>
                <w:szCs w:val="18"/>
                <w:lang w:eastAsia="en-AU"/>
              </w:rPr>
              <w:t>..</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AC137D">
              <w:rPr>
                <w:rFonts w:eastAsiaTheme="minorEastAsia" w:cs="Arial"/>
                <w:color w:val="000000"/>
                <w:szCs w:val="18"/>
                <w:lang w:eastAsia="en-AU"/>
              </w:rPr>
              <w:t>..</w:t>
            </w:r>
          </w:p>
        </w:tc>
      </w:tr>
      <w:tr w:rsidR="00A46DCA" w:rsidRPr="00AC137D" w:rsidTr="00A26D04">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A46DCA" w:rsidRPr="00AC137D" w:rsidRDefault="00A46DCA" w:rsidP="00A26D04">
            <w:pPr>
              <w:keepLines w:val="0"/>
              <w:autoSpaceDE w:val="0"/>
              <w:autoSpaceDN w:val="0"/>
              <w:adjustRightInd w:val="0"/>
              <w:rPr>
                <w:rFonts w:eastAsiaTheme="minorEastAsia" w:cs="Calibri"/>
                <w:color w:val="000000"/>
                <w:szCs w:val="16"/>
                <w:lang w:eastAsia="en-AU"/>
              </w:rPr>
            </w:pPr>
            <w:r w:rsidRPr="00AC137D">
              <w:rPr>
                <w:rFonts w:eastAsiaTheme="minorEastAsia" w:cs="Calibri"/>
                <w:color w:val="000000"/>
                <w:szCs w:val="16"/>
                <w:lang w:eastAsia="en-AU"/>
              </w:rPr>
              <w:t>Private sector and not-for-profit on-passing</w:t>
            </w:r>
          </w:p>
        </w:tc>
        <w:tc>
          <w:tcPr>
            <w:tcW w:w="850" w:type="dxa"/>
            <w:gridSpan w:val="2"/>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48</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80</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37</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34</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38</w:t>
            </w:r>
          </w:p>
        </w:tc>
      </w:tr>
      <w:tr w:rsidR="00A46DCA" w:rsidRPr="00AC137D" w:rsidTr="00A26D04">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A46DCA" w:rsidRPr="00AC137D" w:rsidRDefault="00A46DCA" w:rsidP="00A26D04">
            <w:pPr>
              <w:keepLines w:val="0"/>
              <w:autoSpaceDE w:val="0"/>
              <w:autoSpaceDN w:val="0"/>
              <w:adjustRightInd w:val="0"/>
              <w:rPr>
                <w:rFonts w:eastAsiaTheme="minorEastAsia" w:cs="Calibri"/>
                <w:color w:val="000000"/>
                <w:szCs w:val="16"/>
                <w:lang w:eastAsia="en-AU"/>
              </w:rPr>
            </w:pPr>
            <w:r w:rsidRPr="00AC137D">
              <w:rPr>
                <w:rFonts w:eastAsiaTheme="minorEastAsia" w:cs="Calibri"/>
                <w:color w:val="000000"/>
                <w:szCs w:val="16"/>
                <w:lang w:eastAsia="en-AU"/>
              </w:rPr>
              <w:t>Other private sector and not-for-profit</w:t>
            </w:r>
          </w:p>
        </w:tc>
        <w:tc>
          <w:tcPr>
            <w:tcW w:w="850" w:type="dxa"/>
            <w:gridSpan w:val="2"/>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4</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4</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4</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4</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4</w:t>
            </w:r>
          </w:p>
        </w:tc>
      </w:tr>
      <w:tr w:rsidR="00A46DCA" w:rsidRPr="00AC137D" w:rsidTr="00A26D04">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A46DCA" w:rsidRPr="00AC137D" w:rsidRDefault="00A46DCA" w:rsidP="00A26D04">
            <w:pPr>
              <w:keepLines w:val="0"/>
              <w:autoSpaceDE w:val="0"/>
              <w:autoSpaceDN w:val="0"/>
              <w:adjustRightInd w:val="0"/>
              <w:rPr>
                <w:rFonts w:eastAsiaTheme="minorEastAsia" w:cs="Calibri"/>
                <w:color w:val="000000"/>
                <w:szCs w:val="16"/>
                <w:lang w:eastAsia="en-AU"/>
              </w:rPr>
            </w:pPr>
            <w:r w:rsidRPr="00AC137D">
              <w:rPr>
                <w:rFonts w:eastAsiaTheme="minorEastAsia" w:cs="Calibri"/>
                <w:color w:val="000000"/>
                <w:szCs w:val="16"/>
                <w:lang w:eastAsia="en-AU"/>
              </w:rPr>
              <w:t>Grants within the Victorian Government</w:t>
            </w:r>
          </w:p>
        </w:tc>
        <w:tc>
          <w:tcPr>
            <w:tcW w:w="850" w:type="dxa"/>
            <w:gridSpan w:val="2"/>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19</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33</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41</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14</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AC137D">
              <w:rPr>
                <w:rFonts w:eastAsiaTheme="minorEastAsia" w:cs="Arial"/>
                <w:color w:val="000000"/>
                <w:szCs w:val="18"/>
                <w:lang w:eastAsia="en-AU"/>
              </w:rPr>
              <w:t>..</w:t>
            </w:r>
          </w:p>
        </w:tc>
      </w:tr>
      <w:tr w:rsidR="00A46DCA" w:rsidRPr="00AC137D" w:rsidTr="00A26D04">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A46DCA" w:rsidRPr="00AC137D" w:rsidRDefault="00A46DCA" w:rsidP="00A26D04">
            <w:pPr>
              <w:keepLines w:val="0"/>
              <w:autoSpaceDE w:val="0"/>
              <w:autoSpaceDN w:val="0"/>
              <w:adjustRightInd w:val="0"/>
              <w:rPr>
                <w:rFonts w:eastAsiaTheme="minorEastAsia" w:cs="Calibri"/>
                <w:color w:val="000000"/>
                <w:szCs w:val="16"/>
                <w:lang w:eastAsia="en-AU"/>
              </w:rPr>
            </w:pPr>
            <w:r w:rsidRPr="00AC137D">
              <w:rPr>
                <w:rFonts w:eastAsiaTheme="minorEastAsia" w:cs="Calibri"/>
                <w:color w:val="000000"/>
                <w:szCs w:val="16"/>
                <w:lang w:eastAsia="en-AU"/>
              </w:rPr>
              <w:t>Other grants</w:t>
            </w:r>
          </w:p>
        </w:tc>
        <w:tc>
          <w:tcPr>
            <w:tcW w:w="850" w:type="dxa"/>
            <w:gridSpan w:val="2"/>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44</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w:t>
            </w:r>
          </w:p>
        </w:tc>
      </w:tr>
      <w:tr w:rsidR="00A46DCA" w:rsidRPr="00AC137D" w:rsidTr="00A26D04">
        <w:tc>
          <w:tcPr>
            <w:cnfStyle w:val="001000000000" w:firstRow="0" w:lastRow="0" w:firstColumn="1" w:lastColumn="0" w:oddVBand="0" w:evenVBand="0" w:oddHBand="0" w:evenHBand="0" w:firstRowFirstColumn="0" w:firstRowLastColumn="0" w:lastRowFirstColumn="0" w:lastRowLastColumn="0"/>
            <w:tcW w:w="3515" w:type="dxa"/>
            <w:tcBorders>
              <w:top w:val="single" w:sz="6" w:space="0" w:color="000000"/>
              <w:left w:val="nil"/>
              <w:bottom w:val="nil"/>
              <w:right w:val="nil"/>
            </w:tcBorders>
          </w:tcPr>
          <w:p w:rsidR="00A46DCA" w:rsidRPr="00AC137D" w:rsidRDefault="00A46DCA" w:rsidP="00A26D04">
            <w:pPr>
              <w:keepLines w:val="0"/>
              <w:autoSpaceDE w:val="0"/>
              <w:autoSpaceDN w:val="0"/>
              <w:adjustRightInd w:val="0"/>
              <w:rPr>
                <w:rFonts w:eastAsiaTheme="minorEastAsia" w:cs="Calibri"/>
                <w:b/>
                <w:bCs/>
                <w:color w:val="000000"/>
                <w:szCs w:val="16"/>
                <w:lang w:eastAsia="en-AU"/>
              </w:rPr>
            </w:pPr>
            <w:r w:rsidRPr="00AC137D">
              <w:rPr>
                <w:rFonts w:eastAsiaTheme="minorEastAsia" w:cs="Calibri"/>
                <w:b/>
                <w:bCs/>
                <w:color w:val="000000"/>
                <w:szCs w:val="16"/>
                <w:lang w:eastAsia="en-AU"/>
              </w:rPr>
              <w:t>Total capital grant expense</w:t>
            </w:r>
          </w:p>
        </w:tc>
        <w:tc>
          <w:tcPr>
            <w:tcW w:w="850" w:type="dxa"/>
            <w:gridSpan w:val="2"/>
            <w:tcBorders>
              <w:top w:val="single" w:sz="6" w:space="0" w:color="000000"/>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Pr>
                <w:rFonts w:eastAsiaTheme="minorEastAsia" w:cs="Arial"/>
                <w:b/>
                <w:bCs/>
                <w:color w:val="000000"/>
                <w:szCs w:val="18"/>
                <w:lang w:eastAsia="en-AU"/>
              </w:rPr>
              <w:t>86</w:t>
            </w:r>
          </w:p>
        </w:tc>
        <w:tc>
          <w:tcPr>
            <w:tcW w:w="850" w:type="dxa"/>
            <w:tcBorders>
              <w:top w:val="single" w:sz="6" w:space="0" w:color="000000"/>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Pr>
                <w:rFonts w:eastAsiaTheme="minorEastAsia" w:cs="Arial"/>
                <w:b/>
                <w:bCs/>
                <w:color w:val="000000"/>
                <w:szCs w:val="18"/>
                <w:lang w:eastAsia="en-AU"/>
              </w:rPr>
              <w:t>133</w:t>
            </w:r>
          </w:p>
        </w:tc>
        <w:tc>
          <w:tcPr>
            <w:tcW w:w="850" w:type="dxa"/>
            <w:tcBorders>
              <w:top w:val="single" w:sz="6" w:space="0" w:color="000000"/>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Pr>
                <w:rFonts w:eastAsiaTheme="minorEastAsia" w:cs="Arial"/>
                <w:b/>
                <w:bCs/>
                <w:color w:val="000000"/>
                <w:szCs w:val="18"/>
                <w:lang w:eastAsia="en-AU"/>
              </w:rPr>
              <w:t>102</w:t>
            </w:r>
          </w:p>
        </w:tc>
        <w:tc>
          <w:tcPr>
            <w:tcW w:w="850" w:type="dxa"/>
            <w:tcBorders>
              <w:top w:val="single" w:sz="6" w:space="0" w:color="000000"/>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Pr>
                <w:rFonts w:eastAsiaTheme="minorEastAsia" w:cs="Arial"/>
                <w:b/>
                <w:bCs/>
                <w:color w:val="000000"/>
                <w:szCs w:val="18"/>
                <w:lang w:eastAsia="en-AU"/>
              </w:rPr>
              <w:t>96</w:t>
            </w:r>
          </w:p>
        </w:tc>
        <w:tc>
          <w:tcPr>
            <w:tcW w:w="850" w:type="dxa"/>
            <w:tcBorders>
              <w:top w:val="single" w:sz="6" w:space="0" w:color="000000"/>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Pr>
                <w:rFonts w:eastAsiaTheme="minorEastAsia" w:cs="Arial"/>
                <w:b/>
                <w:bCs/>
                <w:color w:val="000000"/>
                <w:szCs w:val="18"/>
                <w:lang w:eastAsia="en-AU"/>
              </w:rPr>
              <w:t>42</w:t>
            </w:r>
          </w:p>
        </w:tc>
      </w:tr>
      <w:tr w:rsidR="00A46DCA" w:rsidRPr="00AC137D" w:rsidTr="00A26D04">
        <w:tc>
          <w:tcPr>
            <w:cnfStyle w:val="001000000000" w:firstRow="0" w:lastRow="0" w:firstColumn="1" w:lastColumn="0" w:oddVBand="0" w:evenVBand="0" w:oddHBand="0" w:evenHBand="0" w:firstRowFirstColumn="0" w:firstRowLastColumn="0" w:lastRowFirstColumn="0" w:lastRowLastColumn="0"/>
            <w:tcW w:w="3515" w:type="dxa"/>
            <w:tcBorders>
              <w:top w:val="single" w:sz="6" w:space="0" w:color="000000"/>
              <w:left w:val="nil"/>
              <w:bottom w:val="single" w:sz="12" w:space="0" w:color="000000"/>
              <w:right w:val="nil"/>
            </w:tcBorders>
          </w:tcPr>
          <w:p w:rsidR="00A46DCA" w:rsidRPr="00AC137D" w:rsidRDefault="00A46DCA" w:rsidP="00A26D04">
            <w:pPr>
              <w:keepLines w:val="0"/>
              <w:autoSpaceDE w:val="0"/>
              <w:autoSpaceDN w:val="0"/>
              <w:adjustRightInd w:val="0"/>
              <w:rPr>
                <w:rFonts w:eastAsiaTheme="minorEastAsia" w:cs="Calibri"/>
                <w:b/>
                <w:bCs/>
                <w:color w:val="000000"/>
                <w:szCs w:val="16"/>
                <w:lang w:eastAsia="en-AU"/>
              </w:rPr>
            </w:pPr>
            <w:r w:rsidRPr="00AC137D">
              <w:rPr>
                <w:rFonts w:eastAsiaTheme="minorEastAsia" w:cs="Calibri"/>
                <w:b/>
                <w:bCs/>
                <w:color w:val="000000"/>
                <w:szCs w:val="16"/>
                <w:lang w:eastAsia="en-AU"/>
              </w:rPr>
              <w:t>Total grant expense</w:t>
            </w:r>
          </w:p>
        </w:tc>
        <w:tc>
          <w:tcPr>
            <w:tcW w:w="850" w:type="dxa"/>
            <w:gridSpan w:val="2"/>
            <w:tcBorders>
              <w:top w:val="single" w:sz="6" w:space="0" w:color="000000"/>
              <w:left w:val="nil"/>
              <w:bottom w:val="single" w:sz="12" w:space="0" w:color="000000"/>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sidRPr="00AC137D">
              <w:rPr>
                <w:rFonts w:eastAsiaTheme="minorEastAsia" w:cs="Arial"/>
                <w:b/>
                <w:bCs/>
                <w:color w:val="000000"/>
                <w:szCs w:val="18"/>
                <w:lang w:eastAsia="en-AU"/>
              </w:rPr>
              <w:t>11 333</w:t>
            </w:r>
          </w:p>
        </w:tc>
        <w:tc>
          <w:tcPr>
            <w:tcW w:w="850" w:type="dxa"/>
            <w:tcBorders>
              <w:top w:val="single" w:sz="6" w:space="0" w:color="000000"/>
              <w:left w:val="nil"/>
              <w:bottom w:val="single" w:sz="12" w:space="0" w:color="000000"/>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sidRPr="00AC137D">
              <w:rPr>
                <w:rFonts w:eastAsiaTheme="minorEastAsia" w:cs="Arial"/>
                <w:b/>
                <w:bCs/>
                <w:color w:val="000000"/>
                <w:szCs w:val="18"/>
                <w:lang w:eastAsia="en-AU"/>
              </w:rPr>
              <w:t>10 792</w:t>
            </w:r>
          </w:p>
        </w:tc>
        <w:tc>
          <w:tcPr>
            <w:tcW w:w="850" w:type="dxa"/>
            <w:tcBorders>
              <w:top w:val="single" w:sz="6" w:space="0" w:color="000000"/>
              <w:left w:val="nil"/>
              <w:bottom w:val="single" w:sz="12" w:space="0" w:color="000000"/>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sidRPr="00AC137D">
              <w:rPr>
                <w:rFonts w:eastAsiaTheme="minorEastAsia" w:cs="Arial"/>
                <w:b/>
                <w:bCs/>
                <w:color w:val="000000"/>
                <w:szCs w:val="18"/>
                <w:lang w:eastAsia="en-AU"/>
              </w:rPr>
              <w:t>12 317</w:t>
            </w:r>
          </w:p>
        </w:tc>
        <w:tc>
          <w:tcPr>
            <w:tcW w:w="850" w:type="dxa"/>
            <w:tcBorders>
              <w:top w:val="single" w:sz="6" w:space="0" w:color="000000"/>
              <w:left w:val="nil"/>
              <w:bottom w:val="single" w:sz="12" w:space="0" w:color="000000"/>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sidRPr="00AC137D">
              <w:rPr>
                <w:rFonts w:eastAsiaTheme="minorEastAsia" w:cs="Arial"/>
                <w:b/>
                <w:bCs/>
                <w:color w:val="000000"/>
                <w:szCs w:val="18"/>
                <w:lang w:eastAsia="en-AU"/>
              </w:rPr>
              <w:t>13 558</w:t>
            </w:r>
          </w:p>
        </w:tc>
        <w:tc>
          <w:tcPr>
            <w:tcW w:w="850" w:type="dxa"/>
            <w:tcBorders>
              <w:top w:val="single" w:sz="6" w:space="0" w:color="000000"/>
              <w:left w:val="nil"/>
              <w:bottom w:val="single" w:sz="12" w:space="0" w:color="000000"/>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sidRPr="00AC137D">
              <w:rPr>
                <w:rFonts w:eastAsiaTheme="minorEastAsia" w:cs="Arial"/>
                <w:b/>
                <w:bCs/>
                <w:color w:val="000000"/>
                <w:szCs w:val="18"/>
                <w:lang w:eastAsia="en-AU"/>
              </w:rPr>
              <w:t>13 507</w:t>
            </w:r>
          </w:p>
        </w:tc>
      </w:tr>
    </w:tbl>
    <w:p w:rsidR="00A46DCA" w:rsidRPr="00D87D22" w:rsidRDefault="00A46DCA" w:rsidP="00A26D04">
      <w:pPr>
        <w:pStyle w:val="Source"/>
      </w:pPr>
      <w:r w:rsidRPr="00D87D22">
        <w:t>Source: Department of Treasury and Finance</w:t>
      </w:r>
    </w:p>
    <w:p w:rsidR="00A46DCA" w:rsidRPr="00697AD9" w:rsidRDefault="00A46DCA" w:rsidP="00A26D04">
      <w:pPr>
        <w:spacing w:before="20"/>
        <w:ind w:left="284" w:hanging="284"/>
        <w:contextualSpacing/>
        <w:rPr>
          <w:rFonts w:asciiTheme="majorHAnsi" w:hAnsiTheme="majorHAnsi"/>
          <w:i/>
          <w:spacing w:val="-2"/>
          <w:sz w:val="14"/>
        </w:rPr>
      </w:pPr>
      <w:r>
        <w:rPr>
          <w:rFonts w:asciiTheme="majorHAnsi" w:hAnsiTheme="majorHAnsi"/>
          <w:i/>
          <w:spacing w:val="-2"/>
          <w:sz w:val="14"/>
        </w:rPr>
        <w:t>Note</w:t>
      </w:r>
      <w:r w:rsidRPr="00697AD9">
        <w:rPr>
          <w:rFonts w:asciiTheme="majorHAnsi" w:hAnsiTheme="majorHAnsi"/>
          <w:i/>
          <w:spacing w:val="-2"/>
          <w:sz w:val="14"/>
        </w:rPr>
        <w:t>:</w:t>
      </w:r>
    </w:p>
    <w:p w:rsidR="00A46DCA" w:rsidRDefault="00A46DCA" w:rsidP="00A26D04">
      <w:pPr>
        <w:spacing w:before="20"/>
        <w:ind w:left="284" w:hanging="284"/>
        <w:contextualSpacing/>
        <w:rPr>
          <w:rFonts w:asciiTheme="majorHAnsi" w:hAnsiTheme="majorHAnsi"/>
          <w:i/>
          <w:spacing w:val="-2"/>
          <w:sz w:val="14"/>
        </w:rPr>
      </w:pPr>
      <w:r w:rsidRPr="00697AD9">
        <w:rPr>
          <w:rFonts w:asciiTheme="majorHAnsi" w:hAnsiTheme="majorHAnsi"/>
          <w:i/>
          <w:spacing w:val="-2"/>
          <w:sz w:val="14"/>
        </w:rPr>
        <w:t>(a)</w:t>
      </w:r>
      <w:r w:rsidRPr="00697AD9">
        <w:rPr>
          <w:rFonts w:asciiTheme="majorHAnsi" w:hAnsiTheme="majorHAnsi"/>
          <w:i/>
          <w:spacing w:val="-2"/>
          <w:sz w:val="14"/>
        </w:rPr>
        <w:tab/>
      </w:r>
      <w:r>
        <w:rPr>
          <w:rFonts w:asciiTheme="majorHAnsi" w:hAnsiTheme="majorHAnsi"/>
          <w:i/>
          <w:spacing w:val="-2"/>
          <w:sz w:val="14"/>
        </w:rPr>
        <w:t>The increase in Commonwealth grant expense is largely driven by the State’s contribution to the NDIS.</w:t>
      </w:r>
      <w:r w:rsidRPr="00697AD9">
        <w:rPr>
          <w:rFonts w:asciiTheme="majorHAnsi" w:hAnsiTheme="majorHAnsi"/>
          <w:i/>
          <w:spacing w:val="-2"/>
          <w:sz w:val="14"/>
        </w:rPr>
        <w:t xml:space="preserve"> </w:t>
      </w:r>
    </w:p>
    <w:p w:rsidR="00A46DCA" w:rsidRPr="00697AD9" w:rsidRDefault="00A46DCA" w:rsidP="00A26D04">
      <w:pPr>
        <w:spacing w:before="20"/>
        <w:ind w:left="284" w:hanging="284"/>
        <w:contextualSpacing/>
        <w:rPr>
          <w:rFonts w:asciiTheme="majorHAnsi" w:hAnsiTheme="majorHAnsi"/>
          <w:i/>
          <w:spacing w:val="-2"/>
          <w:sz w:val="14"/>
        </w:rPr>
      </w:pPr>
    </w:p>
    <w:p w:rsidR="00A46DCA" w:rsidRPr="00AC137D" w:rsidRDefault="00A46DCA" w:rsidP="00A26D04">
      <w:pPr>
        <w:pStyle w:val="Heading3"/>
        <w:numPr>
          <w:ilvl w:val="2"/>
          <w:numId w:val="19"/>
        </w:numPr>
        <w:tabs>
          <w:tab w:val="clear" w:pos="9582"/>
          <w:tab w:val="left" w:pos="850"/>
          <w:tab w:val="right" w:pos="7711"/>
        </w:tabs>
        <w:spacing w:after="60"/>
        <w:rPr>
          <w:lang w:val="en-US"/>
        </w:rPr>
      </w:pPr>
      <w:bookmarkStart w:id="36" w:name="_Toc496606577"/>
      <w:r>
        <w:lastRenderedPageBreak/>
        <w:t xml:space="preserve">Other operating expenses </w:t>
      </w:r>
      <w:r>
        <w:tab/>
        <w:t>($ million)</w:t>
      </w:r>
      <w:bookmarkEnd w:id="36"/>
    </w:p>
    <w:tbl>
      <w:tblPr>
        <w:tblStyle w:val="DTFTable"/>
        <w:tblW w:w="7765" w:type="dxa"/>
        <w:tblInd w:w="45" w:type="dxa"/>
        <w:tblLayout w:type="fixed"/>
        <w:tblCellMar>
          <w:left w:w="45" w:type="dxa"/>
          <w:right w:w="45" w:type="dxa"/>
        </w:tblCellMar>
        <w:tblLook w:val="06A0" w:firstRow="1" w:lastRow="0" w:firstColumn="1" w:lastColumn="0" w:noHBand="1" w:noVBand="1"/>
      </w:tblPr>
      <w:tblGrid>
        <w:gridCol w:w="3515"/>
        <w:gridCol w:w="850"/>
        <w:gridCol w:w="850"/>
        <w:gridCol w:w="850"/>
        <w:gridCol w:w="850"/>
        <w:gridCol w:w="850"/>
      </w:tblGrid>
      <w:tr w:rsidR="00A26D04" w:rsidRPr="00AC137D" w:rsidTr="002677DA">
        <w:trPr>
          <w:cnfStyle w:val="100000000000" w:firstRow="1" w:lastRow="0" w:firstColumn="0" w:lastColumn="0" w:oddVBand="0" w:evenVBand="0" w:oddHBand="0" w:evenHBand="0" w:firstRowFirstColumn="0" w:firstRowLastColumn="0" w:lastRowFirstColumn="0" w:lastRowLastColumn="0"/>
          <w:trHeight w:val="70"/>
          <w:tblHeader/>
        </w:trPr>
        <w:tc>
          <w:tcPr>
            <w:cnfStyle w:val="001000000000" w:firstRow="0" w:lastRow="0" w:firstColumn="1" w:lastColumn="0" w:oddVBand="0" w:evenVBand="0" w:oddHBand="0" w:evenHBand="0" w:firstRowFirstColumn="0" w:firstRowLastColumn="0" w:lastRowFirstColumn="0" w:lastRowLastColumn="0"/>
            <w:tcW w:w="3515" w:type="dxa"/>
            <w:tcBorders>
              <w:top w:val="nil"/>
              <w:left w:val="nil"/>
              <w:right w:val="nil"/>
            </w:tcBorders>
            <w:shd w:val="solid" w:color="000000" w:fill="auto"/>
          </w:tcPr>
          <w:p w:rsidR="00A26D04" w:rsidRPr="00AC137D" w:rsidRDefault="00A26D04" w:rsidP="00A26D04">
            <w:pPr>
              <w:autoSpaceDE w:val="0"/>
              <w:autoSpaceDN w:val="0"/>
              <w:adjustRightInd w:val="0"/>
              <w:rPr>
                <w:rFonts w:eastAsiaTheme="minorEastAsia" w:cs="Calibri"/>
                <w:iCs/>
                <w:color w:val="FFFFFF"/>
                <w:lang w:eastAsia="en-AU"/>
              </w:rPr>
            </w:pPr>
            <w:r w:rsidRPr="00AC137D">
              <w:rPr>
                <w:rFonts w:eastAsiaTheme="minorEastAsia" w:cs="Calibri"/>
                <w:iCs/>
                <w:color w:val="FFFFFF"/>
                <w:lang w:eastAsia="en-AU"/>
              </w:rPr>
              <w:t xml:space="preserve">  </w:t>
            </w:r>
          </w:p>
        </w:tc>
        <w:tc>
          <w:tcPr>
            <w:tcW w:w="850" w:type="dxa"/>
            <w:tcBorders>
              <w:top w:val="nil"/>
              <w:left w:val="nil"/>
              <w:right w:val="nil"/>
            </w:tcBorders>
            <w:shd w:val="solid" w:color="000000" w:fill="auto"/>
          </w:tcPr>
          <w:p w:rsidR="00A26D04" w:rsidRPr="00AC137D" w:rsidRDefault="00A26D04" w:rsidP="00A26D0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AC137D">
              <w:rPr>
                <w:rFonts w:eastAsiaTheme="minorEastAsia" w:cs="Calibri"/>
                <w:iCs/>
                <w:color w:val="FFFFFF"/>
                <w:szCs w:val="16"/>
                <w:lang w:eastAsia="en-AU"/>
              </w:rPr>
              <w:t>2017-18</w:t>
            </w:r>
            <w:r>
              <w:rPr>
                <w:rFonts w:eastAsiaTheme="minorEastAsia" w:cs="Calibri"/>
                <w:iCs/>
                <w:color w:val="FFFFFF"/>
                <w:szCs w:val="16"/>
                <w:lang w:eastAsia="en-AU"/>
              </w:rPr>
              <w:br/>
            </w:r>
            <w:r w:rsidRPr="00AC137D">
              <w:rPr>
                <w:rFonts w:eastAsiaTheme="minorEastAsia" w:cs="Calibri"/>
                <w:iCs/>
                <w:color w:val="FFFFFF"/>
                <w:szCs w:val="16"/>
                <w:lang w:eastAsia="en-AU"/>
              </w:rPr>
              <w:t>budget</w:t>
            </w:r>
          </w:p>
        </w:tc>
        <w:tc>
          <w:tcPr>
            <w:tcW w:w="850" w:type="dxa"/>
            <w:tcBorders>
              <w:top w:val="nil"/>
              <w:left w:val="nil"/>
              <w:right w:val="nil"/>
            </w:tcBorders>
            <w:shd w:val="solid" w:color="000000" w:fill="auto"/>
          </w:tcPr>
          <w:p w:rsidR="00A26D04" w:rsidRPr="00AC137D" w:rsidRDefault="00A26D04" w:rsidP="00A26D0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AC137D">
              <w:rPr>
                <w:rFonts w:eastAsiaTheme="minorEastAsia" w:cs="Calibri"/>
                <w:iCs/>
                <w:color w:val="FFFFFF"/>
                <w:szCs w:val="16"/>
                <w:lang w:eastAsia="en-AU"/>
              </w:rPr>
              <w:t>2017-18</w:t>
            </w:r>
            <w:r>
              <w:rPr>
                <w:rFonts w:eastAsiaTheme="minorEastAsia" w:cs="Calibri"/>
                <w:iCs/>
                <w:color w:val="FFFFFF"/>
                <w:szCs w:val="16"/>
                <w:lang w:eastAsia="en-AU"/>
              </w:rPr>
              <w:br/>
            </w:r>
            <w:r w:rsidRPr="00AC137D">
              <w:rPr>
                <w:rFonts w:eastAsiaTheme="minorEastAsia" w:cs="Calibri"/>
                <w:iCs/>
                <w:color w:val="FFFFFF"/>
                <w:szCs w:val="16"/>
                <w:lang w:eastAsia="en-AU"/>
              </w:rPr>
              <w:t>revised</w:t>
            </w:r>
          </w:p>
        </w:tc>
        <w:tc>
          <w:tcPr>
            <w:tcW w:w="850" w:type="dxa"/>
            <w:tcBorders>
              <w:top w:val="nil"/>
              <w:left w:val="nil"/>
              <w:right w:val="nil"/>
            </w:tcBorders>
            <w:shd w:val="solid" w:color="000000" w:fill="auto"/>
          </w:tcPr>
          <w:p w:rsidR="00A26D04" w:rsidRPr="00AC137D" w:rsidRDefault="00A26D04" w:rsidP="00A26D0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AC137D">
              <w:rPr>
                <w:rFonts w:eastAsiaTheme="minorEastAsia" w:cs="Calibri"/>
                <w:iCs/>
                <w:color w:val="FFFFFF"/>
                <w:szCs w:val="16"/>
                <w:lang w:eastAsia="en-AU"/>
              </w:rPr>
              <w:t>2018-19</w:t>
            </w:r>
            <w:r>
              <w:rPr>
                <w:rFonts w:eastAsiaTheme="minorEastAsia" w:cs="Calibri"/>
                <w:iCs/>
                <w:color w:val="FFFFFF"/>
                <w:szCs w:val="16"/>
                <w:lang w:eastAsia="en-AU"/>
              </w:rPr>
              <w:br/>
            </w:r>
            <w:r w:rsidRPr="00AC137D">
              <w:rPr>
                <w:rFonts w:eastAsiaTheme="minorEastAsia" w:cs="Calibri"/>
                <w:iCs/>
                <w:color w:val="FFFFFF"/>
                <w:szCs w:val="16"/>
                <w:lang w:eastAsia="en-AU"/>
              </w:rPr>
              <w:t>estimate</w:t>
            </w:r>
          </w:p>
        </w:tc>
        <w:tc>
          <w:tcPr>
            <w:tcW w:w="850" w:type="dxa"/>
            <w:tcBorders>
              <w:top w:val="nil"/>
              <w:left w:val="nil"/>
              <w:right w:val="nil"/>
            </w:tcBorders>
            <w:shd w:val="solid" w:color="000000" w:fill="auto"/>
          </w:tcPr>
          <w:p w:rsidR="00A26D04" w:rsidRPr="00AC137D" w:rsidRDefault="00A26D04" w:rsidP="00A26D0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AC137D">
              <w:rPr>
                <w:rFonts w:eastAsiaTheme="minorEastAsia" w:cs="Calibri"/>
                <w:iCs/>
                <w:color w:val="FFFFFF"/>
                <w:szCs w:val="16"/>
                <w:lang w:eastAsia="en-AU"/>
              </w:rPr>
              <w:t>2019-20</w:t>
            </w:r>
            <w:r>
              <w:rPr>
                <w:rFonts w:eastAsiaTheme="minorEastAsia" w:cs="Calibri"/>
                <w:iCs/>
                <w:color w:val="FFFFFF"/>
                <w:szCs w:val="16"/>
                <w:lang w:eastAsia="en-AU"/>
              </w:rPr>
              <w:br/>
            </w:r>
            <w:r w:rsidRPr="00AC137D">
              <w:rPr>
                <w:rFonts w:eastAsiaTheme="minorEastAsia" w:cs="Calibri"/>
                <w:iCs/>
                <w:color w:val="FFFFFF"/>
                <w:szCs w:val="16"/>
                <w:lang w:eastAsia="en-AU"/>
              </w:rPr>
              <w:t>estimate</w:t>
            </w:r>
          </w:p>
        </w:tc>
        <w:tc>
          <w:tcPr>
            <w:tcW w:w="850" w:type="dxa"/>
            <w:tcBorders>
              <w:top w:val="nil"/>
              <w:left w:val="nil"/>
              <w:right w:val="nil"/>
            </w:tcBorders>
            <w:shd w:val="solid" w:color="000000" w:fill="auto"/>
          </w:tcPr>
          <w:p w:rsidR="00A26D04" w:rsidRPr="00AC137D" w:rsidRDefault="00A26D04" w:rsidP="00A26D0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AC137D">
              <w:rPr>
                <w:rFonts w:eastAsiaTheme="minorEastAsia" w:cs="Calibri"/>
                <w:iCs/>
                <w:color w:val="FFFFFF"/>
                <w:szCs w:val="16"/>
                <w:lang w:eastAsia="en-AU"/>
              </w:rPr>
              <w:t>2020-21</w:t>
            </w:r>
            <w:r>
              <w:rPr>
                <w:rFonts w:eastAsiaTheme="minorEastAsia" w:cs="Calibri"/>
                <w:iCs/>
                <w:color w:val="FFFFFF"/>
                <w:szCs w:val="16"/>
                <w:lang w:eastAsia="en-AU"/>
              </w:rPr>
              <w:br/>
            </w:r>
            <w:r w:rsidRPr="00AC137D">
              <w:rPr>
                <w:rFonts w:eastAsiaTheme="minorEastAsia" w:cs="Calibri"/>
                <w:iCs/>
                <w:color w:val="FFFFFF"/>
                <w:szCs w:val="16"/>
                <w:lang w:eastAsia="en-AU"/>
              </w:rPr>
              <w:t>estimate</w:t>
            </w:r>
          </w:p>
        </w:tc>
      </w:tr>
      <w:tr w:rsidR="00A46DCA" w:rsidRPr="00AC137D" w:rsidTr="00A26D04">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A46DCA" w:rsidRPr="00AC137D" w:rsidRDefault="00A46DCA" w:rsidP="00A26D04">
            <w:pPr>
              <w:keepLines w:val="0"/>
              <w:autoSpaceDE w:val="0"/>
              <w:autoSpaceDN w:val="0"/>
              <w:adjustRightInd w:val="0"/>
              <w:rPr>
                <w:rFonts w:eastAsiaTheme="minorEastAsia" w:cs="Calibri"/>
                <w:color w:val="000000"/>
                <w:szCs w:val="16"/>
                <w:vertAlign w:val="superscript"/>
                <w:lang w:eastAsia="en-AU"/>
              </w:rPr>
            </w:pPr>
            <w:r w:rsidRPr="00AC137D">
              <w:rPr>
                <w:rFonts w:eastAsiaTheme="minorEastAsia" w:cs="Calibri"/>
                <w:color w:val="000000"/>
                <w:szCs w:val="16"/>
                <w:lang w:eastAsia="en-AU"/>
              </w:rPr>
              <w:t xml:space="preserve">Purchase of supplies and consumables </w:t>
            </w:r>
            <w:r w:rsidRPr="00AC137D">
              <w:rPr>
                <w:rFonts w:eastAsiaTheme="minorEastAsia" w:cs="Calibri"/>
                <w:color w:val="000000"/>
                <w:szCs w:val="16"/>
                <w:vertAlign w:val="superscript"/>
                <w:lang w:eastAsia="en-AU"/>
              </w:rPr>
              <w:t>(a)</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AC137D">
              <w:rPr>
                <w:rFonts w:eastAsiaTheme="minorEastAsia" w:cs="Arial"/>
                <w:color w:val="000000"/>
                <w:szCs w:val="18"/>
                <w:lang w:eastAsia="en-AU"/>
              </w:rPr>
              <w:t>6 431</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AC137D">
              <w:rPr>
                <w:rFonts w:eastAsiaTheme="minorEastAsia" w:cs="Arial"/>
                <w:color w:val="000000"/>
                <w:szCs w:val="18"/>
                <w:lang w:eastAsia="en-AU"/>
              </w:rPr>
              <w:t>6 448</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AC137D">
              <w:rPr>
                <w:rFonts w:eastAsiaTheme="minorEastAsia" w:cs="Arial"/>
                <w:color w:val="000000"/>
                <w:szCs w:val="18"/>
                <w:lang w:eastAsia="en-AU"/>
              </w:rPr>
              <w:t>6 452</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AC137D">
              <w:rPr>
                <w:rFonts w:eastAsiaTheme="minorEastAsia" w:cs="Arial"/>
                <w:color w:val="000000"/>
                <w:szCs w:val="18"/>
                <w:lang w:eastAsia="en-AU"/>
              </w:rPr>
              <w:t>6 573</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AC137D">
              <w:rPr>
                <w:rFonts w:eastAsiaTheme="minorEastAsia" w:cs="Arial"/>
                <w:color w:val="000000"/>
                <w:szCs w:val="18"/>
                <w:lang w:eastAsia="en-AU"/>
              </w:rPr>
              <w:t>7 234</w:t>
            </w:r>
          </w:p>
        </w:tc>
      </w:tr>
      <w:tr w:rsidR="00A46DCA" w:rsidRPr="00AC137D" w:rsidTr="00A26D04">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A46DCA" w:rsidRPr="00AC137D" w:rsidRDefault="00A46DCA" w:rsidP="00A26D04">
            <w:pPr>
              <w:keepLines w:val="0"/>
              <w:autoSpaceDE w:val="0"/>
              <w:autoSpaceDN w:val="0"/>
              <w:adjustRightInd w:val="0"/>
              <w:rPr>
                <w:rFonts w:eastAsiaTheme="minorEastAsia" w:cs="Calibri"/>
                <w:color w:val="000000"/>
                <w:szCs w:val="16"/>
                <w:lang w:eastAsia="en-AU"/>
              </w:rPr>
            </w:pPr>
            <w:r w:rsidRPr="00AC137D">
              <w:rPr>
                <w:rFonts w:eastAsiaTheme="minorEastAsia" w:cs="Calibri"/>
                <w:color w:val="000000"/>
                <w:szCs w:val="16"/>
                <w:lang w:eastAsia="en-AU"/>
              </w:rPr>
              <w:t>Cost of goods sold</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30</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29</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30</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31</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32</w:t>
            </w:r>
          </w:p>
        </w:tc>
      </w:tr>
      <w:tr w:rsidR="00A46DCA" w:rsidRPr="00AC137D" w:rsidTr="00A26D04">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A46DCA" w:rsidRPr="00AC137D" w:rsidRDefault="00A46DCA" w:rsidP="00A26D04">
            <w:pPr>
              <w:keepLines w:val="0"/>
              <w:autoSpaceDE w:val="0"/>
              <w:autoSpaceDN w:val="0"/>
              <w:adjustRightInd w:val="0"/>
              <w:rPr>
                <w:rFonts w:eastAsiaTheme="minorEastAsia" w:cs="Calibri"/>
                <w:color w:val="000000"/>
                <w:szCs w:val="16"/>
                <w:lang w:eastAsia="en-AU"/>
              </w:rPr>
            </w:pPr>
            <w:r w:rsidRPr="00AC137D">
              <w:rPr>
                <w:rFonts w:eastAsiaTheme="minorEastAsia" w:cs="Calibri"/>
                <w:color w:val="000000"/>
                <w:szCs w:val="16"/>
                <w:lang w:eastAsia="en-AU"/>
              </w:rPr>
              <w:t>Finance expenses and fees</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31</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31</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32</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32</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32</w:t>
            </w:r>
          </w:p>
        </w:tc>
      </w:tr>
      <w:tr w:rsidR="00A46DCA" w:rsidRPr="00AC137D" w:rsidTr="00A26D04">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A46DCA" w:rsidRPr="00AC137D" w:rsidRDefault="00A46DCA" w:rsidP="00A26D04">
            <w:pPr>
              <w:keepLines w:val="0"/>
              <w:autoSpaceDE w:val="0"/>
              <w:autoSpaceDN w:val="0"/>
              <w:adjustRightInd w:val="0"/>
              <w:rPr>
                <w:rFonts w:eastAsiaTheme="minorEastAsia" w:cs="Calibri"/>
                <w:color w:val="000000"/>
                <w:szCs w:val="16"/>
                <w:vertAlign w:val="superscript"/>
                <w:lang w:eastAsia="en-AU"/>
              </w:rPr>
            </w:pPr>
            <w:r w:rsidRPr="00AC137D">
              <w:rPr>
                <w:rFonts w:eastAsiaTheme="minorEastAsia" w:cs="Calibri"/>
                <w:color w:val="000000"/>
                <w:szCs w:val="16"/>
                <w:lang w:eastAsia="en-AU"/>
              </w:rPr>
              <w:t xml:space="preserve">Purchase of services </w:t>
            </w:r>
            <w:r w:rsidRPr="00AC137D">
              <w:rPr>
                <w:rFonts w:eastAsiaTheme="minorEastAsia" w:cs="Calibri"/>
                <w:color w:val="000000"/>
                <w:szCs w:val="16"/>
                <w:vertAlign w:val="superscript"/>
                <w:lang w:eastAsia="en-AU"/>
              </w:rPr>
              <w:t>(a)(b)</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AC137D">
              <w:rPr>
                <w:rFonts w:eastAsiaTheme="minorEastAsia" w:cs="Arial"/>
                <w:color w:val="000000"/>
                <w:szCs w:val="18"/>
                <w:lang w:eastAsia="en-AU"/>
              </w:rPr>
              <w:t>11 288</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AC137D">
              <w:rPr>
                <w:rFonts w:eastAsiaTheme="minorEastAsia" w:cs="Arial"/>
                <w:color w:val="000000"/>
                <w:szCs w:val="18"/>
                <w:lang w:eastAsia="en-AU"/>
              </w:rPr>
              <w:t>11 916</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AC137D">
              <w:rPr>
                <w:rFonts w:eastAsiaTheme="minorEastAsia" w:cs="Arial"/>
                <w:color w:val="000000"/>
                <w:szCs w:val="18"/>
                <w:lang w:eastAsia="en-AU"/>
              </w:rPr>
              <w:t>11 624</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AC137D">
              <w:rPr>
                <w:rFonts w:eastAsiaTheme="minorEastAsia" w:cs="Arial"/>
                <w:color w:val="000000"/>
                <w:szCs w:val="18"/>
                <w:lang w:eastAsia="en-AU"/>
              </w:rPr>
              <w:t>10 856</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AC137D">
              <w:rPr>
                <w:rFonts w:eastAsiaTheme="minorEastAsia" w:cs="Arial"/>
                <w:color w:val="000000"/>
                <w:szCs w:val="18"/>
                <w:lang w:eastAsia="en-AU"/>
              </w:rPr>
              <w:t>10 850</w:t>
            </w:r>
          </w:p>
        </w:tc>
      </w:tr>
      <w:tr w:rsidR="00A46DCA" w:rsidRPr="00AC137D" w:rsidTr="00A26D04">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A46DCA" w:rsidRPr="00AC137D" w:rsidRDefault="00A46DCA" w:rsidP="00A26D04">
            <w:pPr>
              <w:keepLines w:val="0"/>
              <w:autoSpaceDE w:val="0"/>
              <w:autoSpaceDN w:val="0"/>
              <w:adjustRightInd w:val="0"/>
              <w:rPr>
                <w:rFonts w:eastAsiaTheme="minorEastAsia" w:cs="Calibri"/>
                <w:color w:val="000000"/>
                <w:szCs w:val="16"/>
                <w:lang w:eastAsia="en-AU"/>
              </w:rPr>
            </w:pPr>
            <w:r w:rsidRPr="00AC137D">
              <w:rPr>
                <w:rFonts w:eastAsiaTheme="minorEastAsia" w:cs="Calibri"/>
                <w:color w:val="000000"/>
                <w:szCs w:val="16"/>
                <w:lang w:eastAsia="en-AU"/>
              </w:rPr>
              <w:t>Insurance claims expense</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229</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242</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256</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261</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268</w:t>
            </w:r>
          </w:p>
        </w:tc>
      </w:tr>
      <w:tr w:rsidR="00A46DCA" w:rsidRPr="00AC137D" w:rsidTr="00A26D04">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A46DCA" w:rsidRPr="00AC137D" w:rsidRDefault="00A46DCA" w:rsidP="00A26D04">
            <w:pPr>
              <w:keepLines w:val="0"/>
              <w:autoSpaceDE w:val="0"/>
              <w:autoSpaceDN w:val="0"/>
              <w:adjustRightInd w:val="0"/>
              <w:rPr>
                <w:rFonts w:eastAsiaTheme="minorEastAsia" w:cs="Calibri"/>
                <w:color w:val="000000"/>
                <w:szCs w:val="16"/>
                <w:lang w:eastAsia="en-AU"/>
              </w:rPr>
            </w:pPr>
            <w:r w:rsidRPr="00AC137D">
              <w:rPr>
                <w:rFonts w:eastAsiaTheme="minorEastAsia" w:cs="Calibri"/>
                <w:color w:val="000000"/>
                <w:szCs w:val="16"/>
                <w:lang w:eastAsia="en-AU"/>
              </w:rPr>
              <w:t>Maintenance</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740</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785</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823</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808</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832</w:t>
            </w:r>
          </w:p>
        </w:tc>
      </w:tr>
      <w:tr w:rsidR="00A46DCA" w:rsidRPr="00AC137D" w:rsidTr="00A26D04">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A46DCA" w:rsidRPr="00AC137D" w:rsidRDefault="00A46DCA" w:rsidP="00A26D04">
            <w:pPr>
              <w:keepLines w:val="0"/>
              <w:autoSpaceDE w:val="0"/>
              <w:autoSpaceDN w:val="0"/>
              <w:adjustRightInd w:val="0"/>
              <w:rPr>
                <w:rFonts w:eastAsiaTheme="minorEastAsia" w:cs="Calibri"/>
                <w:color w:val="000000"/>
                <w:szCs w:val="16"/>
                <w:lang w:eastAsia="en-AU"/>
              </w:rPr>
            </w:pPr>
            <w:r w:rsidRPr="00AC137D">
              <w:rPr>
                <w:rFonts w:eastAsiaTheme="minorEastAsia" w:cs="Calibri"/>
                <w:color w:val="000000"/>
                <w:szCs w:val="16"/>
                <w:lang w:eastAsia="en-AU"/>
              </w:rPr>
              <w:t>Operating lease payments</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304</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324</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321</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323</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325</w:t>
            </w:r>
          </w:p>
        </w:tc>
      </w:tr>
      <w:tr w:rsidR="00A46DCA" w:rsidRPr="00AC137D" w:rsidTr="00A26D04">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A46DCA" w:rsidRPr="00AC137D" w:rsidRDefault="00A46DCA" w:rsidP="00A26D04">
            <w:pPr>
              <w:keepLines w:val="0"/>
              <w:autoSpaceDE w:val="0"/>
              <w:autoSpaceDN w:val="0"/>
              <w:adjustRightInd w:val="0"/>
              <w:rPr>
                <w:rFonts w:eastAsiaTheme="minorEastAsia" w:cs="Calibri"/>
                <w:color w:val="000000"/>
                <w:szCs w:val="16"/>
                <w:lang w:eastAsia="en-AU"/>
              </w:rPr>
            </w:pPr>
            <w:r w:rsidRPr="00AC137D">
              <w:rPr>
                <w:rFonts w:eastAsiaTheme="minorEastAsia" w:cs="Calibri"/>
                <w:color w:val="000000"/>
                <w:szCs w:val="16"/>
                <w:lang w:eastAsia="en-AU"/>
              </w:rPr>
              <w:t>Other</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777</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783</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795</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827</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869</w:t>
            </w:r>
          </w:p>
        </w:tc>
      </w:tr>
      <w:tr w:rsidR="00A46DCA" w:rsidRPr="00AC137D" w:rsidTr="00A26D04">
        <w:tc>
          <w:tcPr>
            <w:cnfStyle w:val="001000000000" w:firstRow="0" w:lastRow="0" w:firstColumn="1" w:lastColumn="0" w:oddVBand="0" w:evenVBand="0" w:oddHBand="0" w:evenHBand="0" w:firstRowFirstColumn="0" w:firstRowLastColumn="0" w:lastRowFirstColumn="0" w:lastRowLastColumn="0"/>
            <w:tcW w:w="3515" w:type="dxa"/>
            <w:tcBorders>
              <w:top w:val="single" w:sz="6" w:space="0" w:color="000000"/>
              <w:left w:val="nil"/>
              <w:bottom w:val="single" w:sz="12" w:space="0" w:color="000000"/>
              <w:right w:val="nil"/>
            </w:tcBorders>
          </w:tcPr>
          <w:p w:rsidR="00A46DCA" w:rsidRPr="00AC137D" w:rsidRDefault="00A46DCA" w:rsidP="00A26D04">
            <w:pPr>
              <w:keepLines w:val="0"/>
              <w:autoSpaceDE w:val="0"/>
              <w:autoSpaceDN w:val="0"/>
              <w:adjustRightInd w:val="0"/>
              <w:rPr>
                <w:rFonts w:eastAsiaTheme="minorEastAsia" w:cs="Calibri"/>
                <w:b/>
                <w:bCs/>
                <w:color w:val="000000"/>
                <w:szCs w:val="16"/>
                <w:lang w:eastAsia="en-AU"/>
              </w:rPr>
            </w:pPr>
            <w:r w:rsidRPr="00AC137D">
              <w:rPr>
                <w:rFonts w:eastAsiaTheme="minorEastAsia" w:cs="Calibri"/>
                <w:b/>
                <w:bCs/>
                <w:color w:val="000000"/>
                <w:szCs w:val="16"/>
                <w:lang w:eastAsia="en-AU"/>
              </w:rPr>
              <w:t>Total other operating expenses</w:t>
            </w:r>
          </w:p>
        </w:tc>
        <w:tc>
          <w:tcPr>
            <w:tcW w:w="850" w:type="dxa"/>
            <w:tcBorders>
              <w:top w:val="single" w:sz="6" w:space="0" w:color="000000"/>
              <w:left w:val="nil"/>
              <w:bottom w:val="single" w:sz="12" w:space="0" w:color="000000"/>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sidRPr="00AC137D">
              <w:rPr>
                <w:rFonts w:eastAsiaTheme="minorEastAsia" w:cs="Arial"/>
                <w:b/>
                <w:bCs/>
                <w:color w:val="000000"/>
                <w:szCs w:val="18"/>
                <w:lang w:eastAsia="en-AU"/>
              </w:rPr>
              <w:t>19 830</w:t>
            </w:r>
          </w:p>
        </w:tc>
        <w:tc>
          <w:tcPr>
            <w:tcW w:w="850" w:type="dxa"/>
            <w:tcBorders>
              <w:top w:val="single" w:sz="6" w:space="0" w:color="000000"/>
              <w:left w:val="nil"/>
              <w:bottom w:val="single" w:sz="12" w:space="0" w:color="000000"/>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sidRPr="00AC137D">
              <w:rPr>
                <w:rFonts w:eastAsiaTheme="minorEastAsia" w:cs="Arial"/>
                <w:b/>
                <w:bCs/>
                <w:color w:val="000000"/>
                <w:szCs w:val="18"/>
                <w:lang w:eastAsia="en-AU"/>
              </w:rPr>
              <w:t>20 558</w:t>
            </w:r>
          </w:p>
        </w:tc>
        <w:tc>
          <w:tcPr>
            <w:tcW w:w="850" w:type="dxa"/>
            <w:tcBorders>
              <w:top w:val="single" w:sz="6" w:space="0" w:color="000000"/>
              <w:left w:val="nil"/>
              <w:bottom w:val="single" w:sz="12" w:space="0" w:color="000000"/>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sidRPr="00AC137D">
              <w:rPr>
                <w:rFonts w:eastAsiaTheme="minorEastAsia" w:cs="Arial"/>
                <w:b/>
                <w:bCs/>
                <w:color w:val="000000"/>
                <w:szCs w:val="18"/>
                <w:lang w:eastAsia="en-AU"/>
              </w:rPr>
              <w:t>20 333</w:t>
            </w:r>
          </w:p>
        </w:tc>
        <w:tc>
          <w:tcPr>
            <w:tcW w:w="850" w:type="dxa"/>
            <w:tcBorders>
              <w:top w:val="single" w:sz="6" w:space="0" w:color="000000"/>
              <w:left w:val="nil"/>
              <w:bottom w:val="single" w:sz="12" w:space="0" w:color="000000"/>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sidRPr="00AC137D">
              <w:rPr>
                <w:rFonts w:eastAsiaTheme="minorEastAsia" w:cs="Arial"/>
                <w:b/>
                <w:bCs/>
                <w:color w:val="000000"/>
                <w:szCs w:val="18"/>
                <w:lang w:eastAsia="en-AU"/>
              </w:rPr>
              <w:t>19 711</w:t>
            </w:r>
          </w:p>
        </w:tc>
        <w:tc>
          <w:tcPr>
            <w:tcW w:w="850" w:type="dxa"/>
            <w:tcBorders>
              <w:top w:val="single" w:sz="6" w:space="0" w:color="000000"/>
              <w:left w:val="nil"/>
              <w:bottom w:val="single" w:sz="12" w:space="0" w:color="000000"/>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sidRPr="00AC137D">
              <w:rPr>
                <w:rFonts w:eastAsiaTheme="minorEastAsia" w:cs="Arial"/>
                <w:b/>
                <w:bCs/>
                <w:color w:val="000000"/>
                <w:szCs w:val="18"/>
                <w:lang w:eastAsia="en-AU"/>
              </w:rPr>
              <w:t>20 442</w:t>
            </w:r>
          </w:p>
        </w:tc>
      </w:tr>
    </w:tbl>
    <w:p w:rsidR="00A46DCA" w:rsidRPr="00697AD9" w:rsidRDefault="00A46DCA" w:rsidP="00A26D04">
      <w:pPr>
        <w:pStyle w:val="Source"/>
      </w:pPr>
      <w:r w:rsidRPr="00697AD9">
        <w:t>Source: Department of Treasury and Finance</w:t>
      </w:r>
    </w:p>
    <w:p w:rsidR="00A46DCA" w:rsidRPr="00697AD9" w:rsidRDefault="00A46DCA" w:rsidP="00A26D04">
      <w:pPr>
        <w:pStyle w:val="Note"/>
      </w:pPr>
      <w:r w:rsidRPr="00697AD9">
        <w:t>Notes:</w:t>
      </w:r>
    </w:p>
    <w:p w:rsidR="00A46DCA" w:rsidRPr="00697AD9" w:rsidRDefault="00A46DCA" w:rsidP="00A26D04">
      <w:pPr>
        <w:pStyle w:val="Note"/>
      </w:pPr>
      <w:r w:rsidRPr="00697AD9">
        <w:t>(a)</w:t>
      </w:r>
      <w:r w:rsidRPr="00697AD9">
        <w:tab/>
        <w:t xml:space="preserve">A breakdown of purchase of supplies and consumables and purchase of services is provided in the following two tables. </w:t>
      </w:r>
    </w:p>
    <w:p w:rsidR="00A46DCA" w:rsidRPr="00697AD9" w:rsidRDefault="00A46DCA" w:rsidP="00A26D04">
      <w:pPr>
        <w:pStyle w:val="Note"/>
      </w:pPr>
      <w:r w:rsidRPr="00697AD9">
        <w:t>(b)</w:t>
      </w:r>
      <w:r w:rsidRPr="00697AD9">
        <w:tab/>
        <w:t>Th</w:t>
      </w:r>
      <w:r>
        <w:t>e reduction in purchase of services</w:t>
      </w:r>
      <w:r w:rsidRPr="00697AD9">
        <w:t xml:space="preserve"> is largely driven by the State</w:t>
      </w:r>
      <w:r>
        <w:t>’</w:t>
      </w:r>
      <w:r w:rsidRPr="00697AD9">
        <w:t>s existing expenditure on disability services, including payments to disability service providers, being allocated towards the State</w:t>
      </w:r>
      <w:r>
        <w:t>’</w:t>
      </w:r>
      <w:r w:rsidRPr="00697AD9">
        <w:t>s contribution to the NDIS. These services will be funded by the NDIS.</w:t>
      </w:r>
    </w:p>
    <w:p w:rsidR="00A46DCA" w:rsidRPr="00090B3E" w:rsidRDefault="00A46DCA" w:rsidP="00A26D04"/>
    <w:p w:rsidR="00A46DCA" w:rsidRPr="00AC137D" w:rsidRDefault="00A46DCA" w:rsidP="00A26D04">
      <w:pPr>
        <w:pStyle w:val="TableHeading"/>
        <w:rPr>
          <w:bCs/>
          <w:lang w:val="en-US"/>
        </w:rPr>
      </w:pPr>
      <w:r>
        <w:t>Purchase of supplies and consumables</w:t>
      </w:r>
      <w:r>
        <w:tab/>
        <w:t>($ million)</w:t>
      </w:r>
    </w:p>
    <w:tbl>
      <w:tblPr>
        <w:tblStyle w:val="DTFTable"/>
        <w:tblW w:w="7765" w:type="dxa"/>
        <w:tblInd w:w="45" w:type="dxa"/>
        <w:tblLayout w:type="fixed"/>
        <w:tblCellMar>
          <w:left w:w="45" w:type="dxa"/>
          <w:right w:w="45" w:type="dxa"/>
        </w:tblCellMar>
        <w:tblLook w:val="06E0" w:firstRow="1" w:lastRow="1" w:firstColumn="1" w:lastColumn="0" w:noHBand="1" w:noVBand="1"/>
      </w:tblPr>
      <w:tblGrid>
        <w:gridCol w:w="3515"/>
        <w:gridCol w:w="850"/>
        <w:gridCol w:w="850"/>
        <w:gridCol w:w="850"/>
        <w:gridCol w:w="850"/>
        <w:gridCol w:w="850"/>
      </w:tblGrid>
      <w:tr w:rsidR="00A26D04" w:rsidRPr="00AC137D" w:rsidTr="002677DA">
        <w:trPr>
          <w:cnfStyle w:val="100000000000" w:firstRow="1" w:lastRow="0" w:firstColumn="0" w:lastColumn="0" w:oddVBand="0" w:evenVBand="0" w:oddHBand="0" w:evenHBand="0" w:firstRowFirstColumn="0" w:firstRowLastColumn="0" w:lastRowFirstColumn="0" w:lastRowLastColumn="0"/>
          <w:trHeight w:val="70"/>
          <w:tblHeader/>
        </w:trPr>
        <w:tc>
          <w:tcPr>
            <w:cnfStyle w:val="001000000000" w:firstRow="0" w:lastRow="0" w:firstColumn="1" w:lastColumn="0" w:oddVBand="0" w:evenVBand="0" w:oddHBand="0" w:evenHBand="0" w:firstRowFirstColumn="0" w:firstRowLastColumn="0" w:lastRowFirstColumn="0" w:lastRowLastColumn="0"/>
            <w:tcW w:w="3515" w:type="dxa"/>
            <w:tcBorders>
              <w:top w:val="nil"/>
              <w:left w:val="nil"/>
              <w:right w:val="nil"/>
            </w:tcBorders>
            <w:shd w:val="solid" w:color="000000" w:fill="auto"/>
          </w:tcPr>
          <w:p w:rsidR="00A26D04" w:rsidRPr="00AC137D" w:rsidRDefault="00A26D04" w:rsidP="00A26D04">
            <w:pPr>
              <w:autoSpaceDE w:val="0"/>
              <w:autoSpaceDN w:val="0"/>
              <w:adjustRightInd w:val="0"/>
              <w:rPr>
                <w:rFonts w:eastAsiaTheme="minorEastAsia" w:cs="Calibri"/>
                <w:iCs/>
                <w:color w:val="FFFFFF"/>
                <w:lang w:eastAsia="en-AU"/>
              </w:rPr>
            </w:pPr>
            <w:r w:rsidRPr="00AC137D">
              <w:rPr>
                <w:rFonts w:eastAsiaTheme="minorEastAsia" w:cs="Calibri"/>
                <w:iCs/>
                <w:color w:val="FFFFFF"/>
                <w:lang w:eastAsia="en-AU"/>
              </w:rPr>
              <w:t xml:space="preserve">  </w:t>
            </w:r>
          </w:p>
        </w:tc>
        <w:tc>
          <w:tcPr>
            <w:tcW w:w="850" w:type="dxa"/>
            <w:tcBorders>
              <w:top w:val="nil"/>
              <w:left w:val="nil"/>
              <w:right w:val="nil"/>
            </w:tcBorders>
            <w:shd w:val="solid" w:color="000000" w:fill="auto"/>
          </w:tcPr>
          <w:p w:rsidR="00A26D04" w:rsidRPr="00AC137D" w:rsidRDefault="00A26D04" w:rsidP="00A26D0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AC137D">
              <w:rPr>
                <w:rFonts w:eastAsiaTheme="minorEastAsia" w:cs="Calibri"/>
                <w:iCs/>
                <w:color w:val="FFFFFF"/>
                <w:szCs w:val="16"/>
                <w:lang w:eastAsia="en-AU"/>
              </w:rPr>
              <w:t>2017-18</w:t>
            </w:r>
            <w:r>
              <w:rPr>
                <w:rFonts w:eastAsiaTheme="minorEastAsia" w:cs="Calibri"/>
                <w:iCs/>
                <w:color w:val="FFFFFF"/>
                <w:szCs w:val="16"/>
                <w:lang w:eastAsia="en-AU"/>
              </w:rPr>
              <w:br/>
            </w:r>
            <w:r w:rsidRPr="00AC137D">
              <w:rPr>
                <w:rFonts w:eastAsiaTheme="minorEastAsia" w:cs="Calibri"/>
                <w:iCs/>
                <w:color w:val="FFFFFF"/>
                <w:szCs w:val="16"/>
                <w:lang w:eastAsia="en-AU"/>
              </w:rPr>
              <w:t>budget</w:t>
            </w:r>
          </w:p>
        </w:tc>
        <w:tc>
          <w:tcPr>
            <w:tcW w:w="850" w:type="dxa"/>
            <w:tcBorders>
              <w:top w:val="nil"/>
              <w:left w:val="nil"/>
              <w:right w:val="nil"/>
            </w:tcBorders>
            <w:shd w:val="solid" w:color="000000" w:fill="auto"/>
          </w:tcPr>
          <w:p w:rsidR="00A26D04" w:rsidRPr="00AC137D" w:rsidRDefault="00A26D04" w:rsidP="00A26D0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AC137D">
              <w:rPr>
                <w:rFonts w:eastAsiaTheme="minorEastAsia" w:cs="Calibri"/>
                <w:iCs/>
                <w:color w:val="FFFFFF"/>
                <w:szCs w:val="16"/>
                <w:lang w:eastAsia="en-AU"/>
              </w:rPr>
              <w:t>2017-18</w:t>
            </w:r>
            <w:r>
              <w:rPr>
                <w:rFonts w:eastAsiaTheme="minorEastAsia" w:cs="Calibri"/>
                <w:iCs/>
                <w:color w:val="FFFFFF"/>
                <w:szCs w:val="16"/>
                <w:lang w:eastAsia="en-AU"/>
              </w:rPr>
              <w:br/>
            </w:r>
            <w:r w:rsidRPr="00AC137D">
              <w:rPr>
                <w:rFonts w:eastAsiaTheme="minorEastAsia" w:cs="Calibri"/>
                <w:iCs/>
                <w:color w:val="FFFFFF"/>
                <w:szCs w:val="16"/>
                <w:lang w:eastAsia="en-AU"/>
              </w:rPr>
              <w:t>revised</w:t>
            </w:r>
          </w:p>
        </w:tc>
        <w:tc>
          <w:tcPr>
            <w:tcW w:w="850" w:type="dxa"/>
            <w:tcBorders>
              <w:top w:val="nil"/>
              <w:left w:val="nil"/>
              <w:right w:val="nil"/>
            </w:tcBorders>
            <w:shd w:val="solid" w:color="000000" w:fill="auto"/>
          </w:tcPr>
          <w:p w:rsidR="00A26D04" w:rsidRPr="00AC137D" w:rsidRDefault="00A26D04" w:rsidP="00A26D0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AC137D">
              <w:rPr>
                <w:rFonts w:eastAsiaTheme="minorEastAsia" w:cs="Calibri"/>
                <w:iCs/>
                <w:color w:val="FFFFFF"/>
                <w:szCs w:val="16"/>
                <w:lang w:eastAsia="en-AU"/>
              </w:rPr>
              <w:t>2018-19</w:t>
            </w:r>
            <w:r>
              <w:rPr>
                <w:rFonts w:eastAsiaTheme="minorEastAsia" w:cs="Calibri"/>
                <w:iCs/>
                <w:color w:val="FFFFFF"/>
                <w:szCs w:val="16"/>
                <w:lang w:eastAsia="en-AU"/>
              </w:rPr>
              <w:br/>
            </w:r>
            <w:r w:rsidRPr="00AC137D">
              <w:rPr>
                <w:rFonts w:eastAsiaTheme="minorEastAsia" w:cs="Calibri"/>
                <w:iCs/>
                <w:color w:val="FFFFFF"/>
                <w:szCs w:val="16"/>
                <w:lang w:eastAsia="en-AU"/>
              </w:rPr>
              <w:t>estimate</w:t>
            </w:r>
          </w:p>
        </w:tc>
        <w:tc>
          <w:tcPr>
            <w:tcW w:w="850" w:type="dxa"/>
            <w:tcBorders>
              <w:top w:val="nil"/>
              <w:left w:val="nil"/>
              <w:right w:val="nil"/>
            </w:tcBorders>
            <w:shd w:val="solid" w:color="000000" w:fill="auto"/>
          </w:tcPr>
          <w:p w:rsidR="00A26D04" w:rsidRPr="00AC137D" w:rsidRDefault="00A26D04" w:rsidP="00A26D0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AC137D">
              <w:rPr>
                <w:rFonts w:eastAsiaTheme="minorEastAsia" w:cs="Calibri"/>
                <w:iCs/>
                <w:color w:val="FFFFFF"/>
                <w:szCs w:val="16"/>
                <w:lang w:eastAsia="en-AU"/>
              </w:rPr>
              <w:t>2019-20</w:t>
            </w:r>
            <w:r>
              <w:rPr>
                <w:rFonts w:eastAsiaTheme="minorEastAsia" w:cs="Calibri"/>
                <w:iCs/>
                <w:color w:val="FFFFFF"/>
                <w:szCs w:val="16"/>
                <w:lang w:eastAsia="en-AU"/>
              </w:rPr>
              <w:br/>
            </w:r>
            <w:r w:rsidRPr="00AC137D">
              <w:rPr>
                <w:rFonts w:eastAsiaTheme="minorEastAsia" w:cs="Calibri"/>
                <w:iCs/>
                <w:color w:val="FFFFFF"/>
                <w:szCs w:val="16"/>
                <w:lang w:eastAsia="en-AU"/>
              </w:rPr>
              <w:t>estimate</w:t>
            </w:r>
          </w:p>
        </w:tc>
        <w:tc>
          <w:tcPr>
            <w:tcW w:w="850" w:type="dxa"/>
            <w:tcBorders>
              <w:top w:val="nil"/>
              <w:left w:val="nil"/>
              <w:right w:val="nil"/>
            </w:tcBorders>
            <w:shd w:val="solid" w:color="000000" w:fill="auto"/>
          </w:tcPr>
          <w:p w:rsidR="00A26D04" w:rsidRPr="00AC137D" w:rsidRDefault="00A26D04" w:rsidP="00A26D0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AC137D">
              <w:rPr>
                <w:rFonts w:eastAsiaTheme="minorEastAsia" w:cs="Calibri"/>
                <w:iCs/>
                <w:color w:val="FFFFFF"/>
                <w:szCs w:val="16"/>
                <w:lang w:eastAsia="en-AU"/>
              </w:rPr>
              <w:t>2020-21</w:t>
            </w:r>
            <w:r>
              <w:rPr>
                <w:rFonts w:eastAsiaTheme="minorEastAsia" w:cs="Calibri"/>
                <w:iCs/>
                <w:color w:val="FFFFFF"/>
                <w:szCs w:val="16"/>
                <w:lang w:eastAsia="en-AU"/>
              </w:rPr>
              <w:br/>
            </w:r>
            <w:r w:rsidRPr="00AC137D">
              <w:rPr>
                <w:rFonts w:eastAsiaTheme="minorEastAsia" w:cs="Calibri"/>
                <w:iCs/>
                <w:color w:val="FFFFFF"/>
                <w:szCs w:val="16"/>
                <w:lang w:eastAsia="en-AU"/>
              </w:rPr>
              <w:t>estimate</w:t>
            </w:r>
          </w:p>
        </w:tc>
      </w:tr>
      <w:tr w:rsidR="00A46DCA" w:rsidRPr="00AC137D" w:rsidTr="00A26D04">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A46DCA" w:rsidRPr="00AC137D" w:rsidRDefault="00A46DCA" w:rsidP="00A26D04">
            <w:pPr>
              <w:keepLines w:val="0"/>
              <w:autoSpaceDE w:val="0"/>
              <w:autoSpaceDN w:val="0"/>
              <w:adjustRightInd w:val="0"/>
              <w:rPr>
                <w:rFonts w:eastAsiaTheme="minorEastAsia" w:cs="Calibri"/>
                <w:color w:val="000000"/>
                <w:szCs w:val="16"/>
                <w:lang w:eastAsia="en-AU"/>
              </w:rPr>
            </w:pPr>
            <w:r w:rsidRPr="00AC137D">
              <w:rPr>
                <w:rFonts w:eastAsiaTheme="minorEastAsia" w:cs="Calibri"/>
                <w:color w:val="000000"/>
                <w:szCs w:val="16"/>
                <w:lang w:eastAsia="en-AU"/>
              </w:rPr>
              <w:t>Medicinal pharmacy and medical supplies</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AC137D">
              <w:rPr>
                <w:rFonts w:eastAsiaTheme="minorEastAsia" w:cs="Arial"/>
                <w:color w:val="000000"/>
                <w:szCs w:val="18"/>
                <w:lang w:eastAsia="en-AU"/>
              </w:rPr>
              <w:t>1 257</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AC137D">
              <w:rPr>
                <w:rFonts w:eastAsiaTheme="minorEastAsia" w:cs="Arial"/>
                <w:color w:val="000000"/>
                <w:szCs w:val="18"/>
                <w:lang w:eastAsia="en-AU"/>
              </w:rPr>
              <w:t>1 287</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AC137D">
              <w:rPr>
                <w:rFonts w:eastAsiaTheme="minorEastAsia" w:cs="Arial"/>
                <w:color w:val="000000"/>
                <w:szCs w:val="18"/>
                <w:lang w:eastAsia="en-AU"/>
              </w:rPr>
              <w:t>1 281</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AC137D">
              <w:rPr>
                <w:rFonts w:eastAsiaTheme="minorEastAsia" w:cs="Arial"/>
                <w:color w:val="000000"/>
                <w:szCs w:val="18"/>
                <w:lang w:eastAsia="en-AU"/>
              </w:rPr>
              <w:t>1 296</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AC137D">
              <w:rPr>
                <w:rFonts w:eastAsiaTheme="minorEastAsia" w:cs="Arial"/>
                <w:color w:val="000000"/>
                <w:szCs w:val="18"/>
                <w:lang w:eastAsia="en-AU"/>
              </w:rPr>
              <w:t>1 315</w:t>
            </w:r>
          </w:p>
        </w:tc>
      </w:tr>
      <w:tr w:rsidR="00A46DCA" w:rsidRPr="00AC137D" w:rsidTr="00A26D04">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A46DCA" w:rsidRPr="00AC137D" w:rsidRDefault="00A46DCA" w:rsidP="00A26D04">
            <w:pPr>
              <w:keepLines w:val="0"/>
              <w:autoSpaceDE w:val="0"/>
              <w:autoSpaceDN w:val="0"/>
              <w:adjustRightInd w:val="0"/>
              <w:rPr>
                <w:rFonts w:eastAsiaTheme="minorEastAsia" w:cs="Calibri"/>
                <w:color w:val="000000"/>
                <w:szCs w:val="16"/>
                <w:lang w:eastAsia="en-AU"/>
              </w:rPr>
            </w:pPr>
            <w:r w:rsidRPr="00AC137D">
              <w:rPr>
                <w:rFonts w:eastAsiaTheme="minorEastAsia" w:cs="Calibri"/>
                <w:color w:val="000000"/>
                <w:szCs w:val="16"/>
                <w:lang w:eastAsia="en-AU"/>
              </w:rPr>
              <w:t>Office supplies and consumables</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145</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188</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182</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174</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174</w:t>
            </w:r>
          </w:p>
        </w:tc>
      </w:tr>
      <w:tr w:rsidR="00A46DCA" w:rsidRPr="00AC137D" w:rsidTr="00A26D04">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A46DCA" w:rsidRPr="00AC137D" w:rsidRDefault="00A46DCA" w:rsidP="00A26D04">
            <w:pPr>
              <w:keepLines w:val="0"/>
              <w:autoSpaceDE w:val="0"/>
              <w:autoSpaceDN w:val="0"/>
              <w:adjustRightInd w:val="0"/>
              <w:rPr>
                <w:rFonts w:eastAsiaTheme="minorEastAsia" w:cs="Calibri"/>
                <w:color w:val="000000"/>
                <w:szCs w:val="16"/>
                <w:lang w:eastAsia="en-AU"/>
              </w:rPr>
            </w:pPr>
            <w:r w:rsidRPr="00AC137D">
              <w:rPr>
                <w:rFonts w:eastAsiaTheme="minorEastAsia" w:cs="Calibri"/>
                <w:color w:val="000000"/>
                <w:szCs w:val="16"/>
                <w:lang w:eastAsia="en-AU"/>
              </w:rPr>
              <w:t>Specialised operational supplies and consumables</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123</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119</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129</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125</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133</w:t>
            </w:r>
          </w:p>
        </w:tc>
      </w:tr>
      <w:tr w:rsidR="00A46DCA" w:rsidRPr="00AC137D" w:rsidTr="00A26D04">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A46DCA" w:rsidRPr="00AC137D" w:rsidRDefault="00A46DCA" w:rsidP="00A26D04">
            <w:pPr>
              <w:keepLines w:val="0"/>
              <w:autoSpaceDE w:val="0"/>
              <w:autoSpaceDN w:val="0"/>
              <w:adjustRightInd w:val="0"/>
              <w:rPr>
                <w:rFonts w:eastAsiaTheme="minorEastAsia" w:cs="Calibri"/>
                <w:color w:val="000000"/>
                <w:szCs w:val="16"/>
                <w:lang w:eastAsia="en-AU"/>
              </w:rPr>
            </w:pPr>
            <w:r w:rsidRPr="00AC137D">
              <w:rPr>
                <w:rFonts w:eastAsiaTheme="minorEastAsia" w:cs="Calibri"/>
                <w:color w:val="000000"/>
                <w:szCs w:val="16"/>
                <w:lang w:eastAsia="en-AU"/>
              </w:rPr>
              <w:t>Other purchase of supplies and consumables</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AC137D">
              <w:rPr>
                <w:rFonts w:eastAsiaTheme="minorEastAsia" w:cs="Arial"/>
                <w:color w:val="000000"/>
                <w:szCs w:val="18"/>
                <w:lang w:eastAsia="en-AU"/>
              </w:rPr>
              <w:t>4 906</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AC137D">
              <w:rPr>
                <w:rFonts w:eastAsiaTheme="minorEastAsia" w:cs="Arial"/>
                <w:color w:val="000000"/>
                <w:szCs w:val="18"/>
                <w:lang w:eastAsia="en-AU"/>
              </w:rPr>
              <w:t>4 853</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AC137D">
              <w:rPr>
                <w:rFonts w:eastAsiaTheme="minorEastAsia" w:cs="Arial"/>
                <w:color w:val="000000"/>
                <w:szCs w:val="18"/>
                <w:lang w:eastAsia="en-AU"/>
              </w:rPr>
              <w:t>4 859</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AC137D">
              <w:rPr>
                <w:rFonts w:eastAsiaTheme="minorEastAsia" w:cs="Arial"/>
                <w:color w:val="000000"/>
                <w:szCs w:val="18"/>
                <w:lang w:eastAsia="en-AU"/>
              </w:rPr>
              <w:t>4 979</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AC137D">
              <w:rPr>
                <w:rFonts w:eastAsiaTheme="minorEastAsia" w:cs="Arial"/>
                <w:color w:val="000000"/>
                <w:szCs w:val="18"/>
                <w:lang w:eastAsia="en-AU"/>
              </w:rPr>
              <w:t>5 612</w:t>
            </w:r>
          </w:p>
        </w:tc>
      </w:tr>
      <w:tr w:rsidR="00A46DCA" w:rsidRPr="00AC137D" w:rsidTr="00A26D04">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5" w:type="dxa"/>
            <w:tcBorders>
              <w:top w:val="single" w:sz="6" w:space="0" w:color="000000"/>
              <w:bottom w:val="single" w:sz="12" w:space="0" w:color="000000"/>
            </w:tcBorders>
          </w:tcPr>
          <w:p w:rsidR="00A46DCA" w:rsidRPr="00AC137D" w:rsidRDefault="00A46DCA" w:rsidP="00A26D04">
            <w:pPr>
              <w:keepLines w:val="0"/>
              <w:autoSpaceDE w:val="0"/>
              <w:autoSpaceDN w:val="0"/>
              <w:adjustRightInd w:val="0"/>
              <w:rPr>
                <w:rFonts w:eastAsiaTheme="minorEastAsia" w:cs="Calibri"/>
                <w:bCs/>
                <w:color w:val="000000"/>
                <w:szCs w:val="16"/>
                <w:lang w:eastAsia="en-AU"/>
              </w:rPr>
            </w:pPr>
            <w:r w:rsidRPr="00AC137D">
              <w:rPr>
                <w:rFonts w:eastAsiaTheme="minorEastAsia" w:cs="Calibri"/>
                <w:bCs/>
                <w:color w:val="000000"/>
                <w:szCs w:val="16"/>
                <w:lang w:eastAsia="en-AU"/>
              </w:rPr>
              <w:t>Total purchase of supplies and consumables</w:t>
            </w:r>
          </w:p>
        </w:tc>
        <w:tc>
          <w:tcPr>
            <w:tcW w:w="850" w:type="dxa"/>
            <w:tcBorders>
              <w:top w:val="single" w:sz="6" w:space="0" w:color="000000"/>
              <w:bottom w:val="single" w:sz="12" w:space="0" w:color="000000"/>
            </w:tcBorders>
          </w:tcPr>
          <w:p w:rsidR="00A46DCA" w:rsidRPr="00AC137D" w:rsidRDefault="00A46DCA" w:rsidP="00A26D0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Arial"/>
                <w:bCs/>
                <w:color w:val="000000"/>
                <w:szCs w:val="18"/>
                <w:lang w:eastAsia="en-AU"/>
              </w:rPr>
            </w:pPr>
            <w:r w:rsidRPr="00AC137D">
              <w:rPr>
                <w:rFonts w:eastAsiaTheme="minorEastAsia" w:cs="Arial"/>
                <w:bCs/>
                <w:color w:val="000000"/>
                <w:szCs w:val="18"/>
                <w:lang w:eastAsia="en-AU"/>
              </w:rPr>
              <w:t>6 431</w:t>
            </w:r>
          </w:p>
        </w:tc>
        <w:tc>
          <w:tcPr>
            <w:tcW w:w="850" w:type="dxa"/>
            <w:tcBorders>
              <w:top w:val="single" w:sz="6" w:space="0" w:color="000000"/>
              <w:bottom w:val="single" w:sz="12" w:space="0" w:color="000000"/>
            </w:tcBorders>
          </w:tcPr>
          <w:p w:rsidR="00A46DCA" w:rsidRPr="00AC137D" w:rsidRDefault="00A46DCA" w:rsidP="00A26D0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Arial"/>
                <w:bCs/>
                <w:color w:val="000000"/>
                <w:szCs w:val="18"/>
                <w:lang w:eastAsia="en-AU"/>
              </w:rPr>
            </w:pPr>
            <w:r w:rsidRPr="00AC137D">
              <w:rPr>
                <w:rFonts w:eastAsiaTheme="minorEastAsia" w:cs="Arial"/>
                <w:bCs/>
                <w:color w:val="000000"/>
                <w:szCs w:val="18"/>
                <w:lang w:eastAsia="en-AU"/>
              </w:rPr>
              <w:t>6 448</w:t>
            </w:r>
          </w:p>
        </w:tc>
        <w:tc>
          <w:tcPr>
            <w:tcW w:w="850" w:type="dxa"/>
            <w:tcBorders>
              <w:top w:val="single" w:sz="6" w:space="0" w:color="000000"/>
              <w:bottom w:val="single" w:sz="12" w:space="0" w:color="000000"/>
            </w:tcBorders>
          </w:tcPr>
          <w:p w:rsidR="00A46DCA" w:rsidRPr="00AC137D" w:rsidRDefault="00A46DCA" w:rsidP="00A26D0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Arial"/>
                <w:bCs/>
                <w:color w:val="000000"/>
                <w:szCs w:val="18"/>
                <w:lang w:eastAsia="en-AU"/>
              </w:rPr>
            </w:pPr>
            <w:r w:rsidRPr="00AC137D">
              <w:rPr>
                <w:rFonts w:eastAsiaTheme="minorEastAsia" w:cs="Arial"/>
                <w:bCs/>
                <w:color w:val="000000"/>
                <w:szCs w:val="18"/>
                <w:lang w:eastAsia="en-AU"/>
              </w:rPr>
              <w:t>6 452</w:t>
            </w:r>
          </w:p>
        </w:tc>
        <w:tc>
          <w:tcPr>
            <w:tcW w:w="850" w:type="dxa"/>
            <w:tcBorders>
              <w:top w:val="single" w:sz="6" w:space="0" w:color="000000"/>
              <w:bottom w:val="single" w:sz="12" w:space="0" w:color="000000"/>
            </w:tcBorders>
          </w:tcPr>
          <w:p w:rsidR="00A46DCA" w:rsidRPr="00AC137D" w:rsidRDefault="00A46DCA" w:rsidP="00A26D0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Arial"/>
                <w:bCs/>
                <w:color w:val="000000"/>
                <w:szCs w:val="18"/>
                <w:lang w:eastAsia="en-AU"/>
              </w:rPr>
            </w:pPr>
            <w:r w:rsidRPr="00AC137D">
              <w:rPr>
                <w:rFonts w:eastAsiaTheme="minorEastAsia" w:cs="Arial"/>
                <w:bCs/>
                <w:color w:val="000000"/>
                <w:szCs w:val="18"/>
                <w:lang w:eastAsia="en-AU"/>
              </w:rPr>
              <w:t>6 573</w:t>
            </w:r>
          </w:p>
        </w:tc>
        <w:tc>
          <w:tcPr>
            <w:tcW w:w="850" w:type="dxa"/>
            <w:tcBorders>
              <w:top w:val="single" w:sz="6" w:space="0" w:color="000000"/>
              <w:bottom w:val="single" w:sz="12" w:space="0" w:color="000000"/>
            </w:tcBorders>
          </w:tcPr>
          <w:p w:rsidR="00A46DCA" w:rsidRPr="00AC137D" w:rsidRDefault="00A46DCA" w:rsidP="00A26D0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Arial"/>
                <w:bCs/>
                <w:color w:val="000000"/>
                <w:szCs w:val="18"/>
                <w:lang w:eastAsia="en-AU"/>
              </w:rPr>
            </w:pPr>
            <w:r w:rsidRPr="00AC137D">
              <w:rPr>
                <w:rFonts w:eastAsiaTheme="minorEastAsia" w:cs="Arial"/>
                <w:bCs/>
                <w:color w:val="000000"/>
                <w:szCs w:val="18"/>
                <w:lang w:eastAsia="en-AU"/>
              </w:rPr>
              <w:t>7 234</w:t>
            </w:r>
          </w:p>
        </w:tc>
      </w:tr>
    </w:tbl>
    <w:p w:rsidR="00A46DCA" w:rsidRPr="00D87D22" w:rsidRDefault="00A46DCA" w:rsidP="00A26D04">
      <w:pPr>
        <w:pStyle w:val="Source"/>
      </w:pPr>
      <w:r w:rsidRPr="00D87D22">
        <w:t>Source: Department of Treasury and Finance</w:t>
      </w:r>
    </w:p>
    <w:p w:rsidR="00A46DCA" w:rsidRPr="00AC4FDA" w:rsidRDefault="00A46DCA" w:rsidP="00A26D04"/>
    <w:p w:rsidR="00A46DCA" w:rsidRPr="00AC137D" w:rsidRDefault="00A46DCA" w:rsidP="00A26D04">
      <w:pPr>
        <w:pStyle w:val="TableHeading"/>
        <w:rPr>
          <w:bCs/>
          <w:lang w:val="en-US"/>
        </w:rPr>
      </w:pPr>
      <w:r>
        <w:t>Purchase of services</w:t>
      </w:r>
      <w:r>
        <w:tab/>
        <w:t>($ million)</w:t>
      </w:r>
    </w:p>
    <w:tbl>
      <w:tblPr>
        <w:tblStyle w:val="DTFTable"/>
        <w:tblW w:w="7765" w:type="dxa"/>
        <w:tblInd w:w="45" w:type="dxa"/>
        <w:tblLayout w:type="fixed"/>
        <w:tblCellMar>
          <w:left w:w="45" w:type="dxa"/>
          <w:right w:w="45" w:type="dxa"/>
        </w:tblCellMar>
        <w:tblLook w:val="06E0" w:firstRow="1" w:lastRow="1" w:firstColumn="1" w:lastColumn="0" w:noHBand="1" w:noVBand="1"/>
      </w:tblPr>
      <w:tblGrid>
        <w:gridCol w:w="3515"/>
        <w:gridCol w:w="850"/>
        <w:gridCol w:w="850"/>
        <w:gridCol w:w="850"/>
        <w:gridCol w:w="850"/>
        <w:gridCol w:w="850"/>
      </w:tblGrid>
      <w:tr w:rsidR="00A26D04" w:rsidRPr="00AC137D" w:rsidTr="002677DA">
        <w:trPr>
          <w:cnfStyle w:val="100000000000" w:firstRow="1" w:lastRow="0" w:firstColumn="0" w:lastColumn="0" w:oddVBand="0" w:evenVBand="0" w:oddHBand="0" w:evenHBand="0" w:firstRowFirstColumn="0" w:firstRowLastColumn="0" w:lastRowFirstColumn="0" w:lastRowLastColumn="0"/>
          <w:trHeight w:val="70"/>
          <w:tblHeader/>
        </w:trPr>
        <w:tc>
          <w:tcPr>
            <w:cnfStyle w:val="001000000000" w:firstRow="0" w:lastRow="0" w:firstColumn="1" w:lastColumn="0" w:oddVBand="0" w:evenVBand="0" w:oddHBand="0" w:evenHBand="0" w:firstRowFirstColumn="0" w:firstRowLastColumn="0" w:lastRowFirstColumn="0" w:lastRowLastColumn="0"/>
            <w:tcW w:w="3515" w:type="dxa"/>
            <w:tcBorders>
              <w:top w:val="nil"/>
              <w:left w:val="nil"/>
              <w:right w:val="nil"/>
            </w:tcBorders>
            <w:shd w:val="solid" w:color="000000" w:fill="auto"/>
          </w:tcPr>
          <w:p w:rsidR="00A26D04" w:rsidRPr="00AC137D" w:rsidRDefault="00A26D04" w:rsidP="00A26D04">
            <w:pPr>
              <w:autoSpaceDE w:val="0"/>
              <w:autoSpaceDN w:val="0"/>
              <w:adjustRightInd w:val="0"/>
              <w:rPr>
                <w:rFonts w:eastAsiaTheme="minorEastAsia" w:cs="Calibri"/>
                <w:iCs/>
                <w:color w:val="FFFFFF"/>
                <w:lang w:eastAsia="en-AU"/>
              </w:rPr>
            </w:pPr>
            <w:r w:rsidRPr="00AC137D">
              <w:rPr>
                <w:rFonts w:eastAsiaTheme="minorEastAsia" w:cs="Calibri"/>
                <w:iCs/>
                <w:color w:val="FFFFFF"/>
                <w:lang w:eastAsia="en-AU"/>
              </w:rPr>
              <w:t xml:space="preserve">  </w:t>
            </w:r>
          </w:p>
        </w:tc>
        <w:tc>
          <w:tcPr>
            <w:tcW w:w="850" w:type="dxa"/>
            <w:tcBorders>
              <w:top w:val="nil"/>
              <w:left w:val="nil"/>
              <w:right w:val="nil"/>
            </w:tcBorders>
            <w:shd w:val="solid" w:color="000000" w:fill="auto"/>
          </w:tcPr>
          <w:p w:rsidR="00A26D04" w:rsidRPr="00AC137D" w:rsidRDefault="00A26D04" w:rsidP="00A26D0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AC137D">
              <w:rPr>
                <w:rFonts w:eastAsiaTheme="minorEastAsia" w:cs="Calibri"/>
                <w:iCs/>
                <w:color w:val="FFFFFF"/>
                <w:szCs w:val="16"/>
                <w:lang w:eastAsia="en-AU"/>
              </w:rPr>
              <w:t>2017-18</w:t>
            </w:r>
            <w:r>
              <w:rPr>
                <w:rFonts w:eastAsiaTheme="minorEastAsia" w:cs="Calibri"/>
                <w:iCs/>
                <w:color w:val="FFFFFF"/>
                <w:szCs w:val="16"/>
                <w:lang w:eastAsia="en-AU"/>
              </w:rPr>
              <w:br/>
            </w:r>
            <w:r w:rsidRPr="00AC137D">
              <w:rPr>
                <w:rFonts w:eastAsiaTheme="minorEastAsia" w:cs="Calibri"/>
                <w:iCs/>
                <w:color w:val="FFFFFF"/>
                <w:szCs w:val="16"/>
                <w:lang w:eastAsia="en-AU"/>
              </w:rPr>
              <w:t>budget</w:t>
            </w:r>
          </w:p>
        </w:tc>
        <w:tc>
          <w:tcPr>
            <w:tcW w:w="850" w:type="dxa"/>
            <w:tcBorders>
              <w:top w:val="nil"/>
              <w:left w:val="nil"/>
              <w:right w:val="nil"/>
            </w:tcBorders>
            <w:shd w:val="solid" w:color="000000" w:fill="auto"/>
          </w:tcPr>
          <w:p w:rsidR="00A26D04" w:rsidRPr="00AC137D" w:rsidRDefault="00A26D04" w:rsidP="00A26D0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AC137D">
              <w:rPr>
                <w:rFonts w:eastAsiaTheme="minorEastAsia" w:cs="Calibri"/>
                <w:iCs/>
                <w:color w:val="FFFFFF"/>
                <w:szCs w:val="16"/>
                <w:lang w:eastAsia="en-AU"/>
              </w:rPr>
              <w:t>2017-18</w:t>
            </w:r>
            <w:r>
              <w:rPr>
                <w:rFonts w:eastAsiaTheme="minorEastAsia" w:cs="Calibri"/>
                <w:iCs/>
                <w:color w:val="FFFFFF"/>
                <w:szCs w:val="16"/>
                <w:lang w:eastAsia="en-AU"/>
              </w:rPr>
              <w:br/>
            </w:r>
            <w:r w:rsidRPr="00AC137D">
              <w:rPr>
                <w:rFonts w:eastAsiaTheme="minorEastAsia" w:cs="Calibri"/>
                <w:iCs/>
                <w:color w:val="FFFFFF"/>
                <w:szCs w:val="16"/>
                <w:lang w:eastAsia="en-AU"/>
              </w:rPr>
              <w:t>revised</w:t>
            </w:r>
          </w:p>
        </w:tc>
        <w:tc>
          <w:tcPr>
            <w:tcW w:w="850" w:type="dxa"/>
            <w:tcBorders>
              <w:top w:val="nil"/>
              <w:left w:val="nil"/>
              <w:right w:val="nil"/>
            </w:tcBorders>
            <w:shd w:val="solid" w:color="000000" w:fill="auto"/>
          </w:tcPr>
          <w:p w:rsidR="00A26D04" w:rsidRPr="00AC137D" w:rsidRDefault="00A26D04" w:rsidP="00A26D0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AC137D">
              <w:rPr>
                <w:rFonts w:eastAsiaTheme="minorEastAsia" w:cs="Calibri"/>
                <w:iCs/>
                <w:color w:val="FFFFFF"/>
                <w:szCs w:val="16"/>
                <w:lang w:eastAsia="en-AU"/>
              </w:rPr>
              <w:t>2018-19</w:t>
            </w:r>
            <w:r>
              <w:rPr>
                <w:rFonts w:eastAsiaTheme="minorEastAsia" w:cs="Calibri"/>
                <w:iCs/>
                <w:color w:val="FFFFFF"/>
                <w:szCs w:val="16"/>
                <w:lang w:eastAsia="en-AU"/>
              </w:rPr>
              <w:br/>
            </w:r>
            <w:r w:rsidRPr="00AC137D">
              <w:rPr>
                <w:rFonts w:eastAsiaTheme="minorEastAsia" w:cs="Calibri"/>
                <w:iCs/>
                <w:color w:val="FFFFFF"/>
                <w:szCs w:val="16"/>
                <w:lang w:eastAsia="en-AU"/>
              </w:rPr>
              <w:t>estimate</w:t>
            </w:r>
          </w:p>
        </w:tc>
        <w:tc>
          <w:tcPr>
            <w:tcW w:w="850" w:type="dxa"/>
            <w:tcBorders>
              <w:top w:val="nil"/>
              <w:left w:val="nil"/>
              <w:right w:val="nil"/>
            </w:tcBorders>
            <w:shd w:val="solid" w:color="000000" w:fill="auto"/>
          </w:tcPr>
          <w:p w:rsidR="00A26D04" w:rsidRPr="00AC137D" w:rsidRDefault="00A26D04" w:rsidP="00A26D0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AC137D">
              <w:rPr>
                <w:rFonts w:eastAsiaTheme="minorEastAsia" w:cs="Calibri"/>
                <w:iCs/>
                <w:color w:val="FFFFFF"/>
                <w:szCs w:val="16"/>
                <w:lang w:eastAsia="en-AU"/>
              </w:rPr>
              <w:t>2019-20</w:t>
            </w:r>
            <w:r>
              <w:rPr>
                <w:rFonts w:eastAsiaTheme="minorEastAsia" w:cs="Calibri"/>
                <w:iCs/>
                <w:color w:val="FFFFFF"/>
                <w:szCs w:val="16"/>
                <w:lang w:eastAsia="en-AU"/>
              </w:rPr>
              <w:br/>
            </w:r>
            <w:r w:rsidRPr="00AC137D">
              <w:rPr>
                <w:rFonts w:eastAsiaTheme="minorEastAsia" w:cs="Calibri"/>
                <w:iCs/>
                <w:color w:val="FFFFFF"/>
                <w:szCs w:val="16"/>
                <w:lang w:eastAsia="en-AU"/>
              </w:rPr>
              <w:t>estimate</w:t>
            </w:r>
          </w:p>
        </w:tc>
        <w:tc>
          <w:tcPr>
            <w:tcW w:w="850" w:type="dxa"/>
            <w:tcBorders>
              <w:top w:val="nil"/>
              <w:left w:val="nil"/>
              <w:right w:val="nil"/>
            </w:tcBorders>
            <w:shd w:val="solid" w:color="000000" w:fill="auto"/>
          </w:tcPr>
          <w:p w:rsidR="00A26D04" w:rsidRPr="00AC137D" w:rsidRDefault="00A26D04" w:rsidP="00A26D0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AC137D">
              <w:rPr>
                <w:rFonts w:eastAsiaTheme="minorEastAsia" w:cs="Calibri"/>
                <w:iCs/>
                <w:color w:val="FFFFFF"/>
                <w:szCs w:val="16"/>
                <w:lang w:eastAsia="en-AU"/>
              </w:rPr>
              <w:t>2020-21</w:t>
            </w:r>
            <w:r>
              <w:rPr>
                <w:rFonts w:eastAsiaTheme="minorEastAsia" w:cs="Calibri"/>
                <w:iCs/>
                <w:color w:val="FFFFFF"/>
                <w:szCs w:val="16"/>
                <w:lang w:eastAsia="en-AU"/>
              </w:rPr>
              <w:br/>
            </w:r>
            <w:r w:rsidRPr="00AC137D">
              <w:rPr>
                <w:rFonts w:eastAsiaTheme="minorEastAsia" w:cs="Calibri"/>
                <w:iCs/>
                <w:color w:val="FFFFFF"/>
                <w:szCs w:val="16"/>
                <w:lang w:eastAsia="en-AU"/>
              </w:rPr>
              <w:t>estimate</w:t>
            </w:r>
          </w:p>
        </w:tc>
      </w:tr>
      <w:tr w:rsidR="00A46DCA" w:rsidRPr="00AC137D" w:rsidTr="00A26D04">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A46DCA" w:rsidRPr="00AC137D" w:rsidRDefault="00A46DCA" w:rsidP="00A26D04">
            <w:pPr>
              <w:keepLines w:val="0"/>
              <w:autoSpaceDE w:val="0"/>
              <w:autoSpaceDN w:val="0"/>
              <w:adjustRightInd w:val="0"/>
              <w:rPr>
                <w:rFonts w:eastAsiaTheme="minorEastAsia" w:cs="Calibri"/>
                <w:color w:val="000000"/>
                <w:szCs w:val="16"/>
                <w:vertAlign w:val="superscript"/>
                <w:lang w:eastAsia="en-AU"/>
              </w:rPr>
            </w:pPr>
            <w:r w:rsidRPr="00AC137D">
              <w:rPr>
                <w:rFonts w:eastAsiaTheme="minorEastAsia" w:cs="Calibri"/>
                <w:color w:val="000000"/>
                <w:szCs w:val="16"/>
                <w:lang w:eastAsia="en-AU"/>
              </w:rPr>
              <w:t xml:space="preserve">Service contracts </w:t>
            </w:r>
            <w:r w:rsidRPr="00AC137D">
              <w:rPr>
                <w:rFonts w:eastAsiaTheme="minorEastAsia" w:cs="Calibri"/>
                <w:color w:val="000000"/>
                <w:szCs w:val="16"/>
                <w:vertAlign w:val="superscript"/>
                <w:lang w:eastAsia="en-AU"/>
              </w:rPr>
              <w:t>(a)</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AC137D">
              <w:rPr>
                <w:rFonts w:eastAsiaTheme="minorEastAsia" w:cs="Arial"/>
                <w:color w:val="000000"/>
                <w:szCs w:val="18"/>
                <w:lang w:eastAsia="en-AU"/>
              </w:rPr>
              <w:t>6 976</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AC137D">
              <w:rPr>
                <w:rFonts w:eastAsiaTheme="minorEastAsia" w:cs="Arial"/>
                <w:color w:val="000000"/>
                <w:szCs w:val="18"/>
                <w:lang w:eastAsia="en-AU"/>
              </w:rPr>
              <w:t>7 010</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AC137D">
              <w:rPr>
                <w:rFonts w:eastAsiaTheme="minorEastAsia" w:cs="Arial"/>
                <w:color w:val="000000"/>
                <w:szCs w:val="18"/>
                <w:lang w:eastAsia="en-AU"/>
              </w:rPr>
              <w:t>7 064</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AC137D">
              <w:rPr>
                <w:rFonts w:eastAsiaTheme="minorEastAsia" w:cs="Arial"/>
                <w:color w:val="000000"/>
                <w:szCs w:val="18"/>
                <w:lang w:eastAsia="en-AU"/>
              </w:rPr>
              <w:t>6 510</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AC137D">
              <w:rPr>
                <w:rFonts w:eastAsiaTheme="minorEastAsia" w:cs="Arial"/>
                <w:color w:val="000000"/>
                <w:szCs w:val="18"/>
                <w:lang w:eastAsia="en-AU"/>
              </w:rPr>
              <w:t>6 533</w:t>
            </w:r>
          </w:p>
        </w:tc>
      </w:tr>
      <w:tr w:rsidR="00A46DCA" w:rsidRPr="00AC137D" w:rsidTr="00A26D04">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A46DCA" w:rsidRPr="00AC137D" w:rsidRDefault="00A46DCA" w:rsidP="00A26D04">
            <w:pPr>
              <w:keepLines w:val="0"/>
              <w:autoSpaceDE w:val="0"/>
              <w:autoSpaceDN w:val="0"/>
              <w:adjustRightInd w:val="0"/>
              <w:rPr>
                <w:rFonts w:eastAsiaTheme="minorEastAsia" w:cs="Calibri"/>
                <w:color w:val="000000"/>
                <w:szCs w:val="16"/>
                <w:lang w:eastAsia="en-AU"/>
              </w:rPr>
            </w:pPr>
            <w:r w:rsidRPr="00AC137D">
              <w:rPr>
                <w:rFonts w:eastAsiaTheme="minorEastAsia" w:cs="Calibri"/>
                <w:color w:val="000000"/>
                <w:szCs w:val="16"/>
                <w:lang w:eastAsia="en-AU"/>
              </w:rPr>
              <w:t>Accommodation/occupancy</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685</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739</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768</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775</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801</w:t>
            </w:r>
          </w:p>
        </w:tc>
      </w:tr>
      <w:tr w:rsidR="00A46DCA" w:rsidRPr="00AC137D" w:rsidTr="00A26D04">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A46DCA" w:rsidRPr="00AC137D" w:rsidRDefault="00A46DCA" w:rsidP="00A26D04">
            <w:pPr>
              <w:keepLines w:val="0"/>
              <w:autoSpaceDE w:val="0"/>
              <w:autoSpaceDN w:val="0"/>
              <w:adjustRightInd w:val="0"/>
              <w:rPr>
                <w:rFonts w:eastAsiaTheme="minorEastAsia" w:cs="Calibri"/>
                <w:color w:val="000000"/>
                <w:szCs w:val="16"/>
                <w:lang w:eastAsia="en-AU"/>
              </w:rPr>
            </w:pPr>
            <w:r w:rsidRPr="00AC137D">
              <w:rPr>
                <w:rFonts w:eastAsiaTheme="minorEastAsia" w:cs="Calibri"/>
                <w:color w:val="000000"/>
                <w:szCs w:val="16"/>
                <w:lang w:eastAsia="en-AU"/>
              </w:rPr>
              <w:t>Medical and client care services</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333</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339</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344</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351</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359</w:t>
            </w:r>
          </w:p>
        </w:tc>
      </w:tr>
      <w:tr w:rsidR="00A46DCA" w:rsidRPr="00AC137D" w:rsidTr="00A26D04">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A46DCA" w:rsidRPr="00AC137D" w:rsidRDefault="00A46DCA" w:rsidP="00A26D04">
            <w:pPr>
              <w:keepLines w:val="0"/>
              <w:autoSpaceDE w:val="0"/>
              <w:autoSpaceDN w:val="0"/>
              <w:adjustRightInd w:val="0"/>
              <w:rPr>
                <w:rFonts w:eastAsiaTheme="minorEastAsia" w:cs="Calibri"/>
                <w:color w:val="000000"/>
                <w:szCs w:val="16"/>
                <w:lang w:eastAsia="en-AU"/>
              </w:rPr>
            </w:pPr>
            <w:r w:rsidRPr="00AC137D">
              <w:rPr>
                <w:rFonts w:eastAsiaTheme="minorEastAsia" w:cs="Calibri"/>
                <w:color w:val="000000"/>
                <w:szCs w:val="16"/>
                <w:lang w:eastAsia="en-AU"/>
              </w:rPr>
              <w:t>Staff related expenses (non-labour related)</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246</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303</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238</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230</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232</w:t>
            </w:r>
          </w:p>
        </w:tc>
      </w:tr>
      <w:tr w:rsidR="00A46DCA" w:rsidRPr="00AC137D" w:rsidTr="00A26D04">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A46DCA" w:rsidRPr="00AC137D" w:rsidRDefault="00A46DCA" w:rsidP="00A26D04">
            <w:pPr>
              <w:keepLines w:val="0"/>
              <w:autoSpaceDE w:val="0"/>
              <w:autoSpaceDN w:val="0"/>
              <w:adjustRightInd w:val="0"/>
              <w:rPr>
                <w:rFonts w:eastAsiaTheme="minorEastAsia" w:cs="Calibri"/>
                <w:color w:val="000000"/>
                <w:szCs w:val="16"/>
                <w:lang w:eastAsia="en-AU"/>
              </w:rPr>
            </w:pPr>
            <w:r w:rsidRPr="00AC137D">
              <w:rPr>
                <w:rFonts w:eastAsiaTheme="minorEastAsia" w:cs="Calibri"/>
                <w:color w:val="000000"/>
                <w:szCs w:val="16"/>
                <w:lang w:eastAsia="en-AU"/>
              </w:rPr>
              <w:t>Other purchase of services</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AC137D">
              <w:rPr>
                <w:rFonts w:eastAsiaTheme="minorEastAsia" w:cs="Arial"/>
                <w:color w:val="000000"/>
                <w:szCs w:val="18"/>
                <w:lang w:eastAsia="en-AU"/>
              </w:rPr>
              <w:t>3 048</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AC137D">
              <w:rPr>
                <w:rFonts w:eastAsiaTheme="minorEastAsia" w:cs="Arial"/>
                <w:color w:val="000000"/>
                <w:szCs w:val="18"/>
                <w:lang w:eastAsia="en-AU"/>
              </w:rPr>
              <w:t>3 525</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AC137D">
              <w:rPr>
                <w:rFonts w:eastAsiaTheme="minorEastAsia" w:cs="Arial"/>
                <w:color w:val="000000"/>
                <w:szCs w:val="18"/>
                <w:lang w:eastAsia="en-AU"/>
              </w:rPr>
              <w:t>3 209</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AC137D">
              <w:rPr>
                <w:rFonts w:eastAsiaTheme="minorEastAsia" w:cs="Arial"/>
                <w:color w:val="000000"/>
                <w:szCs w:val="18"/>
                <w:lang w:eastAsia="en-AU"/>
              </w:rPr>
              <w:t>2 991</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AC137D">
              <w:rPr>
                <w:rFonts w:eastAsiaTheme="minorEastAsia" w:cs="Arial"/>
                <w:color w:val="000000"/>
                <w:szCs w:val="18"/>
                <w:lang w:eastAsia="en-AU"/>
              </w:rPr>
              <w:t>2 925</w:t>
            </w:r>
          </w:p>
        </w:tc>
      </w:tr>
      <w:tr w:rsidR="00A46DCA" w:rsidRPr="00AC137D" w:rsidTr="00A26D04">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5" w:type="dxa"/>
            <w:tcBorders>
              <w:top w:val="single" w:sz="6" w:space="0" w:color="000000"/>
              <w:bottom w:val="single" w:sz="12" w:space="0" w:color="000000"/>
            </w:tcBorders>
          </w:tcPr>
          <w:p w:rsidR="00A46DCA" w:rsidRPr="00AC137D" w:rsidRDefault="00A46DCA" w:rsidP="00A26D04">
            <w:pPr>
              <w:keepLines w:val="0"/>
              <w:autoSpaceDE w:val="0"/>
              <w:autoSpaceDN w:val="0"/>
              <w:adjustRightInd w:val="0"/>
              <w:rPr>
                <w:rFonts w:eastAsiaTheme="minorEastAsia" w:cs="Calibri"/>
                <w:bCs/>
                <w:color w:val="000000"/>
                <w:szCs w:val="16"/>
                <w:lang w:eastAsia="en-AU"/>
              </w:rPr>
            </w:pPr>
            <w:r w:rsidRPr="00AC137D">
              <w:rPr>
                <w:rFonts w:eastAsiaTheme="minorEastAsia" w:cs="Calibri"/>
                <w:bCs/>
                <w:color w:val="000000"/>
                <w:szCs w:val="16"/>
                <w:lang w:eastAsia="en-AU"/>
              </w:rPr>
              <w:t>Total purchase of supplies and consumables</w:t>
            </w:r>
          </w:p>
        </w:tc>
        <w:tc>
          <w:tcPr>
            <w:tcW w:w="850" w:type="dxa"/>
            <w:tcBorders>
              <w:top w:val="single" w:sz="6" w:space="0" w:color="000000"/>
              <w:bottom w:val="single" w:sz="12" w:space="0" w:color="000000"/>
            </w:tcBorders>
          </w:tcPr>
          <w:p w:rsidR="00A46DCA" w:rsidRPr="00AC137D" w:rsidRDefault="00A46DCA" w:rsidP="00A26D0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Arial"/>
                <w:bCs/>
                <w:color w:val="000000"/>
                <w:szCs w:val="18"/>
                <w:lang w:eastAsia="en-AU"/>
              </w:rPr>
            </w:pPr>
            <w:r w:rsidRPr="00AC137D">
              <w:rPr>
                <w:rFonts w:eastAsiaTheme="minorEastAsia" w:cs="Arial"/>
                <w:bCs/>
                <w:color w:val="000000"/>
                <w:szCs w:val="18"/>
                <w:lang w:eastAsia="en-AU"/>
              </w:rPr>
              <w:t>11 288</w:t>
            </w:r>
          </w:p>
        </w:tc>
        <w:tc>
          <w:tcPr>
            <w:tcW w:w="850" w:type="dxa"/>
            <w:tcBorders>
              <w:top w:val="single" w:sz="6" w:space="0" w:color="000000"/>
              <w:bottom w:val="single" w:sz="12" w:space="0" w:color="000000"/>
            </w:tcBorders>
          </w:tcPr>
          <w:p w:rsidR="00A46DCA" w:rsidRPr="00AC137D" w:rsidRDefault="00A46DCA" w:rsidP="00A26D0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Arial"/>
                <w:bCs/>
                <w:color w:val="000000"/>
                <w:szCs w:val="18"/>
                <w:lang w:eastAsia="en-AU"/>
              </w:rPr>
            </w:pPr>
            <w:r w:rsidRPr="00AC137D">
              <w:rPr>
                <w:rFonts w:eastAsiaTheme="minorEastAsia" w:cs="Arial"/>
                <w:bCs/>
                <w:color w:val="000000"/>
                <w:szCs w:val="18"/>
                <w:lang w:eastAsia="en-AU"/>
              </w:rPr>
              <w:t>11 916</w:t>
            </w:r>
          </w:p>
        </w:tc>
        <w:tc>
          <w:tcPr>
            <w:tcW w:w="850" w:type="dxa"/>
            <w:tcBorders>
              <w:top w:val="single" w:sz="6" w:space="0" w:color="000000"/>
              <w:bottom w:val="single" w:sz="12" w:space="0" w:color="000000"/>
            </w:tcBorders>
          </w:tcPr>
          <w:p w:rsidR="00A46DCA" w:rsidRPr="00AC137D" w:rsidRDefault="00A46DCA" w:rsidP="00A26D0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Arial"/>
                <w:bCs/>
                <w:color w:val="000000"/>
                <w:szCs w:val="18"/>
                <w:lang w:eastAsia="en-AU"/>
              </w:rPr>
            </w:pPr>
            <w:r w:rsidRPr="00AC137D">
              <w:rPr>
                <w:rFonts w:eastAsiaTheme="minorEastAsia" w:cs="Arial"/>
                <w:bCs/>
                <w:color w:val="000000"/>
                <w:szCs w:val="18"/>
                <w:lang w:eastAsia="en-AU"/>
              </w:rPr>
              <w:t>11 624</w:t>
            </w:r>
          </w:p>
        </w:tc>
        <w:tc>
          <w:tcPr>
            <w:tcW w:w="850" w:type="dxa"/>
            <w:tcBorders>
              <w:top w:val="single" w:sz="6" w:space="0" w:color="000000"/>
              <w:bottom w:val="single" w:sz="12" w:space="0" w:color="000000"/>
            </w:tcBorders>
          </w:tcPr>
          <w:p w:rsidR="00A46DCA" w:rsidRPr="00AC137D" w:rsidRDefault="00A46DCA" w:rsidP="00A26D0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Arial"/>
                <w:bCs/>
                <w:color w:val="000000"/>
                <w:szCs w:val="18"/>
                <w:lang w:eastAsia="en-AU"/>
              </w:rPr>
            </w:pPr>
            <w:r w:rsidRPr="00AC137D">
              <w:rPr>
                <w:rFonts w:eastAsiaTheme="minorEastAsia" w:cs="Arial"/>
                <w:bCs/>
                <w:color w:val="000000"/>
                <w:szCs w:val="18"/>
                <w:lang w:eastAsia="en-AU"/>
              </w:rPr>
              <w:t>10 856</w:t>
            </w:r>
          </w:p>
        </w:tc>
        <w:tc>
          <w:tcPr>
            <w:tcW w:w="850" w:type="dxa"/>
            <w:tcBorders>
              <w:top w:val="single" w:sz="6" w:space="0" w:color="000000"/>
              <w:bottom w:val="single" w:sz="12" w:space="0" w:color="000000"/>
            </w:tcBorders>
          </w:tcPr>
          <w:p w:rsidR="00A46DCA" w:rsidRPr="00AC137D" w:rsidRDefault="00A46DCA" w:rsidP="00A26D0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Arial"/>
                <w:bCs/>
                <w:color w:val="000000"/>
                <w:szCs w:val="18"/>
                <w:lang w:eastAsia="en-AU"/>
              </w:rPr>
            </w:pPr>
            <w:r w:rsidRPr="00AC137D">
              <w:rPr>
                <w:rFonts w:eastAsiaTheme="minorEastAsia" w:cs="Arial"/>
                <w:bCs/>
                <w:color w:val="000000"/>
                <w:szCs w:val="18"/>
                <w:lang w:eastAsia="en-AU"/>
              </w:rPr>
              <w:t>10 850</w:t>
            </w:r>
          </w:p>
        </w:tc>
      </w:tr>
    </w:tbl>
    <w:p w:rsidR="00A46DCA" w:rsidRPr="00D87D22" w:rsidRDefault="00A46DCA" w:rsidP="00A26D04">
      <w:pPr>
        <w:pStyle w:val="Source"/>
      </w:pPr>
      <w:r w:rsidRPr="00D87D22">
        <w:t>Source: Department of Treasury and Finance</w:t>
      </w:r>
    </w:p>
    <w:p w:rsidR="00A46DCA" w:rsidRPr="00697AD9" w:rsidRDefault="00A46DCA" w:rsidP="00A26D04">
      <w:pPr>
        <w:pStyle w:val="Note"/>
      </w:pPr>
      <w:r>
        <w:t>Note</w:t>
      </w:r>
      <w:r w:rsidRPr="00697AD9">
        <w:t>:</w:t>
      </w:r>
    </w:p>
    <w:p w:rsidR="00A46DCA" w:rsidRDefault="00A46DCA" w:rsidP="00A26D04">
      <w:pPr>
        <w:pStyle w:val="Note"/>
      </w:pPr>
      <w:r w:rsidRPr="00697AD9">
        <w:t>(a)</w:t>
      </w:r>
      <w:r w:rsidRPr="00697AD9">
        <w:tab/>
      </w:r>
      <w:r w:rsidRPr="0095755C">
        <w:t xml:space="preserve">The reduction in </w:t>
      </w:r>
      <w:r>
        <w:t>service contracts</w:t>
      </w:r>
      <w:r w:rsidRPr="0095755C">
        <w:t xml:space="preserve"> is largely driven by the State</w:t>
      </w:r>
      <w:r>
        <w:t>’</w:t>
      </w:r>
      <w:r w:rsidRPr="0095755C">
        <w:t>s existing expenditure on disability services, including payments to disability service providers, being allocated towards the State</w:t>
      </w:r>
      <w:r>
        <w:t>’</w:t>
      </w:r>
      <w:r w:rsidRPr="0095755C">
        <w:t xml:space="preserve">s contribution to the </w:t>
      </w:r>
      <w:r>
        <w:t>NDIS.</w:t>
      </w:r>
      <w:r w:rsidRPr="0095755C">
        <w:t xml:space="preserve"> These services will be funded by the NDIS.</w:t>
      </w:r>
    </w:p>
    <w:p w:rsidR="00A46DCA" w:rsidRDefault="00A46DCA">
      <w:pPr>
        <w:keepLines w:val="0"/>
        <w:rPr>
          <w:rFonts w:asciiTheme="majorHAnsi" w:eastAsiaTheme="majorEastAsia" w:hAnsiTheme="majorHAnsi" w:cstheme="majorBidi"/>
          <w:b/>
          <w:bCs/>
          <w:spacing w:val="-2"/>
          <w:sz w:val="20"/>
          <w:szCs w:val="26"/>
        </w:rPr>
      </w:pPr>
      <w:bookmarkStart w:id="37" w:name="_Toc496606578"/>
      <w:r>
        <w:br w:type="page"/>
      </w:r>
    </w:p>
    <w:p w:rsidR="00A46DCA" w:rsidRDefault="00A46DCA" w:rsidP="00A26D04">
      <w:pPr>
        <w:pStyle w:val="Heading3"/>
        <w:numPr>
          <w:ilvl w:val="2"/>
          <w:numId w:val="19"/>
        </w:numPr>
        <w:tabs>
          <w:tab w:val="clear" w:pos="9582"/>
          <w:tab w:val="left" w:pos="850"/>
          <w:tab w:val="right" w:pos="7711"/>
        </w:tabs>
        <w:spacing w:after="60"/>
      </w:pPr>
      <w:r>
        <w:lastRenderedPageBreak/>
        <w:t>Total expenses by government purpose and by portfolio department</w:t>
      </w:r>
      <w:bookmarkEnd w:id="37"/>
    </w:p>
    <w:p w:rsidR="00A46DCA" w:rsidRPr="00BA09DC" w:rsidRDefault="00A46DCA" w:rsidP="00A26D04">
      <w:pPr>
        <w:pStyle w:val="TableHeading"/>
        <w:rPr>
          <w:bCs/>
          <w:lang w:val="en-US"/>
        </w:rPr>
      </w:pPr>
      <w:r>
        <w:t xml:space="preserve">Expenses by government purpose classification </w:t>
      </w:r>
      <w:r w:rsidRPr="0095755C">
        <w:rPr>
          <w:vertAlign w:val="superscript"/>
        </w:rPr>
        <w:t>(a)</w:t>
      </w:r>
      <w:r>
        <w:tab/>
        <w:t>($ million)</w:t>
      </w:r>
    </w:p>
    <w:tbl>
      <w:tblPr>
        <w:tblStyle w:val="DTFTable"/>
        <w:tblW w:w="7765" w:type="dxa"/>
        <w:tblInd w:w="45" w:type="dxa"/>
        <w:tblLayout w:type="fixed"/>
        <w:tblCellMar>
          <w:left w:w="45" w:type="dxa"/>
          <w:right w:w="45" w:type="dxa"/>
        </w:tblCellMar>
        <w:tblLook w:val="06A0" w:firstRow="1" w:lastRow="0" w:firstColumn="1" w:lastColumn="0" w:noHBand="1" w:noVBand="1"/>
      </w:tblPr>
      <w:tblGrid>
        <w:gridCol w:w="3515"/>
        <w:gridCol w:w="850"/>
        <w:gridCol w:w="850"/>
        <w:gridCol w:w="850"/>
        <w:gridCol w:w="850"/>
        <w:gridCol w:w="850"/>
      </w:tblGrid>
      <w:tr w:rsidR="00A26D04" w:rsidRPr="00BA09DC" w:rsidTr="002677DA">
        <w:trPr>
          <w:cnfStyle w:val="100000000000" w:firstRow="1" w:lastRow="0" w:firstColumn="0" w:lastColumn="0" w:oddVBand="0" w:evenVBand="0" w:oddHBand="0" w:evenHBand="0" w:firstRowFirstColumn="0" w:firstRowLastColumn="0" w:lastRowFirstColumn="0" w:lastRowLastColumn="0"/>
          <w:trHeight w:val="55"/>
          <w:tblHeader/>
        </w:trPr>
        <w:tc>
          <w:tcPr>
            <w:cnfStyle w:val="001000000000" w:firstRow="0" w:lastRow="0" w:firstColumn="1" w:lastColumn="0" w:oddVBand="0" w:evenVBand="0" w:oddHBand="0" w:evenHBand="0" w:firstRowFirstColumn="0" w:firstRowLastColumn="0" w:lastRowFirstColumn="0" w:lastRowLastColumn="0"/>
            <w:tcW w:w="3515" w:type="dxa"/>
            <w:tcBorders>
              <w:top w:val="nil"/>
              <w:left w:val="nil"/>
              <w:right w:val="nil"/>
            </w:tcBorders>
            <w:shd w:val="solid" w:color="000000" w:fill="auto"/>
          </w:tcPr>
          <w:p w:rsidR="00A26D04" w:rsidRPr="00BA09DC" w:rsidRDefault="00A26D04" w:rsidP="00A26D04">
            <w:pPr>
              <w:autoSpaceDE w:val="0"/>
              <w:autoSpaceDN w:val="0"/>
              <w:adjustRightInd w:val="0"/>
              <w:rPr>
                <w:rFonts w:eastAsiaTheme="minorEastAsia" w:cs="Calibri"/>
                <w:iCs/>
                <w:color w:val="FFFFFF"/>
                <w:szCs w:val="20"/>
                <w:lang w:eastAsia="en-AU"/>
              </w:rPr>
            </w:pPr>
            <w:r w:rsidRPr="00BA09DC">
              <w:rPr>
                <w:rFonts w:eastAsiaTheme="minorEastAsia" w:cs="Calibri"/>
                <w:iCs/>
                <w:color w:val="FFFFFF"/>
                <w:szCs w:val="20"/>
                <w:lang w:eastAsia="en-AU"/>
              </w:rPr>
              <w:t xml:space="preserve">  </w:t>
            </w:r>
          </w:p>
        </w:tc>
        <w:tc>
          <w:tcPr>
            <w:tcW w:w="850" w:type="dxa"/>
            <w:tcBorders>
              <w:top w:val="single" w:sz="6" w:space="0" w:color="auto"/>
              <w:left w:val="nil"/>
              <w:right w:val="nil"/>
            </w:tcBorders>
            <w:shd w:val="solid" w:color="000000" w:fill="auto"/>
          </w:tcPr>
          <w:p w:rsidR="00A26D04" w:rsidRPr="00BA09DC" w:rsidRDefault="00A26D04" w:rsidP="00A26D0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20"/>
                <w:lang w:eastAsia="en-AU"/>
              </w:rPr>
            </w:pPr>
            <w:r w:rsidRPr="00BA09DC">
              <w:rPr>
                <w:rFonts w:eastAsiaTheme="minorEastAsia" w:cs="Calibri"/>
                <w:iCs/>
                <w:color w:val="FFFFFF"/>
                <w:szCs w:val="20"/>
                <w:lang w:eastAsia="en-AU"/>
              </w:rPr>
              <w:t>2017-18</w:t>
            </w:r>
            <w:r>
              <w:rPr>
                <w:rFonts w:eastAsiaTheme="minorEastAsia" w:cs="Calibri"/>
                <w:iCs/>
                <w:color w:val="FFFFFF"/>
                <w:szCs w:val="20"/>
                <w:lang w:eastAsia="en-AU"/>
              </w:rPr>
              <w:br/>
            </w:r>
            <w:r w:rsidRPr="00BA09DC">
              <w:rPr>
                <w:rFonts w:eastAsiaTheme="minorEastAsia" w:cs="Calibri"/>
                <w:iCs/>
                <w:color w:val="FFFFFF"/>
                <w:szCs w:val="20"/>
                <w:lang w:eastAsia="en-AU"/>
              </w:rPr>
              <w:t>budget</w:t>
            </w:r>
          </w:p>
        </w:tc>
        <w:tc>
          <w:tcPr>
            <w:tcW w:w="850" w:type="dxa"/>
            <w:tcBorders>
              <w:top w:val="single" w:sz="6" w:space="0" w:color="auto"/>
              <w:left w:val="nil"/>
              <w:right w:val="nil"/>
            </w:tcBorders>
            <w:shd w:val="solid" w:color="000000" w:fill="auto"/>
          </w:tcPr>
          <w:p w:rsidR="00A26D04" w:rsidRPr="00BA09DC" w:rsidRDefault="00A26D04" w:rsidP="00A26D0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20"/>
                <w:lang w:eastAsia="en-AU"/>
              </w:rPr>
            </w:pPr>
            <w:r w:rsidRPr="00BA09DC">
              <w:rPr>
                <w:rFonts w:eastAsiaTheme="minorEastAsia" w:cs="Calibri"/>
                <w:iCs/>
                <w:color w:val="FFFFFF"/>
                <w:szCs w:val="20"/>
                <w:lang w:eastAsia="en-AU"/>
              </w:rPr>
              <w:t>2017-18</w:t>
            </w:r>
            <w:r>
              <w:rPr>
                <w:rFonts w:eastAsiaTheme="minorEastAsia" w:cs="Calibri"/>
                <w:iCs/>
                <w:color w:val="FFFFFF"/>
                <w:szCs w:val="20"/>
                <w:lang w:eastAsia="en-AU"/>
              </w:rPr>
              <w:br/>
            </w:r>
            <w:r w:rsidRPr="00BA09DC">
              <w:rPr>
                <w:rFonts w:eastAsiaTheme="minorEastAsia" w:cs="Calibri"/>
                <w:iCs/>
                <w:color w:val="FFFFFF"/>
                <w:szCs w:val="20"/>
                <w:lang w:eastAsia="en-AU"/>
              </w:rPr>
              <w:t>revised</w:t>
            </w:r>
          </w:p>
        </w:tc>
        <w:tc>
          <w:tcPr>
            <w:tcW w:w="850" w:type="dxa"/>
            <w:tcBorders>
              <w:top w:val="single" w:sz="6" w:space="0" w:color="auto"/>
              <w:left w:val="nil"/>
              <w:right w:val="nil"/>
            </w:tcBorders>
            <w:shd w:val="solid" w:color="000000" w:fill="auto"/>
          </w:tcPr>
          <w:p w:rsidR="00A26D04" w:rsidRPr="00BA09DC" w:rsidRDefault="00A26D04" w:rsidP="00A26D0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20"/>
                <w:lang w:eastAsia="en-AU"/>
              </w:rPr>
            </w:pPr>
            <w:r w:rsidRPr="00BA09DC">
              <w:rPr>
                <w:rFonts w:eastAsiaTheme="minorEastAsia" w:cs="Calibri"/>
                <w:iCs/>
                <w:color w:val="FFFFFF"/>
                <w:szCs w:val="20"/>
                <w:lang w:eastAsia="en-AU"/>
              </w:rPr>
              <w:t>2018-19</w:t>
            </w:r>
            <w:r>
              <w:rPr>
                <w:rFonts w:eastAsiaTheme="minorEastAsia" w:cs="Calibri"/>
                <w:iCs/>
                <w:color w:val="FFFFFF"/>
                <w:szCs w:val="20"/>
                <w:lang w:eastAsia="en-AU"/>
              </w:rPr>
              <w:br/>
            </w:r>
            <w:r w:rsidRPr="00BA09DC">
              <w:rPr>
                <w:rFonts w:eastAsiaTheme="minorEastAsia" w:cs="Calibri"/>
                <w:iCs/>
                <w:color w:val="FFFFFF"/>
                <w:szCs w:val="20"/>
                <w:lang w:eastAsia="en-AU"/>
              </w:rPr>
              <w:t>estimate</w:t>
            </w:r>
          </w:p>
        </w:tc>
        <w:tc>
          <w:tcPr>
            <w:tcW w:w="850" w:type="dxa"/>
            <w:tcBorders>
              <w:top w:val="single" w:sz="6" w:space="0" w:color="auto"/>
              <w:left w:val="nil"/>
              <w:right w:val="nil"/>
            </w:tcBorders>
            <w:shd w:val="solid" w:color="000000" w:fill="auto"/>
          </w:tcPr>
          <w:p w:rsidR="00A26D04" w:rsidRPr="00BA09DC" w:rsidRDefault="00A26D04" w:rsidP="00A26D0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20"/>
                <w:lang w:eastAsia="en-AU"/>
              </w:rPr>
            </w:pPr>
            <w:r w:rsidRPr="00BA09DC">
              <w:rPr>
                <w:rFonts w:eastAsiaTheme="minorEastAsia" w:cs="Calibri"/>
                <w:iCs/>
                <w:color w:val="FFFFFF"/>
                <w:szCs w:val="20"/>
                <w:lang w:eastAsia="en-AU"/>
              </w:rPr>
              <w:t>2019-20</w:t>
            </w:r>
            <w:r>
              <w:rPr>
                <w:rFonts w:eastAsiaTheme="minorEastAsia" w:cs="Calibri"/>
                <w:iCs/>
                <w:color w:val="FFFFFF"/>
                <w:szCs w:val="20"/>
                <w:lang w:eastAsia="en-AU"/>
              </w:rPr>
              <w:br/>
            </w:r>
            <w:r w:rsidRPr="00BA09DC">
              <w:rPr>
                <w:rFonts w:eastAsiaTheme="minorEastAsia" w:cs="Calibri"/>
                <w:iCs/>
                <w:color w:val="FFFFFF"/>
                <w:szCs w:val="20"/>
                <w:lang w:eastAsia="en-AU"/>
              </w:rPr>
              <w:t>estimate</w:t>
            </w:r>
          </w:p>
        </w:tc>
        <w:tc>
          <w:tcPr>
            <w:tcW w:w="850" w:type="dxa"/>
            <w:tcBorders>
              <w:top w:val="single" w:sz="6" w:space="0" w:color="auto"/>
              <w:left w:val="nil"/>
              <w:right w:val="nil"/>
            </w:tcBorders>
            <w:shd w:val="solid" w:color="000000" w:fill="auto"/>
          </w:tcPr>
          <w:p w:rsidR="00A26D04" w:rsidRPr="00BA09DC" w:rsidRDefault="00A26D04" w:rsidP="00A26D0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20"/>
                <w:lang w:eastAsia="en-AU"/>
              </w:rPr>
            </w:pPr>
            <w:r w:rsidRPr="00BA09DC">
              <w:rPr>
                <w:rFonts w:eastAsiaTheme="minorEastAsia" w:cs="Calibri"/>
                <w:iCs/>
                <w:color w:val="FFFFFF"/>
                <w:szCs w:val="20"/>
                <w:lang w:eastAsia="en-AU"/>
              </w:rPr>
              <w:t>2020-21</w:t>
            </w:r>
            <w:r>
              <w:rPr>
                <w:rFonts w:eastAsiaTheme="minorEastAsia" w:cs="Calibri"/>
                <w:iCs/>
                <w:color w:val="FFFFFF"/>
                <w:szCs w:val="20"/>
                <w:lang w:eastAsia="en-AU"/>
              </w:rPr>
              <w:br/>
            </w:r>
            <w:r w:rsidRPr="00BA09DC">
              <w:rPr>
                <w:rFonts w:eastAsiaTheme="minorEastAsia" w:cs="Calibri"/>
                <w:iCs/>
                <w:color w:val="FFFFFF"/>
                <w:szCs w:val="20"/>
                <w:lang w:eastAsia="en-AU"/>
              </w:rPr>
              <w:t>estimate</w:t>
            </w:r>
          </w:p>
        </w:tc>
      </w:tr>
      <w:tr w:rsidR="00A46DCA" w:rsidRPr="00BA09DC" w:rsidTr="00A26D04">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A46DCA" w:rsidRPr="00BA09DC" w:rsidRDefault="00A46DCA" w:rsidP="00A26D04">
            <w:pPr>
              <w:keepLines w:val="0"/>
              <w:autoSpaceDE w:val="0"/>
              <w:autoSpaceDN w:val="0"/>
              <w:adjustRightInd w:val="0"/>
              <w:rPr>
                <w:rFonts w:eastAsiaTheme="minorEastAsia" w:cs="Calibri"/>
                <w:b/>
                <w:bCs/>
                <w:color w:val="000000"/>
                <w:szCs w:val="20"/>
                <w:lang w:eastAsia="en-AU"/>
              </w:rPr>
            </w:pPr>
            <w:r w:rsidRPr="00BA09DC">
              <w:rPr>
                <w:rFonts w:eastAsiaTheme="minorEastAsia" w:cs="Calibri"/>
                <w:b/>
                <w:bCs/>
                <w:color w:val="000000"/>
                <w:szCs w:val="20"/>
                <w:lang w:eastAsia="en-AU"/>
              </w:rPr>
              <w:t>Expenses</w:t>
            </w:r>
          </w:p>
        </w:tc>
        <w:tc>
          <w:tcPr>
            <w:tcW w:w="850" w:type="dxa"/>
            <w:tcBorders>
              <w:top w:val="nil"/>
              <w:left w:val="nil"/>
              <w:bottom w:val="nil"/>
              <w:right w:val="nil"/>
            </w:tcBorders>
          </w:tcPr>
          <w:p w:rsidR="00A46DCA" w:rsidRPr="00BA09DC"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i/>
                <w:iCs/>
                <w:color w:val="000000"/>
                <w:szCs w:val="20"/>
                <w:lang w:eastAsia="en-AU"/>
              </w:rPr>
            </w:pPr>
            <w:r w:rsidRPr="00BA09DC">
              <w:rPr>
                <w:rFonts w:eastAsiaTheme="minorEastAsia" w:cs="Calibri"/>
                <w:i/>
                <w:iCs/>
                <w:color w:val="000000"/>
                <w:szCs w:val="20"/>
                <w:lang w:eastAsia="en-AU"/>
              </w:rPr>
              <w:t xml:space="preserve"> </w:t>
            </w:r>
          </w:p>
        </w:tc>
        <w:tc>
          <w:tcPr>
            <w:tcW w:w="850" w:type="dxa"/>
            <w:tcBorders>
              <w:top w:val="nil"/>
              <w:left w:val="nil"/>
              <w:bottom w:val="nil"/>
              <w:right w:val="nil"/>
            </w:tcBorders>
          </w:tcPr>
          <w:p w:rsidR="00A46DCA" w:rsidRPr="00BA09DC"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i/>
                <w:iCs/>
                <w:color w:val="000000"/>
                <w:szCs w:val="20"/>
                <w:lang w:eastAsia="en-AU"/>
              </w:rPr>
            </w:pPr>
            <w:r w:rsidRPr="00BA09DC">
              <w:rPr>
                <w:rFonts w:eastAsiaTheme="minorEastAsia" w:cs="Calibri"/>
                <w:i/>
                <w:iCs/>
                <w:color w:val="000000"/>
                <w:szCs w:val="20"/>
                <w:lang w:eastAsia="en-AU"/>
              </w:rPr>
              <w:t xml:space="preserve"> </w:t>
            </w:r>
          </w:p>
        </w:tc>
        <w:tc>
          <w:tcPr>
            <w:tcW w:w="850" w:type="dxa"/>
            <w:tcBorders>
              <w:top w:val="nil"/>
              <w:left w:val="nil"/>
              <w:bottom w:val="nil"/>
              <w:right w:val="nil"/>
            </w:tcBorders>
          </w:tcPr>
          <w:p w:rsidR="00A46DCA" w:rsidRPr="00BA09DC"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i/>
                <w:iCs/>
                <w:color w:val="000000"/>
                <w:szCs w:val="20"/>
                <w:lang w:eastAsia="en-AU"/>
              </w:rPr>
            </w:pPr>
            <w:r w:rsidRPr="00BA09DC">
              <w:rPr>
                <w:rFonts w:eastAsiaTheme="minorEastAsia" w:cs="Calibri"/>
                <w:i/>
                <w:iCs/>
                <w:color w:val="000000"/>
                <w:szCs w:val="20"/>
                <w:lang w:eastAsia="en-AU"/>
              </w:rPr>
              <w:t xml:space="preserve"> </w:t>
            </w:r>
          </w:p>
        </w:tc>
        <w:tc>
          <w:tcPr>
            <w:tcW w:w="850" w:type="dxa"/>
            <w:tcBorders>
              <w:top w:val="nil"/>
              <w:left w:val="nil"/>
              <w:bottom w:val="nil"/>
              <w:right w:val="nil"/>
            </w:tcBorders>
          </w:tcPr>
          <w:p w:rsidR="00A46DCA" w:rsidRPr="00BA09DC" w:rsidRDefault="00A46DCA" w:rsidP="00A26D04">
            <w:pPr>
              <w:keepLines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i/>
                <w:iCs/>
                <w:color w:val="000000"/>
                <w:szCs w:val="20"/>
                <w:lang w:eastAsia="en-AU"/>
              </w:rPr>
            </w:pPr>
            <w:r w:rsidRPr="00BA09DC">
              <w:rPr>
                <w:rFonts w:eastAsiaTheme="minorEastAsia" w:cs="Calibri"/>
                <w:i/>
                <w:iCs/>
                <w:color w:val="000000"/>
                <w:szCs w:val="20"/>
                <w:lang w:eastAsia="en-AU"/>
              </w:rPr>
              <w:t xml:space="preserve">   </w:t>
            </w:r>
          </w:p>
        </w:tc>
        <w:tc>
          <w:tcPr>
            <w:tcW w:w="850" w:type="dxa"/>
            <w:tcBorders>
              <w:top w:val="nil"/>
              <w:left w:val="nil"/>
              <w:bottom w:val="nil"/>
              <w:right w:val="nil"/>
            </w:tcBorders>
          </w:tcPr>
          <w:p w:rsidR="00A46DCA" w:rsidRPr="00BA09DC" w:rsidRDefault="00A46DCA" w:rsidP="00A26D04">
            <w:pPr>
              <w:keepLines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i/>
                <w:iCs/>
                <w:color w:val="000000"/>
                <w:szCs w:val="20"/>
                <w:lang w:eastAsia="en-AU"/>
              </w:rPr>
            </w:pPr>
            <w:r w:rsidRPr="00BA09DC">
              <w:rPr>
                <w:rFonts w:eastAsiaTheme="minorEastAsia" w:cs="Calibri"/>
                <w:i/>
                <w:iCs/>
                <w:color w:val="000000"/>
                <w:szCs w:val="20"/>
                <w:lang w:eastAsia="en-AU"/>
              </w:rPr>
              <w:t xml:space="preserve">   </w:t>
            </w:r>
          </w:p>
        </w:tc>
      </w:tr>
      <w:tr w:rsidR="00A46DCA" w:rsidRPr="00BA09DC" w:rsidTr="00A26D04">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A46DCA" w:rsidRPr="00BA09DC" w:rsidRDefault="00A46DCA" w:rsidP="00A26D04">
            <w:pPr>
              <w:keepLines w:val="0"/>
              <w:autoSpaceDE w:val="0"/>
              <w:autoSpaceDN w:val="0"/>
              <w:adjustRightInd w:val="0"/>
              <w:rPr>
                <w:rFonts w:eastAsiaTheme="minorEastAsia" w:cs="Calibri"/>
                <w:color w:val="000000"/>
                <w:szCs w:val="20"/>
                <w:vertAlign w:val="superscript"/>
                <w:lang w:eastAsia="en-AU"/>
              </w:rPr>
            </w:pPr>
            <w:r w:rsidRPr="00BA09DC">
              <w:rPr>
                <w:rFonts w:eastAsiaTheme="minorEastAsia" w:cs="Calibri"/>
                <w:color w:val="000000"/>
                <w:szCs w:val="20"/>
                <w:lang w:eastAsia="en-AU"/>
              </w:rPr>
              <w:t xml:space="preserve">General public services </w:t>
            </w:r>
            <w:r w:rsidRPr="00BA09DC">
              <w:rPr>
                <w:rFonts w:eastAsiaTheme="minorEastAsia" w:cs="Calibri"/>
                <w:color w:val="000000"/>
                <w:szCs w:val="20"/>
                <w:vertAlign w:val="superscript"/>
                <w:lang w:eastAsia="en-AU"/>
              </w:rPr>
              <w:t>(b)</w:t>
            </w:r>
          </w:p>
        </w:tc>
        <w:tc>
          <w:tcPr>
            <w:tcW w:w="850" w:type="dxa"/>
            <w:tcBorders>
              <w:top w:val="nil"/>
              <w:left w:val="nil"/>
              <w:bottom w:val="nil"/>
              <w:right w:val="nil"/>
            </w:tcBorders>
          </w:tcPr>
          <w:p w:rsidR="00A46DCA" w:rsidRPr="00BA09DC"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BA09DC">
              <w:rPr>
                <w:rFonts w:eastAsiaTheme="minorEastAsia" w:cs="Calibri"/>
                <w:color w:val="000000"/>
                <w:szCs w:val="20"/>
                <w:lang w:eastAsia="en-AU"/>
              </w:rPr>
              <w:t>2 686</w:t>
            </w:r>
          </w:p>
        </w:tc>
        <w:tc>
          <w:tcPr>
            <w:tcW w:w="850" w:type="dxa"/>
            <w:tcBorders>
              <w:top w:val="nil"/>
              <w:left w:val="nil"/>
              <w:bottom w:val="nil"/>
              <w:right w:val="nil"/>
            </w:tcBorders>
          </w:tcPr>
          <w:p w:rsidR="00A46DCA" w:rsidRPr="00BA09DC"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BA09DC">
              <w:rPr>
                <w:rFonts w:eastAsiaTheme="minorEastAsia" w:cs="Calibri"/>
                <w:color w:val="000000"/>
                <w:szCs w:val="20"/>
                <w:lang w:eastAsia="en-AU"/>
              </w:rPr>
              <w:t>2 806</w:t>
            </w:r>
          </w:p>
        </w:tc>
        <w:tc>
          <w:tcPr>
            <w:tcW w:w="850" w:type="dxa"/>
            <w:tcBorders>
              <w:top w:val="nil"/>
              <w:left w:val="nil"/>
              <w:bottom w:val="nil"/>
              <w:right w:val="nil"/>
            </w:tcBorders>
          </w:tcPr>
          <w:p w:rsidR="00A46DCA" w:rsidRPr="00BA09DC"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BA09DC">
              <w:rPr>
                <w:rFonts w:eastAsiaTheme="minorEastAsia" w:cs="Calibri"/>
                <w:color w:val="000000"/>
                <w:szCs w:val="20"/>
                <w:lang w:eastAsia="en-AU"/>
              </w:rPr>
              <w:t>2 541</w:t>
            </w:r>
          </w:p>
        </w:tc>
        <w:tc>
          <w:tcPr>
            <w:tcW w:w="850" w:type="dxa"/>
            <w:tcBorders>
              <w:top w:val="nil"/>
              <w:left w:val="nil"/>
              <w:bottom w:val="nil"/>
              <w:right w:val="nil"/>
            </w:tcBorders>
          </w:tcPr>
          <w:p w:rsidR="00A46DCA" w:rsidRPr="00BA09DC"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BA09DC">
              <w:rPr>
                <w:rFonts w:eastAsiaTheme="minorEastAsia" w:cs="Calibri"/>
                <w:color w:val="000000"/>
                <w:szCs w:val="20"/>
                <w:lang w:eastAsia="en-AU"/>
              </w:rPr>
              <w:t>2 428</w:t>
            </w:r>
          </w:p>
        </w:tc>
        <w:tc>
          <w:tcPr>
            <w:tcW w:w="850" w:type="dxa"/>
            <w:tcBorders>
              <w:top w:val="nil"/>
              <w:left w:val="nil"/>
              <w:bottom w:val="nil"/>
              <w:right w:val="nil"/>
            </w:tcBorders>
          </w:tcPr>
          <w:p w:rsidR="00A46DCA" w:rsidRPr="00BA09DC"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BA09DC">
              <w:rPr>
                <w:rFonts w:eastAsiaTheme="minorEastAsia" w:cs="Calibri"/>
                <w:color w:val="000000"/>
                <w:szCs w:val="20"/>
                <w:lang w:eastAsia="en-AU"/>
              </w:rPr>
              <w:t>2 343</w:t>
            </w:r>
          </w:p>
        </w:tc>
      </w:tr>
      <w:tr w:rsidR="00A46DCA" w:rsidRPr="00BA09DC" w:rsidTr="00A26D04">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A46DCA" w:rsidRPr="00BA09DC" w:rsidRDefault="00A46DCA" w:rsidP="00A26D04">
            <w:pPr>
              <w:keepLines w:val="0"/>
              <w:autoSpaceDE w:val="0"/>
              <w:autoSpaceDN w:val="0"/>
              <w:adjustRightInd w:val="0"/>
              <w:rPr>
                <w:rFonts w:eastAsiaTheme="minorEastAsia" w:cs="Calibri"/>
                <w:color w:val="000000"/>
                <w:szCs w:val="20"/>
                <w:lang w:eastAsia="en-AU"/>
              </w:rPr>
            </w:pPr>
            <w:r w:rsidRPr="00BA09DC">
              <w:rPr>
                <w:rFonts w:eastAsiaTheme="minorEastAsia" w:cs="Calibri"/>
                <w:color w:val="000000"/>
                <w:szCs w:val="20"/>
                <w:lang w:eastAsia="en-AU"/>
              </w:rPr>
              <w:t>Public order and safety</w:t>
            </w:r>
          </w:p>
        </w:tc>
        <w:tc>
          <w:tcPr>
            <w:tcW w:w="850" w:type="dxa"/>
            <w:tcBorders>
              <w:top w:val="nil"/>
              <w:left w:val="nil"/>
              <w:bottom w:val="nil"/>
              <w:right w:val="nil"/>
            </w:tcBorders>
          </w:tcPr>
          <w:p w:rsidR="00A46DCA" w:rsidRPr="00BA09DC"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BA09DC">
              <w:rPr>
                <w:rFonts w:eastAsiaTheme="minorEastAsia" w:cs="Calibri"/>
                <w:color w:val="000000"/>
                <w:szCs w:val="20"/>
                <w:lang w:eastAsia="en-AU"/>
              </w:rPr>
              <w:t>7 403</w:t>
            </w:r>
          </w:p>
        </w:tc>
        <w:tc>
          <w:tcPr>
            <w:tcW w:w="850" w:type="dxa"/>
            <w:tcBorders>
              <w:top w:val="nil"/>
              <w:left w:val="nil"/>
              <w:bottom w:val="nil"/>
              <w:right w:val="nil"/>
            </w:tcBorders>
          </w:tcPr>
          <w:p w:rsidR="00A46DCA" w:rsidRPr="00BA09DC"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BA09DC">
              <w:rPr>
                <w:rFonts w:eastAsiaTheme="minorEastAsia" w:cs="Calibri"/>
                <w:color w:val="000000"/>
                <w:szCs w:val="20"/>
                <w:lang w:eastAsia="en-AU"/>
              </w:rPr>
              <w:t>7 472</w:t>
            </w:r>
          </w:p>
        </w:tc>
        <w:tc>
          <w:tcPr>
            <w:tcW w:w="850" w:type="dxa"/>
            <w:tcBorders>
              <w:top w:val="nil"/>
              <w:left w:val="nil"/>
              <w:bottom w:val="nil"/>
              <w:right w:val="nil"/>
            </w:tcBorders>
          </w:tcPr>
          <w:p w:rsidR="00A46DCA" w:rsidRPr="00BA09DC"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BA09DC">
              <w:rPr>
                <w:rFonts w:eastAsiaTheme="minorEastAsia" w:cs="Calibri"/>
                <w:color w:val="000000"/>
                <w:szCs w:val="20"/>
                <w:lang w:eastAsia="en-AU"/>
              </w:rPr>
              <w:t>7 714</w:t>
            </w:r>
          </w:p>
        </w:tc>
        <w:tc>
          <w:tcPr>
            <w:tcW w:w="850" w:type="dxa"/>
            <w:tcBorders>
              <w:top w:val="nil"/>
              <w:left w:val="nil"/>
              <w:bottom w:val="nil"/>
              <w:right w:val="nil"/>
            </w:tcBorders>
          </w:tcPr>
          <w:p w:rsidR="00A46DCA" w:rsidRPr="00BA09DC"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BA09DC">
              <w:rPr>
                <w:rFonts w:eastAsiaTheme="minorEastAsia" w:cs="Calibri"/>
                <w:color w:val="000000"/>
                <w:szCs w:val="20"/>
                <w:lang w:eastAsia="en-AU"/>
              </w:rPr>
              <w:t>8 011</w:t>
            </w:r>
          </w:p>
        </w:tc>
        <w:tc>
          <w:tcPr>
            <w:tcW w:w="850" w:type="dxa"/>
            <w:tcBorders>
              <w:top w:val="nil"/>
              <w:left w:val="nil"/>
              <w:bottom w:val="nil"/>
              <w:right w:val="nil"/>
            </w:tcBorders>
          </w:tcPr>
          <w:p w:rsidR="00A46DCA" w:rsidRPr="00BA09DC"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BA09DC">
              <w:rPr>
                <w:rFonts w:eastAsiaTheme="minorEastAsia" w:cs="Calibri"/>
                <w:color w:val="000000"/>
                <w:szCs w:val="20"/>
                <w:lang w:eastAsia="en-AU"/>
              </w:rPr>
              <w:t>8 262</w:t>
            </w:r>
          </w:p>
        </w:tc>
      </w:tr>
      <w:tr w:rsidR="00A46DCA" w:rsidRPr="00BA09DC" w:rsidTr="00A26D04">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A46DCA" w:rsidRPr="00BA09DC" w:rsidRDefault="00A46DCA" w:rsidP="00A26D04">
            <w:pPr>
              <w:keepLines w:val="0"/>
              <w:autoSpaceDE w:val="0"/>
              <w:autoSpaceDN w:val="0"/>
              <w:adjustRightInd w:val="0"/>
              <w:rPr>
                <w:rFonts w:eastAsiaTheme="minorEastAsia" w:cs="Calibri"/>
                <w:color w:val="000000"/>
                <w:szCs w:val="20"/>
                <w:lang w:eastAsia="en-AU"/>
              </w:rPr>
            </w:pPr>
            <w:r w:rsidRPr="00BA09DC">
              <w:rPr>
                <w:rFonts w:eastAsiaTheme="minorEastAsia" w:cs="Calibri"/>
                <w:color w:val="000000"/>
                <w:szCs w:val="20"/>
                <w:lang w:eastAsia="en-AU"/>
              </w:rPr>
              <w:t>Education</w:t>
            </w:r>
          </w:p>
        </w:tc>
        <w:tc>
          <w:tcPr>
            <w:tcW w:w="850" w:type="dxa"/>
            <w:tcBorders>
              <w:top w:val="nil"/>
              <w:left w:val="nil"/>
              <w:bottom w:val="nil"/>
              <w:right w:val="nil"/>
            </w:tcBorders>
          </w:tcPr>
          <w:p w:rsidR="00A46DCA" w:rsidRPr="00BA09DC"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BA09DC">
              <w:rPr>
                <w:rFonts w:eastAsiaTheme="minorEastAsia" w:cs="Calibri"/>
                <w:color w:val="000000"/>
                <w:szCs w:val="20"/>
                <w:lang w:eastAsia="en-AU"/>
              </w:rPr>
              <w:t>15 392</w:t>
            </w:r>
          </w:p>
        </w:tc>
        <w:tc>
          <w:tcPr>
            <w:tcW w:w="850" w:type="dxa"/>
            <w:tcBorders>
              <w:top w:val="nil"/>
              <w:left w:val="nil"/>
              <w:bottom w:val="nil"/>
              <w:right w:val="nil"/>
            </w:tcBorders>
          </w:tcPr>
          <w:p w:rsidR="00A46DCA" w:rsidRPr="00BA09DC"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BA09DC">
              <w:rPr>
                <w:rFonts w:eastAsiaTheme="minorEastAsia" w:cs="Calibri"/>
                <w:color w:val="000000"/>
                <w:szCs w:val="20"/>
                <w:lang w:eastAsia="en-AU"/>
              </w:rPr>
              <w:t>15 506</w:t>
            </w:r>
          </w:p>
        </w:tc>
        <w:tc>
          <w:tcPr>
            <w:tcW w:w="850" w:type="dxa"/>
            <w:tcBorders>
              <w:top w:val="nil"/>
              <w:left w:val="nil"/>
              <w:bottom w:val="nil"/>
              <w:right w:val="nil"/>
            </w:tcBorders>
          </w:tcPr>
          <w:p w:rsidR="00A46DCA" w:rsidRPr="00BA09DC"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BA09DC">
              <w:rPr>
                <w:rFonts w:eastAsiaTheme="minorEastAsia" w:cs="Calibri"/>
                <w:color w:val="000000"/>
                <w:szCs w:val="20"/>
                <w:lang w:eastAsia="en-AU"/>
              </w:rPr>
              <w:t>15 863</w:t>
            </w:r>
          </w:p>
        </w:tc>
        <w:tc>
          <w:tcPr>
            <w:tcW w:w="850" w:type="dxa"/>
            <w:tcBorders>
              <w:top w:val="nil"/>
              <w:left w:val="nil"/>
              <w:bottom w:val="nil"/>
              <w:right w:val="nil"/>
            </w:tcBorders>
          </w:tcPr>
          <w:p w:rsidR="00A46DCA" w:rsidRPr="00BA09DC"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BA09DC">
              <w:rPr>
                <w:rFonts w:eastAsiaTheme="minorEastAsia" w:cs="Calibri"/>
                <w:color w:val="000000"/>
                <w:szCs w:val="20"/>
                <w:lang w:eastAsia="en-AU"/>
              </w:rPr>
              <w:t>15 964</w:t>
            </w:r>
          </w:p>
        </w:tc>
        <w:tc>
          <w:tcPr>
            <w:tcW w:w="850" w:type="dxa"/>
            <w:tcBorders>
              <w:top w:val="nil"/>
              <w:left w:val="nil"/>
              <w:bottom w:val="nil"/>
              <w:right w:val="nil"/>
            </w:tcBorders>
          </w:tcPr>
          <w:p w:rsidR="00A46DCA" w:rsidRPr="00BA09DC"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BA09DC">
              <w:rPr>
                <w:rFonts w:eastAsiaTheme="minorEastAsia" w:cs="Calibri"/>
                <w:color w:val="000000"/>
                <w:szCs w:val="20"/>
                <w:lang w:eastAsia="en-AU"/>
              </w:rPr>
              <w:t>16 511</w:t>
            </w:r>
          </w:p>
        </w:tc>
      </w:tr>
      <w:tr w:rsidR="00A46DCA" w:rsidRPr="00BA09DC" w:rsidTr="00A26D04">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A46DCA" w:rsidRPr="00BA09DC" w:rsidRDefault="00A46DCA" w:rsidP="00A26D04">
            <w:pPr>
              <w:keepLines w:val="0"/>
              <w:autoSpaceDE w:val="0"/>
              <w:autoSpaceDN w:val="0"/>
              <w:adjustRightInd w:val="0"/>
              <w:rPr>
                <w:rFonts w:eastAsiaTheme="minorEastAsia" w:cs="Calibri"/>
                <w:color w:val="000000"/>
                <w:szCs w:val="20"/>
                <w:lang w:eastAsia="en-AU"/>
              </w:rPr>
            </w:pPr>
            <w:r w:rsidRPr="00BA09DC">
              <w:rPr>
                <w:rFonts w:eastAsiaTheme="minorEastAsia" w:cs="Calibri"/>
                <w:color w:val="000000"/>
                <w:szCs w:val="20"/>
                <w:lang w:eastAsia="en-AU"/>
              </w:rPr>
              <w:t>Health</w:t>
            </w:r>
          </w:p>
        </w:tc>
        <w:tc>
          <w:tcPr>
            <w:tcW w:w="850" w:type="dxa"/>
            <w:tcBorders>
              <w:top w:val="nil"/>
              <w:left w:val="nil"/>
              <w:bottom w:val="nil"/>
              <w:right w:val="nil"/>
            </w:tcBorders>
          </w:tcPr>
          <w:p w:rsidR="00A46DCA" w:rsidRPr="00BA09DC"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BA09DC">
              <w:rPr>
                <w:rFonts w:eastAsiaTheme="minorEastAsia" w:cs="Calibri"/>
                <w:color w:val="000000"/>
                <w:szCs w:val="20"/>
                <w:lang w:eastAsia="en-AU"/>
              </w:rPr>
              <w:t>18 153</w:t>
            </w:r>
          </w:p>
        </w:tc>
        <w:tc>
          <w:tcPr>
            <w:tcW w:w="850" w:type="dxa"/>
            <w:tcBorders>
              <w:top w:val="nil"/>
              <w:left w:val="nil"/>
              <w:bottom w:val="nil"/>
              <w:right w:val="nil"/>
            </w:tcBorders>
          </w:tcPr>
          <w:p w:rsidR="00A46DCA" w:rsidRPr="00BA09DC"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BA09DC">
              <w:rPr>
                <w:rFonts w:eastAsiaTheme="minorEastAsia" w:cs="Calibri"/>
                <w:color w:val="000000"/>
                <w:szCs w:val="20"/>
                <w:lang w:eastAsia="en-AU"/>
              </w:rPr>
              <w:t>18 278</w:t>
            </w:r>
          </w:p>
        </w:tc>
        <w:tc>
          <w:tcPr>
            <w:tcW w:w="850" w:type="dxa"/>
            <w:tcBorders>
              <w:top w:val="nil"/>
              <w:left w:val="nil"/>
              <w:bottom w:val="nil"/>
              <w:right w:val="nil"/>
            </w:tcBorders>
          </w:tcPr>
          <w:p w:rsidR="00A46DCA" w:rsidRPr="00BA09DC"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BA09DC">
              <w:rPr>
                <w:rFonts w:eastAsiaTheme="minorEastAsia" w:cs="Calibri"/>
                <w:color w:val="000000"/>
                <w:szCs w:val="20"/>
                <w:lang w:eastAsia="en-AU"/>
              </w:rPr>
              <w:t>19 119</w:t>
            </w:r>
          </w:p>
        </w:tc>
        <w:tc>
          <w:tcPr>
            <w:tcW w:w="850" w:type="dxa"/>
            <w:tcBorders>
              <w:top w:val="nil"/>
              <w:left w:val="nil"/>
              <w:bottom w:val="nil"/>
              <w:right w:val="nil"/>
            </w:tcBorders>
          </w:tcPr>
          <w:p w:rsidR="00A46DCA" w:rsidRPr="00BA09DC"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BA09DC">
              <w:rPr>
                <w:rFonts w:eastAsiaTheme="minorEastAsia" w:cs="Calibri"/>
                <w:color w:val="000000"/>
                <w:szCs w:val="20"/>
                <w:lang w:eastAsia="en-AU"/>
              </w:rPr>
              <w:t>19 714</w:t>
            </w:r>
          </w:p>
        </w:tc>
        <w:tc>
          <w:tcPr>
            <w:tcW w:w="850" w:type="dxa"/>
            <w:tcBorders>
              <w:top w:val="nil"/>
              <w:left w:val="nil"/>
              <w:bottom w:val="nil"/>
              <w:right w:val="nil"/>
            </w:tcBorders>
          </w:tcPr>
          <w:p w:rsidR="00A46DCA" w:rsidRPr="00BA09DC"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BA09DC">
              <w:rPr>
                <w:rFonts w:eastAsiaTheme="minorEastAsia" w:cs="Calibri"/>
                <w:color w:val="000000"/>
                <w:szCs w:val="20"/>
                <w:lang w:eastAsia="en-AU"/>
              </w:rPr>
              <w:t>20 183</w:t>
            </w:r>
          </w:p>
        </w:tc>
      </w:tr>
      <w:tr w:rsidR="00A46DCA" w:rsidRPr="00BA09DC" w:rsidTr="00A26D04">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A46DCA" w:rsidRPr="00BA09DC" w:rsidRDefault="00A46DCA" w:rsidP="00A26D04">
            <w:pPr>
              <w:keepLines w:val="0"/>
              <w:autoSpaceDE w:val="0"/>
              <w:autoSpaceDN w:val="0"/>
              <w:adjustRightInd w:val="0"/>
              <w:rPr>
                <w:rFonts w:eastAsiaTheme="minorEastAsia" w:cs="Calibri"/>
                <w:color w:val="000000"/>
                <w:szCs w:val="20"/>
                <w:vertAlign w:val="superscript"/>
                <w:lang w:eastAsia="en-AU"/>
              </w:rPr>
            </w:pPr>
            <w:r w:rsidRPr="00BA09DC">
              <w:rPr>
                <w:rFonts w:eastAsiaTheme="minorEastAsia" w:cs="Calibri"/>
                <w:color w:val="000000"/>
                <w:szCs w:val="20"/>
                <w:lang w:eastAsia="en-AU"/>
              </w:rPr>
              <w:t xml:space="preserve">Social security and welfare </w:t>
            </w:r>
            <w:r w:rsidRPr="00BA09DC">
              <w:rPr>
                <w:rFonts w:eastAsiaTheme="minorEastAsia" w:cs="Calibri"/>
                <w:color w:val="000000"/>
                <w:szCs w:val="20"/>
                <w:vertAlign w:val="superscript"/>
                <w:lang w:eastAsia="en-AU"/>
              </w:rPr>
              <w:t>(c)</w:t>
            </w:r>
          </w:p>
        </w:tc>
        <w:tc>
          <w:tcPr>
            <w:tcW w:w="850" w:type="dxa"/>
            <w:tcBorders>
              <w:top w:val="nil"/>
              <w:left w:val="nil"/>
              <w:bottom w:val="nil"/>
              <w:right w:val="nil"/>
            </w:tcBorders>
          </w:tcPr>
          <w:p w:rsidR="00A46DCA" w:rsidRPr="00BA09DC"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BA09DC">
              <w:rPr>
                <w:rFonts w:eastAsiaTheme="minorEastAsia" w:cs="Calibri"/>
                <w:color w:val="000000"/>
                <w:szCs w:val="20"/>
                <w:lang w:eastAsia="en-AU"/>
              </w:rPr>
              <w:t>4 905</w:t>
            </w:r>
          </w:p>
        </w:tc>
        <w:tc>
          <w:tcPr>
            <w:tcW w:w="850" w:type="dxa"/>
            <w:tcBorders>
              <w:top w:val="nil"/>
              <w:left w:val="nil"/>
              <w:bottom w:val="nil"/>
              <w:right w:val="nil"/>
            </w:tcBorders>
          </w:tcPr>
          <w:p w:rsidR="00A46DCA" w:rsidRPr="00BA09DC"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BA09DC">
              <w:rPr>
                <w:rFonts w:eastAsiaTheme="minorEastAsia" w:cs="Calibri"/>
                <w:color w:val="000000"/>
                <w:szCs w:val="20"/>
                <w:lang w:eastAsia="en-AU"/>
              </w:rPr>
              <w:t>5 007</w:t>
            </w:r>
          </w:p>
        </w:tc>
        <w:tc>
          <w:tcPr>
            <w:tcW w:w="850" w:type="dxa"/>
            <w:tcBorders>
              <w:top w:val="nil"/>
              <w:left w:val="nil"/>
              <w:bottom w:val="nil"/>
              <w:right w:val="nil"/>
            </w:tcBorders>
          </w:tcPr>
          <w:p w:rsidR="00A46DCA" w:rsidRPr="00BA09DC"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BA09DC">
              <w:rPr>
                <w:rFonts w:eastAsiaTheme="minorEastAsia" w:cs="Calibri"/>
                <w:color w:val="000000"/>
                <w:szCs w:val="20"/>
                <w:lang w:eastAsia="en-AU"/>
              </w:rPr>
              <w:t>5 306</w:t>
            </w:r>
          </w:p>
        </w:tc>
        <w:tc>
          <w:tcPr>
            <w:tcW w:w="850" w:type="dxa"/>
            <w:tcBorders>
              <w:top w:val="nil"/>
              <w:left w:val="nil"/>
              <w:bottom w:val="nil"/>
              <w:right w:val="nil"/>
            </w:tcBorders>
          </w:tcPr>
          <w:p w:rsidR="00A46DCA" w:rsidRPr="00BA09DC"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BA09DC">
              <w:rPr>
                <w:rFonts w:eastAsiaTheme="minorEastAsia" w:cs="Calibri"/>
                <w:color w:val="000000"/>
                <w:szCs w:val="20"/>
                <w:lang w:eastAsia="en-AU"/>
              </w:rPr>
              <w:t>5 587</w:t>
            </w:r>
          </w:p>
        </w:tc>
        <w:tc>
          <w:tcPr>
            <w:tcW w:w="850" w:type="dxa"/>
            <w:tcBorders>
              <w:top w:val="nil"/>
              <w:left w:val="nil"/>
              <w:bottom w:val="nil"/>
              <w:right w:val="nil"/>
            </w:tcBorders>
          </w:tcPr>
          <w:p w:rsidR="00A46DCA" w:rsidRPr="00BA09DC"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BA09DC">
              <w:rPr>
                <w:rFonts w:eastAsiaTheme="minorEastAsia" w:cs="Calibri"/>
                <w:color w:val="000000"/>
                <w:szCs w:val="20"/>
                <w:lang w:eastAsia="en-AU"/>
              </w:rPr>
              <w:t>5 844</w:t>
            </w:r>
          </w:p>
        </w:tc>
      </w:tr>
      <w:tr w:rsidR="00A46DCA" w:rsidRPr="00BA09DC" w:rsidTr="00A26D04">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A46DCA" w:rsidRPr="00BA09DC" w:rsidRDefault="00A46DCA" w:rsidP="00A26D04">
            <w:pPr>
              <w:keepLines w:val="0"/>
              <w:autoSpaceDE w:val="0"/>
              <w:autoSpaceDN w:val="0"/>
              <w:adjustRightInd w:val="0"/>
              <w:rPr>
                <w:rFonts w:eastAsiaTheme="minorEastAsia" w:cs="Calibri"/>
                <w:color w:val="000000"/>
                <w:szCs w:val="20"/>
                <w:lang w:eastAsia="en-AU"/>
              </w:rPr>
            </w:pPr>
            <w:r w:rsidRPr="00BA09DC">
              <w:rPr>
                <w:rFonts w:eastAsiaTheme="minorEastAsia" w:cs="Calibri"/>
                <w:color w:val="000000"/>
                <w:szCs w:val="20"/>
                <w:lang w:eastAsia="en-AU"/>
              </w:rPr>
              <w:t>Housing and community amenities</w:t>
            </w:r>
          </w:p>
        </w:tc>
        <w:tc>
          <w:tcPr>
            <w:tcW w:w="850" w:type="dxa"/>
            <w:tcBorders>
              <w:top w:val="nil"/>
              <w:left w:val="nil"/>
              <w:bottom w:val="nil"/>
              <w:right w:val="nil"/>
            </w:tcBorders>
          </w:tcPr>
          <w:p w:rsidR="00A46DCA" w:rsidRPr="00BA09DC"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BA09DC">
              <w:rPr>
                <w:rFonts w:eastAsiaTheme="minorEastAsia" w:cs="Calibri"/>
                <w:color w:val="000000"/>
                <w:szCs w:val="20"/>
                <w:lang w:eastAsia="en-AU"/>
              </w:rPr>
              <w:t>3 440</w:t>
            </w:r>
          </w:p>
        </w:tc>
        <w:tc>
          <w:tcPr>
            <w:tcW w:w="850" w:type="dxa"/>
            <w:tcBorders>
              <w:top w:val="nil"/>
              <w:left w:val="nil"/>
              <w:bottom w:val="nil"/>
              <w:right w:val="nil"/>
            </w:tcBorders>
          </w:tcPr>
          <w:p w:rsidR="00A46DCA" w:rsidRPr="00BA09DC"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BA09DC">
              <w:rPr>
                <w:rFonts w:eastAsiaTheme="minorEastAsia" w:cs="Calibri"/>
                <w:color w:val="000000"/>
                <w:szCs w:val="20"/>
                <w:lang w:eastAsia="en-AU"/>
              </w:rPr>
              <w:t>3 234</w:t>
            </w:r>
          </w:p>
        </w:tc>
        <w:tc>
          <w:tcPr>
            <w:tcW w:w="850" w:type="dxa"/>
            <w:tcBorders>
              <w:top w:val="nil"/>
              <w:left w:val="nil"/>
              <w:bottom w:val="nil"/>
              <w:right w:val="nil"/>
            </w:tcBorders>
          </w:tcPr>
          <w:p w:rsidR="00A46DCA" w:rsidRPr="00BA09DC"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BA09DC">
              <w:rPr>
                <w:rFonts w:eastAsiaTheme="minorEastAsia" w:cs="Calibri"/>
                <w:color w:val="000000"/>
                <w:szCs w:val="20"/>
                <w:lang w:eastAsia="en-AU"/>
              </w:rPr>
              <w:t>3 292</w:t>
            </w:r>
          </w:p>
        </w:tc>
        <w:tc>
          <w:tcPr>
            <w:tcW w:w="850" w:type="dxa"/>
            <w:tcBorders>
              <w:top w:val="nil"/>
              <w:left w:val="nil"/>
              <w:bottom w:val="nil"/>
              <w:right w:val="nil"/>
            </w:tcBorders>
          </w:tcPr>
          <w:p w:rsidR="00A46DCA" w:rsidRPr="00BA09DC"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BA09DC">
              <w:rPr>
                <w:rFonts w:eastAsiaTheme="minorEastAsia" w:cs="Calibri"/>
                <w:color w:val="000000"/>
                <w:szCs w:val="20"/>
                <w:lang w:eastAsia="en-AU"/>
              </w:rPr>
              <w:t>3 205</w:t>
            </w:r>
          </w:p>
        </w:tc>
        <w:tc>
          <w:tcPr>
            <w:tcW w:w="850" w:type="dxa"/>
            <w:tcBorders>
              <w:top w:val="nil"/>
              <w:left w:val="nil"/>
              <w:bottom w:val="nil"/>
              <w:right w:val="nil"/>
            </w:tcBorders>
          </w:tcPr>
          <w:p w:rsidR="00A46DCA" w:rsidRPr="00BA09DC"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BA09DC">
              <w:rPr>
                <w:rFonts w:eastAsiaTheme="minorEastAsia" w:cs="Calibri"/>
                <w:color w:val="000000"/>
                <w:szCs w:val="20"/>
                <w:lang w:eastAsia="en-AU"/>
              </w:rPr>
              <w:t>2 983</w:t>
            </w:r>
          </w:p>
        </w:tc>
      </w:tr>
      <w:tr w:rsidR="00A46DCA" w:rsidRPr="00BA09DC" w:rsidTr="00A26D04">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A46DCA" w:rsidRPr="00BA09DC" w:rsidRDefault="00A46DCA" w:rsidP="00A26D04">
            <w:pPr>
              <w:keepLines w:val="0"/>
              <w:autoSpaceDE w:val="0"/>
              <w:autoSpaceDN w:val="0"/>
              <w:adjustRightInd w:val="0"/>
              <w:rPr>
                <w:rFonts w:eastAsiaTheme="minorEastAsia" w:cs="Calibri"/>
                <w:color w:val="000000"/>
                <w:szCs w:val="20"/>
                <w:lang w:eastAsia="en-AU"/>
              </w:rPr>
            </w:pPr>
            <w:r w:rsidRPr="00BA09DC">
              <w:rPr>
                <w:rFonts w:eastAsiaTheme="minorEastAsia" w:cs="Calibri"/>
                <w:color w:val="000000"/>
                <w:szCs w:val="20"/>
                <w:lang w:eastAsia="en-AU"/>
              </w:rPr>
              <w:t>Recreation and culture</w:t>
            </w:r>
          </w:p>
        </w:tc>
        <w:tc>
          <w:tcPr>
            <w:tcW w:w="850" w:type="dxa"/>
            <w:tcBorders>
              <w:top w:val="nil"/>
              <w:left w:val="nil"/>
              <w:bottom w:val="nil"/>
              <w:right w:val="nil"/>
            </w:tcBorders>
          </w:tcPr>
          <w:p w:rsidR="00A46DCA" w:rsidRPr="00BA09DC"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Pr>
                <w:rFonts w:eastAsiaTheme="minorEastAsia" w:cs="Calibri"/>
                <w:color w:val="000000"/>
                <w:szCs w:val="20"/>
                <w:lang w:eastAsia="en-AU"/>
              </w:rPr>
              <w:t>775</w:t>
            </w:r>
          </w:p>
        </w:tc>
        <w:tc>
          <w:tcPr>
            <w:tcW w:w="850" w:type="dxa"/>
            <w:tcBorders>
              <w:top w:val="nil"/>
              <w:left w:val="nil"/>
              <w:bottom w:val="nil"/>
              <w:right w:val="nil"/>
            </w:tcBorders>
          </w:tcPr>
          <w:p w:rsidR="00A46DCA" w:rsidRPr="00BA09DC"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Pr>
                <w:rFonts w:eastAsiaTheme="minorEastAsia" w:cs="Calibri"/>
                <w:color w:val="000000"/>
                <w:szCs w:val="20"/>
                <w:lang w:eastAsia="en-AU"/>
              </w:rPr>
              <w:t>804</w:t>
            </w:r>
          </w:p>
        </w:tc>
        <w:tc>
          <w:tcPr>
            <w:tcW w:w="850" w:type="dxa"/>
            <w:tcBorders>
              <w:top w:val="nil"/>
              <w:left w:val="nil"/>
              <w:bottom w:val="nil"/>
              <w:right w:val="nil"/>
            </w:tcBorders>
          </w:tcPr>
          <w:p w:rsidR="00A46DCA" w:rsidRPr="00BA09DC"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Pr>
                <w:rFonts w:eastAsiaTheme="minorEastAsia" w:cs="Calibri"/>
                <w:color w:val="000000"/>
                <w:szCs w:val="20"/>
                <w:lang w:eastAsia="en-AU"/>
              </w:rPr>
              <w:t>735</w:t>
            </w:r>
          </w:p>
        </w:tc>
        <w:tc>
          <w:tcPr>
            <w:tcW w:w="850" w:type="dxa"/>
            <w:tcBorders>
              <w:top w:val="nil"/>
              <w:left w:val="nil"/>
              <w:bottom w:val="nil"/>
              <w:right w:val="nil"/>
            </w:tcBorders>
          </w:tcPr>
          <w:p w:rsidR="00A46DCA" w:rsidRPr="00BA09DC"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Pr>
                <w:rFonts w:eastAsiaTheme="minorEastAsia" w:cs="Calibri"/>
                <w:color w:val="000000"/>
                <w:szCs w:val="20"/>
                <w:lang w:eastAsia="en-AU"/>
              </w:rPr>
              <w:t>665</w:t>
            </w:r>
          </w:p>
        </w:tc>
        <w:tc>
          <w:tcPr>
            <w:tcW w:w="850" w:type="dxa"/>
            <w:tcBorders>
              <w:top w:val="nil"/>
              <w:left w:val="nil"/>
              <w:bottom w:val="nil"/>
              <w:right w:val="nil"/>
            </w:tcBorders>
          </w:tcPr>
          <w:p w:rsidR="00A46DCA" w:rsidRPr="00BA09DC"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Pr>
                <w:rFonts w:eastAsiaTheme="minorEastAsia" w:cs="Calibri"/>
                <w:color w:val="000000"/>
                <w:szCs w:val="20"/>
                <w:lang w:eastAsia="en-AU"/>
              </w:rPr>
              <w:t>655</w:t>
            </w:r>
          </w:p>
        </w:tc>
      </w:tr>
      <w:tr w:rsidR="00A46DCA" w:rsidRPr="00BA09DC" w:rsidTr="00A26D04">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A46DCA" w:rsidRPr="00BA09DC" w:rsidRDefault="00A46DCA" w:rsidP="00A26D04">
            <w:pPr>
              <w:keepLines w:val="0"/>
              <w:autoSpaceDE w:val="0"/>
              <w:autoSpaceDN w:val="0"/>
              <w:adjustRightInd w:val="0"/>
              <w:rPr>
                <w:rFonts w:eastAsiaTheme="minorEastAsia" w:cs="Calibri"/>
                <w:color w:val="000000"/>
                <w:szCs w:val="20"/>
                <w:lang w:eastAsia="en-AU"/>
              </w:rPr>
            </w:pPr>
            <w:r w:rsidRPr="00BA09DC">
              <w:rPr>
                <w:rFonts w:eastAsiaTheme="minorEastAsia" w:cs="Calibri"/>
                <w:color w:val="000000"/>
                <w:szCs w:val="20"/>
                <w:lang w:eastAsia="en-AU"/>
              </w:rPr>
              <w:t>Fuel and energy</w:t>
            </w:r>
          </w:p>
        </w:tc>
        <w:tc>
          <w:tcPr>
            <w:tcW w:w="850" w:type="dxa"/>
            <w:tcBorders>
              <w:top w:val="nil"/>
              <w:left w:val="nil"/>
              <w:bottom w:val="nil"/>
              <w:right w:val="nil"/>
            </w:tcBorders>
          </w:tcPr>
          <w:p w:rsidR="00A46DCA" w:rsidRPr="00BA09DC"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Pr>
                <w:rFonts w:eastAsiaTheme="minorEastAsia" w:cs="Calibri"/>
                <w:color w:val="000000"/>
                <w:szCs w:val="20"/>
                <w:lang w:eastAsia="en-AU"/>
              </w:rPr>
              <w:t>303</w:t>
            </w:r>
          </w:p>
        </w:tc>
        <w:tc>
          <w:tcPr>
            <w:tcW w:w="850" w:type="dxa"/>
            <w:tcBorders>
              <w:top w:val="nil"/>
              <w:left w:val="nil"/>
              <w:bottom w:val="nil"/>
              <w:right w:val="nil"/>
            </w:tcBorders>
          </w:tcPr>
          <w:p w:rsidR="00A46DCA" w:rsidRPr="00BA09DC"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Pr>
                <w:rFonts w:eastAsiaTheme="minorEastAsia" w:cs="Calibri"/>
                <w:color w:val="000000"/>
                <w:szCs w:val="20"/>
                <w:lang w:eastAsia="en-AU"/>
              </w:rPr>
              <w:t>276</w:t>
            </w:r>
          </w:p>
        </w:tc>
        <w:tc>
          <w:tcPr>
            <w:tcW w:w="850" w:type="dxa"/>
            <w:tcBorders>
              <w:top w:val="nil"/>
              <w:left w:val="nil"/>
              <w:bottom w:val="nil"/>
              <w:right w:val="nil"/>
            </w:tcBorders>
          </w:tcPr>
          <w:p w:rsidR="00A46DCA" w:rsidRPr="00BA09DC"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Pr>
                <w:rFonts w:eastAsiaTheme="minorEastAsia" w:cs="Calibri"/>
                <w:color w:val="000000"/>
                <w:szCs w:val="20"/>
                <w:lang w:eastAsia="en-AU"/>
              </w:rPr>
              <w:t>219</w:t>
            </w:r>
          </w:p>
        </w:tc>
        <w:tc>
          <w:tcPr>
            <w:tcW w:w="850" w:type="dxa"/>
            <w:tcBorders>
              <w:top w:val="nil"/>
              <w:left w:val="nil"/>
              <w:bottom w:val="nil"/>
              <w:right w:val="nil"/>
            </w:tcBorders>
          </w:tcPr>
          <w:p w:rsidR="00A46DCA" w:rsidRPr="00BA09DC"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Pr>
                <w:rFonts w:eastAsiaTheme="minorEastAsia" w:cs="Calibri"/>
                <w:color w:val="000000"/>
                <w:szCs w:val="20"/>
                <w:lang w:eastAsia="en-AU"/>
              </w:rPr>
              <w:t>493</w:t>
            </w:r>
          </w:p>
        </w:tc>
        <w:tc>
          <w:tcPr>
            <w:tcW w:w="850" w:type="dxa"/>
            <w:tcBorders>
              <w:top w:val="nil"/>
              <w:left w:val="nil"/>
              <w:bottom w:val="nil"/>
              <w:right w:val="nil"/>
            </w:tcBorders>
          </w:tcPr>
          <w:p w:rsidR="00A46DCA" w:rsidRPr="00BA09DC"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Pr>
                <w:rFonts w:eastAsiaTheme="minorEastAsia" w:cs="Calibri"/>
                <w:color w:val="000000"/>
                <w:szCs w:val="20"/>
                <w:lang w:eastAsia="en-AU"/>
              </w:rPr>
              <w:t>56</w:t>
            </w:r>
          </w:p>
        </w:tc>
      </w:tr>
      <w:tr w:rsidR="00A46DCA" w:rsidRPr="00BA09DC" w:rsidTr="00A26D04">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A46DCA" w:rsidRPr="00BA09DC" w:rsidRDefault="00A46DCA" w:rsidP="00A26D04">
            <w:pPr>
              <w:keepLines w:val="0"/>
              <w:autoSpaceDE w:val="0"/>
              <w:autoSpaceDN w:val="0"/>
              <w:adjustRightInd w:val="0"/>
              <w:rPr>
                <w:rFonts w:eastAsiaTheme="minorEastAsia" w:cs="Calibri"/>
                <w:color w:val="000000"/>
                <w:szCs w:val="20"/>
                <w:lang w:eastAsia="en-AU"/>
              </w:rPr>
            </w:pPr>
            <w:r w:rsidRPr="00BA09DC">
              <w:rPr>
                <w:rFonts w:eastAsiaTheme="minorEastAsia" w:cs="Calibri"/>
                <w:color w:val="000000"/>
                <w:szCs w:val="20"/>
                <w:lang w:eastAsia="en-AU"/>
              </w:rPr>
              <w:t>Agriculture, forestry, fishing, and hunting</w:t>
            </w:r>
          </w:p>
        </w:tc>
        <w:tc>
          <w:tcPr>
            <w:tcW w:w="850" w:type="dxa"/>
            <w:tcBorders>
              <w:top w:val="nil"/>
              <w:left w:val="nil"/>
              <w:bottom w:val="nil"/>
              <w:right w:val="nil"/>
            </w:tcBorders>
          </w:tcPr>
          <w:p w:rsidR="00A46DCA" w:rsidRPr="00BA09DC"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Pr>
                <w:rFonts w:eastAsiaTheme="minorEastAsia" w:cs="Calibri"/>
                <w:color w:val="000000"/>
                <w:szCs w:val="20"/>
                <w:lang w:eastAsia="en-AU"/>
              </w:rPr>
              <w:t>475</w:t>
            </w:r>
          </w:p>
        </w:tc>
        <w:tc>
          <w:tcPr>
            <w:tcW w:w="850" w:type="dxa"/>
            <w:tcBorders>
              <w:top w:val="nil"/>
              <w:left w:val="nil"/>
              <w:bottom w:val="nil"/>
              <w:right w:val="nil"/>
            </w:tcBorders>
          </w:tcPr>
          <w:p w:rsidR="00A46DCA" w:rsidRPr="00BA09DC"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Pr>
                <w:rFonts w:eastAsiaTheme="minorEastAsia" w:cs="Calibri"/>
                <w:color w:val="000000"/>
                <w:szCs w:val="20"/>
                <w:lang w:eastAsia="en-AU"/>
              </w:rPr>
              <w:t>470</w:t>
            </w:r>
          </w:p>
        </w:tc>
        <w:tc>
          <w:tcPr>
            <w:tcW w:w="850" w:type="dxa"/>
            <w:tcBorders>
              <w:top w:val="nil"/>
              <w:left w:val="nil"/>
              <w:bottom w:val="nil"/>
              <w:right w:val="nil"/>
            </w:tcBorders>
          </w:tcPr>
          <w:p w:rsidR="00A46DCA" w:rsidRPr="00BA09DC"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Pr>
                <w:rFonts w:eastAsiaTheme="minorEastAsia" w:cs="Calibri"/>
                <w:color w:val="000000"/>
                <w:szCs w:val="20"/>
                <w:lang w:eastAsia="en-AU"/>
              </w:rPr>
              <w:t>431</w:t>
            </w:r>
          </w:p>
        </w:tc>
        <w:tc>
          <w:tcPr>
            <w:tcW w:w="850" w:type="dxa"/>
            <w:tcBorders>
              <w:top w:val="nil"/>
              <w:left w:val="nil"/>
              <w:bottom w:val="nil"/>
              <w:right w:val="nil"/>
            </w:tcBorders>
          </w:tcPr>
          <w:p w:rsidR="00A46DCA" w:rsidRPr="00BA09DC"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Pr>
                <w:rFonts w:eastAsiaTheme="minorEastAsia" w:cs="Calibri"/>
                <w:color w:val="000000"/>
                <w:szCs w:val="20"/>
                <w:lang w:eastAsia="en-AU"/>
              </w:rPr>
              <w:t>376</w:t>
            </w:r>
          </w:p>
        </w:tc>
        <w:tc>
          <w:tcPr>
            <w:tcW w:w="850" w:type="dxa"/>
            <w:tcBorders>
              <w:top w:val="nil"/>
              <w:left w:val="nil"/>
              <w:bottom w:val="nil"/>
              <w:right w:val="nil"/>
            </w:tcBorders>
          </w:tcPr>
          <w:p w:rsidR="00A46DCA" w:rsidRPr="00BA09DC"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Pr>
                <w:rFonts w:eastAsiaTheme="minorEastAsia" w:cs="Calibri"/>
                <w:color w:val="000000"/>
                <w:szCs w:val="20"/>
                <w:lang w:eastAsia="en-AU"/>
              </w:rPr>
              <w:t>329</w:t>
            </w:r>
          </w:p>
        </w:tc>
      </w:tr>
      <w:tr w:rsidR="00A46DCA" w:rsidRPr="00BA09DC" w:rsidTr="00A26D04">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A46DCA" w:rsidRPr="00BA09DC" w:rsidRDefault="00A46DCA" w:rsidP="00A26D04">
            <w:pPr>
              <w:keepLines w:val="0"/>
              <w:autoSpaceDE w:val="0"/>
              <w:autoSpaceDN w:val="0"/>
              <w:adjustRightInd w:val="0"/>
              <w:rPr>
                <w:rFonts w:eastAsiaTheme="minorEastAsia" w:cs="Calibri"/>
                <w:color w:val="000000"/>
                <w:szCs w:val="20"/>
                <w:lang w:eastAsia="en-AU"/>
              </w:rPr>
            </w:pPr>
            <w:r w:rsidRPr="00BA09DC">
              <w:rPr>
                <w:rFonts w:eastAsiaTheme="minorEastAsia" w:cs="Calibri"/>
                <w:color w:val="000000"/>
                <w:szCs w:val="20"/>
                <w:lang w:eastAsia="en-AU"/>
              </w:rPr>
              <w:t>Transport and communications</w:t>
            </w:r>
          </w:p>
        </w:tc>
        <w:tc>
          <w:tcPr>
            <w:tcW w:w="850" w:type="dxa"/>
            <w:tcBorders>
              <w:top w:val="nil"/>
              <w:left w:val="nil"/>
              <w:bottom w:val="nil"/>
              <w:right w:val="nil"/>
            </w:tcBorders>
          </w:tcPr>
          <w:p w:rsidR="00A46DCA" w:rsidRPr="00BA09DC"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BA09DC">
              <w:rPr>
                <w:rFonts w:eastAsiaTheme="minorEastAsia" w:cs="Calibri"/>
                <w:color w:val="000000"/>
                <w:szCs w:val="20"/>
                <w:lang w:eastAsia="en-AU"/>
              </w:rPr>
              <w:t>7 443</w:t>
            </w:r>
          </w:p>
        </w:tc>
        <w:tc>
          <w:tcPr>
            <w:tcW w:w="850" w:type="dxa"/>
            <w:tcBorders>
              <w:top w:val="nil"/>
              <w:left w:val="nil"/>
              <w:bottom w:val="nil"/>
              <w:right w:val="nil"/>
            </w:tcBorders>
          </w:tcPr>
          <w:p w:rsidR="00A46DCA" w:rsidRPr="00BA09DC"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BA09DC">
              <w:rPr>
                <w:rFonts w:eastAsiaTheme="minorEastAsia" w:cs="Calibri"/>
                <w:color w:val="000000"/>
                <w:szCs w:val="20"/>
                <w:lang w:eastAsia="en-AU"/>
              </w:rPr>
              <w:t>7 503</w:t>
            </w:r>
          </w:p>
        </w:tc>
        <w:tc>
          <w:tcPr>
            <w:tcW w:w="850" w:type="dxa"/>
            <w:tcBorders>
              <w:top w:val="nil"/>
              <w:left w:val="nil"/>
              <w:bottom w:val="nil"/>
              <w:right w:val="nil"/>
            </w:tcBorders>
          </w:tcPr>
          <w:p w:rsidR="00A46DCA" w:rsidRPr="00BA09DC"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BA09DC">
              <w:rPr>
                <w:rFonts w:eastAsiaTheme="minorEastAsia" w:cs="Calibri"/>
                <w:color w:val="000000"/>
                <w:szCs w:val="20"/>
                <w:lang w:eastAsia="en-AU"/>
              </w:rPr>
              <w:t>7 580</w:t>
            </w:r>
          </w:p>
        </w:tc>
        <w:tc>
          <w:tcPr>
            <w:tcW w:w="850" w:type="dxa"/>
            <w:tcBorders>
              <w:top w:val="nil"/>
              <w:left w:val="nil"/>
              <w:bottom w:val="nil"/>
              <w:right w:val="nil"/>
            </w:tcBorders>
          </w:tcPr>
          <w:p w:rsidR="00A46DCA" w:rsidRPr="00BA09DC"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BA09DC">
              <w:rPr>
                <w:rFonts w:eastAsiaTheme="minorEastAsia" w:cs="Calibri"/>
                <w:color w:val="000000"/>
                <w:szCs w:val="20"/>
                <w:lang w:eastAsia="en-AU"/>
              </w:rPr>
              <w:t>7 747</w:t>
            </w:r>
          </w:p>
        </w:tc>
        <w:tc>
          <w:tcPr>
            <w:tcW w:w="850" w:type="dxa"/>
            <w:tcBorders>
              <w:top w:val="nil"/>
              <w:left w:val="nil"/>
              <w:bottom w:val="nil"/>
              <w:right w:val="nil"/>
            </w:tcBorders>
          </w:tcPr>
          <w:p w:rsidR="00A46DCA" w:rsidRPr="00BA09DC"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BA09DC">
              <w:rPr>
                <w:rFonts w:eastAsiaTheme="minorEastAsia" w:cs="Calibri"/>
                <w:color w:val="000000"/>
                <w:szCs w:val="20"/>
                <w:lang w:eastAsia="en-AU"/>
              </w:rPr>
              <w:t>7 969</w:t>
            </w:r>
          </w:p>
        </w:tc>
      </w:tr>
      <w:tr w:rsidR="00A46DCA" w:rsidRPr="00BA09DC" w:rsidTr="00A26D04">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A46DCA" w:rsidRPr="00BA09DC" w:rsidRDefault="00A46DCA" w:rsidP="00A26D04">
            <w:pPr>
              <w:keepLines w:val="0"/>
              <w:autoSpaceDE w:val="0"/>
              <w:autoSpaceDN w:val="0"/>
              <w:adjustRightInd w:val="0"/>
              <w:rPr>
                <w:rFonts w:eastAsiaTheme="minorEastAsia" w:cs="Calibri"/>
                <w:color w:val="000000"/>
                <w:szCs w:val="20"/>
                <w:lang w:eastAsia="en-AU"/>
              </w:rPr>
            </w:pPr>
            <w:r w:rsidRPr="00BA09DC">
              <w:rPr>
                <w:rFonts w:eastAsiaTheme="minorEastAsia" w:cs="Calibri"/>
                <w:color w:val="000000"/>
                <w:szCs w:val="20"/>
                <w:lang w:eastAsia="en-AU"/>
              </w:rPr>
              <w:t>Other economic affairs</w:t>
            </w:r>
          </w:p>
        </w:tc>
        <w:tc>
          <w:tcPr>
            <w:tcW w:w="850" w:type="dxa"/>
            <w:tcBorders>
              <w:top w:val="nil"/>
              <w:left w:val="nil"/>
              <w:bottom w:val="nil"/>
              <w:right w:val="nil"/>
            </w:tcBorders>
          </w:tcPr>
          <w:p w:rsidR="00A46DCA" w:rsidRPr="00BA09DC"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BA09DC">
              <w:rPr>
                <w:rFonts w:eastAsiaTheme="minorEastAsia" w:cs="Calibri"/>
                <w:color w:val="000000"/>
                <w:szCs w:val="20"/>
                <w:lang w:eastAsia="en-AU"/>
              </w:rPr>
              <w:t>1 047</w:t>
            </w:r>
          </w:p>
        </w:tc>
        <w:tc>
          <w:tcPr>
            <w:tcW w:w="850" w:type="dxa"/>
            <w:tcBorders>
              <w:top w:val="nil"/>
              <w:left w:val="nil"/>
              <w:bottom w:val="nil"/>
              <w:right w:val="nil"/>
            </w:tcBorders>
          </w:tcPr>
          <w:p w:rsidR="00A46DCA" w:rsidRPr="00BA09DC"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BA09DC">
              <w:rPr>
                <w:rFonts w:eastAsiaTheme="minorEastAsia" w:cs="Calibri"/>
                <w:color w:val="000000"/>
                <w:szCs w:val="20"/>
                <w:lang w:eastAsia="en-AU"/>
              </w:rPr>
              <w:t>1 247</w:t>
            </w:r>
          </w:p>
        </w:tc>
        <w:tc>
          <w:tcPr>
            <w:tcW w:w="850" w:type="dxa"/>
            <w:tcBorders>
              <w:top w:val="nil"/>
              <w:left w:val="nil"/>
              <w:bottom w:val="nil"/>
              <w:right w:val="nil"/>
            </w:tcBorders>
          </w:tcPr>
          <w:p w:rsidR="00A46DCA" w:rsidRPr="00BA09DC"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Pr>
                <w:rFonts w:eastAsiaTheme="minorEastAsia" w:cs="Calibri"/>
                <w:color w:val="000000"/>
                <w:szCs w:val="20"/>
                <w:lang w:eastAsia="en-AU"/>
              </w:rPr>
              <w:t>939</w:t>
            </w:r>
          </w:p>
        </w:tc>
        <w:tc>
          <w:tcPr>
            <w:tcW w:w="850" w:type="dxa"/>
            <w:tcBorders>
              <w:top w:val="nil"/>
              <w:left w:val="nil"/>
              <w:bottom w:val="nil"/>
              <w:right w:val="nil"/>
            </w:tcBorders>
          </w:tcPr>
          <w:p w:rsidR="00A46DCA" w:rsidRPr="00BA09DC"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Pr>
                <w:rFonts w:eastAsiaTheme="minorEastAsia" w:cs="Calibri"/>
                <w:color w:val="000000"/>
                <w:szCs w:val="20"/>
                <w:lang w:eastAsia="en-AU"/>
              </w:rPr>
              <w:t>679</w:t>
            </w:r>
          </w:p>
        </w:tc>
        <w:tc>
          <w:tcPr>
            <w:tcW w:w="850" w:type="dxa"/>
            <w:tcBorders>
              <w:top w:val="nil"/>
              <w:left w:val="nil"/>
              <w:bottom w:val="nil"/>
              <w:right w:val="nil"/>
            </w:tcBorders>
          </w:tcPr>
          <w:p w:rsidR="00A46DCA" w:rsidRPr="00BA09DC"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Pr>
                <w:rFonts w:eastAsiaTheme="minorEastAsia" w:cs="Calibri"/>
                <w:color w:val="000000"/>
                <w:szCs w:val="20"/>
                <w:lang w:eastAsia="en-AU"/>
              </w:rPr>
              <w:t>556</w:t>
            </w:r>
          </w:p>
        </w:tc>
      </w:tr>
      <w:tr w:rsidR="00A46DCA" w:rsidRPr="00BA09DC" w:rsidTr="00A26D04">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A46DCA" w:rsidRPr="00BA09DC" w:rsidRDefault="00A46DCA" w:rsidP="00A26D04">
            <w:pPr>
              <w:keepLines w:val="0"/>
              <w:autoSpaceDE w:val="0"/>
              <w:autoSpaceDN w:val="0"/>
              <w:adjustRightInd w:val="0"/>
              <w:rPr>
                <w:rFonts w:eastAsiaTheme="minorEastAsia" w:cs="Calibri"/>
                <w:color w:val="000000"/>
                <w:szCs w:val="20"/>
                <w:lang w:eastAsia="en-AU"/>
              </w:rPr>
            </w:pPr>
            <w:r w:rsidRPr="00BA09DC">
              <w:rPr>
                <w:rFonts w:eastAsiaTheme="minorEastAsia" w:cs="Calibri"/>
                <w:color w:val="000000"/>
                <w:szCs w:val="20"/>
                <w:lang w:eastAsia="en-AU"/>
              </w:rPr>
              <w:t>Other purposes</w:t>
            </w:r>
          </w:p>
        </w:tc>
        <w:tc>
          <w:tcPr>
            <w:tcW w:w="850" w:type="dxa"/>
            <w:tcBorders>
              <w:top w:val="nil"/>
              <w:left w:val="nil"/>
              <w:bottom w:val="nil"/>
              <w:right w:val="nil"/>
            </w:tcBorders>
          </w:tcPr>
          <w:p w:rsidR="00A46DCA" w:rsidRPr="00BA09DC"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BA09DC">
              <w:rPr>
                <w:rFonts w:eastAsiaTheme="minorEastAsia" w:cs="Calibri"/>
                <w:color w:val="000000"/>
                <w:szCs w:val="20"/>
                <w:lang w:eastAsia="en-AU"/>
              </w:rPr>
              <w:t>1 197</w:t>
            </w:r>
          </w:p>
        </w:tc>
        <w:tc>
          <w:tcPr>
            <w:tcW w:w="850" w:type="dxa"/>
            <w:tcBorders>
              <w:top w:val="nil"/>
              <w:left w:val="nil"/>
              <w:bottom w:val="nil"/>
              <w:right w:val="nil"/>
            </w:tcBorders>
          </w:tcPr>
          <w:p w:rsidR="00A46DCA" w:rsidRPr="00BA09DC"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BA09DC">
              <w:rPr>
                <w:rFonts w:eastAsiaTheme="minorEastAsia" w:cs="Calibri"/>
                <w:color w:val="000000"/>
                <w:szCs w:val="20"/>
                <w:lang w:eastAsia="en-AU"/>
              </w:rPr>
              <w:t>1 200</w:t>
            </w:r>
          </w:p>
        </w:tc>
        <w:tc>
          <w:tcPr>
            <w:tcW w:w="850" w:type="dxa"/>
            <w:tcBorders>
              <w:top w:val="nil"/>
              <w:left w:val="nil"/>
              <w:bottom w:val="nil"/>
              <w:right w:val="nil"/>
            </w:tcBorders>
          </w:tcPr>
          <w:p w:rsidR="00A46DCA" w:rsidRPr="00BA09DC"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BA09DC">
              <w:rPr>
                <w:rFonts w:eastAsiaTheme="minorEastAsia" w:cs="Calibri"/>
                <w:color w:val="000000"/>
                <w:szCs w:val="20"/>
                <w:lang w:eastAsia="en-AU"/>
              </w:rPr>
              <w:t>1 257</w:t>
            </w:r>
          </w:p>
        </w:tc>
        <w:tc>
          <w:tcPr>
            <w:tcW w:w="850" w:type="dxa"/>
            <w:tcBorders>
              <w:top w:val="nil"/>
              <w:left w:val="nil"/>
              <w:bottom w:val="nil"/>
              <w:right w:val="nil"/>
            </w:tcBorders>
          </w:tcPr>
          <w:p w:rsidR="00A46DCA" w:rsidRPr="00BA09DC"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BA09DC">
              <w:rPr>
                <w:rFonts w:eastAsiaTheme="minorEastAsia" w:cs="Calibri"/>
                <w:color w:val="000000"/>
                <w:szCs w:val="20"/>
                <w:lang w:eastAsia="en-AU"/>
              </w:rPr>
              <w:t>1 307</w:t>
            </w:r>
          </w:p>
        </w:tc>
        <w:tc>
          <w:tcPr>
            <w:tcW w:w="850" w:type="dxa"/>
            <w:tcBorders>
              <w:top w:val="nil"/>
              <w:left w:val="nil"/>
              <w:bottom w:val="nil"/>
              <w:right w:val="nil"/>
            </w:tcBorders>
          </w:tcPr>
          <w:p w:rsidR="00A46DCA" w:rsidRPr="00BA09DC"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BA09DC">
              <w:rPr>
                <w:rFonts w:eastAsiaTheme="minorEastAsia" w:cs="Calibri"/>
                <w:color w:val="000000"/>
                <w:szCs w:val="20"/>
                <w:lang w:eastAsia="en-AU"/>
              </w:rPr>
              <w:t>1 429</w:t>
            </w:r>
          </w:p>
        </w:tc>
      </w:tr>
      <w:tr w:rsidR="00A46DCA" w:rsidRPr="00BA09DC" w:rsidTr="00A26D04">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A46DCA" w:rsidRPr="00BA09DC" w:rsidRDefault="00A46DCA" w:rsidP="00A26D04">
            <w:pPr>
              <w:keepLines w:val="0"/>
              <w:autoSpaceDE w:val="0"/>
              <w:autoSpaceDN w:val="0"/>
              <w:adjustRightInd w:val="0"/>
              <w:rPr>
                <w:rFonts w:eastAsiaTheme="minorEastAsia" w:cs="Calibri"/>
                <w:color w:val="000000"/>
                <w:szCs w:val="20"/>
                <w:vertAlign w:val="superscript"/>
                <w:lang w:eastAsia="en-AU"/>
              </w:rPr>
            </w:pPr>
            <w:r w:rsidRPr="00BA09DC">
              <w:rPr>
                <w:rFonts w:eastAsiaTheme="minorEastAsia" w:cs="Calibri"/>
                <w:color w:val="000000"/>
                <w:szCs w:val="20"/>
                <w:lang w:eastAsia="en-AU"/>
              </w:rPr>
              <w:t xml:space="preserve">Not allocated by purpose </w:t>
            </w:r>
            <w:r w:rsidRPr="00BA09DC">
              <w:rPr>
                <w:rFonts w:eastAsiaTheme="minorEastAsia" w:cs="Calibri"/>
                <w:color w:val="000000"/>
                <w:szCs w:val="20"/>
                <w:vertAlign w:val="superscript"/>
                <w:lang w:eastAsia="en-AU"/>
              </w:rPr>
              <w:t>(b)(d)</w:t>
            </w:r>
          </w:p>
        </w:tc>
        <w:tc>
          <w:tcPr>
            <w:tcW w:w="850" w:type="dxa"/>
            <w:tcBorders>
              <w:top w:val="nil"/>
              <w:left w:val="nil"/>
              <w:bottom w:val="nil"/>
              <w:right w:val="nil"/>
            </w:tcBorders>
          </w:tcPr>
          <w:p w:rsidR="00A46DCA" w:rsidRPr="00BA09DC"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Pr>
                <w:rFonts w:eastAsiaTheme="minorEastAsia" w:cs="Calibri"/>
                <w:color w:val="000000"/>
                <w:szCs w:val="20"/>
                <w:lang w:eastAsia="en-AU"/>
              </w:rPr>
              <w:t>(966)</w:t>
            </w:r>
          </w:p>
        </w:tc>
        <w:tc>
          <w:tcPr>
            <w:tcW w:w="850" w:type="dxa"/>
            <w:tcBorders>
              <w:top w:val="nil"/>
              <w:left w:val="nil"/>
              <w:bottom w:val="nil"/>
              <w:right w:val="nil"/>
            </w:tcBorders>
          </w:tcPr>
          <w:p w:rsidR="00A46DCA" w:rsidRPr="00BA09DC"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BA09DC">
              <w:rPr>
                <w:rFonts w:eastAsiaTheme="minorEastAsia" w:cs="Calibri"/>
                <w:color w:val="000000"/>
                <w:szCs w:val="20"/>
                <w:lang w:eastAsia="en-AU"/>
              </w:rPr>
              <w:t>(1 130)</w:t>
            </w:r>
          </w:p>
        </w:tc>
        <w:tc>
          <w:tcPr>
            <w:tcW w:w="850" w:type="dxa"/>
            <w:tcBorders>
              <w:top w:val="nil"/>
              <w:left w:val="nil"/>
              <w:bottom w:val="nil"/>
              <w:right w:val="nil"/>
            </w:tcBorders>
          </w:tcPr>
          <w:p w:rsidR="00A46DCA" w:rsidRPr="00BA09DC"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Pr>
                <w:rFonts w:eastAsiaTheme="minorEastAsia" w:cs="Calibri"/>
                <w:color w:val="000000"/>
                <w:szCs w:val="20"/>
                <w:lang w:eastAsia="en-AU"/>
              </w:rPr>
              <w:t>690</w:t>
            </w:r>
          </w:p>
        </w:tc>
        <w:tc>
          <w:tcPr>
            <w:tcW w:w="850" w:type="dxa"/>
            <w:tcBorders>
              <w:top w:val="nil"/>
              <w:left w:val="nil"/>
              <w:bottom w:val="nil"/>
              <w:right w:val="nil"/>
            </w:tcBorders>
          </w:tcPr>
          <w:p w:rsidR="00A46DCA" w:rsidRPr="00BA09DC"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Pr>
                <w:rFonts w:eastAsiaTheme="minorEastAsia" w:cs="Calibri"/>
                <w:color w:val="000000"/>
                <w:szCs w:val="20"/>
                <w:lang w:eastAsia="en-AU"/>
              </w:rPr>
              <w:t>971</w:t>
            </w:r>
          </w:p>
        </w:tc>
        <w:tc>
          <w:tcPr>
            <w:tcW w:w="850" w:type="dxa"/>
            <w:tcBorders>
              <w:top w:val="nil"/>
              <w:left w:val="nil"/>
              <w:bottom w:val="nil"/>
              <w:right w:val="nil"/>
            </w:tcBorders>
          </w:tcPr>
          <w:p w:rsidR="00A46DCA" w:rsidRPr="00BA09DC"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BA09DC">
              <w:rPr>
                <w:rFonts w:eastAsiaTheme="minorEastAsia" w:cs="Calibri"/>
                <w:color w:val="000000"/>
                <w:szCs w:val="20"/>
                <w:lang w:eastAsia="en-AU"/>
              </w:rPr>
              <w:t>1 902</w:t>
            </w:r>
          </w:p>
        </w:tc>
      </w:tr>
      <w:tr w:rsidR="00A46DCA" w:rsidRPr="00BA09DC" w:rsidTr="00A26D04">
        <w:tc>
          <w:tcPr>
            <w:cnfStyle w:val="001000000000" w:firstRow="0" w:lastRow="0" w:firstColumn="1" w:lastColumn="0" w:oddVBand="0" w:evenVBand="0" w:oddHBand="0" w:evenHBand="0" w:firstRowFirstColumn="0" w:firstRowLastColumn="0" w:lastRowFirstColumn="0" w:lastRowLastColumn="0"/>
            <w:tcW w:w="3515" w:type="dxa"/>
            <w:tcBorders>
              <w:top w:val="single" w:sz="6" w:space="0" w:color="auto"/>
              <w:left w:val="nil"/>
              <w:bottom w:val="single" w:sz="12" w:space="0" w:color="auto"/>
              <w:right w:val="nil"/>
            </w:tcBorders>
          </w:tcPr>
          <w:p w:rsidR="00A46DCA" w:rsidRPr="00BA09DC" w:rsidRDefault="00A46DCA" w:rsidP="00A26D04">
            <w:pPr>
              <w:keepLines w:val="0"/>
              <w:autoSpaceDE w:val="0"/>
              <w:autoSpaceDN w:val="0"/>
              <w:adjustRightInd w:val="0"/>
              <w:rPr>
                <w:rFonts w:eastAsiaTheme="minorEastAsia" w:cs="Calibri"/>
                <w:b/>
                <w:bCs/>
                <w:color w:val="000000"/>
                <w:szCs w:val="20"/>
                <w:lang w:eastAsia="en-AU"/>
              </w:rPr>
            </w:pPr>
            <w:r w:rsidRPr="00BA09DC">
              <w:rPr>
                <w:rFonts w:eastAsiaTheme="minorEastAsia" w:cs="Calibri"/>
                <w:b/>
                <w:bCs/>
                <w:color w:val="000000"/>
                <w:szCs w:val="20"/>
                <w:lang w:eastAsia="en-AU"/>
              </w:rPr>
              <w:t xml:space="preserve">Total expenses by government purpose classification </w:t>
            </w:r>
          </w:p>
        </w:tc>
        <w:tc>
          <w:tcPr>
            <w:tcW w:w="850" w:type="dxa"/>
            <w:tcBorders>
              <w:top w:val="single" w:sz="6" w:space="0" w:color="auto"/>
              <w:left w:val="nil"/>
              <w:bottom w:val="single" w:sz="12" w:space="0" w:color="auto"/>
              <w:right w:val="nil"/>
            </w:tcBorders>
          </w:tcPr>
          <w:p w:rsidR="00A46DCA" w:rsidRPr="00BA09DC"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0"/>
                <w:lang w:eastAsia="en-AU"/>
              </w:rPr>
            </w:pPr>
            <w:r w:rsidRPr="00BA09DC">
              <w:rPr>
                <w:rFonts w:eastAsiaTheme="minorEastAsia" w:cs="Calibri"/>
                <w:b/>
                <w:bCs/>
                <w:color w:val="000000"/>
                <w:szCs w:val="20"/>
                <w:lang w:eastAsia="en-AU"/>
              </w:rPr>
              <w:t>62 252</w:t>
            </w:r>
          </w:p>
        </w:tc>
        <w:tc>
          <w:tcPr>
            <w:tcW w:w="850" w:type="dxa"/>
            <w:tcBorders>
              <w:top w:val="single" w:sz="6" w:space="0" w:color="auto"/>
              <w:left w:val="nil"/>
              <w:bottom w:val="single" w:sz="12" w:space="0" w:color="auto"/>
              <w:right w:val="nil"/>
            </w:tcBorders>
          </w:tcPr>
          <w:p w:rsidR="00A46DCA" w:rsidRPr="00BA09DC"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0"/>
                <w:lang w:eastAsia="en-AU"/>
              </w:rPr>
            </w:pPr>
            <w:r w:rsidRPr="00BA09DC">
              <w:rPr>
                <w:rFonts w:eastAsiaTheme="minorEastAsia" w:cs="Calibri"/>
                <w:b/>
                <w:bCs/>
                <w:color w:val="000000"/>
                <w:szCs w:val="20"/>
                <w:lang w:eastAsia="en-AU"/>
              </w:rPr>
              <w:t>62 673</w:t>
            </w:r>
          </w:p>
        </w:tc>
        <w:tc>
          <w:tcPr>
            <w:tcW w:w="850" w:type="dxa"/>
            <w:tcBorders>
              <w:top w:val="single" w:sz="6" w:space="0" w:color="auto"/>
              <w:left w:val="nil"/>
              <w:bottom w:val="single" w:sz="12" w:space="0" w:color="auto"/>
              <w:right w:val="nil"/>
            </w:tcBorders>
          </w:tcPr>
          <w:p w:rsidR="00A46DCA" w:rsidRPr="00BA09DC"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0"/>
                <w:lang w:eastAsia="en-AU"/>
              </w:rPr>
            </w:pPr>
            <w:r w:rsidRPr="00BA09DC">
              <w:rPr>
                <w:rFonts w:eastAsiaTheme="minorEastAsia" w:cs="Calibri"/>
                <w:b/>
                <w:bCs/>
                <w:color w:val="000000"/>
                <w:szCs w:val="20"/>
                <w:lang w:eastAsia="en-AU"/>
              </w:rPr>
              <w:t>65 688</w:t>
            </w:r>
          </w:p>
        </w:tc>
        <w:tc>
          <w:tcPr>
            <w:tcW w:w="850" w:type="dxa"/>
            <w:tcBorders>
              <w:top w:val="single" w:sz="6" w:space="0" w:color="auto"/>
              <w:left w:val="nil"/>
              <w:bottom w:val="single" w:sz="12" w:space="0" w:color="auto"/>
              <w:right w:val="nil"/>
            </w:tcBorders>
          </w:tcPr>
          <w:p w:rsidR="00A46DCA" w:rsidRPr="00BA09DC"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0"/>
                <w:lang w:eastAsia="en-AU"/>
              </w:rPr>
            </w:pPr>
            <w:r w:rsidRPr="00BA09DC">
              <w:rPr>
                <w:rFonts w:eastAsiaTheme="minorEastAsia" w:cs="Calibri"/>
                <w:b/>
                <w:bCs/>
                <w:color w:val="000000"/>
                <w:szCs w:val="20"/>
                <w:lang w:eastAsia="en-AU"/>
              </w:rPr>
              <w:t>67 147</w:t>
            </w:r>
          </w:p>
        </w:tc>
        <w:tc>
          <w:tcPr>
            <w:tcW w:w="850" w:type="dxa"/>
            <w:tcBorders>
              <w:top w:val="single" w:sz="6" w:space="0" w:color="auto"/>
              <w:left w:val="nil"/>
              <w:bottom w:val="single" w:sz="12" w:space="0" w:color="auto"/>
              <w:right w:val="nil"/>
            </w:tcBorders>
          </w:tcPr>
          <w:p w:rsidR="00A46DCA" w:rsidRPr="00BA09DC"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0"/>
                <w:lang w:eastAsia="en-AU"/>
              </w:rPr>
            </w:pPr>
            <w:r w:rsidRPr="00BA09DC">
              <w:rPr>
                <w:rFonts w:eastAsiaTheme="minorEastAsia" w:cs="Calibri"/>
                <w:b/>
                <w:bCs/>
                <w:color w:val="000000"/>
                <w:szCs w:val="20"/>
                <w:lang w:eastAsia="en-AU"/>
              </w:rPr>
              <w:t>69 021</w:t>
            </w:r>
          </w:p>
        </w:tc>
      </w:tr>
    </w:tbl>
    <w:p w:rsidR="00A46DCA" w:rsidRDefault="00A46DCA" w:rsidP="00A26D04">
      <w:pPr>
        <w:pStyle w:val="Source"/>
      </w:pPr>
      <w:r w:rsidRPr="00D87D22">
        <w:t>Source: Department of Treasury and Finance</w:t>
      </w:r>
    </w:p>
    <w:p w:rsidR="00A46DCA" w:rsidRPr="00697AD9" w:rsidRDefault="00A46DCA" w:rsidP="00A26D04">
      <w:pPr>
        <w:pStyle w:val="Note"/>
      </w:pPr>
      <w:r w:rsidRPr="00697AD9">
        <w:t>Notes:</w:t>
      </w:r>
    </w:p>
    <w:p w:rsidR="00A46DCA" w:rsidRDefault="00A46DCA" w:rsidP="00A26D04">
      <w:pPr>
        <w:pStyle w:val="Note"/>
      </w:pPr>
      <w:r w:rsidRPr="00791993">
        <w:t>(a)</w:t>
      </w:r>
      <w:r w:rsidRPr="00791993">
        <w:tab/>
      </w:r>
      <w:r>
        <w:t xml:space="preserve">Note 3.6 of the </w:t>
      </w:r>
      <w:r w:rsidRPr="00812D30">
        <w:rPr>
          <w:i w:val="0"/>
        </w:rPr>
        <w:t xml:space="preserve">2016-17 Financial Report </w:t>
      </w:r>
      <w:r>
        <w:t>for the State of Victoria provides definitions and descriptions of government purpose classifications.</w:t>
      </w:r>
    </w:p>
    <w:p w:rsidR="00A46DCA" w:rsidRPr="007A2894" w:rsidRDefault="00A46DCA" w:rsidP="00A26D04">
      <w:pPr>
        <w:pStyle w:val="Note"/>
      </w:pPr>
      <w:r>
        <w:t>(b)</w:t>
      </w:r>
      <w:r>
        <w:tab/>
        <w:t xml:space="preserve">Certain </w:t>
      </w:r>
      <w:r>
        <w:rPr>
          <w:i w:val="0"/>
        </w:rPr>
        <w:t>2017-18 Budget</w:t>
      </w:r>
      <w:r>
        <w:t xml:space="preserve"> figures have been restated to reflect more current information.</w:t>
      </w:r>
    </w:p>
    <w:p w:rsidR="00A46DCA" w:rsidRDefault="00A46DCA" w:rsidP="00A26D04">
      <w:pPr>
        <w:pStyle w:val="Note"/>
      </w:pPr>
      <w:r>
        <w:t>(c</w:t>
      </w:r>
      <w:r w:rsidRPr="00697AD9">
        <w:t>)</w:t>
      </w:r>
      <w:r w:rsidRPr="00697AD9">
        <w:tab/>
        <w:t>Th</w:t>
      </w:r>
      <w:r>
        <w:t>e State’s contribution to the NDIS transition is expected to increase over the next four years as more clients transition into the scheme.</w:t>
      </w:r>
    </w:p>
    <w:p w:rsidR="00A46DCA" w:rsidRDefault="00A46DCA" w:rsidP="00A26D04">
      <w:pPr>
        <w:pStyle w:val="Note"/>
      </w:pPr>
      <w:r>
        <w:t>(d)</w:t>
      </w:r>
      <w:r>
        <w:tab/>
        <w:t>Mainly comprising provision for future demand growth, departmental underspending, eliminated purchases of supplies and consumables between government entities, and items not yet formalised at the time of publication.</w:t>
      </w:r>
    </w:p>
    <w:p w:rsidR="00A46DCA" w:rsidRPr="0095755C" w:rsidRDefault="00A46DCA" w:rsidP="00A26D04">
      <w:pPr>
        <w:keepLines w:val="0"/>
        <w:rPr>
          <w:rFonts w:asciiTheme="majorHAnsi" w:hAnsiTheme="majorHAnsi"/>
          <w:i/>
          <w:spacing w:val="-2"/>
          <w:sz w:val="14"/>
        </w:rPr>
      </w:pPr>
      <w:r>
        <w:rPr>
          <w:rFonts w:asciiTheme="majorHAnsi" w:hAnsiTheme="majorHAnsi"/>
          <w:i/>
          <w:spacing w:val="-2"/>
          <w:sz w:val="14"/>
        </w:rPr>
        <w:br w:type="page"/>
      </w:r>
    </w:p>
    <w:p w:rsidR="00A46DCA" w:rsidRPr="001C2381" w:rsidRDefault="00A46DCA" w:rsidP="00A26D04">
      <w:pPr>
        <w:pStyle w:val="TableHeading"/>
        <w:rPr>
          <w:bCs/>
          <w:lang w:val="en-US"/>
        </w:rPr>
      </w:pPr>
      <w:r>
        <w:lastRenderedPageBreak/>
        <w:t>Total expenses by portfolio department</w:t>
      </w:r>
      <w:r>
        <w:tab/>
        <w:t>($ million)</w:t>
      </w:r>
    </w:p>
    <w:tbl>
      <w:tblPr>
        <w:tblStyle w:val="DTFTable"/>
        <w:tblW w:w="7765" w:type="dxa"/>
        <w:tblInd w:w="45" w:type="dxa"/>
        <w:tblLayout w:type="fixed"/>
        <w:tblCellMar>
          <w:left w:w="45" w:type="dxa"/>
          <w:right w:w="45" w:type="dxa"/>
        </w:tblCellMar>
        <w:tblLook w:val="06A0" w:firstRow="1" w:lastRow="0" w:firstColumn="1" w:lastColumn="0" w:noHBand="1" w:noVBand="1"/>
      </w:tblPr>
      <w:tblGrid>
        <w:gridCol w:w="3515"/>
        <w:gridCol w:w="850"/>
        <w:gridCol w:w="850"/>
        <w:gridCol w:w="850"/>
        <w:gridCol w:w="850"/>
        <w:gridCol w:w="850"/>
      </w:tblGrid>
      <w:tr w:rsidR="00A26D04" w:rsidRPr="001C2381" w:rsidTr="002677DA">
        <w:trPr>
          <w:cnfStyle w:val="100000000000" w:firstRow="1" w:lastRow="0" w:firstColumn="0" w:lastColumn="0" w:oddVBand="0" w:evenVBand="0" w:oddHBand="0" w:evenHBand="0" w:firstRowFirstColumn="0" w:firstRowLastColumn="0" w:lastRowFirstColumn="0" w:lastRowLastColumn="0"/>
          <w:trHeight w:val="55"/>
          <w:tblHeader/>
        </w:trPr>
        <w:tc>
          <w:tcPr>
            <w:cnfStyle w:val="001000000000" w:firstRow="0" w:lastRow="0" w:firstColumn="1" w:lastColumn="0" w:oddVBand="0" w:evenVBand="0" w:oddHBand="0" w:evenHBand="0" w:firstRowFirstColumn="0" w:firstRowLastColumn="0" w:lastRowFirstColumn="0" w:lastRowLastColumn="0"/>
            <w:tcW w:w="3515" w:type="dxa"/>
            <w:tcBorders>
              <w:top w:val="single" w:sz="6" w:space="0" w:color="auto"/>
              <w:left w:val="nil"/>
              <w:right w:val="nil"/>
            </w:tcBorders>
            <w:shd w:val="solid" w:color="000000" w:fill="auto"/>
          </w:tcPr>
          <w:p w:rsidR="00A26D04" w:rsidRPr="001C2381" w:rsidRDefault="00A26D04" w:rsidP="00A26D04">
            <w:pPr>
              <w:autoSpaceDE w:val="0"/>
              <w:autoSpaceDN w:val="0"/>
              <w:adjustRightInd w:val="0"/>
              <w:rPr>
                <w:rFonts w:eastAsiaTheme="minorEastAsia" w:cs="Calibri"/>
                <w:iCs/>
                <w:color w:val="FFFFFF"/>
                <w:szCs w:val="20"/>
                <w:lang w:eastAsia="en-AU"/>
              </w:rPr>
            </w:pPr>
            <w:r w:rsidRPr="001C2381">
              <w:rPr>
                <w:rFonts w:eastAsiaTheme="minorEastAsia" w:cs="Calibri"/>
                <w:iCs/>
                <w:color w:val="FFFFFF"/>
                <w:szCs w:val="20"/>
                <w:lang w:eastAsia="en-AU"/>
              </w:rPr>
              <w:t xml:space="preserve">  </w:t>
            </w:r>
          </w:p>
        </w:tc>
        <w:tc>
          <w:tcPr>
            <w:tcW w:w="850" w:type="dxa"/>
            <w:tcBorders>
              <w:top w:val="single" w:sz="6" w:space="0" w:color="auto"/>
              <w:left w:val="nil"/>
              <w:right w:val="nil"/>
            </w:tcBorders>
            <w:shd w:val="solid" w:color="000000" w:fill="auto"/>
          </w:tcPr>
          <w:p w:rsidR="00A26D04" w:rsidRPr="001C2381" w:rsidRDefault="00A26D04" w:rsidP="00A26D0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20"/>
                <w:lang w:eastAsia="en-AU"/>
              </w:rPr>
            </w:pPr>
            <w:r w:rsidRPr="001C2381">
              <w:rPr>
                <w:rFonts w:eastAsiaTheme="minorEastAsia" w:cs="Calibri"/>
                <w:iCs/>
                <w:color w:val="FFFFFF"/>
                <w:szCs w:val="20"/>
                <w:lang w:eastAsia="en-AU"/>
              </w:rPr>
              <w:t>2017-18</w:t>
            </w:r>
            <w:r>
              <w:rPr>
                <w:rFonts w:eastAsiaTheme="minorEastAsia" w:cs="Calibri"/>
                <w:iCs/>
                <w:color w:val="FFFFFF"/>
                <w:szCs w:val="20"/>
                <w:lang w:eastAsia="en-AU"/>
              </w:rPr>
              <w:br/>
            </w:r>
            <w:r w:rsidRPr="001C2381">
              <w:rPr>
                <w:rFonts w:eastAsiaTheme="minorEastAsia" w:cs="Calibri"/>
                <w:iCs/>
                <w:color w:val="FFFFFF"/>
                <w:szCs w:val="20"/>
                <w:lang w:eastAsia="en-AU"/>
              </w:rPr>
              <w:t>budget</w:t>
            </w:r>
          </w:p>
        </w:tc>
        <w:tc>
          <w:tcPr>
            <w:tcW w:w="850" w:type="dxa"/>
            <w:tcBorders>
              <w:top w:val="single" w:sz="6" w:space="0" w:color="auto"/>
              <w:left w:val="nil"/>
              <w:right w:val="nil"/>
            </w:tcBorders>
            <w:shd w:val="solid" w:color="000000" w:fill="auto"/>
          </w:tcPr>
          <w:p w:rsidR="00A26D04" w:rsidRPr="001C2381" w:rsidRDefault="00A26D04" w:rsidP="00A26D0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20"/>
                <w:lang w:eastAsia="en-AU"/>
              </w:rPr>
            </w:pPr>
            <w:r w:rsidRPr="001C2381">
              <w:rPr>
                <w:rFonts w:eastAsiaTheme="minorEastAsia" w:cs="Calibri"/>
                <w:iCs/>
                <w:color w:val="FFFFFF"/>
                <w:szCs w:val="20"/>
                <w:lang w:eastAsia="en-AU"/>
              </w:rPr>
              <w:t>2017-18</w:t>
            </w:r>
            <w:r>
              <w:rPr>
                <w:rFonts w:eastAsiaTheme="minorEastAsia" w:cs="Calibri"/>
                <w:iCs/>
                <w:color w:val="FFFFFF"/>
                <w:szCs w:val="20"/>
                <w:lang w:eastAsia="en-AU"/>
              </w:rPr>
              <w:br/>
            </w:r>
            <w:r w:rsidRPr="001C2381">
              <w:rPr>
                <w:rFonts w:eastAsiaTheme="minorEastAsia" w:cs="Calibri"/>
                <w:iCs/>
                <w:color w:val="FFFFFF"/>
                <w:szCs w:val="20"/>
                <w:lang w:eastAsia="en-AU"/>
              </w:rPr>
              <w:t>revised</w:t>
            </w:r>
          </w:p>
        </w:tc>
        <w:tc>
          <w:tcPr>
            <w:tcW w:w="850" w:type="dxa"/>
            <w:tcBorders>
              <w:top w:val="single" w:sz="6" w:space="0" w:color="auto"/>
              <w:left w:val="nil"/>
              <w:right w:val="nil"/>
            </w:tcBorders>
            <w:shd w:val="solid" w:color="000000" w:fill="auto"/>
          </w:tcPr>
          <w:p w:rsidR="00A26D04" w:rsidRPr="001C2381" w:rsidRDefault="00A26D04" w:rsidP="00A26D0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20"/>
                <w:lang w:eastAsia="en-AU"/>
              </w:rPr>
            </w:pPr>
            <w:r w:rsidRPr="001C2381">
              <w:rPr>
                <w:rFonts w:eastAsiaTheme="minorEastAsia" w:cs="Calibri"/>
                <w:iCs/>
                <w:color w:val="FFFFFF"/>
                <w:szCs w:val="20"/>
                <w:lang w:eastAsia="en-AU"/>
              </w:rPr>
              <w:t>2018-19</w:t>
            </w:r>
            <w:r>
              <w:rPr>
                <w:rFonts w:eastAsiaTheme="minorEastAsia" w:cs="Calibri"/>
                <w:iCs/>
                <w:color w:val="FFFFFF"/>
                <w:szCs w:val="20"/>
                <w:lang w:eastAsia="en-AU"/>
              </w:rPr>
              <w:br/>
            </w:r>
            <w:r w:rsidRPr="001C2381">
              <w:rPr>
                <w:rFonts w:eastAsiaTheme="minorEastAsia" w:cs="Calibri"/>
                <w:iCs/>
                <w:color w:val="FFFFFF"/>
                <w:szCs w:val="20"/>
                <w:lang w:eastAsia="en-AU"/>
              </w:rPr>
              <w:t>estimate</w:t>
            </w:r>
          </w:p>
        </w:tc>
        <w:tc>
          <w:tcPr>
            <w:tcW w:w="850" w:type="dxa"/>
            <w:tcBorders>
              <w:top w:val="single" w:sz="6" w:space="0" w:color="auto"/>
              <w:left w:val="nil"/>
              <w:right w:val="nil"/>
            </w:tcBorders>
            <w:shd w:val="solid" w:color="000000" w:fill="auto"/>
          </w:tcPr>
          <w:p w:rsidR="00A26D04" w:rsidRPr="001C2381" w:rsidRDefault="00A26D04" w:rsidP="00A26D0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20"/>
                <w:lang w:eastAsia="en-AU"/>
              </w:rPr>
            </w:pPr>
            <w:r w:rsidRPr="001C2381">
              <w:rPr>
                <w:rFonts w:eastAsiaTheme="minorEastAsia" w:cs="Calibri"/>
                <w:iCs/>
                <w:color w:val="FFFFFF"/>
                <w:szCs w:val="20"/>
                <w:lang w:eastAsia="en-AU"/>
              </w:rPr>
              <w:t>2019-20</w:t>
            </w:r>
            <w:r>
              <w:rPr>
                <w:rFonts w:eastAsiaTheme="minorEastAsia" w:cs="Calibri"/>
                <w:iCs/>
                <w:color w:val="FFFFFF"/>
                <w:szCs w:val="20"/>
                <w:lang w:eastAsia="en-AU"/>
              </w:rPr>
              <w:br/>
            </w:r>
            <w:r w:rsidRPr="001C2381">
              <w:rPr>
                <w:rFonts w:eastAsiaTheme="minorEastAsia" w:cs="Calibri"/>
                <w:iCs/>
                <w:color w:val="FFFFFF"/>
                <w:szCs w:val="20"/>
                <w:lang w:eastAsia="en-AU"/>
              </w:rPr>
              <w:t>estimate</w:t>
            </w:r>
          </w:p>
        </w:tc>
        <w:tc>
          <w:tcPr>
            <w:tcW w:w="850" w:type="dxa"/>
            <w:tcBorders>
              <w:top w:val="single" w:sz="6" w:space="0" w:color="auto"/>
              <w:left w:val="nil"/>
              <w:right w:val="nil"/>
            </w:tcBorders>
            <w:shd w:val="solid" w:color="000000" w:fill="auto"/>
          </w:tcPr>
          <w:p w:rsidR="00A26D04" w:rsidRPr="001C2381" w:rsidRDefault="00A26D04" w:rsidP="00A26D0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20"/>
                <w:lang w:eastAsia="en-AU"/>
              </w:rPr>
            </w:pPr>
            <w:r w:rsidRPr="001C2381">
              <w:rPr>
                <w:rFonts w:eastAsiaTheme="minorEastAsia" w:cs="Calibri"/>
                <w:iCs/>
                <w:color w:val="FFFFFF"/>
                <w:szCs w:val="20"/>
                <w:lang w:eastAsia="en-AU"/>
              </w:rPr>
              <w:t>2020-21</w:t>
            </w:r>
            <w:r>
              <w:rPr>
                <w:rFonts w:eastAsiaTheme="minorEastAsia" w:cs="Calibri"/>
                <w:iCs/>
                <w:color w:val="FFFFFF"/>
                <w:szCs w:val="20"/>
                <w:lang w:eastAsia="en-AU"/>
              </w:rPr>
              <w:br/>
            </w:r>
            <w:r w:rsidRPr="001C2381">
              <w:rPr>
                <w:rFonts w:eastAsiaTheme="minorEastAsia" w:cs="Calibri"/>
                <w:iCs/>
                <w:color w:val="FFFFFF"/>
                <w:szCs w:val="20"/>
                <w:lang w:eastAsia="en-AU"/>
              </w:rPr>
              <w:t>estimate</w:t>
            </w:r>
          </w:p>
        </w:tc>
      </w:tr>
      <w:tr w:rsidR="00A46DCA" w:rsidRPr="001C2381" w:rsidTr="00A26D04">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A46DCA" w:rsidRPr="001C2381" w:rsidRDefault="00A46DCA" w:rsidP="00A26D04">
            <w:pPr>
              <w:keepLines w:val="0"/>
              <w:autoSpaceDE w:val="0"/>
              <w:autoSpaceDN w:val="0"/>
              <w:adjustRightInd w:val="0"/>
              <w:rPr>
                <w:rFonts w:eastAsiaTheme="minorEastAsia" w:cs="Calibri"/>
                <w:b/>
                <w:bCs/>
                <w:color w:val="000000"/>
                <w:szCs w:val="20"/>
                <w:lang w:eastAsia="en-AU"/>
              </w:rPr>
            </w:pPr>
            <w:r w:rsidRPr="001C2381">
              <w:rPr>
                <w:rFonts w:eastAsiaTheme="minorEastAsia" w:cs="Calibri"/>
                <w:b/>
                <w:bCs/>
                <w:color w:val="000000"/>
                <w:szCs w:val="20"/>
                <w:lang w:eastAsia="en-AU"/>
              </w:rPr>
              <w:t>Expenses from transactions</w:t>
            </w:r>
          </w:p>
        </w:tc>
        <w:tc>
          <w:tcPr>
            <w:tcW w:w="850" w:type="dxa"/>
            <w:tcBorders>
              <w:top w:val="nil"/>
              <w:left w:val="nil"/>
              <w:bottom w:val="nil"/>
              <w:right w:val="nil"/>
            </w:tcBorders>
          </w:tcPr>
          <w:p w:rsidR="00A46DCA" w:rsidRPr="001C2381"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i/>
                <w:iCs/>
                <w:color w:val="000000"/>
                <w:szCs w:val="20"/>
                <w:lang w:eastAsia="en-AU"/>
              </w:rPr>
            </w:pPr>
            <w:r w:rsidRPr="001C2381">
              <w:rPr>
                <w:rFonts w:eastAsiaTheme="minorEastAsia" w:cs="Calibri"/>
                <w:i/>
                <w:iCs/>
                <w:color w:val="000000"/>
                <w:szCs w:val="20"/>
                <w:lang w:eastAsia="en-AU"/>
              </w:rPr>
              <w:t xml:space="preserve"> </w:t>
            </w:r>
          </w:p>
        </w:tc>
        <w:tc>
          <w:tcPr>
            <w:tcW w:w="850" w:type="dxa"/>
            <w:tcBorders>
              <w:top w:val="nil"/>
              <w:left w:val="nil"/>
              <w:bottom w:val="nil"/>
              <w:right w:val="nil"/>
            </w:tcBorders>
          </w:tcPr>
          <w:p w:rsidR="00A46DCA" w:rsidRPr="001C2381"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i/>
                <w:iCs/>
                <w:color w:val="000000"/>
                <w:szCs w:val="20"/>
                <w:lang w:eastAsia="en-AU"/>
              </w:rPr>
            </w:pPr>
            <w:r w:rsidRPr="001C2381">
              <w:rPr>
                <w:rFonts w:eastAsiaTheme="minorEastAsia" w:cs="Calibri"/>
                <w:i/>
                <w:iCs/>
                <w:color w:val="000000"/>
                <w:szCs w:val="20"/>
                <w:lang w:eastAsia="en-AU"/>
              </w:rPr>
              <w:t xml:space="preserve"> </w:t>
            </w:r>
          </w:p>
        </w:tc>
        <w:tc>
          <w:tcPr>
            <w:tcW w:w="850" w:type="dxa"/>
            <w:tcBorders>
              <w:top w:val="nil"/>
              <w:left w:val="nil"/>
              <w:bottom w:val="nil"/>
              <w:right w:val="nil"/>
            </w:tcBorders>
          </w:tcPr>
          <w:p w:rsidR="00A46DCA" w:rsidRPr="001C2381"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i/>
                <w:iCs/>
                <w:color w:val="000000"/>
                <w:szCs w:val="20"/>
                <w:lang w:eastAsia="en-AU"/>
              </w:rPr>
            </w:pPr>
            <w:r w:rsidRPr="001C2381">
              <w:rPr>
                <w:rFonts w:eastAsiaTheme="minorEastAsia" w:cs="Calibri"/>
                <w:i/>
                <w:iCs/>
                <w:color w:val="000000"/>
                <w:szCs w:val="20"/>
                <w:lang w:eastAsia="en-AU"/>
              </w:rPr>
              <w:t xml:space="preserve"> </w:t>
            </w:r>
          </w:p>
        </w:tc>
        <w:tc>
          <w:tcPr>
            <w:tcW w:w="850" w:type="dxa"/>
            <w:tcBorders>
              <w:top w:val="nil"/>
              <w:left w:val="nil"/>
              <w:bottom w:val="nil"/>
              <w:right w:val="nil"/>
            </w:tcBorders>
          </w:tcPr>
          <w:p w:rsidR="00A46DCA" w:rsidRPr="001C2381"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i/>
                <w:iCs/>
                <w:color w:val="000000"/>
                <w:szCs w:val="20"/>
                <w:lang w:eastAsia="en-AU"/>
              </w:rPr>
            </w:pPr>
            <w:r w:rsidRPr="001C2381">
              <w:rPr>
                <w:rFonts w:eastAsiaTheme="minorEastAsia" w:cs="Calibri"/>
                <w:i/>
                <w:iCs/>
                <w:color w:val="000000"/>
                <w:szCs w:val="20"/>
                <w:lang w:eastAsia="en-AU"/>
              </w:rPr>
              <w:t xml:space="preserve"> </w:t>
            </w:r>
          </w:p>
        </w:tc>
        <w:tc>
          <w:tcPr>
            <w:tcW w:w="850" w:type="dxa"/>
            <w:tcBorders>
              <w:top w:val="nil"/>
              <w:left w:val="nil"/>
              <w:bottom w:val="nil"/>
              <w:right w:val="nil"/>
            </w:tcBorders>
          </w:tcPr>
          <w:p w:rsidR="00A46DCA" w:rsidRPr="001C2381"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i/>
                <w:iCs/>
                <w:color w:val="000000"/>
                <w:szCs w:val="20"/>
                <w:lang w:eastAsia="en-AU"/>
              </w:rPr>
            </w:pPr>
            <w:r w:rsidRPr="001C2381">
              <w:rPr>
                <w:rFonts w:eastAsiaTheme="minorEastAsia" w:cs="Calibri"/>
                <w:i/>
                <w:iCs/>
                <w:color w:val="000000"/>
                <w:szCs w:val="20"/>
                <w:lang w:eastAsia="en-AU"/>
              </w:rPr>
              <w:t xml:space="preserve"> </w:t>
            </w:r>
          </w:p>
        </w:tc>
      </w:tr>
      <w:tr w:rsidR="00A46DCA" w:rsidRPr="001C2381" w:rsidTr="00A26D04">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A46DCA" w:rsidRPr="001C2381" w:rsidRDefault="00A46DCA" w:rsidP="00A26D04">
            <w:pPr>
              <w:keepLines w:val="0"/>
              <w:autoSpaceDE w:val="0"/>
              <w:autoSpaceDN w:val="0"/>
              <w:adjustRightInd w:val="0"/>
              <w:rPr>
                <w:rFonts w:eastAsiaTheme="minorEastAsia" w:cs="Calibri"/>
                <w:color w:val="000000"/>
                <w:szCs w:val="20"/>
                <w:lang w:eastAsia="en-AU"/>
              </w:rPr>
            </w:pPr>
            <w:r w:rsidRPr="001C2381">
              <w:rPr>
                <w:rFonts w:eastAsiaTheme="minorEastAsia" w:cs="Calibri"/>
                <w:color w:val="000000"/>
                <w:szCs w:val="20"/>
                <w:lang w:eastAsia="en-AU"/>
              </w:rPr>
              <w:t>Economic Development, Jobs, Transport and Resources</w:t>
            </w:r>
          </w:p>
        </w:tc>
        <w:tc>
          <w:tcPr>
            <w:tcW w:w="850" w:type="dxa"/>
            <w:tcBorders>
              <w:top w:val="nil"/>
              <w:left w:val="nil"/>
              <w:bottom w:val="nil"/>
              <w:right w:val="nil"/>
            </w:tcBorders>
          </w:tcPr>
          <w:p w:rsidR="00A46DCA" w:rsidRPr="001C2381"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1C2381">
              <w:rPr>
                <w:rFonts w:eastAsiaTheme="minorEastAsia" w:cs="Calibri"/>
                <w:color w:val="000000"/>
                <w:szCs w:val="20"/>
                <w:lang w:eastAsia="en-AU"/>
              </w:rPr>
              <w:t>9 552</w:t>
            </w:r>
          </w:p>
        </w:tc>
        <w:tc>
          <w:tcPr>
            <w:tcW w:w="850" w:type="dxa"/>
            <w:tcBorders>
              <w:top w:val="nil"/>
              <w:left w:val="nil"/>
              <w:bottom w:val="nil"/>
              <w:right w:val="nil"/>
            </w:tcBorders>
          </w:tcPr>
          <w:p w:rsidR="00A46DCA" w:rsidRPr="001C2381"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1C2381">
              <w:rPr>
                <w:rFonts w:eastAsiaTheme="minorEastAsia" w:cs="Calibri"/>
                <w:color w:val="000000"/>
                <w:szCs w:val="20"/>
                <w:lang w:eastAsia="en-AU"/>
              </w:rPr>
              <w:t>9 851</w:t>
            </w:r>
          </w:p>
        </w:tc>
        <w:tc>
          <w:tcPr>
            <w:tcW w:w="850" w:type="dxa"/>
            <w:tcBorders>
              <w:top w:val="nil"/>
              <w:left w:val="nil"/>
              <w:bottom w:val="nil"/>
              <w:right w:val="nil"/>
            </w:tcBorders>
          </w:tcPr>
          <w:p w:rsidR="00A46DCA" w:rsidRPr="001C2381"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1C2381">
              <w:rPr>
                <w:rFonts w:eastAsiaTheme="minorEastAsia" w:cs="Calibri"/>
                <w:color w:val="000000"/>
                <w:szCs w:val="20"/>
                <w:lang w:eastAsia="en-AU"/>
              </w:rPr>
              <w:t>9 556</w:t>
            </w:r>
          </w:p>
        </w:tc>
        <w:tc>
          <w:tcPr>
            <w:tcW w:w="850" w:type="dxa"/>
            <w:tcBorders>
              <w:top w:val="nil"/>
              <w:left w:val="nil"/>
              <w:bottom w:val="nil"/>
              <w:right w:val="nil"/>
            </w:tcBorders>
          </w:tcPr>
          <w:p w:rsidR="00A46DCA" w:rsidRPr="001C2381"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1C2381">
              <w:rPr>
                <w:rFonts w:eastAsiaTheme="minorEastAsia" w:cs="Calibri"/>
                <w:color w:val="000000"/>
                <w:szCs w:val="20"/>
                <w:lang w:eastAsia="en-AU"/>
              </w:rPr>
              <w:t>9 326</w:t>
            </w:r>
          </w:p>
        </w:tc>
        <w:tc>
          <w:tcPr>
            <w:tcW w:w="850" w:type="dxa"/>
            <w:tcBorders>
              <w:top w:val="nil"/>
              <w:left w:val="nil"/>
              <w:bottom w:val="nil"/>
              <w:right w:val="nil"/>
            </w:tcBorders>
          </w:tcPr>
          <w:p w:rsidR="00A46DCA" w:rsidRPr="001C2381"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1C2381">
              <w:rPr>
                <w:rFonts w:eastAsiaTheme="minorEastAsia" w:cs="Calibri"/>
                <w:color w:val="000000"/>
                <w:szCs w:val="20"/>
                <w:lang w:eastAsia="en-AU"/>
              </w:rPr>
              <w:t>9 337</w:t>
            </w:r>
          </w:p>
        </w:tc>
      </w:tr>
      <w:tr w:rsidR="00A46DCA" w:rsidRPr="001C2381" w:rsidTr="00A26D04">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A46DCA" w:rsidRPr="001C2381" w:rsidRDefault="00A46DCA" w:rsidP="00A26D04">
            <w:pPr>
              <w:keepLines w:val="0"/>
              <w:autoSpaceDE w:val="0"/>
              <w:autoSpaceDN w:val="0"/>
              <w:adjustRightInd w:val="0"/>
              <w:rPr>
                <w:rFonts w:eastAsiaTheme="minorEastAsia" w:cs="Calibri"/>
                <w:color w:val="000000"/>
                <w:szCs w:val="20"/>
                <w:lang w:eastAsia="en-AU"/>
              </w:rPr>
            </w:pPr>
            <w:r w:rsidRPr="001C2381">
              <w:rPr>
                <w:rFonts w:eastAsiaTheme="minorEastAsia" w:cs="Calibri"/>
                <w:color w:val="000000"/>
                <w:szCs w:val="20"/>
                <w:lang w:eastAsia="en-AU"/>
              </w:rPr>
              <w:t>Education and Training</w:t>
            </w:r>
          </w:p>
        </w:tc>
        <w:tc>
          <w:tcPr>
            <w:tcW w:w="850" w:type="dxa"/>
            <w:tcBorders>
              <w:top w:val="nil"/>
              <w:left w:val="nil"/>
              <w:bottom w:val="nil"/>
              <w:right w:val="nil"/>
            </w:tcBorders>
          </w:tcPr>
          <w:p w:rsidR="00A46DCA" w:rsidRPr="001C2381"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1C2381">
              <w:rPr>
                <w:rFonts w:eastAsiaTheme="minorEastAsia" w:cs="Calibri"/>
                <w:color w:val="000000"/>
                <w:szCs w:val="20"/>
                <w:lang w:eastAsia="en-AU"/>
              </w:rPr>
              <w:t>17 145</w:t>
            </w:r>
          </w:p>
        </w:tc>
        <w:tc>
          <w:tcPr>
            <w:tcW w:w="850" w:type="dxa"/>
            <w:tcBorders>
              <w:top w:val="nil"/>
              <w:left w:val="nil"/>
              <w:bottom w:val="nil"/>
              <w:right w:val="nil"/>
            </w:tcBorders>
          </w:tcPr>
          <w:p w:rsidR="00A46DCA" w:rsidRPr="001C2381"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1C2381">
              <w:rPr>
                <w:rFonts w:eastAsiaTheme="minorEastAsia" w:cs="Calibri"/>
                <w:color w:val="000000"/>
                <w:szCs w:val="20"/>
                <w:lang w:eastAsia="en-AU"/>
              </w:rPr>
              <w:t>17 341</w:t>
            </w:r>
          </w:p>
        </w:tc>
        <w:tc>
          <w:tcPr>
            <w:tcW w:w="850" w:type="dxa"/>
            <w:tcBorders>
              <w:top w:val="nil"/>
              <w:left w:val="nil"/>
              <w:bottom w:val="nil"/>
              <w:right w:val="nil"/>
            </w:tcBorders>
          </w:tcPr>
          <w:p w:rsidR="00A46DCA" w:rsidRPr="001C2381"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1C2381">
              <w:rPr>
                <w:rFonts w:eastAsiaTheme="minorEastAsia" w:cs="Calibri"/>
                <w:color w:val="000000"/>
                <w:szCs w:val="20"/>
                <w:lang w:eastAsia="en-AU"/>
              </w:rPr>
              <w:t>17 697</w:t>
            </w:r>
          </w:p>
        </w:tc>
        <w:tc>
          <w:tcPr>
            <w:tcW w:w="850" w:type="dxa"/>
            <w:tcBorders>
              <w:top w:val="nil"/>
              <w:left w:val="nil"/>
              <w:bottom w:val="nil"/>
              <w:right w:val="nil"/>
            </w:tcBorders>
          </w:tcPr>
          <w:p w:rsidR="00A46DCA" w:rsidRPr="001C2381"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1C2381">
              <w:rPr>
                <w:rFonts w:eastAsiaTheme="minorEastAsia" w:cs="Calibri"/>
                <w:color w:val="000000"/>
                <w:szCs w:val="20"/>
                <w:lang w:eastAsia="en-AU"/>
              </w:rPr>
              <w:t>17 768</w:t>
            </w:r>
          </w:p>
        </w:tc>
        <w:tc>
          <w:tcPr>
            <w:tcW w:w="850" w:type="dxa"/>
            <w:tcBorders>
              <w:top w:val="nil"/>
              <w:left w:val="nil"/>
              <w:bottom w:val="nil"/>
              <w:right w:val="nil"/>
            </w:tcBorders>
          </w:tcPr>
          <w:p w:rsidR="00A46DCA" w:rsidRPr="001C2381"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1C2381">
              <w:rPr>
                <w:rFonts w:eastAsiaTheme="minorEastAsia" w:cs="Calibri"/>
                <w:color w:val="000000"/>
                <w:szCs w:val="20"/>
                <w:lang w:eastAsia="en-AU"/>
              </w:rPr>
              <w:t>18 201</w:t>
            </w:r>
          </w:p>
        </w:tc>
      </w:tr>
      <w:tr w:rsidR="00A46DCA" w:rsidRPr="001C2381" w:rsidTr="00A26D04">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A46DCA" w:rsidRPr="001C2381" w:rsidRDefault="00A46DCA" w:rsidP="00A26D04">
            <w:pPr>
              <w:keepLines w:val="0"/>
              <w:autoSpaceDE w:val="0"/>
              <w:autoSpaceDN w:val="0"/>
              <w:adjustRightInd w:val="0"/>
              <w:rPr>
                <w:rFonts w:eastAsiaTheme="minorEastAsia" w:cs="Calibri"/>
                <w:color w:val="000000"/>
                <w:szCs w:val="20"/>
                <w:lang w:eastAsia="en-AU"/>
              </w:rPr>
            </w:pPr>
            <w:r w:rsidRPr="001C2381">
              <w:rPr>
                <w:rFonts w:eastAsiaTheme="minorEastAsia" w:cs="Calibri"/>
                <w:color w:val="000000"/>
                <w:szCs w:val="20"/>
                <w:lang w:eastAsia="en-AU"/>
              </w:rPr>
              <w:t xml:space="preserve">Environment, Land, Water and Planning </w:t>
            </w:r>
          </w:p>
        </w:tc>
        <w:tc>
          <w:tcPr>
            <w:tcW w:w="850" w:type="dxa"/>
            <w:tcBorders>
              <w:top w:val="nil"/>
              <w:left w:val="nil"/>
              <w:bottom w:val="nil"/>
              <w:right w:val="nil"/>
            </w:tcBorders>
          </w:tcPr>
          <w:p w:rsidR="00A46DCA" w:rsidRPr="001C2381"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1C2381">
              <w:rPr>
                <w:rFonts w:eastAsiaTheme="minorEastAsia" w:cs="Calibri"/>
                <w:color w:val="000000"/>
                <w:szCs w:val="20"/>
                <w:lang w:eastAsia="en-AU"/>
              </w:rPr>
              <w:t>3 294</w:t>
            </w:r>
          </w:p>
        </w:tc>
        <w:tc>
          <w:tcPr>
            <w:tcW w:w="850" w:type="dxa"/>
            <w:tcBorders>
              <w:top w:val="nil"/>
              <w:left w:val="nil"/>
              <w:bottom w:val="nil"/>
              <w:right w:val="nil"/>
            </w:tcBorders>
          </w:tcPr>
          <w:p w:rsidR="00A46DCA" w:rsidRPr="001C2381"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1C2381">
              <w:rPr>
                <w:rFonts w:eastAsiaTheme="minorEastAsia" w:cs="Calibri"/>
                <w:color w:val="000000"/>
                <w:szCs w:val="20"/>
                <w:lang w:eastAsia="en-AU"/>
              </w:rPr>
              <w:t>3 141</w:t>
            </w:r>
          </w:p>
        </w:tc>
        <w:tc>
          <w:tcPr>
            <w:tcW w:w="850" w:type="dxa"/>
            <w:tcBorders>
              <w:top w:val="nil"/>
              <w:left w:val="nil"/>
              <w:bottom w:val="nil"/>
              <w:right w:val="nil"/>
            </w:tcBorders>
          </w:tcPr>
          <w:p w:rsidR="00A46DCA" w:rsidRPr="001C2381"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1C2381">
              <w:rPr>
                <w:rFonts w:eastAsiaTheme="minorEastAsia" w:cs="Calibri"/>
                <w:color w:val="000000"/>
                <w:szCs w:val="20"/>
                <w:lang w:eastAsia="en-AU"/>
              </w:rPr>
              <w:t>3 080</w:t>
            </w:r>
          </w:p>
        </w:tc>
        <w:tc>
          <w:tcPr>
            <w:tcW w:w="850" w:type="dxa"/>
            <w:tcBorders>
              <w:top w:val="nil"/>
              <w:left w:val="nil"/>
              <w:bottom w:val="nil"/>
              <w:right w:val="nil"/>
            </w:tcBorders>
          </w:tcPr>
          <w:p w:rsidR="00A46DCA" w:rsidRPr="001C2381"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1C2381">
              <w:rPr>
                <w:rFonts w:eastAsiaTheme="minorEastAsia" w:cs="Calibri"/>
                <w:color w:val="000000"/>
                <w:szCs w:val="20"/>
                <w:lang w:eastAsia="en-AU"/>
              </w:rPr>
              <w:t>3 303</w:t>
            </w:r>
          </w:p>
        </w:tc>
        <w:tc>
          <w:tcPr>
            <w:tcW w:w="850" w:type="dxa"/>
            <w:tcBorders>
              <w:top w:val="nil"/>
              <w:left w:val="nil"/>
              <w:bottom w:val="nil"/>
              <w:right w:val="nil"/>
            </w:tcBorders>
          </w:tcPr>
          <w:p w:rsidR="00A46DCA" w:rsidRPr="001C2381"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1C2381">
              <w:rPr>
                <w:rFonts w:eastAsiaTheme="minorEastAsia" w:cs="Calibri"/>
                <w:color w:val="000000"/>
                <w:szCs w:val="20"/>
                <w:lang w:eastAsia="en-AU"/>
              </w:rPr>
              <w:t>2 627</w:t>
            </w:r>
          </w:p>
        </w:tc>
      </w:tr>
      <w:tr w:rsidR="00A46DCA" w:rsidRPr="001C2381" w:rsidTr="00A26D04">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A46DCA" w:rsidRPr="001C2381" w:rsidRDefault="00A46DCA" w:rsidP="00A26D04">
            <w:pPr>
              <w:keepLines w:val="0"/>
              <w:autoSpaceDE w:val="0"/>
              <w:autoSpaceDN w:val="0"/>
              <w:adjustRightInd w:val="0"/>
              <w:rPr>
                <w:rFonts w:eastAsiaTheme="minorEastAsia" w:cs="Calibri"/>
                <w:color w:val="000000"/>
                <w:szCs w:val="20"/>
                <w:lang w:eastAsia="en-AU"/>
              </w:rPr>
            </w:pPr>
            <w:r w:rsidRPr="001C2381">
              <w:rPr>
                <w:rFonts w:eastAsiaTheme="minorEastAsia" w:cs="Calibri"/>
                <w:color w:val="000000"/>
                <w:szCs w:val="20"/>
                <w:lang w:eastAsia="en-AU"/>
              </w:rPr>
              <w:t>Health and Human Services</w:t>
            </w:r>
          </w:p>
        </w:tc>
        <w:tc>
          <w:tcPr>
            <w:tcW w:w="850" w:type="dxa"/>
            <w:tcBorders>
              <w:top w:val="nil"/>
              <w:left w:val="nil"/>
              <w:bottom w:val="nil"/>
              <w:right w:val="nil"/>
            </w:tcBorders>
          </w:tcPr>
          <w:p w:rsidR="00A46DCA" w:rsidRPr="001C2381"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1C2381">
              <w:rPr>
                <w:rFonts w:eastAsiaTheme="minorEastAsia" w:cs="Calibri"/>
                <w:color w:val="000000"/>
                <w:szCs w:val="20"/>
                <w:lang w:eastAsia="en-AU"/>
              </w:rPr>
              <w:t>25 048</w:t>
            </w:r>
          </w:p>
        </w:tc>
        <w:tc>
          <w:tcPr>
            <w:tcW w:w="850" w:type="dxa"/>
            <w:tcBorders>
              <w:top w:val="nil"/>
              <w:left w:val="nil"/>
              <w:bottom w:val="nil"/>
              <w:right w:val="nil"/>
            </w:tcBorders>
          </w:tcPr>
          <w:p w:rsidR="00A46DCA" w:rsidRPr="001C2381"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1C2381">
              <w:rPr>
                <w:rFonts w:eastAsiaTheme="minorEastAsia" w:cs="Calibri"/>
                <w:color w:val="000000"/>
                <w:szCs w:val="20"/>
                <w:lang w:eastAsia="en-AU"/>
              </w:rPr>
              <w:t>25 236</w:t>
            </w:r>
          </w:p>
        </w:tc>
        <w:tc>
          <w:tcPr>
            <w:tcW w:w="850" w:type="dxa"/>
            <w:tcBorders>
              <w:top w:val="nil"/>
              <w:left w:val="nil"/>
              <w:bottom w:val="nil"/>
              <w:right w:val="nil"/>
            </w:tcBorders>
          </w:tcPr>
          <w:p w:rsidR="00A46DCA" w:rsidRPr="001C2381"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1C2381">
              <w:rPr>
                <w:rFonts w:eastAsiaTheme="minorEastAsia" w:cs="Calibri"/>
                <w:color w:val="000000"/>
                <w:szCs w:val="20"/>
                <w:lang w:eastAsia="en-AU"/>
              </w:rPr>
              <w:t>25 349</w:t>
            </w:r>
          </w:p>
        </w:tc>
        <w:tc>
          <w:tcPr>
            <w:tcW w:w="850" w:type="dxa"/>
            <w:tcBorders>
              <w:top w:val="nil"/>
              <w:left w:val="nil"/>
              <w:bottom w:val="nil"/>
              <w:right w:val="nil"/>
            </w:tcBorders>
          </w:tcPr>
          <w:p w:rsidR="00A46DCA" w:rsidRPr="001C2381"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1C2381">
              <w:rPr>
                <w:rFonts w:eastAsiaTheme="minorEastAsia" w:cs="Calibri"/>
                <w:color w:val="000000"/>
                <w:szCs w:val="20"/>
                <w:lang w:eastAsia="en-AU"/>
              </w:rPr>
              <w:t>26 092</w:t>
            </w:r>
          </w:p>
        </w:tc>
        <w:tc>
          <w:tcPr>
            <w:tcW w:w="850" w:type="dxa"/>
            <w:tcBorders>
              <w:top w:val="nil"/>
              <w:left w:val="nil"/>
              <w:bottom w:val="nil"/>
              <w:right w:val="nil"/>
            </w:tcBorders>
          </w:tcPr>
          <w:p w:rsidR="00A46DCA" w:rsidRPr="001C2381"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1C2381">
              <w:rPr>
                <w:rFonts w:eastAsiaTheme="minorEastAsia" w:cs="Calibri"/>
                <w:color w:val="000000"/>
                <w:szCs w:val="20"/>
                <w:lang w:eastAsia="en-AU"/>
              </w:rPr>
              <w:t>26 570</w:t>
            </w:r>
          </w:p>
        </w:tc>
      </w:tr>
      <w:tr w:rsidR="00A46DCA" w:rsidRPr="001C2381" w:rsidTr="00A26D04">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A46DCA" w:rsidRPr="001C2381" w:rsidRDefault="00A46DCA" w:rsidP="00A26D04">
            <w:pPr>
              <w:keepLines w:val="0"/>
              <w:autoSpaceDE w:val="0"/>
              <w:autoSpaceDN w:val="0"/>
              <w:adjustRightInd w:val="0"/>
              <w:rPr>
                <w:rFonts w:eastAsiaTheme="minorEastAsia" w:cs="Calibri"/>
                <w:color w:val="000000"/>
                <w:szCs w:val="20"/>
                <w:lang w:eastAsia="en-AU"/>
              </w:rPr>
            </w:pPr>
            <w:r w:rsidRPr="001C2381">
              <w:rPr>
                <w:rFonts w:eastAsiaTheme="minorEastAsia" w:cs="Calibri"/>
                <w:color w:val="000000"/>
                <w:szCs w:val="20"/>
                <w:lang w:eastAsia="en-AU"/>
              </w:rPr>
              <w:t>Justice and Regulation</w:t>
            </w:r>
          </w:p>
        </w:tc>
        <w:tc>
          <w:tcPr>
            <w:tcW w:w="850" w:type="dxa"/>
            <w:tcBorders>
              <w:top w:val="nil"/>
              <w:left w:val="nil"/>
              <w:bottom w:val="nil"/>
              <w:right w:val="nil"/>
            </w:tcBorders>
          </w:tcPr>
          <w:p w:rsidR="00A46DCA" w:rsidRPr="001C2381"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1C2381">
              <w:rPr>
                <w:rFonts w:eastAsiaTheme="minorEastAsia" w:cs="Calibri"/>
                <w:color w:val="000000"/>
                <w:szCs w:val="20"/>
                <w:lang w:eastAsia="en-AU"/>
              </w:rPr>
              <w:t>6 879</w:t>
            </w:r>
          </w:p>
        </w:tc>
        <w:tc>
          <w:tcPr>
            <w:tcW w:w="850" w:type="dxa"/>
            <w:tcBorders>
              <w:top w:val="nil"/>
              <w:left w:val="nil"/>
              <w:bottom w:val="nil"/>
              <w:right w:val="nil"/>
            </w:tcBorders>
          </w:tcPr>
          <w:p w:rsidR="00A46DCA" w:rsidRPr="001C2381"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1C2381">
              <w:rPr>
                <w:rFonts w:eastAsiaTheme="minorEastAsia" w:cs="Calibri"/>
                <w:color w:val="000000"/>
                <w:szCs w:val="20"/>
                <w:lang w:eastAsia="en-AU"/>
              </w:rPr>
              <w:t>6 920</w:t>
            </w:r>
          </w:p>
        </w:tc>
        <w:tc>
          <w:tcPr>
            <w:tcW w:w="850" w:type="dxa"/>
            <w:tcBorders>
              <w:top w:val="nil"/>
              <w:left w:val="nil"/>
              <w:bottom w:val="nil"/>
              <w:right w:val="nil"/>
            </w:tcBorders>
          </w:tcPr>
          <w:p w:rsidR="00A46DCA" w:rsidRPr="001C2381"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1C2381">
              <w:rPr>
                <w:rFonts w:eastAsiaTheme="minorEastAsia" w:cs="Calibri"/>
                <w:color w:val="000000"/>
                <w:szCs w:val="20"/>
                <w:lang w:eastAsia="en-AU"/>
              </w:rPr>
              <w:t>7 237</w:t>
            </w:r>
          </w:p>
        </w:tc>
        <w:tc>
          <w:tcPr>
            <w:tcW w:w="850" w:type="dxa"/>
            <w:tcBorders>
              <w:top w:val="nil"/>
              <w:left w:val="nil"/>
              <w:bottom w:val="nil"/>
              <w:right w:val="nil"/>
            </w:tcBorders>
          </w:tcPr>
          <w:p w:rsidR="00A46DCA" w:rsidRPr="001C2381"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1C2381">
              <w:rPr>
                <w:rFonts w:eastAsiaTheme="minorEastAsia" w:cs="Calibri"/>
                <w:color w:val="000000"/>
                <w:szCs w:val="20"/>
                <w:lang w:eastAsia="en-AU"/>
              </w:rPr>
              <w:t>7 419</w:t>
            </w:r>
          </w:p>
        </w:tc>
        <w:tc>
          <w:tcPr>
            <w:tcW w:w="850" w:type="dxa"/>
            <w:tcBorders>
              <w:top w:val="nil"/>
              <w:left w:val="nil"/>
              <w:bottom w:val="nil"/>
              <w:right w:val="nil"/>
            </w:tcBorders>
          </w:tcPr>
          <w:p w:rsidR="00A46DCA" w:rsidRPr="001C2381"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1C2381">
              <w:rPr>
                <w:rFonts w:eastAsiaTheme="minorEastAsia" w:cs="Calibri"/>
                <w:color w:val="000000"/>
                <w:szCs w:val="20"/>
                <w:lang w:eastAsia="en-AU"/>
              </w:rPr>
              <w:t>7 602</w:t>
            </w:r>
          </w:p>
        </w:tc>
      </w:tr>
      <w:tr w:rsidR="00A46DCA" w:rsidRPr="001C2381" w:rsidTr="00A26D04">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A46DCA" w:rsidRPr="001C2381" w:rsidRDefault="00A46DCA" w:rsidP="00A26D04">
            <w:pPr>
              <w:keepLines w:val="0"/>
              <w:autoSpaceDE w:val="0"/>
              <w:autoSpaceDN w:val="0"/>
              <w:adjustRightInd w:val="0"/>
              <w:rPr>
                <w:rFonts w:eastAsiaTheme="minorEastAsia" w:cs="Calibri"/>
                <w:color w:val="000000"/>
                <w:szCs w:val="20"/>
                <w:lang w:eastAsia="en-AU"/>
              </w:rPr>
            </w:pPr>
            <w:r w:rsidRPr="001C2381">
              <w:rPr>
                <w:rFonts w:eastAsiaTheme="minorEastAsia" w:cs="Calibri"/>
                <w:color w:val="000000"/>
                <w:szCs w:val="20"/>
                <w:lang w:eastAsia="en-AU"/>
              </w:rPr>
              <w:t>Premier and Cabinet</w:t>
            </w:r>
          </w:p>
        </w:tc>
        <w:tc>
          <w:tcPr>
            <w:tcW w:w="850" w:type="dxa"/>
            <w:tcBorders>
              <w:top w:val="nil"/>
              <w:left w:val="nil"/>
              <w:bottom w:val="nil"/>
              <w:right w:val="nil"/>
            </w:tcBorders>
          </w:tcPr>
          <w:p w:rsidR="00A46DCA" w:rsidRPr="001C2381"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Pr>
                <w:rFonts w:eastAsiaTheme="minorEastAsia" w:cs="Calibri"/>
                <w:color w:val="000000"/>
                <w:szCs w:val="20"/>
                <w:lang w:eastAsia="en-AU"/>
              </w:rPr>
              <w:t>667</w:t>
            </w:r>
          </w:p>
        </w:tc>
        <w:tc>
          <w:tcPr>
            <w:tcW w:w="850" w:type="dxa"/>
            <w:tcBorders>
              <w:top w:val="nil"/>
              <w:left w:val="nil"/>
              <w:bottom w:val="nil"/>
              <w:right w:val="nil"/>
            </w:tcBorders>
          </w:tcPr>
          <w:p w:rsidR="00A46DCA" w:rsidRPr="001C2381"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Pr>
                <w:rFonts w:eastAsiaTheme="minorEastAsia" w:cs="Calibri"/>
                <w:color w:val="000000"/>
                <w:szCs w:val="20"/>
                <w:lang w:eastAsia="en-AU"/>
              </w:rPr>
              <w:t>706</w:t>
            </w:r>
          </w:p>
        </w:tc>
        <w:tc>
          <w:tcPr>
            <w:tcW w:w="850" w:type="dxa"/>
            <w:tcBorders>
              <w:top w:val="nil"/>
              <w:left w:val="nil"/>
              <w:bottom w:val="nil"/>
              <w:right w:val="nil"/>
            </w:tcBorders>
          </w:tcPr>
          <w:p w:rsidR="00A46DCA" w:rsidRPr="001C2381"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Pr>
                <w:rFonts w:eastAsiaTheme="minorEastAsia" w:cs="Calibri"/>
                <w:color w:val="000000"/>
                <w:szCs w:val="20"/>
                <w:lang w:eastAsia="en-AU"/>
              </w:rPr>
              <w:t>537</w:t>
            </w:r>
          </w:p>
        </w:tc>
        <w:tc>
          <w:tcPr>
            <w:tcW w:w="850" w:type="dxa"/>
            <w:tcBorders>
              <w:top w:val="nil"/>
              <w:left w:val="nil"/>
              <w:bottom w:val="nil"/>
              <w:right w:val="nil"/>
            </w:tcBorders>
          </w:tcPr>
          <w:p w:rsidR="00A46DCA" w:rsidRPr="001C2381"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Pr>
                <w:rFonts w:eastAsiaTheme="minorEastAsia" w:cs="Calibri"/>
                <w:color w:val="000000"/>
                <w:szCs w:val="20"/>
                <w:lang w:eastAsia="en-AU"/>
              </w:rPr>
              <w:t>441</w:t>
            </w:r>
          </w:p>
        </w:tc>
        <w:tc>
          <w:tcPr>
            <w:tcW w:w="850" w:type="dxa"/>
            <w:tcBorders>
              <w:top w:val="nil"/>
              <w:left w:val="nil"/>
              <w:bottom w:val="nil"/>
              <w:right w:val="nil"/>
            </w:tcBorders>
          </w:tcPr>
          <w:p w:rsidR="00A46DCA" w:rsidRPr="001C2381"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Pr>
                <w:rFonts w:eastAsiaTheme="minorEastAsia" w:cs="Calibri"/>
                <w:color w:val="000000"/>
                <w:szCs w:val="20"/>
                <w:lang w:eastAsia="en-AU"/>
              </w:rPr>
              <w:t>403</w:t>
            </w:r>
          </w:p>
        </w:tc>
      </w:tr>
      <w:tr w:rsidR="00A46DCA" w:rsidRPr="001C2381" w:rsidTr="00A26D04">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A46DCA" w:rsidRPr="001C2381" w:rsidRDefault="00A46DCA" w:rsidP="00A26D04">
            <w:pPr>
              <w:keepLines w:val="0"/>
              <w:autoSpaceDE w:val="0"/>
              <w:autoSpaceDN w:val="0"/>
              <w:adjustRightInd w:val="0"/>
              <w:rPr>
                <w:rFonts w:eastAsiaTheme="minorEastAsia" w:cs="Calibri"/>
                <w:color w:val="000000"/>
                <w:szCs w:val="20"/>
                <w:lang w:eastAsia="en-AU"/>
              </w:rPr>
            </w:pPr>
            <w:r w:rsidRPr="001C2381">
              <w:rPr>
                <w:rFonts w:eastAsiaTheme="minorEastAsia" w:cs="Calibri"/>
                <w:color w:val="000000"/>
                <w:szCs w:val="20"/>
                <w:lang w:eastAsia="en-AU"/>
              </w:rPr>
              <w:t xml:space="preserve">Treasury and Finance </w:t>
            </w:r>
          </w:p>
        </w:tc>
        <w:tc>
          <w:tcPr>
            <w:tcW w:w="850" w:type="dxa"/>
            <w:tcBorders>
              <w:top w:val="nil"/>
              <w:left w:val="nil"/>
              <w:bottom w:val="nil"/>
              <w:right w:val="nil"/>
            </w:tcBorders>
          </w:tcPr>
          <w:p w:rsidR="00A46DCA" w:rsidRPr="001C2381"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1C2381">
              <w:rPr>
                <w:rFonts w:eastAsiaTheme="minorEastAsia" w:cs="Calibri"/>
                <w:color w:val="000000"/>
                <w:szCs w:val="20"/>
                <w:lang w:eastAsia="en-AU"/>
              </w:rPr>
              <w:t>7 116</w:t>
            </w:r>
          </w:p>
        </w:tc>
        <w:tc>
          <w:tcPr>
            <w:tcW w:w="850" w:type="dxa"/>
            <w:tcBorders>
              <w:top w:val="nil"/>
              <w:left w:val="nil"/>
              <w:bottom w:val="nil"/>
              <w:right w:val="nil"/>
            </w:tcBorders>
          </w:tcPr>
          <w:p w:rsidR="00A46DCA" w:rsidRPr="001C2381"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1C2381">
              <w:rPr>
                <w:rFonts w:eastAsiaTheme="minorEastAsia" w:cs="Calibri"/>
                <w:color w:val="000000"/>
                <w:szCs w:val="20"/>
                <w:lang w:eastAsia="en-AU"/>
              </w:rPr>
              <w:t>7 325</w:t>
            </w:r>
          </w:p>
        </w:tc>
        <w:tc>
          <w:tcPr>
            <w:tcW w:w="850" w:type="dxa"/>
            <w:tcBorders>
              <w:top w:val="nil"/>
              <w:left w:val="nil"/>
              <w:bottom w:val="nil"/>
              <w:right w:val="nil"/>
            </w:tcBorders>
          </w:tcPr>
          <w:p w:rsidR="00A46DCA" w:rsidRPr="001C2381"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1C2381">
              <w:rPr>
                <w:rFonts w:eastAsiaTheme="minorEastAsia" w:cs="Calibri"/>
                <w:color w:val="000000"/>
                <w:szCs w:val="20"/>
                <w:lang w:eastAsia="en-AU"/>
              </w:rPr>
              <w:t>7 779</w:t>
            </w:r>
          </w:p>
        </w:tc>
        <w:tc>
          <w:tcPr>
            <w:tcW w:w="850" w:type="dxa"/>
            <w:tcBorders>
              <w:top w:val="nil"/>
              <w:left w:val="nil"/>
              <w:bottom w:val="nil"/>
              <w:right w:val="nil"/>
            </w:tcBorders>
          </w:tcPr>
          <w:p w:rsidR="00A46DCA" w:rsidRPr="001C2381"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1C2381">
              <w:rPr>
                <w:rFonts w:eastAsiaTheme="minorEastAsia" w:cs="Calibri"/>
                <w:color w:val="000000"/>
                <w:szCs w:val="20"/>
                <w:lang w:eastAsia="en-AU"/>
              </w:rPr>
              <w:t>7 231</w:t>
            </w:r>
          </w:p>
        </w:tc>
        <w:tc>
          <w:tcPr>
            <w:tcW w:w="850" w:type="dxa"/>
            <w:tcBorders>
              <w:top w:val="nil"/>
              <w:left w:val="nil"/>
              <w:bottom w:val="nil"/>
              <w:right w:val="nil"/>
            </w:tcBorders>
          </w:tcPr>
          <w:p w:rsidR="00A46DCA" w:rsidRPr="001C2381"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1C2381">
              <w:rPr>
                <w:rFonts w:eastAsiaTheme="minorEastAsia" w:cs="Calibri"/>
                <w:color w:val="000000"/>
                <w:szCs w:val="20"/>
                <w:lang w:eastAsia="en-AU"/>
              </w:rPr>
              <w:t>7 454</w:t>
            </w:r>
          </w:p>
        </w:tc>
      </w:tr>
      <w:tr w:rsidR="00A46DCA" w:rsidRPr="001C2381" w:rsidTr="00A26D04">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A46DCA" w:rsidRPr="001C2381" w:rsidRDefault="00A46DCA" w:rsidP="00A26D04">
            <w:pPr>
              <w:keepLines w:val="0"/>
              <w:autoSpaceDE w:val="0"/>
              <w:autoSpaceDN w:val="0"/>
              <w:adjustRightInd w:val="0"/>
              <w:rPr>
                <w:rFonts w:eastAsiaTheme="minorEastAsia" w:cs="Calibri"/>
                <w:color w:val="000000"/>
                <w:szCs w:val="20"/>
                <w:lang w:eastAsia="en-AU"/>
              </w:rPr>
            </w:pPr>
            <w:r w:rsidRPr="001C2381">
              <w:rPr>
                <w:rFonts w:eastAsiaTheme="minorEastAsia" w:cs="Calibri"/>
                <w:color w:val="000000"/>
                <w:szCs w:val="20"/>
                <w:lang w:eastAsia="en-AU"/>
              </w:rPr>
              <w:t>Parliament</w:t>
            </w:r>
          </w:p>
        </w:tc>
        <w:tc>
          <w:tcPr>
            <w:tcW w:w="850" w:type="dxa"/>
            <w:tcBorders>
              <w:top w:val="nil"/>
              <w:left w:val="nil"/>
              <w:bottom w:val="nil"/>
              <w:right w:val="nil"/>
            </w:tcBorders>
          </w:tcPr>
          <w:p w:rsidR="00A46DCA" w:rsidRPr="001C2381"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Pr>
                <w:rFonts w:eastAsiaTheme="minorEastAsia" w:cs="Calibri"/>
                <w:color w:val="000000"/>
                <w:szCs w:val="20"/>
                <w:lang w:eastAsia="en-AU"/>
              </w:rPr>
              <w:t>222</w:t>
            </w:r>
          </w:p>
        </w:tc>
        <w:tc>
          <w:tcPr>
            <w:tcW w:w="850" w:type="dxa"/>
            <w:tcBorders>
              <w:top w:val="nil"/>
              <w:left w:val="nil"/>
              <w:bottom w:val="nil"/>
              <w:right w:val="nil"/>
            </w:tcBorders>
          </w:tcPr>
          <w:p w:rsidR="00A46DCA" w:rsidRPr="001C2381"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Pr>
                <w:rFonts w:eastAsiaTheme="minorEastAsia" w:cs="Calibri"/>
                <w:color w:val="000000"/>
                <w:szCs w:val="20"/>
                <w:lang w:eastAsia="en-AU"/>
              </w:rPr>
              <w:t>224</w:t>
            </w:r>
          </w:p>
        </w:tc>
        <w:tc>
          <w:tcPr>
            <w:tcW w:w="850" w:type="dxa"/>
            <w:tcBorders>
              <w:top w:val="nil"/>
              <w:left w:val="nil"/>
              <w:bottom w:val="nil"/>
              <w:right w:val="nil"/>
            </w:tcBorders>
          </w:tcPr>
          <w:p w:rsidR="00A46DCA" w:rsidRPr="001C2381"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Pr>
                <w:rFonts w:eastAsiaTheme="minorEastAsia" w:cs="Calibri"/>
                <w:color w:val="000000"/>
                <w:szCs w:val="20"/>
                <w:lang w:eastAsia="en-AU"/>
              </w:rPr>
              <w:t>221</w:t>
            </w:r>
          </w:p>
        </w:tc>
        <w:tc>
          <w:tcPr>
            <w:tcW w:w="850" w:type="dxa"/>
            <w:tcBorders>
              <w:top w:val="nil"/>
              <w:left w:val="nil"/>
              <w:bottom w:val="nil"/>
              <w:right w:val="nil"/>
            </w:tcBorders>
          </w:tcPr>
          <w:p w:rsidR="00A46DCA" w:rsidRPr="001C2381"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Pr>
                <w:rFonts w:eastAsiaTheme="minorEastAsia" w:cs="Calibri"/>
                <w:color w:val="000000"/>
                <w:szCs w:val="20"/>
                <w:lang w:eastAsia="en-AU"/>
              </w:rPr>
              <w:t>225</w:t>
            </w:r>
          </w:p>
        </w:tc>
        <w:tc>
          <w:tcPr>
            <w:tcW w:w="850" w:type="dxa"/>
            <w:tcBorders>
              <w:top w:val="nil"/>
              <w:left w:val="nil"/>
              <w:bottom w:val="nil"/>
              <w:right w:val="nil"/>
            </w:tcBorders>
          </w:tcPr>
          <w:p w:rsidR="00A46DCA" w:rsidRPr="001C2381"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Pr>
                <w:rFonts w:eastAsiaTheme="minorEastAsia" w:cs="Calibri"/>
                <w:color w:val="000000"/>
                <w:szCs w:val="20"/>
                <w:lang w:eastAsia="en-AU"/>
              </w:rPr>
              <w:t>228</w:t>
            </w:r>
          </w:p>
        </w:tc>
      </w:tr>
      <w:tr w:rsidR="00A46DCA" w:rsidRPr="001C2381" w:rsidTr="00A26D04">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A46DCA" w:rsidRPr="001C2381" w:rsidRDefault="00A46DCA" w:rsidP="00A26D04">
            <w:pPr>
              <w:keepLines w:val="0"/>
              <w:autoSpaceDE w:val="0"/>
              <w:autoSpaceDN w:val="0"/>
              <w:adjustRightInd w:val="0"/>
              <w:rPr>
                <w:rFonts w:eastAsiaTheme="minorEastAsia" w:cs="Calibri"/>
                <w:color w:val="000000"/>
                <w:szCs w:val="20"/>
                <w:lang w:eastAsia="en-AU"/>
              </w:rPr>
            </w:pPr>
            <w:r w:rsidRPr="001C2381">
              <w:rPr>
                <w:rFonts w:eastAsiaTheme="minorEastAsia" w:cs="Calibri"/>
                <w:color w:val="000000"/>
                <w:szCs w:val="20"/>
                <w:lang w:eastAsia="en-AU"/>
              </w:rPr>
              <w:t>Courts</w:t>
            </w:r>
          </w:p>
        </w:tc>
        <w:tc>
          <w:tcPr>
            <w:tcW w:w="850" w:type="dxa"/>
            <w:tcBorders>
              <w:top w:val="nil"/>
              <w:left w:val="nil"/>
              <w:bottom w:val="nil"/>
              <w:right w:val="nil"/>
            </w:tcBorders>
          </w:tcPr>
          <w:p w:rsidR="00A46DCA" w:rsidRPr="001C2381"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Pr>
                <w:rFonts w:eastAsiaTheme="minorEastAsia" w:cs="Calibri"/>
                <w:color w:val="000000"/>
                <w:szCs w:val="20"/>
                <w:lang w:eastAsia="en-AU"/>
              </w:rPr>
              <w:t>573</w:t>
            </w:r>
          </w:p>
        </w:tc>
        <w:tc>
          <w:tcPr>
            <w:tcW w:w="850" w:type="dxa"/>
            <w:tcBorders>
              <w:top w:val="nil"/>
              <w:left w:val="nil"/>
              <w:bottom w:val="nil"/>
              <w:right w:val="nil"/>
            </w:tcBorders>
          </w:tcPr>
          <w:p w:rsidR="00A46DCA" w:rsidRPr="001C2381"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Pr>
                <w:rFonts w:eastAsiaTheme="minorEastAsia" w:cs="Calibri"/>
                <w:color w:val="000000"/>
                <w:szCs w:val="20"/>
                <w:lang w:eastAsia="en-AU"/>
              </w:rPr>
              <w:t>614</w:t>
            </w:r>
          </w:p>
        </w:tc>
        <w:tc>
          <w:tcPr>
            <w:tcW w:w="850" w:type="dxa"/>
            <w:tcBorders>
              <w:top w:val="nil"/>
              <w:left w:val="nil"/>
              <w:bottom w:val="nil"/>
              <w:right w:val="nil"/>
            </w:tcBorders>
          </w:tcPr>
          <w:p w:rsidR="00A46DCA" w:rsidRPr="001C2381"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Pr>
                <w:rFonts w:eastAsiaTheme="minorEastAsia" w:cs="Calibri"/>
                <w:color w:val="000000"/>
                <w:szCs w:val="20"/>
                <w:lang w:eastAsia="en-AU"/>
              </w:rPr>
              <w:t>628</w:t>
            </w:r>
          </w:p>
        </w:tc>
        <w:tc>
          <w:tcPr>
            <w:tcW w:w="850" w:type="dxa"/>
            <w:tcBorders>
              <w:top w:val="nil"/>
              <w:left w:val="nil"/>
              <w:bottom w:val="nil"/>
              <w:right w:val="nil"/>
            </w:tcBorders>
          </w:tcPr>
          <w:p w:rsidR="00A46DCA" w:rsidRPr="001C2381"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Pr>
                <w:rFonts w:eastAsiaTheme="minorEastAsia" w:cs="Calibri"/>
                <w:color w:val="000000"/>
                <w:szCs w:val="20"/>
                <w:lang w:eastAsia="en-AU"/>
              </w:rPr>
              <w:t>655</w:t>
            </w:r>
          </w:p>
        </w:tc>
        <w:tc>
          <w:tcPr>
            <w:tcW w:w="850" w:type="dxa"/>
            <w:tcBorders>
              <w:top w:val="nil"/>
              <w:left w:val="nil"/>
              <w:bottom w:val="nil"/>
              <w:right w:val="nil"/>
            </w:tcBorders>
          </w:tcPr>
          <w:p w:rsidR="00A46DCA" w:rsidRPr="001C2381"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Pr>
                <w:rFonts w:eastAsiaTheme="minorEastAsia" w:cs="Calibri"/>
                <w:color w:val="000000"/>
                <w:szCs w:val="20"/>
                <w:lang w:eastAsia="en-AU"/>
              </w:rPr>
              <w:t>662</w:t>
            </w:r>
          </w:p>
        </w:tc>
      </w:tr>
      <w:tr w:rsidR="00A46DCA" w:rsidRPr="001C2381" w:rsidTr="00A26D04">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A46DCA" w:rsidRPr="001C2381" w:rsidRDefault="00A46DCA" w:rsidP="00A26D04">
            <w:pPr>
              <w:keepLines w:val="0"/>
              <w:autoSpaceDE w:val="0"/>
              <w:autoSpaceDN w:val="0"/>
              <w:adjustRightInd w:val="0"/>
              <w:rPr>
                <w:rFonts w:eastAsiaTheme="minorEastAsia" w:cs="Calibri"/>
                <w:color w:val="000000"/>
                <w:szCs w:val="20"/>
                <w:vertAlign w:val="superscript"/>
                <w:lang w:eastAsia="en-AU"/>
              </w:rPr>
            </w:pPr>
            <w:r w:rsidRPr="001C2381">
              <w:rPr>
                <w:rFonts w:eastAsiaTheme="minorEastAsia" w:cs="Calibri"/>
                <w:color w:val="000000"/>
                <w:szCs w:val="20"/>
                <w:lang w:eastAsia="en-AU"/>
              </w:rPr>
              <w:t xml:space="preserve">Regulatory bodies and other part funded agencies </w:t>
            </w:r>
            <w:r w:rsidRPr="001C2381">
              <w:rPr>
                <w:rFonts w:eastAsiaTheme="minorEastAsia" w:cs="Calibri"/>
                <w:color w:val="000000"/>
                <w:szCs w:val="20"/>
                <w:vertAlign w:val="superscript"/>
                <w:lang w:eastAsia="en-AU"/>
              </w:rPr>
              <w:t>(a)</w:t>
            </w:r>
          </w:p>
        </w:tc>
        <w:tc>
          <w:tcPr>
            <w:tcW w:w="850" w:type="dxa"/>
            <w:tcBorders>
              <w:top w:val="nil"/>
              <w:left w:val="nil"/>
              <w:bottom w:val="nil"/>
              <w:right w:val="nil"/>
            </w:tcBorders>
          </w:tcPr>
          <w:p w:rsidR="00A46DCA" w:rsidRPr="001C2381"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1C2381">
              <w:rPr>
                <w:rFonts w:eastAsiaTheme="minorEastAsia" w:cs="Calibri"/>
                <w:color w:val="000000"/>
                <w:szCs w:val="20"/>
                <w:lang w:eastAsia="en-AU"/>
              </w:rPr>
              <w:t>2 172</w:t>
            </w:r>
          </w:p>
        </w:tc>
        <w:tc>
          <w:tcPr>
            <w:tcW w:w="850" w:type="dxa"/>
            <w:tcBorders>
              <w:top w:val="nil"/>
              <w:left w:val="nil"/>
              <w:bottom w:val="nil"/>
              <w:right w:val="nil"/>
            </w:tcBorders>
          </w:tcPr>
          <w:p w:rsidR="00A46DCA" w:rsidRPr="001C2381"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1C2381">
              <w:rPr>
                <w:rFonts w:eastAsiaTheme="minorEastAsia" w:cs="Calibri"/>
                <w:color w:val="000000"/>
                <w:szCs w:val="20"/>
                <w:lang w:eastAsia="en-AU"/>
              </w:rPr>
              <w:t>2 281</w:t>
            </w:r>
          </w:p>
        </w:tc>
        <w:tc>
          <w:tcPr>
            <w:tcW w:w="850" w:type="dxa"/>
            <w:tcBorders>
              <w:top w:val="nil"/>
              <w:left w:val="nil"/>
              <w:bottom w:val="nil"/>
              <w:right w:val="nil"/>
            </w:tcBorders>
          </w:tcPr>
          <w:p w:rsidR="00A46DCA" w:rsidRPr="001C2381"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1C2381">
              <w:rPr>
                <w:rFonts w:eastAsiaTheme="minorEastAsia" w:cs="Calibri"/>
                <w:color w:val="000000"/>
                <w:szCs w:val="20"/>
                <w:lang w:eastAsia="en-AU"/>
              </w:rPr>
              <w:t>2 206</w:t>
            </w:r>
          </w:p>
        </w:tc>
        <w:tc>
          <w:tcPr>
            <w:tcW w:w="850" w:type="dxa"/>
            <w:tcBorders>
              <w:top w:val="nil"/>
              <w:left w:val="nil"/>
              <w:bottom w:val="nil"/>
              <w:right w:val="nil"/>
            </w:tcBorders>
          </w:tcPr>
          <w:p w:rsidR="00A46DCA" w:rsidRPr="001C2381"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1C2381">
              <w:rPr>
                <w:rFonts w:eastAsiaTheme="minorEastAsia" w:cs="Calibri"/>
                <w:color w:val="000000"/>
                <w:szCs w:val="20"/>
                <w:lang w:eastAsia="en-AU"/>
              </w:rPr>
              <w:t>2 232</w:t>
            </w:r>
          </w:p>
        </w:tc>
        <w:tc>
          <w:tcPr>
            <w:tcW w:w="850" w:type="dxa"/>
            <w:tcBorders>
              <w:top w:val="nil"/>
              <w:left w:val="nil"/>
              <w:bottom w:val="nil"/>
              <w:right w:val="nil"/>
            </w:tcBorders>
          </w:tcPr>
          <w:p w:rsidR="00A46DCA" w:rsidRPr="001C2381"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1C2381">
              <w:rPr>
                <w:rFonts w:eastAsiaTheme="minorEastAsia" w:cs="Calibri"/>
                <w:color w:val="000000"/>
                <w:szCs w:val="20"/>
                <w:lang w:eastAsia="en-AU"/>
              </w:rPr>
              <w:t>2 273</w:t>
            </w:r>
          </w:p>
        </w:tc>
      </w:tr>
      <w:tr w:rsidR="00A46DCA" w:rsidRPr="001C2381" w:rsidTr="00A26D04">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single" w:sz="6" w:space="0" w:color="auto"/>
              <w:right w:val="nil"/>
            </w:tcBorders>
          </w:tcPr>
          <w:p w:rsidR="00A46DCA" w:rsidRPr="001C2381" w:rsidRDefault="00A46DCA" w:rsidP="00A26D04">
            <w:pPr>
              <w:keepLines w:val="0"/>
              <w:autoSpaceDE w:val="0"/>
              <w:autoSpaceDN w:val="0"/>
              <w:adjustRightInd w:val="0"/>
              <w:rPr>
                <w:rFonts w:eastAsiaTheme="minorEastAsia" w:cs="Calibri"/>
                <w:color w:val="000000"/>
                <w:szCs w:val="20"/>
                <w:vertAlign w:val="superscript"/>
                <w:lang w:eastAsia="en-AU"/>
              </w:rPr>
            </w:pPr>
            <w:r w:rsidRPr="001C2381">
              <w:rPr>
                <w:rFonts w:eastAsiaTheme="minorEastAsia" w:cs="Calibri"/>
                <w:color w:val="000000"/>
                <w:szCs w:val="20"/>
                <w:lang w:eastAsia="en-AU"/>
              </w:rPr>
              <w:t xml:space="preserve">Output contingencies not allocated to departments </w:t>
            </w:r>
            <w:r w:rsidRPr="001C2381">
              <w:rPr>
                <w:rFonts w:eastAsiaTheme="minorEastAsia" w:cs="Calibri"/>
                <w:color w:val="000000"/>
                <w:szCs w:val="20"/>
                <w:vertAlign w:val="superscript"/>
                <w:lang w:eastAsia="en-AU"/>
              </w:rPr>
              <w:t>(b)</w:t>
            </w:r>
          </w:p>
        </w:tc>
        <w:tc>
          <w:tcPr>
            <w:tcW w:w="850" w:type="dxa"/>
            <w:tcBorders>
              <w:top w:val="nil"/>
              <w:left w:val="nil"/>
              <w:bottom w:val="nil"/>
              <w:right w:val="nil"/>
            </w:tcBorders>
          </w:tcPr>
          <w:p w:rsidR="00A46DCA" w:rsidRPr="001C2381"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1C2381">
              <w:rPr>
                <w:rFonts w:eastAsiaTheme="minorEastAsia" w:cs="Calibri"/>
                <w:color w:val="000000"/>
                <w:szCs w:val="20"/>
                <w:lang w:eastAsia="en-AU"/>
              </w:rPr>
              <w:t>1 114</w:t>
            </w:r>
          </w:p>
        </w:tc>
        <w:tc>
          <w:tcPr>
            <w:tcW w:w="850" w:type="dxa"/>
            <w:tcBorders>
              <w:top w:val="nil"/>
              <w:left w:val="nil"/>
              <w:bottom w:val="nil"/>
              <w:right w:val="nil"/>
            </w:tcBorders>
          </w:tcPr>
          <w:p w:rsidR="00A46DCA" w:rsidRPr="001C2381"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Pr>
                <w:rFonts w:eastAsiaTheme="minorEastAsia" w:cs="Calibri"/>
                <w:color w:val="000000"/>
                <w:szCs w:val="20"/>
                <w:lang w:eastAsia="en-AU"/>
              </w:rPr>
              <w:t>771</w:t>
            </w:r>
          </w:p>
        </w:tc>
        <w:tc>
          <w:tcPr>
            <w:tcW w:w="850" w:type="dxa"/>
            <w:tcBorders>
              <w:top w:val="nil"/>
              <w:left w:val="nil"/>
              <w:bottom w:val="nil"/>
              <w:right w:val="nil"/>
            </w:tcBorders>
          </w:tcPr>
          <w:p w:rsidR="00A46DCA" w:rsidRPr="001C2381"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1C2381">
              <w:rPr>
                <w:rFonts w:eastAsiaTheme="minorEastAsia" w:cs="Calibri"/>
                <w:color w:val="000000"/>
                <w:szCs w:val="20"/>
                <w:lang w:eastAsia="en-AU"/>
              </w:rPr>
              <w:t>2 467</w:t>
            </w:r>
          </w:p>
        </w:tc>
        <w:tc>
          <w:tcPr>
            <w:tcW w:w="850" w:type="dxa"/>
            <w:tcBorders>
              <w:top w:val="nil"/>
              <w:left w:val="nil"/>
              <w:bottom w:val="nil"/>
              <w:right w:val="nil"/>
            </w:tcBorders>
          </w:tcPr>
          <w:p w:rsidR="00A46DCA" w:rsidRPr="001C2381"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1C2381">
              <w:rPr>
                <w:rFonts w:eastAsiaTheme="minorEastAsia" w:cs="Calibri"/>
                <w:color w:val="000000"/>
                <w:szCs w:val="20"/>
                <w:lang w:eastAsia="en-AU"/>
              </w:rPr>
              <w:t>3 082</w:t>
            </w:r>
          </w:p>
        </w:tc>
        <w:tc>
          <w:tcPr>
            <w:tcW w:w="850" w:type="dxa"/>
            <w:tcBorders>
              <w:top w:val="nil"/>
              <w:left w:val="nil"/>
              <w:bottom w:val="nil"/>
              <w:right w:val="nil"/>
            </w:tcBorders>
          </w:tcPr>
          <w:p w:rsidR="00A46DCA" w:rsidRPr="001C2381"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1C2381">
              <w:rPr>
                <w:rFonts w:eastAsiaTheme="minorEastAsia" w:cs="Calibri"/>
                <w:color w:val="000000"/>
                <w:szCs w:val="20"/>
                <w:lang w:eastAsia="en-AU"/>
              </w:rPr>
              <w:t>4 438</w:t>
            </w:r>
          </w:p>
        </w:tc>
      </w:tr>
      <w:tr w:rsidR="00A46DCA" w:rsidRPr="001C2381" w:rsidTr="00A26D04">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A46DCA" w:rsidRPr="001C2381" w:rsidRDefault="00A46DCA" w:rsidP="00A26D04">
            <w:pPr>
              <w:keepLines w:val="0"/>
              <w:autoSpaceDE w:val="0"/>
              <w:autoSpaceDN w:val="0"/>
              <w:adjustRightInd w:val="0"/>
              <w:rPr>
                <w:rFonts w:eastAsiaTheme="minorEastAsia" w:cs="Calibri"/>
                <w:b/>
                <w:bCs/>
                <w:color w:val="000000"/>
                <w:szCs w:val="20"/>
                <w:lang w:eastAsia="en-AU"/>
              </w:rPr>
            </w:pPr>
            <w:r w:rsidRPr="001C2381">
              <w:rPr>
                <w:rFonts w:eastAsiaTheme="minorEastAsia" w:cs="Calibri"/>
                <w:b/>
                <w:bCs/>
                <w:color w:val="000000"/>
                <w:szCs w:val="20"/>
                <w:lang w:eastAsia="en-AU"/>
              </w:rPr>
              <w:t xml:space="preserve">Total expenses by department </w:t>
            </w:r>
          </w:p>
        </w:tc>
        <w:tc>
          <w:tcPr>
            <w:tcW w:w="850" w:type="dxa"/>
            <w:tcBorders>
              <w:top w:val="single" w:sz="6" w:space="0" w:color="auto"/>
              <w:left w:val="nil"/>
              <w:bottom w:val="nil"/>
              <w:right w:val="nil"/>
            </w:tcBorders>
          </w:tcPr>
          <w:p w:rsidR="00A46DCA" w:rsidRPr="001C2381"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0"/>
                <w:lang w:eastAsia="en-AU"/>
              </w:rPr>
            </w:pPr>
            <w:r w:rsidRPr="001C2381">
              <w:rPr>
                <w:rFonts w:eastAsiaTheme="minorEastAsia" w:cs="Calibri"/>
                <w:b/>
                <w:bCs/>
                <w:color w:val="000000"/>
                <w:szCs w:val="20"/>
                <w:lang w:eastAsia="en-AU"/>
              </w:rPr>
              <w:t>73 783</w:t>
            </w:r>
          </w:p>
        </w:tc>
        <w:tc>
          <w:tcPr>
            <w:tcW w:w="850" w:type="dxa"/>
            <w:tcBorders>
              <w:top w:val="single" w:sz="6" w:space="0" w:color="auto"/>
              <w:left w:val="nil"/>
              <w:bottom w:val="nil"/>
              <w:right w:val="nil"/>
            </w:tcBorders>
          </w:tcPr>
          <w:p w:rsidR="00A46DCA" w:rsidRPr="001C2381"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0"/>
                <w:lang w:eastAsia="en-AU"/>
              </w:rPr>
            </w:pPr>
            <w:r w:rsidRPr="001C2381">
              <w:rPr>
                <w:rFonts w:eastAsiaTheme="minorEastAsia" w:cs="Calibri"/>
                <w:b/>
                <w:bCs/>
                <w:color w:val="000000"/>
                <w:szCs w:val="20"/>
                <w:lang w:eastAsia="en-AU"/>
              </w:rPr>
              <w:t>74 409</w:t>
            </w:r>
          </w:p>
        </w:tc>
        <w:tc>
          <w:tcPr>
            <w:tcW w:w="850" w:type="dxa"/>
            <w:tcBorders>
              <w:top w:val="single" w:sz="6" w:space="0" w:color="auto"/>
              <w:left w:val="nil"/>
              <w:bottom w:val="nil"/>
              <w:right w:val="nil"/>
            </w:tcBorders>
          </w:tcPr>
          <w:p w:rsidR="00A46DCA" w:rsidRPr="001C2381"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0"/>
                <w:lang w:eastAsia="en-AU"/>
              </w:rPr>
            </w:pPr>
            <w:r w:rsidRPr="001C2381">
              <w:rPr>
                <w:rFonts w:eastAsiaTheme="minorEastAsia" w:cs="Calibri"/>
                <w:b/>
                <w:bCs/>
                <w:color w:val="000000"/>
                <w:szCs w:val="20"/>
                <w:lang w:eastAsia="en-AU"/>
              </w:rPr>
              <w:t>76 758</w:t>
            </w:r>
          </w:p>
        </w:tc>
        <w:tc>
          <w:tcPr>
            <w:tcW w:w="850" w:type="dxa"/>
            <w:tcBorders>
              <w:top w:val="single" w:sz="6" w:space="0" w:color="auto"/>
              <w:left w:val="nil"/>
              <w:bottom w:val="nil"/>
              <w:right w:val="nil"/>
            </w:tcBorders>
          </w:tcPr>
          <w:p w:rsidR="00A46DCA" w:rsidRPr="001C2381"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0"/>
                <w:lang w:eastAsia="en-AU"/>
              </w:rPr>
            </w:pPr>
            <w:r w:rsidRPr="001C2381">
              <w:rPr>
                <w:rFonts w:eastAsiaTheme="minorEastAsia" w:cs="Calibri"/>
                <w:b/>
                <w:bCs/>
                <w:color w:val="000000"/>
                <w:szCs w:val="20"/>
                <w:lang w:eastAsia="en-AU"/>
              </w:rPr>
              <w:t>77 775</w:t>
            </w:r>
          </w:p>
        </w:tc>
        <w:tc>
          <w:tcPr>
            <w:tcW w:w="850" w:type="dxa"/>
            <w:tcBorders>
              <w:top w:val="single" w:sz="6" w:space="0" w:color="auto"/>
              <w:left w:val="nil"/>
              <w:bottom w:val="nil"/>
              <w:right w:val="nil"/>
            </w:tcBorders>
          </w:tcPr>
          <w:p w:rsidR="00A46DCA" w:rsidRPr="001C2381"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0"/>
                <w:lang w:eastAsia="en-AU"/>
              </w:rPr>
            </w:pPr>
            <w:r w:rsidRPr="001C2381">
              <w:rPr>
                <w:rFonts w:eastAsiaTheme="minorEastAsia" w:cs="Calibri"/>
                <w:b/>
                <w:bCs/>
                <w:color w:val="000000"/>
                <w:szCs w:val="20"/>
                <w:lang w:eastAsia="en-AU"/>
              </w:rPr>
              <w:t>79 796</w:t>
            </w:r>
          </w:p>
        </w:tc>
      </w:tr>
      <w:tr w:rsidR="00A46DCA" w:rsidRPr="001C2381" w:rsidTr="00A26D04">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A46DCA" w:rsidRPr="001C2381" w:rsidRDefault="00A46DCA" w:rsidP="00A26D04">
            <w:pPr>
              <w:keepLines w:val="0"/>
              <w:autoSpaceDE w:val="0"/>
              <w:autoSpaceDN w:val="0"/>
              <w:adjustRightInd w:val="0"/>
              <w:rPr>
                <w:rFonts w:eastAsiaTheme="minorEastAsia" w:cs="Calibri"/>
                <w:i/>
                <w:iCs/>
                <w:color w:val="000000"/>
                <w:szCs w:val="20"/>
                <w:vertAlign w:val="superscript"/>
                <w:lang w:eastAsia="en-AU"/>
              </w:rPr>
            </w:pPr>
            <w:r w:rsidRPr="001C2381">
              <w:rPr>
                <w:rFonts w:eastAsiaTheme="minorEastAsia" w:cs="Calibri"/>
                <w:i/>
                <w:iCs/>
                <w:color w:val="000000"/>
                <w:szCs w:val="20"/>
                <w:lang w:eastAsia="en-AU"/>
              </w:rPr>
              <w:t xml:space="preserve">Less eliminations and adjustments </w:t>
            </w:r>
            <w:r w:rsidRPr="001C2381">
              <w:rPr>
                <w:rFonts w:eastAsiaTheme="minorEastAsia" w:cs="Calibri"/>
                <w:i/>
                <w:iCs/>
                <w:color w:val="000000"/>
                <w:szCs w:val="20"/>
                <w:vertAlign w:val="superscript"/>
                <w:lang w:eastAsia="en-AU"/>
              </w:rPr>
              <w:t>(c)</w:t>
            </w:r>
          </w:p>
        </w:tc>
        <w:tc>
          <w:tcPr>
            <w:tcW w:w="850" w:type="dxa"/>
            <w:tcBorders>
              <w:top w:val="nil"/>
              <w:left w:val="nil"/>
              <w:bottom w:val="nil"/>
              <w:right w:val="nil"/>
            </w:tcBorders>
          </w:tcPr>
          <w:p w:rsidR="00A46DCA" w:rsidRPr="001C2381"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1C2381">
              <w:rPr>
                <w:rFonts w:eastAsiaTheme="minorEastAsia" w:cs="Calibri"/>
                <w:color w:val="000000"/>
                <w:szCs w:val="20"/>
                <w:lang w:eastAsia="en-AU"/>
              </w:rPr>
              <w:t>(11 532)</w:t>
            </w:r>
          </w:p>
        </w:tc>
        <w:tc>
          <w:tcPr>
            <w:tcW w:w="850" w:type="dxa"/>
            <w:tcBorders>
              <w:top w:val="nil"/>
              <w:left w:val="nil"/>
              <w:bottom w:val="nil"/>
              <w:right w:val="nil"/>
            </w:tcBorders>
          </w:tcPr>
          <w:p w:rsidR="00A46DCA" w:rsidRPr="001C2381"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1C2381">
              <w:rPr>
                <w:rFonts w:eastAsiaTheme="minorEastAsia" w:cs="Calibri"/>
                <w:color w:val="000000"/>
                <w:szCs w:val="20"/>
                <w:lang w:eastAsia="en-AU"/>
              </w:rPr>
              <w:t>(11 737)</w:t>
            </w:r>
          </w:p>
        </w:tc>
        <w:tc>
          <w:tcPr>
            <w:tcW w:w="850" w:type="dxa"/>
            <w:tcBorders>
              <w:top w:val="nil"/>
              <w:left w:val="nil"/>
              <w:bottom w:val="nil"/>
              <w:right w:val="nil"/>
            </w:tcBorders>
          </w:tcPr>
          <w:p w:rsidR="00A46DCA" w:rsidRPr="001C2381"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1C2381">
              <w:rPr>
                <w:rFonts w:eastAsiaTheme="minorEastAsia" w:cs="Calibri"/>
                <w:color w:val="000000"/>
                <w:szCs w:val="20"/>
                <w:lang w:eastAsia="en-AU"/>
              </w:rPr>
              <w:t>(11 070)</w:t>
            </w:r>
          </w:p>
        </w:tc>
        <w:tc>
          <w:tcPr>
            <w:tcW w:w="850" w:type="dxa"/>
            <w:tcBorders>
              <w:top w:val="nil"/>
              <w:left w:val="nil"/>
              <w:bottom w:val="nil"/>
              <w:right w:val="nil"/>
            </w:tcBorders>
          </w:tcPr>
          <w:p w:rsidR="00A46DCA" w:rsidRPr="001C2381"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1C2381">
              <w:rPr>
                <w:rFonts w:eastAsiaTheme="minorEastAsia" w:cs="Calibri"/>
                <w:color w:val="000000"/>
                <w:szCs w:val="20"/>
                <w:lang w:eastAsia="en-AU"/>
              </w:rPr>
              <w:t>(10 628)</w:t>
            </w:r>
          </w:p>
        </w:tc>
        <w:tc>
          <w:tcPr>
            <w:tcW w:w="850" w:type="dxa"/>
            <w:tcBorders>
              <w:top w:val="nil"/>
              <w:left w:val="nil"/>
              <w:bottom w:val="nil"/>
              <w:right w:val="nil"/>
            </w:tcBorders>
          </w:tcPr>
          <w:p w:rsidR="00A46DCA" w:rsidRPr="001C2381"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1C2381">
              <w:rPr>
                <w:rFonts w:eastAsiaTheme="minorEastAsia" w:cs="Calibri"/>
                <w:color w:val="000000"/>
                <w:szCs w:val="20"/>
                <w:lang w:eastAsia="en-AU"/>
              </w:rPr>
              <w:t>(10 775)</w:t>
            </w:r>
          </w:p>
        </w:tc>
      </w:tr>
      <w:tr w:rsidR="00A46DCA" w:rsidRPr="001C2381" w:rsidTr="00A26D04">
        <w:tc>
          <w:tcPr>
            <w:cnfStyle w:val="001000000000" w:firstRow="0" w:lastRow="0" w:firstColumn="1" w:lastColumn="0" w:oddVBand="0" w:evenVBand="0" w:oddHBand="0" w:evenHBand="0" w:firstRowFirstColumn="0" w:firstRowLastColumn="0" w:lastRowFirstColumn="0" w:lastRowLastColumn="0"/>
            <w:tcW w:w="3515" w:type="dxa"/>
            <w:tcBorders>
              <w:top w:val="single" w:sz="6" w:space="0" w:color="auto"/>
              <w:left w:val="nil"/>
              <w:bottom w:val="single" w:sz="12" w:space="0" w:color="auto"/>
              <w:right w:val="nil"/>
            </w:tcBorders>
          </w:tcPr>
          <w:p w:rsidR="00A46DCA" w:rsidRPr="001C2381" w:rsidRDefault="00A46DCA" w:rsidP="00A26D04">
            <w:pPr>
              <w:keepLines w:val="0"/>
              <w:autoSpaceDE w:val="0"/>
              <w:autoSpaceDN w:val="0"/>
              <w:adjustRightInd w:val="0"/>
              <w:rPr>
                <w:rFonts w:eastAsiaTheme="minorEastAsia" w:cs="Calibri"/>
                <w:b/>
                <w:bCs/>
                <w:color w:val="000000"/>
                <w:szCs w:val="20"/>
                <w:lang w:eastAsia="en-AU"/>
              </w:rPr>
            </w:pPr>
            <w:r w:rsidRPr="001C2381">
              <w:rPr>
                <w:rFonts w:eastAsiaTheme="minorEastAsia" w:cs="Calibri"/>
                <w:b/>
                <w:bCs/>
                <w:color w:val="000000"/>
                <w:szCs w:val="20"/>
                <w:lang w:eastAsia="en-AU"/>
              </w:rPr>
              <w:t xml:space="preserve">Total expenses </w:t>
            </w:r>
          </w:p>
        </w:tc>
        <w:tc>
          <w:tcPr>
            <w:tcW w:w="850" w:type="dxa"/>
            <w:tcBorders>
              <w:top w:val="single" w:sz="6" w:space="0" w:color="auto"/>
              <w:left w:val="nil"/>
              <w:bottom w:val="single" w:sz="12" w:space="0" w:color="auto"/>
              <w:right w:val="nil"/>
            </w:tcBorders>
          </w:tcPr>
          <w:p w:rsidR="00A46DCA" w:rsidRPr="001C2381"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0"/>
                <w:lang w:eastAsia="en-AU"/>
              </w:rPr>
            </w:pPr>
            <w:r w:rsidRPr="001C2381">
              <w:rPr>
                <w:rFonts w:eastAsiaTheme="minorEastAsia" w:cs="Calibri"/>
                <w:b/>
                <w:bCs/>
                <w:color w:val="000000"/>
                <w:szCs w:val="20"/>
                <w:lang w:eastAsia="en-AU"/>
              </w:rPr>
              <w:t>62 252</w:t>
            </w:r>
          </w:p>
        </w:tc>
        <w:tc>
          <w:tcPr>
            <w:tcW w:w="850" w:type="dxa"/>
            <w:tcBorders>
              <w:top w:val="single" w:sz="6" w:space="0" w:color="auto"/>
              <w:left w:val="nil"/>
              <w:bottom w:val="single" w:sz="12" w:space="0" w:color="auto"/>
              <w:right w:val="nil"/>
            </w:tcBorders>
          </w:tcPr>
          <w:p w:rsidR="00A46DCA" w:rsidRPr="001C2381"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0"/>
                <w:lang w:eastAsia="en-AU"/>
              </w:rPr>
            </w:pPr>
            <w:r w:rsidRPr="001C2381">
              <w:rPr>
                <w:rFonts w:eastAsiaTheme="minorEastAsia" w:cs="Calibri"/>
                <w:b/>
                <w:bCs/>
                <w:color w:val="000000"/>
                <w:szCs w:val="20"/>
                <w:lang w:eastAsia="en-AU"/>
              </w:rPr>
              <w:t>62 673</w:t>
            </w:r>
          </w:p>
        </w:tc>
        <w:tc>
          <w:tcPr>
            <w:tcW w:w="850" w:type="dxa"/>
            <w:tcBorders>
              <w:top w:val="single" w:sz="6" w:space="0" w:color="auto"/>
              <w:left w:val="nil"/>
              <w:bottom w:val="single" w:sz="12" w:space="0" w:color="auto"/>
              <w:right w:val="nil"/>
            </w:tcBorders>
          </w:tcPr>
          <w:p w:rsidR="00A46DCA" w:rsidRPr="001C2381"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0"/>
                <w:lang w:eastAsia="en-AU"/>
              </w:rPr>
            </w:pPr>
            <w:r w:rsidRPr="001C2381">
              <w:rPr>
                <w:rFonts w:eastAsiaTheme="minorEastAsia" w:cs="Calibri"/>
                <w:b/>
                <w:bCs/>
                <w:color w:val="000000"/>
                <w:szCs w:val="20"/>
                <w:lang w:eastAsia="en-AU"/>
              </w:rPr>
              <w:t>65 688</w:t>
            </w:r>
          </w:p>
        </w:tc>
        <w:tc>
          <w:tcPr>
            <w:tcW w:w="850" w:type="dxa"/>
            <w:tcBorders>
              <w:top w:val="single" w:sz="6" w:space="0" w:color="auto"/>
              <w:left w:val="nil"/>
              <w:bottom w:val="single" w:sz="12" w:space="0" w:color="auto"/>
              <w:right w:val="nil"/>
            </w:tcBorders>
          </w:tcPr>
          <w:p w:rsidR="00A46DCA" w:rsidRPr="001C2381"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0"/>
                <w:lang w:eastAsia="en-AU"/>
              </w:rPr>
            </w:pPr>
            <w:r w:rsidRPr="001C2381">
              <w:rPr>
                <w:rFonts w:eastAsiaTheme="minorEastAsia" w:cs="Calibri"/>
                <w:b/>
                <w:bCs/>
                <w:color w:val="000000"/>
                <w:szCs w:val="20"/>
                <w:lang w:eastAsia="en-AU"/>
              </w:rPr>
              <w:t>67 147</w:t>
            </w:r>
          </w:p>
        </w:tc>
        <w:tc>
          <w:tcPr>
            <w:tcW w:w="850" w:type="dxa"/>
            <w:tcBorders>
              <w:top w:val="single" w:sz="6" w:space="0" w:color="auto"/>
              <w:left w:val="nil"/>
              <w:bottom w:val="single" w:sz="12" w:space="0" w:color="auto"/>
              <w:right w:val="nil"/>
            </w:tcBorders>
          </w:tcPr>
          <w:p w:rsidR="00A46DCA" w:rsidRPr="001C2381"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0"/>
                <w:lang w:eastAsia="en-AU"/>
              </w:rPr>
            </w:pPr>
            <w:r w:rsidRPr="001C2381">
              <w:rPr>
                <w:rFonts w:eastAsiaTheme="minorEastAsia" w:cs="Calibri"/>
                <w:b/>
                <w:bCs/>
                <w:color w:val="000000"/>
                <w:szCs w:val="20"/>
                <w:lang w:eastAsia="en-AU"/>
              </w:rPr>
              <w:t>69 021</w:t>
            </w:r>
          </w:p>
        </w:tc>
      </w:tr>
    </w:tbl>
    <w:p w:rsidR="00A46DCA" w:rsidRDefault="00A46DCA" w:rsidP="00A26D04">
      <w:pPr>
        <w:pStyle w:val="Source"/>
      </w:pPr>
      <w:r w:rsidRPr="00D87D22">
        <w:t>Source: Department of Treasury and Finance</w:t>
      </w:r>
    </w:p>
    <w:p w:rsidR="00A46DCA" w:rsidRPr="00697AD9" w:rsidRDefault="00A46DCA" w:rsidP="00A26D04">
      <w:pPr>
        <w:pStyle w:val="Note"/>
      </w:pPr>
      <w:r w:rsidRPr="00697AD9">
        <w:t>Notes:</w:t>
      </w:r>
    </w:p>
    <w:p w:rsidR="00A46DCA" w:rsidRPr="00697AD9" w:rsidRDefault="00A46DCA" w:rsidP="00A26D04">
      <w:pPr>
        <w:pStyle w:val="Note"/>
      </w:pPr>
      <w:r w:rsidRPr="00697AD9">
        <w:t>(a)</w:t>
      </w:r>
      <w:r w:rsidRPr="00697AD9">
        <w:tab/>
      </w:r>
      <w:r>
        <w:t>Other general government sector agencies not allocated to departmental portfolios.</w:t>
      </w:r>
    </w:p>
    <w:p w:rsidR="00A46DCA" w:rsidRDefault="00A46DCA" w:rsidP="00A26D04">
      <w:pPr>
        <w:pStyle w:val="Note"/>
      </w:pPr>
      <w:r w:rsidRPr="00697AD9">
        <w:t>(b)</w:t>
      </w:r>
      <w:r w:rsidRPr="00697AD9">
        <w:tab/>
      </w:r>
      <w:r>
        <w:t>The following table provides a breakdown of the general government output contingencies not allocated to departments.</w:t>
      </w:r>
    </w:p>
    <w:p w:rsidR="00A46DCA" w:rsidRPr="008D4DE0" w:rsidRDefault="00A46DCA" w:rsidP="00A26D04">
      <w:pPr>
        <w:pStyle w:val="Note"/>
      </w:pPr>
      <w:r>
        <w:t>(c)</w:t>
      </w:r>
      <w:r>
        <w:tab/>
        <w:t>Mainly comprising payroll tax, capital asset charge, departmental underspend estimates and inter-departmental transfers.</w:t>
      </w:r>
    </w:p>
    <w:p w:rsidR="00A46DCA" w:rsidRDefault="00A46DCA" w:rsidP="00A26D04"/>
    <w:p w:rsidR="00A46DCA" w:rsidRPr="001C2381" w:rsidRDefault="00A46DCA" w:rsidP="00A26D04">
      <w:pPr>
        <w:pStyle w:val="TableHeading"/>
        <w:rPr>
          <w:bCs/>
          <w:lang w:val="en-US"/>
        </w:rPr>
      </w:pPr>
      <w:r>
        <w:t>General government output contingencies not allocated to departments</w:t>
      </w:r>
      <w:r>
        <w:tab/>
        <w:t>($ million)</w:t>
      </w:r>
    </w:p>
    <w:tbl>
      <w:tblPr>
        <w:tblStyle w:val="DTFTable"/>
        <w:tblW w:w="7765" w:type="dxa"/>
        <w:tblInd w:w="45" w:type="dxa"/>
        <w:tblLayout w:type="fixed"/>
        <w:tblCellMar>
          <w:left w:w="45" w:type="dxa"/>
          <w:right w:w="45" w:type="dxa"/>
        </w:tblCellMar>
        <w:tblLook w:val="06E0" w:firstRow="1" w:lastRow="1" w:firstColumn="1" w:lastColumn="0" w:noHBand="1" w:noVBand="1"/>
      </w:tblPr>
      <w:tblGrid>
        <w:gridCol w:w="3685"/>
        <w:gridCol w:w="816"/>
        <w:gridCol w:w="816"/>
        <w:gridCol w:w="816"/>
        <w:gridCol w:w="816"/>
        <w:gridCol w:w="816"/>
      </w:tblGrid>
      <w:tr w:rsidR="00A26D04" w:rsidRPr="001C2381" w:rsidTr="002677DA">
        <w:trPr>
          <w:cnfStyle w:val="100000000000" w:firstRow="1" w:lastRow="0" w:firstColumn="0" w:lastColumn="0" w:oddVBand="0" w:evenVBand="0" w:oddHBand="0" w:evenHBand="0" w:firstRowFirstColumn="0" w:firstRowLastColumn="0" w:lastRowFirstColumn="0" w:lastRowLastColumn="0"/>
          <w:trHeight w:val="55"/>
          <w:tblHeader/>
        </w:trPr>
        <w:tc>
          <w:tcPr>
            <w:cnfStyle w:val="001000000000" w:firstRow="0" w:lastRow="0" w:firstColumn="1" w:lastColumn="0" w:oddVBand="0" w:evenVBand="0" w:oddHBand="0" w:evenHBand="0" w:firstRowFirstColumn="0" w:firstRowLastColumn="0" w:lastRowFirstColumn="0" w:lastRowLastColumn="0"/>
            <w:tcW w:w="3685" w:type="dxa"/>
            <w:tcBorders>
              <w:top w:val="single" w:sz="6" w:space="0" w:color="auto"/>
              <w:left w:val="nil"/>
              <w:right w:val="nil"/>
            </w:tcBorders>
            <w:shd w:val="solid" w:color="000000" w:fill="auto"/>
          </w:tcPr>
          <w:p w:rsidR="00A26D04" w:rsidRPr="001C2381" w:rsidRDefault="00A26D04" w:rsidP="00A26D04">
            <w:pPr>
              <w:autoSpaceDE w:val="0"/>
              <w:autoSpaceDN w:val="0"/>
              <w:adjustRightInd w:val="0"/>
              <w:rPr>
                <w:rFonts w:eastAsiaTheme="minorEastAsia" w:cs="Calibri"/>
                <w:iCs/>
                <w:color w:val="FFFFFF"/>
                <w:szCs w:val="20"/>
                <w:lang w:eastAsia="en-AU"/>
              </w:rPr>
            </w:pPr>
            <w:r w:rsidRPr="001C2381">
              <w:rPr>
                <w:rFonts w:eastAsiaTheme="minorEastAsia" w:cs="Calibri"/>
                <w:iCs/>
                <w:color w:val="FFFFFF"/>
                <w:szCs w:val="20"/>
                <w:lang w:eastAsia="en-AU"/>
              </w:rPr>
              <w:t xml:space="preserve">  </w:t>
            </w:r>
          </w:p>
        </w:tc>
        <w:tc>
          <w:tcPr>
            <w:tcW w:w="816" w:type="dxa"/>
            <w:tcBorders>
              <w:top w:val="single" w:sz="6" w:space="0" w:color="auto"/>
              <w:left w:val="nil"/>
              <w:right w:val="nil"/>
            </w:tcBorders>
            <w:shd w:val="solid" w:color="000000" w:fill="auto"/>
          </w:tcPr>
          <w:p w:rsidR="00A26D04" w:rsidRPr="001C2381" w:rsidRDefault="00A26D04" w:rsidP="00A26D0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20"/>
                <w:lang w:eastAsia="en-AU"/>
              </w:rPr>
            </w:pPr>
            <w:r w:rsidRPr="001C2381">
              <w:rPr>
                <w:rFonts w:eastAsiaTheme="minorEastAsia" w:cs="Calibri"/>
                <w:iCs/>
                <w:color w:val="FFFFFF"/>
                <w:szCs w:val="20"/>
                <w:lang w:eastAsia="en-AU"/>
              </w:rPr>
              <w:t>2017-18</w:t>
            </w:r>
            <w:r>
              <w:rPr>
                <w:rFonts w:eastAsiaTheme="minorEastAsia" w:cs="Calibri"/>
                <w:iCs/>
                <w:color w:val="FFFFFF"/>
                <w:szCs w:val="20"/>
                <w:lang w:eastAsia="en-AU"/>
              </w:rPr>
              <w:br/>
            </w:r>
            <w:r w:rsidRPr="001C2381">
              <w:rPr>
                <w:rFonts w:eastAsiaTheme="minorEastAsia" w:cs="Calibri"/>
                <w:iCs/>
                <w:color w:val="FFFFFF"/>
                <w:szCs w:val="20"/>
                <w:lang w:eastAsia="en-AU"/>
              </w:rPr>
              <w:t>budget</w:t>
            </w:r>
          </w:p>
        </w:tc>
        <w:tc>
          <w:tcPr>
            <w:tcW w:w="816" w:type="dxa"/>
            <w:tcBorders>
              <w:top w:val="single" w:sz="6" w:space="0" w:color="auto"/>
              <w:left w:val="nil"/>
              <w:right w:val="nil"/>
            </w:tcBorders>
            <w:shd w:val="solid" w:color="000000" w:fill="auto"/>
          </w:tcPr>
          <w:p w:rsidR="00A26D04" w:rsidRPr="001C2381" w:rsidRDefault="00A26D04" w:rsidP="00A26D0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20"/>
                <w:lang w:eastAsia="en-AU"/>
              </w:rPr>
            </w:pPr>
            <w:r w:rsidRPr="001C2381">
              <w:rPr>
                <w:rFonts w:eastAsiaTheme="minorEastAsia" w:cs="Calibri"/>
                <w:iCs/>
                <w:color w:val="FFFFFF"/>
                <w:szCs w:val="20"/>
                <w:lang w:eastAsia="en-AU"/>
              </w:rPr>
              <w:t>2017-18</w:t>
            </w:r>
            <w:r>
              <w:rPr>
                <w:rFonts w:eastAsiaTheme="minorEastAsia" w:cs="Calibri"/>
                <w:iCs/>
                <w:color w:val="FFFFFF"/>
                <w:szCs w:val="20"/>
                <w:lang w:eastAsia="en-AU"/>
              </w:rPr>
              <w:br/>
            </w:r>
            <w:r w:rsidRPr="001C2381">
              <w:rPr>
                <w:rFonts w:eastAsiaTheme="minorEastAsia" w:cs="Calibri"/>
                <w:iCs/>
                <w:color w:val="FFFFFF"/>
                <w:szCs w:val="20"/>
                <w:lang w:eastAsia="en-AU"/>
              </w:rPr>
              <w:t>revised</w:t>
            </w:r>
          </w:p>
        </w:tc>
        <w:tc>
          <w:tcPr>
            <w:tcW w:w="816" w:type="dxa"/>
            <w:tcBorders>
              <w:top w:val="single" w:sz="6" w:space="0" w:color="auto"/>
              <w:left w:val="nil"/>
              <w:right w:val="nil"/>
            </w:tcBorders>
            <w:shd w:val="solid" w:color="000000" w:fill="auto"/>
          </w:tcPr>
          <w:p w:rsidR="00A26D04" w:rsidRPr="001C2381" w:rsidRDefault="00A26D04" w:rsidP="00A26D0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20"/>
                <w:lang w:eastAsia="en-AU"/>
              </w:rPr>
            </w:pPr>
            <w:r w:rsidRPr="001C2381">
              <w:rPr>
                <w:rFonts w:eastAsiaTheme="minorEastAsia" w:cs="Calibri"/>
                <w:iCs/>
                <w:color w:val="FFFFFF"/>
                <w:szCs w:val="20"/>
                <w:lang w:eastAsia="en-AU"/>
              </w:rPr>
              <w:t>2018-19</w:t>
            </w:r>
            <w:r>
              <w:rPr>
                <w:rFonts w:eastAsiaTheme="minorEastAsia" w:cs="Calibri"/>
                <w:iCs/>
                <w:color w:val="FFFFFF"/>
                <w:szCs w:val="20"/>
                <w:lang w:eastAsia="en-AU"/>
              </w:rPr>
              <w:br/>
            </w:r>
            <w:r w:rsidRPr="001C2381">
              <w:rPr>
                <w:rFonts w:eastAsiaTheme="minorEastAsia" w:cs="Calibri"/>
                <w:iCs/>
                <w:color w:val="FFFFFF"/>
                <w:szCs w:val="20"/>
                <w:lang w:eastAsia="en-AU"/>
              </w:rPr>
              <w:t>estimate</w:t>
            </w:r>
          </w:p>
        </w:tc>
        <w:tc>
          <w:tcPr>
            <w:tcW w:w="816" w:type="dxa"/>
            <w:tcBorders>
              <w:top w:val="single" w:sz="6" w:space="0" w:color="auto"/>
              <w:left w:val="nil"/>
              <w:right w:val="nil"/>
            </w:tcBorders>
            <w:shd w:val="solid" w:color="000000" w:fill="auto"/>
          </w:tcPr>
          <w:p w:rsidR="00A26D04" w:rsidRPr="001C2381" w:rsidRDefault="00A26D04" w:rsidP="00A26D0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20"/>
                <w:lang w:eastAsia="en-AU"/>
              </w:rPr>
            </w:pPr>
            <w:r w:rsidRPr="001C2381">
              <w:rPr>
                <w:rFonts w:eastAsiaTheme="minorEastAsia" w:cs="Calibri"/>
                <w:iCs/>
                <w:color w:val="FFFFFF"/>
                <w:szCs w:val="20"/>
                <w:lang w:eastAsia="en-AU"/>
              </w:rPr>
              <w:t>2019-20</w:t>
            </w:r>
            <w:r>
              <w:rPr>
                <w:rFonts w:eastAsiaTheme="minorEastAsia" w:cs="Calibri"/>
                <w:iCs/>
                <w:color w:val="FFFFFF"/>
                <w:szCs w:val="20"/>
                <w:lang w:eastAsia="en-AU"/>
              </w:rPr>
              <w:br/>
            </w:r>
            <w:r w:rsidRPr="001C2381">
              <w:rPr>
                <w:rFonts w:eastAsiaTheme="minorEastAsia" w:cs="Calibri"/>
                <w:iCs/>
                <w:color w:val="FFFFFF"/>
                <w:szCs w:val="20"/>
                <w:lang w:eastAsia="en-AU"/>
              </w:rPr>
              <w:t>estimate</w:t>
            </w:r>
          </w:p>
        </w:tc>
        <w:tc>
          <w:tcPr>
            <w:tcW w:w="816" w:type="dxa"/>
            <w:tcBorders>
              <w:top w:val="single" w:sz="6" w:space="0" w:color="auto"/>
              <w:left w:val="nil"/>
              <w:right w:val="nil"/>
            </w:tcBorders>
            <w:shd w:val="solid" w:color="000000" w:fill="auto"/>
          </w:tcPr>
          <w:p w:rsidR="00A26D04" w:rsidRPr="001C2381" w:rsidRDefault="00A26D04" w:rsidP="00A26D0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20"/>
                <w:lang w:eastAsia="en-AU"/>
              </w:rPr>
            </w:pPr>
            <w:r w:rsidRPr="001C2381">
              <w:rPr>
                <w:rFonts w:eastAsiaTheme="minorEastAsia" w:cs="Calibri"/>
                <w:iCs/>
                <w:color w:val="FFFFFF"/>
                <w:szCs w:val="20"/>
                <w:lang w:eastAsia="en-AU"/>
              </w:rPr>
              <w:t>2020-21</w:t>
            </w:r>
            <w:r>
              <w:rPr>
                <w:rFonts w:eastAsiaTheme="minorEastAsia" w:cs="Calibri"/>
                <w:iCs/>
                <w:color w:val="FFFFFF"/>
                <w:szCs w:val="20"/>
                <w:lang w:eastAsia="en-AU"/>
              </w:rPr>
              <w:br/>
            </w:r>
            <w:r w:rsidRPr="001C2381">
              <w:rPr>
                <w:rFonts w:eastAsiaTheme="minorEastAsia" w:cs="Calibri"/>
                <w:iCs/>
                <w:color w:val="FFFFFF"/>
                <w:szCs w:val="20"/>
                <w:lang w:eastAsia="en-AU"/>
              </w:rPr>
              <w:t>estimate</w:t>
            </w:r>
          </w:p>
        </w:tc>
      </w:tr>
      <w:tr w:rsidR="00A46DCA" w:rsidRPr="001C2381" w:rsidTr="00A26D04">
        <w:tc>
          <w:tcPr>
            <w:cnfStyle w:val="001000000000" w:firstRow="0" w:lastRow="0" w:firstColumn="1" w:lastColumn="0" w:oddVBand="0" w:evenVBand="0" w:oddHBand="0" w:evenHBand="0" w:firstRowFirstColumn="0" w:firstRowLastColumn="0" w:lastRowFirstColumn="0" w:lastRowLastColumn="0"/>
            <w:tcW w:w="3685" w:type="dxa"/>
            <w:tcBorders>
              <w:top w:val="nil"/>
              <w:left w:val="nil"/>
              <w:bottom w:val="nil"/>
              <w:right w:val="nil"/>
            </w:tcBorders>
          </w:tcPr>
          <w:p w:rsidR="00A46DCA" w:rsidRPr="001C2381" w:rsidRDefault="00A46DCA" w:rsidP="00A26D04">
            <w:pPr>
              <w:keepLines w:val="0"/>
              <w:autoSpaceDE w:val="0"/>
              <w:autoSpaceDN w:val="0"/>
              <w:adjustRightInd w:val="0"/>
              <w:rPr>
                <w:rFonts w:eastAsiaTheme="minorEastAsia" w:cs="Calibri"/>
                <w:color w:val="000000"/>
                <w:szCs w:val="20"/>
                <w:vertAlign w:val="superscript"/>
                <w:lang w:eastAsia="en-AU"/>
              </w:rPr>
            </w:pPr>
            <w:r w:rsidRPr="001C2381">
              <w:rPr>
                <w:rFonts w:eastAsiaTheme="minorEastAsia" w:cs="Calibri"/>
                <w:color w:val="000000"/>
                <w:szCs w:val="20"/>
                <w:lang w:eastAsia="en-AU"/>
              </w:rPr>
              <w:t xml:space="preserve">Decisions made but not yet allocated </w:t>
            </w:r>
            <w:r w:rsidRPr="001C2381">
              <w:rPr>
                <w:rFonts w:eastAsiaTheme="minorEastAsia" w:cs="Calibri"/>
                <w:color w:val="000000"/>
                <w:szCs w:val="20"/>
                <w:vertAlign w:val="superscript"/>
                <w:lang w:eastAsia="en-AU"/>
              </w:rPr>
              <w:t>(a)</w:t>
            </w:r>
          </w:p>
        </w:tc>
        <w:tc>
          <w:tcPr>
            <w:tcW w:w="816" w:type="dxa"/>
            <w:tcBorders>
              <w:top w:val="nil"/>
              <w:left w:val="nil"/>
              <w:bottom w:val="nil"/>
              <w:right w:val="nil"/>
            </w:tcBorders>
          </w:tcPr>
          <w:p w:rsidR="00A46DCA" w:rsidRPr="001C2381"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1C2381">
              <w:rPr>
                <w:rFonts w:eastAsiaTheme="minorEastAsia" w:cs="Calibri"/>
                <w:color w:val="000000"/>
                <w:szCs w:val="20"/>
                <w:lang w:eastAsia="en-AU"/>
              </w:rPr>
              <w:t>1 014</w:t>
            </w:r>
          </w:p>
        </w:tc>
        <w:tc>
          <w:tcPr>
            <w:tcW w:w="816" w:type="dxa"/>
            <w:tcBorders>
              <w:top w:val="nil"/>
              <w:left w:val="nil"/>
              <w:bottom w:val="nil"/>
              <w:right w:val="nil"/>
            </w:tcBorders>
          </w:tcPr>
          <w:p w:rsidR="00A46DCA" w:rsidRPr="001C2381"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Pr>
                <w:rFonts w:eastAsiaTheme="minorEastAsia" w:cs="Calibri"/>
                <w:color w:val="000000"/>
                <w:szCs w:val="20"/>
                <w:lang w:eastAsia="en-AU"/>
              </w:rPr>
              <w:t>691</w:t>
            </w:r>
          </w:p>
        </w:tc>
        <w:tc>
          <w:tcPr>
            <w:tcW w:w="816" w:type="dxa"/>
            <w:tcBorders>
              <w:top w:val="nil"/>
              <w:left w:val="nil"/>
              <w:bottom w:val="nil"/>
              <w:right w:val="nil"/>
            </w:tcBorders>
          </w:tcPr>
          <w:p w:rsidR="00A46DCA" w:rsidRPr="001C2381"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1C2381">
              <w:rPr>
                <w:rFonts w:eastAsiaTheme="minorEastAsia" w:cs="Calibri"/>
                <w:color w:val="000000"/>
                <w:szCs w:val="20"/>
                <w:lang w:eastAsia="en-AU"/>
              </w:rPr>
              <w:t>1 867</w:t>
            </w:r>
          </w:p>
        </w:tc>
        <w:tc>
          <w:tcPr>
            <w:tcW w:w="816" w:type="dxa"/>
            <w:tcBorders>
              <w:top w:val="nil"/>
              <w:left w:val="nil"/>
              <w:bottom w:val="nil"/>
              <w:right w:val="nil"/>
            </w:tcBorders>
          </w:tcPr>
          <w:p w:rsidR="00A46DCA" w:rsidRPr="001C2381"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1C2381">
              <w:rPr>
                <w:rFonts w:eastAsiaTheme="minorEastAsia" w:cs="Calibri"/>
                <w:color w:val="000000"/>
                <w:szCs w:val="20"/>
                <w:lang w:eastAsia="en-AU"/>
              </w:rPr>
              <w:t>2 182</w:t>
            </w:r>
          </w:p>
        </w:tc>
        <w:tc>
          <w:tcPr>
            <w:tcW w:w="816" w:type="dxa"/>
            <w:tcBorders>
              <w:top w:val="nil"/>
              <w:left w:val="nil"/>
              <w:bottom w:val="nil"/>
              <w:right w:val="nil"/>
            </w:tcBorders>
          </w:tcPr>
          <w:p w:rsidR="00A46DCA" w:rsidRPr="001C2381"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1C2381">
              <w:rPr>
                <w:rFonts w:eastAsiaTheme="minorEastAsia" w:cs="Calibri"/>
                <w:color w:val="000000"/>
                <w:szCs w:val="20"/>
                <w:lang w:eastAsia="en-AU"/>
              </w:rPr>
              <w:t>2 888</w:t>
            </w:r>
          </w:p>
        </w:tc>
      </w:tr>
      <w:tr w:rsidR="00A46DCA" w:rsidRPr="001C2381" w:rsidTr="00A26D04">
        <w:tc>
          <w:tcPr>
            <w:cnfStyle w:val="001000000000" w:firstRow="0" w:lastRow="0" w:firstColumn="1" w:lastColumn="0" w:oddVBand="0" w:evenVBand="0" w:oddHBand="0" w:evenHBand="0" w:firstRowFirstColumn="0" w:firstRowLastColumn="0" w:lastRowFirstColumn="0" w:lastRowLastColumn="0"/>
            <w:tcW w:w="3685" w:type="dxa"/>
            <w:tcBorders>
              <w:top w:val="nil"/>
              <w:left w:val="nil"/>
              <w:bottom w:val="nil"/>
              <w:right w:val="nil"/>
            </w:tcBorders>
          </w:tcPr>
          <w:p w:rsidR="00A46DCA" w:rsidRPr="001C2381" w:rsidRDefault="00A46DCA" w:rsidP="00A26D04">
            <w:pPr>
              <w:keepLines w:val="0"/>
              <w:autoSpaceDE w:val="0"/>
              <w:autoSpaceDN w:val="0"/>
              <w:adjustRightInd w:val="0"/>
              <w:rPr>
                <w:rFonts w:eastAsiaTheme="minorEastAsia" w:cs="Calibri"/>
                <w:color w:val="000000"/>
                <w:szCs w:val="20"/>
                <w:vertAlign w:val="superscript"/>
                <w:lang w:eastAsia="en-AU"/>
              </w:rPr>
            </w:pPr>
            <w:r w:rsidRPr="001C2381">
              <w:rPr>
                <w:rFonts w:eastAsiaTheme="minorEastAsia" w:cs="Calibri"/>
                <w:color w:val="000000"/>
                <w:szCs w:val="20"/>
                <w:lang w:eastAsia="en-AU"/>
              </w:rPr>
              <w:t xml:space="preserve">Funding not allocated to specific purposes </w:t>
            </w:r>
            <w:r w:rsidRPr="001C2381">
              <w:rPr>
                <w:rFonts w:eastAsiaTheme="minorEastAsia" w:cs="Calibri"/>
                <w:color w:val="000000"/>
                <w:szCs w:val="20"/>
                <w:vertAlign w:val="superscript"/>
                <w:lang w:eastAsia="en-AU"/>
              </w:rPr>
              <w:t>(b)</w:t>
            </w:r>
          </w:p>
        </w:tc>
        <w:tc>
          <w:tcPr>
            <w:tcW w:w="816" w:type="dxa"/>
            <w:tcBorders>
              <w:top w:val="nil"/>
              <w:left w:val="nil"/>
              <w:bottom w:val="nil"/>
              <w:right w:val="nil"/>
            </w:tcBorders>
          </w:tcPr>
          <w:p w:rsidR="00A46DCA" w:rsidRPr="001C2381"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Pr>
                <w:rFonts w:eastAsiaTheme="minorEastAsia" w:cs="Calibri"/>
                <w:color w:val="000000"/>
                <w:szCs w:val="20"/>
                <w:lang w:eastAsia="en-AU"/>
              </w:rPr>
              <w:t>100</w:t>
            </w:r>
          </w:p>
        </w:tc>
        <w:tc>
          <w:tcPr>
            <w:tcW w:w="816" w:type="dxa"/>
            <w:tcBorders>
              <w:top w:val="nil"/>
              <w:left w:val="nil"/>
              <w:bottom w:val="nil"/>
              <w:right w:val="nil"/>
            </w:tcBorders>
          </w:tcPr>
          <w:p w:rsidR="00A46DCA" w:rsidRPr="001C2381"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Pr>
                <w:rFonts w:eastAsiaTheme="minorEastAsia" w:cs="Calibri"/>
                <w:color w:val="000000"/>
                <w:szCs w:val="20"/>
                <w:lang w:eastAsia="en-AU"/>
              </w:rPr>
              <w:t>80</w:t>
            </w:r>
          </w:p>
        </w:tc>
        <w:tc>
          <w:tcPr>
            <w:tcW w:w="816" w:type="dxa"/>
            <w:tcBorders>
              <w:top w:val="nil"/>
              <w:left w:val="nil"/>
              <w:bottom w:val="nil"/>
              <w:right w:val="nil"/>
            </w:tcBorders>
          </w:tcPr>
          <w:p w:rsidR="00A46DCA" w:rsidRPr="001C2381"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Pr>
                <w:rFonts w:eastAsiaTheme="minorEastAsia" w:cs="Calibri"/>
                <w:color w:val="000000"/>
                <w:szCs w:val="20"/>
                <w:lang w:eastAsia="en-AU"/>
              </w:rPr>
              <w:t>600</w:t>
            </w:r>
          </w:p>
        </w:tc>
        <w:tc>
          <w:tcPr>
            <w:tcW w:w="816" w:type="dxa"/>
            <w:tcBorders>
              <w:top w:val="nil"/>
              <w:left w:val="nil"/>
              <w:bottom w:val="nil"/>
              <w:right w:val="nil"/>
            </w:tcBorders>
          </w:tcPr>
          <w:p w:rsidR="00A46DCA" w:rsidRPr="001C2381"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Pr>
                <w:rFonts w:eastAsiaTheme="minorEastAsia" w:cs="Calibri"/>
                <w:color w:val="000000"/>
                <w:szCs w:val="20"/>
                <w:lang w:eastAsia="en-AU"/>
              </w:rPr>
              <w:t>900</w:t>
            </w:r>
          </w:p>
        </w:tc>
        <w:tc>
          <w:tcPr>
            <w:tcW w:w="816" w:type="dxa"/>
            <w:tcBorders>
              <w:top w:val="nil"/>
              <w:left w:val="nil"/>
              <w:bottom w:val="nil"/>
              <w:right w:val="nil"/>
            </w:tcBorders>
          </w:tcPr>
          <w:p w:rsidR="00A46DCA" w:rsidRPr="001C2381"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1C2381">
              <w:rPr>
                <w:rFonts w:eastAsiaTheme="minorEastAsia" w:cs="Calibri"/>
                <w:color w:val="000000"/>
                <w:szCs w:val="20"/>
                <w:lang w:eastAsia="en-AU"/>
              </w:rPr>
              <w:t>1 550</w:t>
            </w:r>
          </w:p>
        </w:tc>
      </w:tr>
      <w:tr w:rsidR="00A46DCA" w:rsidRPr="001C2381" w:rsidTr="00A26D04">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5" w:type="dxa"/>
            <w:tcBorders>
              <w:top w:val="single" w:sz="6" w:space="0" w:color="auto"/>
              <w:bottom w:val="single" w:sz="12" w:space="0" w:color="auto"/>
            </w:tcBorders>
          </w:tcPr>
          <w:p w:rsidR="00A46DCA" w:rsidRPr="001C2381" w:rsidRDefault="00A46DCA" w:rsidP="00A26D04">
            <w:pPr>
              <w:keepLines w:val="0"/>
              <w:autoSpaceDE w:val="0"/>
              <w:autoSpaceDN w:val="0"/>
              <w:adjustRightInd w:val="0"/>
              <w:rPr>
                <w:rFonts w:eastAsiaTheme="minorEastAsia" w:cs="Calibri"/>
                <w:bCs/>
                <w:color w:val="000000"/>
                <w:szCs w:val="20"/>
                <w:lang w:eastAsia="en-AU"/>
              </w:rPr>
            </w:pPr>
            <w:r w:rsidRPr="001C2381">
              <w:rPr>
                <w:rFonts w:eastAsiaTheme="minorEastAsia" w:cs="Calibri"/>
                <w:bCs/>
                <w:color w:val="000000"/>
                <w:szCs w:val="20"/>
                <w:lang w:eastAsia="en-AU"/>
              </w:rPr>
              <w:t>Total general government output contingencies</w:t>
            </w:r>
          </w:p>
        </w:tc>
        <w:tc>
          <w:tcPr>
            <w:tcW w:w="816" w:type="dxa"/>
            <w:tcBorders>
              <w:top w:val="single" w:sz="6" w:space="0" w:color="auto"/>
              <w:bottom w:val="single" w:sz="12" w:space="0" w:color="auto"/>
            </w:tcBorders>
          </w:tcPr>
          <w:p w:rsidR="00A46DCA" w:rsidRPr="001C2381" w:rsidRDefault="00A46DCA" w:rsidP="00A26D0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20"/>
                <w:lang w:eastAsia="en-AU"/>
              </w:rPr>
            </w:pPr>
            <w:r w:rsidRPr="001C2381">
              <w:rPr>
                <w:rFonts w:eastAsiaTheme="minorEastAsia" w:cs="Calibri"/>
                <w:bCs/>
                <w:color w:val="000000"/>
                <w:szCs w:val="20"/>
                <w:lang w:eastAsia="en-AU"/>
              </w:rPr>
              <w:t>1 114</w:t>
            </w:r>
          </w:p>
        </w:tc>
        <w:tc>
          <w:tcPr>
            <w:tcW w:w="816" w:type="dxa"/>
            <w:tcBorders>
              <w:top w:val="single" w:sz="6" w:space="0" w:color="auto"/>
              <w:bottom w:val="single" w:sz="12" w:space="0" w:color="auto"/>
            </w:tcBorders>
          </w:tcPr>
          <w:p w:rsidR="00A46DCA" w:rsidRPr="001C2381" w:rsidRDefault="00A46DCA" w:rsidP="00A26D0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20"/>
                <w:lang w:eastAsia="en-AU"/>
              </w:rPr>
            </w:pPr>
            <w:r>
              <w:rPr>
                <w:rFonts w:eastAsiaTheme="minorEastAsia" w:cs="Calibri"/>
                <w:bCs/>
                <w:color w:val="000000"/>
                <w:szCs w:val="20"/>
                <w:lang w:eastAsia="en-AU"/>
              </w:rPr>
              <w:t>771</w:t>
            </w:r>
          </w:p>
        </w:tc>
        <w:tc>
          <w:tcPr>
            <w:tcW w:w="816" w:type="dxa"/>
            <w:tcBorders>
              <w:top w:val="single" w:sz="6" w:space="0" w:color="auto"/>
              <w:bottom w:val="single" w:sz="12" w:space="0" w:color="auto"/>
            </w:tcBorders>
          </w:tcPr>
          <w:p w:rsidR="00A46DCA" w:rsidRPr="001C2381" w:rsidRDefault="00A46DCA" w:rsidP="00A26D0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20"/>
                <w:lang w:eastAsia="en-AU"/>
              </w:rPr>
            </w:pPr>
            <w:r w:rsidRPr="001C2381">
              <w:rPr>
                <w:rFonts w:eastAsiaTheme="minorEastAsia" w:cs="Calibri"/>
                <w:bCs/>
                <w:color w:val="000000"/>
                <w:szCs w:val="20"/>
                <w:lang w:eastAsia="en-AU"/>
              </w:rPr>
              <w:t>2 467</w:t>
            </w:r>
          </w:p>
        </w:tc>
        <w:tc>
          <w:tcPr>
            <w:tcW w:w="816" w:type="dxa"/>
            <w:tcBorders>
              <w:top w:val="single" w:sz="6" w:space="0" w:color="auto"/>
              <w:bottom w:val="single" w:sz="12" w:space="0" w:color="auto"/>
            </w:tcBorders>
          </w:tcPr>
          <w:p w:rsidR="00A46DCA" w:rsidRPr="001C2381" w:rsidRDefault="00A46DCA" w:rsidP="00A26D0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20"/>
                <w:lang w:eastAsia="en-AU"/>
              </w:rPr>
            </w:pPr>
            <w:r w:rsidRPr="001C2381">
              <w:rPr>
                <w:rFonts w:eastAsiaTheme="minorEastAsia" w:cs="Calibri"/>
                <w:bCs/>
                <w:color w:val="000000"/>
                <w:szCs w:val="20"/>
                <w:lang w:eastAsia="en-AU"/>
              </w:rPr>
              <w:t>3 082</w:t>
            </w:r>
          </w:p>
        </w:tc>
        <w:tc>
          <w:tcPr>
            <w:tcW w:w="816" w:type="dxa"/>
            <w:tcBorders>
              <w:top w:val="single" w:sz="6" w:space="0" w:color="auto"/>
              <w:bottom w:val="single" w:sz="12" w:space="0" w:color="auto"/>
            </w:tcBorders>
          </w:tcPr>
          <w:p w:rsidR="00A46DCA" w:rsidRPr="001C2381" w:rsidRDefault="00A46DCA" w:rsidP="00A26D0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20"/>
                <w:lang w:eastAsia="en-AU"/>
              </w:rPr>
            </w:pPr>
            <w:r w:rsidRPr="001C2381">
              <w:rPr>
                <w:rFonts w:eastAsiaTheme="minorEastAsia" w:cs="Calibri"/>
                <w:bCs/>
                <w:color w:val="000000"/>
                <w:szCs w:val="20"/>
                <w:lang w:eastAsia="en-AU"/>
              </w:rPr>
              <w:t>4 438</w:t>
            </w:r>
          </w:p>
        </w:tc>
      </w:tr>
    </w:tbl>
    <w:p w:rsidR="00A46DCA" w:rsidRDefault="00A46DCA" w:rsidP="00A26D04">
      <w:pPr>
        <w:pStyle w:val="Source"/>
      </w:pPr>
      <w:r w:rsidRPr="00D87D22">
        <w:t>Source: Department of Treasury and Finance</w:t>
      </w:r>
    </w:p>
    <w:p w:rsidR="00A46DCA" w:rsidRPr="00697AD9" w:rsidRDefault="00A46DCA" w:rsidP="00A26D04">
      <w:pPr>
        <w:pStyle w:val="Note"/>
      </w:pPr>
      <w:r w:rsidRPr="00697AD9">
        <w:t>Notes:</w:t>
      </w:r>
    </w:p>
    <w:p w:rsidR="00A46DCA" w:rsidRDefault="00A46DCA" w:rsidP="00A26D04">
      <w:pPr>
        <w:pStyle w:val="Note"/>
      </w:pPr>
      <w:r w:rsidRPr="00697AD9">
        <w:t>(</w:t>
      </w:r>
      <w:r>
        <w:t>a)</w:t>
      </w:r>
      <w:r>
        <w:tab/>
        <w:t>Reflects existing government policy decisions for which funding has yet to be allocated to departments; provisions not yet allocated to meet additional price and demand growth for health, disability services and education; and a provision for estimated depreciation expense associated with the general government unallocated asset contingency.</w:t>
      </w:r>
    </w:p>
    <w:p w:rsidR="00A46DCA" w:rsidRDefault="00A46DCA" w:rsidP="00A26D04">
      <w:pPr>
        <w:pStyle w:val="Note"/>
      </w:pPr>
      <w:r>
        <w:t>(b)</w:t>
      </w:r>
      <w:r>
        <w:tab/>
        <w:t>An unallocated provision available to contribute to future government policy decisions and commitments, including for decisions to extend lapsing programs across the next four years.</w:t>
      </w:r>
    </w:p>
    <w:p w:rsidR="00A46DCA" w:rsidRPr="004D2883" w:rsidRDefault="00A46DCA" w:rsidP="00A26D04">
      <w:pPr>
        <w:keepLines w:val="0"/>
      </w:pPr>
      <w:r>
        <w:br w:type="page"/>
      </w:r>
    </w:p>
    <w:p w:rsidR="00A46DCA" w:rsidRDefault="00A46DCA" w:rsidP="00A26D04">
      <w:pPr>
        <w:pStyle w:val="Heading3"/>
        <w:numPr>
          <w:ilvl w:val="2"/>
          <w:numId w:val="19"/>
        </w:numPr>
        <w:tabs>
          <w:tab w:val="clear" w:pos="9582"/>
          <w:tab w:val="left" w:pos="850"/>
          <w:tab w:val="right" w:pos="7711"/>
        </w:tabs>
        <w:spacing w:after="60"/>
      </w:pPr>
      <w:r>
        <w:lastRenderedPageBreak/>
        <w:tab/>
      </w:r>
      <w:bookmarkStart w:id="38" w:name="_Toc496606579"/>
      <w:r>
        <w:t>Purchases of non-financial assets by government purpose and by portfolio department</w:t>
      </w:r>
      <w:bookmarkEnd w:id="38"/>
    </w:p>
    <w:p w:rsidR="00A46DCA" w:rsidRPr="00AC137D" w:rsidRDefault="00A46DCA" w:rsidP="00A26D04">
      <w:pPr>
        <w:pStyle w:val="TableHeading"/>
        <w:rPr>
          <w:bCs/>
          <w:lang w:val="en-US"/>
        </w:rPr>
      </w:pPr>
      <w:r>
        <w:t xml:space="preserve">Purchases of non-financial assets by government purpose classification </w:t>
      </w:r>
      <w:r w:rsidRPr="007C04D5">
        <w:rPr>
          <w:vertAlign w:val="superscript"/>
        </w:rPr>
        <w:t>(a)</w:t>
      </w:r>
      <w:r>
        <w:tab/>
        <w:t>($ million)</w:t>
      </w:r>
    </w:p>
    <w:tbl>
      <w:tblPr>
        <w:tblStyle w:val="DTFTable"/>
        <w:tblW w:w="7765" w:type="dxa"/>
        <w:tblInd w:w="45" w:type="dxa"/>
        <w:tblLayout w:type="fixed"/>
        <w:tblCellMar>
          <w:left w:w="45" w:type="dxa"/>
          <w:right w:w="45" w:type="dxa"/>
        </w:tblCellMar>
        <w:tblLook w:val="06A0" w:firstRow="1" w:lastRow="0" w:firstColumn="1" w:lastColumn="0" w:noHBand="1" w:noVBand="1"/>
      </w:tblPr>
      <w:tblGrid>
        <w:gridCol w:w="3515"/>
        <w:gridCol w:w="850"/>
        <w:gridCol w:w="850"/>
        <w:gridCol w:w="850"/>
        <w:gridCol w:w="850"/>
        <w:gridCol w:w="850"/>
      </w:tblGrid>
      <w:tr w:rsidR="00A26D04" w:rsidRPr="00AC137D" w:rsidTr="002677DA">
        <w:trPr>
          <w:cnfStyle w:val="100000000000" w:firstRow="1" w:lastRow="0" w:firstColumn="0" w:lastColumn="0" w:oddVBand="0" w:evenVBand="0" w:oddHBand="0" w:evenHBand="0" w:firstRowFirstColumn="0" w:firstRowLastColumn="0" w:lastRowFirstColumn="0" w:lastRowLastColumn="0"/>
          <w:trHeight w:val="55"/>
          <w:tblHeader/>
        </w:trPr>
        <w:tc>
          <w:tcPr>
            <w:cnfStyle w:val="001000000000" w:firstRow="0" w:lastRow="0" w:firstColumn="1" w:lastColumn="0" w:oddVBand="0" w:evenVBand="0" w:oddHBand="0" w:evenHBand="0" w:firstRowFirstColumn="0" w:firstRowLastColumn="0" w:lastRowFirstColumn="0" w:lastRowLastColumn="0"/>
            <w:tcW w:w="3515" w:type="dxa"/>
            <w:tcBorders>
              <w:top w:val="single" w:sz="6" w:space="0" w:color="auto"/>
              <w:left w:val="nil"/>
              <w:right w:val="nil"/>
            </w:tcBorders>
            <w:shd w:val="solid" w:color="000000" w:fill="auto"/>
          </w:tcPr>
          <w:p w:rsidR="00A26D04" w:rsidRPr="00AC137D" w:rsidRDefault="00A26D04" w:rsidP="00A26D04">
            <w:pPr>
              <w:autoSpaceDE w:val="0"/>
              <w:autoSpaceDN w:val="0"/>
              <w:adjustRightInd w:val="0"/>
              <w:rPr>
                <w:rFonts w:eastAsiaTheme="minorEastAsia" w:cs="Calibri"/>
                <w:color w:val="FFFFFF"/>
                <w:szCs w:val="20"/>
                <w:lang w:eastAsia="en-AU"/>
              </w:rPr>
            </w:pPr>
            <w:r w:rsidRPr="00AC137D">
              <w:rPr>
                <w:rFonts w:eastAsiaTheme="minorEastAsia" w:cs="Calibri"/>
                <w:color w:val="FFFFFF"/>
                <w:szCs w:val="20"/>
                <w:lang w:eastAsia="en-AU"/>
              </w:rPr>
              <w:t xml:space="preserve">  </w:t>
            </w:r>
          </w:p>
        </w:tc>
        <w:tc>
          <w:tcPr>
            <w:tcW w:w="850" w:type="dxa"/>
            <w:tcBorders>
              <w:top w:val="single" w:sz="6" w:space="0" w:color="auto"/>
              <w:left w:val="nil"/>
              <w:right w:val="nil"/>
            </w:tcBorders>
            <w:shd w:val="solid" w:color="000000" w:fill="auto"/>
          </w:tcPr>
          <w:p w:rsidR="00A26D04" w:rsidRPr="00AC137D" w:rsidRDefault="00A26D04" w:rsidP="00A26D0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20"/>
                <w:lang w:eastAsia="en-AU"/>
              </w:rPr>
            </w:pPr>
            <w:r w:rsidRPr="00AC137D">
              <w:rPr>
                <w:rFonts w:eastAsiaTheme="minorEastAsia" w:cs="Calibri"/>
                <w:iCs/>
                <w:color w:val="FFFFFF"/>
                <w:szCs w:val="20"/>
                <w:lang w:eastAsia="en-AU"/>
              </w:rPr>
              <w:t>2017-18</w:t>
            </w:r>
            <w:r>
              <w:rPr>
                <w:rFonts w:eastAsiaTheme="minorEastAsia" w:cs="Calibri"/>
                <w:iCs/>
                <w:color w:val="FFFFFF"/>
                <w:szCs w:val="20"/>
                <w:lang w:eastAsia="en-AU"/>
              </w:rPr>
              <w:br/>
            </w:r>
            <w:r w:rsidRPr="00AC137D">
              <w:rPr>
                <w:rFonts w:eastAsiaTheme="minorEastAsia" w:cs="Calibri"/>
                <w:iCs/>
                <w:color w:val="FFFFFF"/>
                <w:szCs w:val="20"/>
                <w:lang w:eastAsia="en-AU"/>
              </w:rPr>
              <w:t>budget</w:t>
            </w:r>
          </w:p>
        </w:tc>
        <w:tc>
          <w:tcPr>
            <w:tcW w:w="850" w:type="dxa"/>
            <w:tcBorders>
              <w:top w:val="single" w:sz="6" w:space="0" w:color="auto"/>
              <w:left w:val="nil"/>
              <w:right w:val="nil"/>
            </w:tcBorders>
            <w:shd w:val="solid" w:color="000000" w:fill="auto"/>
          </w:tcPr>
          <w:p w:rsidR="00A26D04" w:rsidRPr="00AC137D" w:rsidRDefault="00A26D04" w:rsidP="00A26D0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20"/>
                <w:lang w:eastAsia="en-AU"/>
              </w:rPr>
            </w:pPr>
            <w:r w:rsidRPr="00AC137D">
              <w:rPr>
                <w:rFonts w:eastAsiaTheme="minorEastAsia" w:cs="Calibri"/>
                <w:iCs/>
                <w:color w:val="FFFFFF"/>
                <w:szCs w:val="20"/>
                <w:lang w:eastAsia="en-AU"/>
              </w:rPr>
              <w:t>2017-18</w:t>
            </w:r>
            <w:r>
              <w:rPr>
                <w:rFonts w:eastAsiaTheme="minorEastAsia" w:cs="Calibri"/>
                <w:iCs/>
                <w:color w:val="FFFFFF"/>
                <w:szCs w:val="20"/>
                <w:lang w:eastAsia="en-AU"/>
              </w:rPr>
              <w:br/>
            </w:r>
            <w:r w:rsidRPr="00AC137D">
              <w:rPr>
                <w:rFonts w:eastAsiaTheme="minorEastAsia" w:cs="Calibri"/>
                <w:iCs/>
                <w:color w:val="FFFFFF"/>
                <w:szCs w:val="20"/>
                <w:lang w:eastAsia="en-AU"/>
              </w:rPr>
              <w:t>revised</w:t>
            </w:r>
          </w:p>
        </w:tc>
        <w:tc>
          <w:tcPr>
            <w:tcW w:w="850" w:type="dxa"/>
            <w:tcBorders>
              <w:top w:val="single" w:sz="6" w:space="0" w:color="auto"/>
              <w:left w:val="nil"/>
              <w:right w:val="nil"/>
            </w:tcBorders>
            <w:shd w:val="solid" w:color="000000" w:fill="auto"/>
          </w:tcPr>
          <w:p w:rsidR="00A26D04" w:rsidRPr="00AC137D" w:rsidRDefault="00A26D04" w:rsidP="00A26D0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20"/>
                <w:lang w:eastAsia="en-AU"/>
              </w:rPr>
            </w:pPr>
            <w:r w:rsidRPr="00AC137D">
              <w:rPr>
                <w:rFonts w:eastAsiaTheme="minorEastAsia" w:cs="Calibri"/>
                <w:iCs/>
                <w:color w:val="FFFFFF"/>
                <w:szCs w:val="20"/>
                <w:lang w:eastAsia="en-AU"/>
              </w:rPr>
              <w:t>2018-19</w:t>
            </w:r>
            <w:r>
              <w:rPr>
                <w:rFonts w:eastAsiaTheme="minorEastAsia" w:cs="Calibri"/>
                <w:iCs/>
                <w:color w:val="FFFFFF"/>
                <w:szCs w:val="20"/>
                <w:lang w:eastAsia="en-AU"/>
              </w:rPr>
              <w:br/>
            </w:r>
            <w:r w:rsidRPr="00AC137D">
              <w:rPr>
                <w:rFonts w:eastAsiaTheme="minorEastAsia" w:cs="Calibri"/>
                <w:iCs/>
                <w:color w:val="FFFFFF"/>
                <w:szCs w:val="20"/>
                <w:lang w:eastAsia="en-AU"/>
              </w:rPr>
              <w:t>estimate</w:t>
            </w:r>
          </w:p>
        </w:tc>
        <w:tc>
          <w:tcPr>
            <w:tcW w:w="850" w:type="dxa"/>
            <w:tcBorders>
              <w:top w:val="single" w:sz="6" w:space="0" w:color="auto"/>
              <w:left w:val="nil"/>
              <w:right w:val="nil"/>
            </w:tcBorders>
            <w:shd w:val="solid" w:color="000000" w:fill="auto"/>
          </w:tcPr>
          <w:p w:rsidR="00A26D04" w:rsidRPr="00AC137D" w:rsidRDefault="00A26D04" w:rsidP="00A26D0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20"/>
                <w:lang w:eastAsia="en-AU"/>
              </w:rPr>
            </w:pPr>
            <w:r w:rsidRPr="00AC137D">
              <w:rPr>
                <w:rFonts w:eastAsiaTheme="minorEastAsia" w:cs="Calibri"/>
                <w:iCs/>
                <w:color w:val="FFFFFF"/>
                <w:szCs w:val="20"/>
                <w:lang w:eastAsia="en-AU"/>
              </w:rPr>
              <w:t>2019-20</w:t>
            </w:r>
            <w:r>
              <w:rPr>
                <w:rFonts w:eastAsiaTheme="minorEastAsia" w:cs="Calibri"/>
                <w:iCs/>
                <w:color w:val="FFFFFF"/>
                <w:szCs w:val="20"/>
                <w:lang w:eastAsia="en-AU"/>
              </w:rPr>
              <w:br/>
            </w:r>
            <w:r w:rsidRPr="00AC137D">
              <w:rPr>
                <w:rFonts w:eastAsiaTheme="minorEastAsia" w:cs="Calibri"/>
                <w:iCs/>
                <w:color w:val="FFFFFF"/>
                <w:szCs w:val="20"/>
                <w:lang w:eastAsia="en-AU"/>
              </w:rPr>
              <w:t>estimate</w:t>
            </w:r>
          </w:p>
        </w:tc>
        <w:tc>
          <w:tcPr>
            <w:tcW w:w="850" w:type="dxa"/>
            <w:tcBorders>
              <w:top w:val="single" w:sz="6" w:space="0" w:color="auto"/>
              <w:left w:val="nil"/>
              <w:right w:val="nil"/>
            </w:tcBorders>
            <w:shd w:val="solid" w:color="000000" w:fill="auto"/>
          </w:tcPr>
          <w:p w:rsidR="00A26D04" w:rsidRPr="00AC137D" w:rsidRDefault="00A26D04" w:rsidP="00A26D0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20"/>
                <w:lang w:eastAsia="en-AU"/>
              </w:rPr>
            </w:pPr>
            <w:r w:rsidRPr="00AC137D">
              <w:rPr>
                <w:rFonts w:eastAsiaTheme="minorEastAsia" w:cs="Calibri"/>
                <w:iCs/>
                <w:color w:val="FFFFFF"/>
                <w:szCs w:val="20"/>
                <w:lang w:eastAsia="en-AU"/>
              </w:rPr>
              <w:t>2020-21</w:t>
            </w:r>
            <w:r>
              <w:rPr>
                <w:rFonts w:eastAsiaTheme="minorEastAsia" w:cs="Calibri"/>
                <w:iCs/>
                <w:color w:val="FFFFFF"/>
                <w:szCs w:val="20"/>
                <w:lang w:eastAsia="en-AU"/>
              </w:rPr>
              <w:br/>
            </w:r>
            <w:r w:rsidRPr="00AC137D">
              <w:rPr>
                <w:rFonts w:eastAsiaTheme="minorEastAsia" w:cs="Calibri"/>
                <w:iCs/>
                <w:color w:val="FFFFFF"/>
                <w:szCs w:val="20"/>
                <w:lang w:eastAsia="en-AU"/>
              </w:rPr>
              <w:t>estimate</w:t>
            </w:r>
          </w:p>
        </w:tc>
      </w:tr>
      <w:tr w:rsidR="00A46DCA" w:rsidRPr="00AC137D" w:rsidTr="00A26D04">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A46DCA" w:rsidRPr="00AC137D" w:rsidRDefault="00A46DCA" w:rsidP="00A26D04">
            <w:pPr>
              <w:keepLines w:val="0"/>
              <w:autoSpaceDE w:val="0"/>
              <w:autoSpaceDN w:val="0"/>
              <w:adjustRightInd w:val="0"/>
              <w:rPr>
                <w:rFonts w:eastAsiaTheme="minorEastAsia" w:cs="Calibri"/>
                <w:color w:val="000000"/>
                <w:szCs w:val="20"/>
                <w:lang w:eastAsia="en-AU"/>
              </w:rPr>
            </w:pPr>
            <w:r w:rsidRPr="00AC137D">
              <w:rPr>
                <w:rFonts w:eastAsiaTheme="minorEastAsia" w:cs="Calibri"/>
                <w:color w:val="000000"/>
                <w:szCs w:val="20"/>
                <w:lang w:eastAsia="en-AU"/>
              </w:rPr>
              <w:t>General public services</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Pr>
                <w:rFonts w:eastAsiaTheme="minorEastAsia" w:cs="Calibri"/>
                <w:color w:val="000000"/>
                <w:szCs w:val="20"/>
                <w:lang w:eastAsia="en-AU"/>
              </w:rPr>
              <w:t>79</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Pr>
                <w:rFonts w:eastAsiaTheme="minorEastAsia" w:cs="Calibri"/>
                <w:color w:val="000000"/>
                <w:szCs w:val="20"/>
                <w:lang w:eastAsia="en-AU"/>
              </w:rPr>
              <w:t>96</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Pr>
                <w:rFonts w:eastAsiaTheme="minorEastAsia" w:cs="Calibri"/>
                <w:color w:val="000000"/>
                <w:szCs w:val="20"/>
                <w:lang w:eastAsia="en-AU"/>
              </w:rPr>
              <w:t>82</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Pr>
                <w:rFonts w:eastAsiaTheme="minorEastAsia" w:cs="Calibri"/>
                <w:color w:val="000000"/>
                <w:szCs w:val="20"/>
                <w:lang w:eastAsia="en-AU"/>
              </w:rPr>
              <w:t>40</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Pr>
                <w:rFonts w:eastAsiaTheme="minorEastAsia" w:cs="Calibri"/>
                <w:color w:val="000000"/>
                <w:szCs w:val="20"/>
                <w:lang w:eastAsia="en-AU"/>
              </w:rPr>
              <w:t>57</w:t>
            </w:r>
          </w:p>
        </w:tc>
      </w:tr>
      <w:tr w:rsidR="00A46DCA" w:rsidRPr="00AC137D" w:rsidTr="00A26D04">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A46DCA" w:rsidRPr="00AC137D" w:rsidRDefault="00A46DCA" w:rsidP="00A26D04">
            <w:pPr>
              <w:keepLines w:val="0"/>
              <w:autoSpaceDE w:val="0"/>
              <w:autoSpaceDN w:val="0"/>
              <w:adjustRightInd w:val="0"/>
              <w:rPr>
                <w:rFonts w:eastAsiaTheme="minorEastAsia" w:cs="Calibri"/>
                <w:color w:val="000000"/>
                <w:szCs w:val="20"/>
                <w:lang w:eastAsia="en-AU"/>
              </w:rPr>
            </w:pPr>
            <w:r w:rsidRPr="00AC137D">
              <w:rPr>
                <w:rFonts w:eastAsiaTheme="minorEastAsia" w:cs="Calibri"/>
                <w:color w:val="000000"/>
                <w:szCs w:val="20"/>
                <w:lang w:eastAsia="en-AU"/>
              </w:rPr>
              <w:t>Public order and safety</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AC137D">
              <w:rPr>
                <w:rFonts w:eastAsiaTheme="minorEastAsia" w:cs="Calibri"/>
                <w:color w:val="000000"/>
                <w:szCs w:val="20"/>
                <w:lang w:eastAsia="en-AU"/>
              </w:rPr>
              <w:t>1 314</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AC137D">
              <w:rPr>
                <w:rFonts w:eastAsiaTheme="minorEastAsia" w:cs="Calibri"/>
                <w:color w:val="000000"/>
                <w:szCs w:val="20"/>
                <w:lang w:eastAsia="en-AU"/>
              </w:rPr>
              <w:t>1 432</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Pr>
                <w:rFonts w:eastAsiaTheme="minorEastAsia" w:cs="Calibri"/>
                <w:color w:val="000000"/>
                <w:szCs w:val="20"/>
                <w:lang w:eastAsia="en-AU"/>
              </w:rPr>
              <w:t>804</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Pr>
                <w:rFonts w:eastAsiaTheme="minorEastAsia" w:cs="Calibri"/>
                <w:color w:val="000000"/>
                <w:szCs w:val="20"/>
                <w:lang w:eastAsia="en-AU"/>
              </w:rPr>
              <w:t>542</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Pr>
                <w:rFonts w:eastAsiaTheme="minorEastAsia" w:cs="Calibri"/>
                <w:color w:val="000000"/>
                <w:szCs w:val="20"/>
                <w:lang w:eastAsia="en-AU"/>
              </w:rPr>
              <w:t>307</w:t>
            </w:r>
          </w:p>
        </w:tc>
      </w:tr>
      <w:tr w:rsidR="00A46DCA" w:rsidRPr="00AC137D" w:rsidTr="00A26D04">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A46DCA" w:rsidRPr="00AC137D" w:rsidRDefault="00A46DCA" w:rsidP="00A26D04">
            <w:pPr>
              <w:keepLines w:val="0"/>
              <w:autoSpaceDE w:val="0"/>
              <w:autoSpaceDN w:val="0"/>
              <w:adjustRightInd w:val="0"/>
              <w:rPr>
                <w:rFonts w:eastAsiaTheme="minorEastAsia" w:cs="Calibri"/>
                <w:color w:val="000000"/>
                <w:szCs w:val="20"/>
                <w:lang w:eastAsia="en-AU"/>
              </w:rPr>
            </w:pPr>
            <w:r w:rsidRPr="00AC137D">
              <w:rPr>
                <w:rFonts w:eastAsiaTheme="minorEastAsia" w:cs="Calibri"/>
                <w:color w:val="000000"/>
                <w:szCs w:val="20"/>
                <w:lang w:eastAsia="en-AU"/>
              </w:rPr>
              <w:t>Education</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Pr>
                <w:rFonts w:eastAsiaTheme="minorEastAsia" w:cs="Calibri"/>
                <w:color w:val="000000"/>
                <w:szCs w:val="20"/>
                <w:lang w:eastAsia="en-AU"/>
              </w:rPr>
              <w:t>989</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AC137D">
              <w:rPr>
                <w:rFonts w:eastAsiaTheme="minorEastAsia" w:cs="Calibri"/>
                <w:color w:val="000000"/>
                <w:szCs w:val="20"/>
                <w:lang w:eastAsia="en-AU"/>
              </w:rPr>
              <w:t>1 121</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Pr>
                <w:rFonts w:eastAsiaTheme="minorEastAsia" w:cs="Calibri"/>
                <w:color w:val="000000"/>
                <w:szCs w:val="20"/>
                <w:lang w:eastAsia="en-AU"/>
              </w:rPr>
              <w:t>742</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Pr>
                <w:rFonts w:eastAsiaTheme="minorEastAsia" w:cs="Calibri"/>
                <w:color w:val="000000"/>
                <w:szCs w:val="20"/>
                <w:lang w:eastAsia="en-AU"/>
              </w:rPr>
              <w:t>285</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Pr>
                <w:rFonts w:eastAsiaTheme="minorEastAsia" w:cs="Calibri"/>
                <w:color w:val="000000"/>
                <w:szCs w:val="20"/>
                <w:lang w:eastAsia="en-AU"/>
              </w:rPr>
              <w:t>172</w:t>
            </w:r>
          </w:p>
        </w:tc>
      </w:tr>
      <w:tr w:rsidR="00A46DCA" w:rsidRPr="00AC137D" w:rsidTr="00A26D04">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A46DCA" w:rsidRPr="00AC137D" w:rsidRDefault="00A46DCA" w:rsidP="00A26D04">
            <w:pPr>
              <w:keepLines w:val="0"/>
              <w:autoSpaceDE w:val="0"/>
              <w:autoSpaceDN w:val="0"/>
              <w:adjustRightInd w:val="0"/>
              <w:rPr>
                <w:rFonts w:eastAsiaTheme="minorEastAsia" w:cs="Calibri"/>
                <w:color w:val="000000"/>
                <w:szCs w:val="20"/>
                <w:lang w:eastAsia="en-AU"/>
              </w:rPr>
            </w:pPr>
            <w:r w:rsidRPr="00AC137D">
              <w:rPr>
                <w:rFonts w:eastAsiaTheme="minorEastAsia" w:cs="Calibri"/>
                <w:color w:val="000000"/>
                <w:szCs w:val="20"/>
                <w:lang w:eastAsia="en-AU"/>
              </w:rPr>
              <w:t>Health</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AC137D">
              <w:rPr>
                <w:rFonts w:eastAsiaTheme="minorEastAsia" w:cs="Calibri"/>
                <w:color w:val="000000"/>
                <w:szCs w:val="20"/>
                <w:lang w:eastAsia="en-AU"/>
              </w:rPr>
              <w:t>1 079</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AC137D">
              <w:rPr>
                <w:rFonts w:eastAsiaTheme="minorEastAsia" w:cs="Calibri"/>
                <w:color w:val="000000"/>
                <w:szCs w:val="20"/>
                <w:lang w:eastAsia="en-AU"/>
              </w:rPr>
              <w:t>1 061</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Pr>
                <w:rFonts w:eastAsiaTheme="minorEastAsia" w:cs="Calibri"/>
                <w:color w:val="000000"/>
                <w:szCs w:val="20"/>
                <w:lang w:eastAsia="en-AU"/>
              </w:rPr>
              <w:t>651</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Pr>
                <w:rFonts w:eastAsiaTheme="minorEastAsia" w:cs="Calibri"/>
                <w:color w:val="000000"/>
                <w:szCs w:val="20"/>
                <w:lang w:eastAsia="en-AU"/>
              </w:rPr>
              <w:t>307</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Pr>
                <w:rFonts w:eastAsiaTheme="minorEastAsia" w:cs="Calibri"/>
                <w:color w:val="000000"/>
                <w:szCs w:val="20"/>
                <w:lang w:eastAsia="en-AU"/>
              </w:rPr>
              <w:t>336</w:t>
            </w:r>
          </w:p>
        </w:tc>
      </w:tr>
      <w:tr w:rsidR="00A46DCA" w:rsidRPr="00AC137D" w:rsidTr="00A26D04">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A46DCA" w:rsidRPr="00AC137D" w:rsidRDefault="00A46DCA" w:rsidP="00A26D04">
            <w:pPr>
              <w:keepLines w:val="0"/>
              <w:autoSpaceDE w:val="0"/>
              <w:autoSpaceDN w:val="0"/>
              <w:adjustRightInd w:val="0"/>
              <w:rPr>
                <w:rFonts w:eastAsiaTheme="minorEastAsia" w:cs="Calibri"/>
                <w:color w:val="000000"/>
                <w:szCs w:val="20"/>
                <w:lang w:eastAsia="en-AU"/>
              </w:rPr>
            </w:pPr>
            <w:r w:rsidRPr="00AC137D">
              <w:rPr>
                <w:rFonts w:eastAsiaTheme="minorEastAsia" w:cs="Calibri"/>
                <w:color w:val="000000"/>
                <w:szCs w:val="20"/>
                <w:lang w:eastAsia="en-AU"/>
              </w:rPr>
              <w:t>Social security and welfare</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Pr>
                <w:rFonts w:eastAsiaTheme="minorEastAsia" w:cs="Calibri"/>
                <w:color w:val="000000"/>
                <w:szCs w:val="20"/>
                <w:lang w:eastAsia="en-AU"/>
              </w:rPr>
              <w:t>112</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Pr>
                <w:rFonts w:eastAsiaTheme="minorEastAsia" w:cs="Calibri"/>
                <w:color w:val="000000"/>
                <w:szCs w:val="20"/>
                <w:lang w:eastAsia="en-AU"/>
              </w:rPr>
              <w:t>150</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Pr>
                <w:rFonts w:eastAsiaTheme="minorEastAsia" w:cs="Calibri"/>
                <w:color w:val="000000"/>
                <w:szCs w:val="20"/>
                <w:lang w:eastAsia="en-AU"/>
              </w:rPr>
              <w:t>88</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Pr>
                <w:rFonts w:eastAsiaTheme="minorEastAsia" w:cs="Calibri"/>
                <w:color w:val="000000"/>
                <w:szCs w:val="20"/>
                <w:lang w:eastAsia="en-AU"/>
              </w:rPr>
              <w:t>87</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Pr>
                <w:rFonts w:eastAsiaTheme="minorEastAsia" w:cs="Calibri"/>
                <w:color w:val="000000"/>
                <w:szCs w:val="20"/>
                <w:lang w:eastAsia="en-AU"/>
              </w:rPr>
              <w:t>86</w:t>
            </w:r>
          </w:p>
        </w:tc>
      </w:tr>
      <w:tr w:rsidR="00A46DCA" w:rsidRPr="00AC137D" w:rsidTr="00A26D04">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A46DCA" w:rsidRPr="00AC137D" w:rsidRDefault="00A46DCA" w:rsidP="00A26D04">
            <w:pPr>
              <w:keepLines w:val="0"/>
              <w:autoSpaceDE w:val="0"/>
              <w:autoSpaceDN w:val="0"/>
              <w:adjustRightInd w:val="0"/>
              <w:rPr>
                <w:rFonts w:eastAsiaTheme="minorEastAsia" w:cs="Calibri"/>
                <w:color w:val="000000"/>
                <w:szCs w:val="20"/>
                <w:lang w:eastAsia="en-AU"/>
              </w:rPr>
            </w:pPr>
            <w:r w:rsidRPr="00AC137D">
              <w:rPr>
                <w:rFonts w:eastAsiaTheme="minorEastAsia" w:cs="Calibri"/>
                <w:color w:val="000000"/>
                <w:szCs w:val="20"/>
                <w:lang w:eastAsia="en-AU"/>
              </w:rPr>
              <w:t>Housing and community amenities</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Pr>
                <w:rFonts w:eastAsiaTheme="minorEastAsia" w:cs="Calibri"/>
                <w:color w:val="000000"/>
                <w:szCs w:val="20"/>
                <w:lang w:eastAsia="en-AU"/>
              </w:rPr>
              <w:t>108</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Pr>
                <w:rFonts w:eastAsiaTheme="minorEastAsia" w:cs="Calibri"/>
                <w:color w:val="000000"/>
                <w:szCs w:val="20"/>
                <w:lang w:eastAsia="en-AU"/>
              </w:rPr>
              <w:t>112</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Pr>
                <w:rFonts w:eastAsiaTheme="minorEastAsia" w:cs="Calibri"/>
                <w:color w:val="000000"/>
                <w:szCs w:val="20"/>
                <w:lang w:eastAsia="en-AU"/>
              </w:rPr>
              <w:t>91</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Pr>
                <w:rFonts w:eastAsiaTheme="minorEastAsia" w:cs="Calibri"/>
                <w:color w:val="000000"/>
                <w:szCs w:val="20"/>
                <w:lang w:eastAsia="en-AU"/>
              </w:rPr>
              <w:t>82</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Pr>
                <w:rFonts w:eastAsiaTheme="minorEastAsia" w:cs="Calibri"/>
                <w:color w:val="000000"/>
                <w:szCs w:val="20"/>
                <w:lang w:eastAsia="en-AU"/>
              </w:rPr>
              <w:t>53</w:t>
            </w:r>
          </w:p>
        </w:tc>
      </w:tr>
      <w:tr w:rsidR="00A46DCA" w:rsidRPr="00AC137D" w:rsidTr="00A26D04">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A46DCA" w:rsidRPr="00AC137D" w:rsidRDefault="00A46DCA" w:rsidP="00A26D04">
            <w:pPr>
              <w:keepLines w:val="0"/>
              <w:autoSpaceDE w:val="0"/>
              <w:autoSpaceDN w:val="0"/>
              <w:adjustRightInd w:val="0"/>
              <w:rPr>
                <w:rFonts w:eastAsiaTheme="minorEastAsia" w:cs="Calibri"/>
                <w:color w:val="000000"/>
                <w:szCs w:val="20"/>
                <w:lang w:eastAsia="en-AU"/>
              </w:rPr>
            </w:pPr>
            <w:r w:rsidRPr="00AC137D">
              <w:rPr>
                <w:rFonts w:eastAsiaTheme="minorEastAsia" w:cs="Calibri"/>
                <w:color w:val="000000"/>
                <w:szCs w:val="20"/>
                <w:lang w:eastAsia="en-AU"/>
              </w:rPr>
              <w:t>Recreation and culture</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Pr>
                <w:rFonts w:eastAsiaTheme="minorEastAsia" w:cs="Calibri"/>
                <w:color w:val="000000"/>
                <w:szCs w:val="20"/>
                <w:lang w:eastAsia="en-AU"/>
              </w:rPr>
              <w:t>88</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Pr>
                <w:rFonts w:eastAsiaTheme="minorEastAsia" w:cs="Calibri"/>
                <w:color w:val="000000"/>
                <w:szCs w:val="20"/>
                <w:lang w:eastAsia="en-AU"/>
              </w:rPr>
              <w:t>84</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Pr>
                <w:rFonts w:eastAsiaTheme="minorEastAsia" w:cs="Calibri"/>
                <w:color w:val="000000"/>
                <w:szCs w:val="20"/>
                <w:lang w:eastAsia="en-AU"/>
              </w:rPr>
              <w:t>79</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Pr>
                <w:rFonts w:eastAsiaTheme="minorEastAsia" w:cs="Calibri"/>
                <w:color w:val="000000"/>
                <w:szCs w:val="20"/>
                <w:lang w:eastAsia="en-AU"/>
              </w:rPr>
              <w:t>28</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Pr>
                <w:rFonts w:eastAsiaTheme="minorEastAsia" w:cs="Calibri"/>
                <w:color w:val="000000"/>
                <w:szCs w:val="20"/>
                <w:lang w:eastAsia="en-AU"/>
              </w:rPr>
              <w:t>22</w:t>
            </w:r>
          </w:p>
        </w:tc>
      </w:tr>
      <w:tr w:rsidR="00A46DCA" w:rsidRPr="00AC137D" w:rsidTr="00A26D04">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A46DCA" w:rsidRPr="00AC137D" w:rsidRDefault="00A46DCA" w:rsidP="00A26D04">
            <w:pPr>
              <w:keepLines w:val="0"/>
              <w:autoSpaceDE w:val="0"/>
              <w:autoSpaceDN w:val="0"/>
              <w:adjustRightInd w:val="0"/>
              <w:rPr>
                <w:rFonts w:eastAsiaTheme="minorEastAsia" w:cs="Calibri"/>
                <w:color w:val="000000"/>
                <w:szCs w:val="20"/>
                <w:lang w:eastAsia="en-AU"/>
              </w:rPr>
            </w:pPr>
            <w:r w:rsidRPr="00AC137D">
              <w:rPr>
                <w:rFonts w:eastAsiaTheme="minorEastAsia" w:cs="Calibri"/>
                <w:color w:val="000000"/>
                <w:szCs w:val="20"/>
                <w:lang w:eastAsia="en-AU"/>
              </w:rPr>
              <w:t>Fuel and energy</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Pr>
                <w:rFonts w:eastAsiaTheme="minorEastAsia" w:cs="Calibri"/>
                <w:color w:val="000000"/>
                <w:szCs w:val="20"/>
                <w:lang w:eastAsia="en-AU"/>
              </w:rPr>
              <w:t>4</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Pr>
                <w:rFonts w:eastAsiaTheme="minorEastAsia" w:cs="Calibri"/>
                <w:color w:val="000000"/>
                <w:szCs w:val="20"/>
                <w:lang w:eastAsia="en-AU"/>
              </w:rPr>
              <w:t>4</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Pr>
                <w:rFonts w:eastAsiaTheme="minorEastAsia" w:cs="Calibri"/>
                <w:color w:val="000000"/>
                <w:szCs w:val="20"/>
                <w:lang w:eastAsia="en-AU"/>
              </w:rPr>
              <w:t>3</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Pr>
                <w:rFonts w:eastAsiaTheme="minorEastAsia" w:cs="Calibri"/>
                <w:color w:val="000000"/>
                <w:szCs w:val="20"/>
                <w:lang w:eastAsia="en-AU"/>
              </w:rPr>
              <w:t>13</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Pr>
                <w:rFonts w:eastAsiaTheme="minorEastAsia" w:cs="Calibri"/>
                <w:color w:val="000000"/>
                <w:szCs w:val="20"/>
                <w:lang w:eastAsia="en-AU"/>
              </w:rPr>
              <w:t>13</w:t>
            </w:r>
          </w:p>
        </w:tc>
      </w:tr>
      <w:tr w:rsidR="00A46DCA" w:rsidRPr="00AC137D" w:rsidTr="00A26D04">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A46DCA" w:rsidRPr="00AC137D" w:rsidRDefault="00A46DCA" w:rsidP="00A26D04">
            <w:pPr>
              <w:keepLines w:val="0"/>
              <w:autoSpaceDE w:val="0"/>
              <w:autoSpaceDN w:val="0"/>
              <w:adjustRightInd w:val="0"/>
              <w:rPr>
                <w:rFonts w:eastAsiaTheme="minorEastAsia" w:cs="Calibri"/>
                <w:color w:val="000000"/>
                <w:szCs w:val="20"/>
                <w:lang w:eastAsia="en-AU"/>
              </w:rPr>
            </w:pPr>
            <w:r w:rsidRPr="00AC137D">
              <w:rPr>
                <w:rFonts w:eastAsiaTheme="minorEastAsia" w:cs="Calibri"/>
                <w:color w:val="000000"/>
                <w:szCs w:val="20"/>
                <w:lang w:eastAsia="en-AU"/>
              </w:rPr>
              <w:t>Agriculture, forestry, fishing, and hunting</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Pr>
                <w:rFonts w:eastAsiaTheme="minorEastAsia" w:cs="Calibri"/>
                <w:color w:val="000000"/>
                <w:szCs w:val="20"/>
                <w:lang w:eastAsia="en-AU"/>
              </w:rPr>
              <w:t>9</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Pr>
                <w:rFonts w:eastAsiaTheme="minorEastAsia" w:cs="Calibri"/>
                <w:color w:val="000000"/>
                <w:szCs w:val="20"/>
                <w:lang w:eastAsia="en-AU"/>
              </w:rPr>
              <w:t>28</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Pr>
                <w:rFonts w:eastAsiaTheme="minorEastAsia" w:cs="Calibri"/>
                <w:color w:val="000000"/>
                <w:szCs w:val="20"/>
                <w:lang w:eastAsia="en-AU"/>
              </w:rPr>
              <w:t>7</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Pr>
                <w:rFonts w:eastAsiaTheme="minorEastAsia" w:cs="Calibri"/>
                <w:color w:val="000000"/>
                <w:szCs w:val="20"/>
                <w:lang w:eastAsia="en-AU"/>
              </w:rPr>
              <w:t>6</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Pr>
                <w:rFonts w:eastAsiaTheme="minorEastAsia" w:cs="Calibri"/>
                <w:color w:val="000000"/>
                <w:szCs w:val="20"/>
                <w:lang w:eastAsia="en-AU"/>
              </w:rPr>
              <w:t>6</w:t>
            </w:r>
          </w:p>
        </w:tc>
      </w:tr>
      <w:tr w:rsidR="00A46DCA" w:rsidRPr="00AC137D" w:rsidTr="00A26D04">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A46DCA" w:rsidRPr="00AC137D" w:rsidRDefault="00A46DCA" w:rsidP="00A26D04">
            <w:pPr>
              <w:keepLines w:val="0"/>
              <w:autoSpaceDE w:val="0"/>
              <w:autoSpaceDN w:val="0"/>
              <w:adjustRightInd w:val="0"/>
              <w:rPr>
                <w:rFonts w:eastAsiaTheme="minorEastAsia" w:cs="Calibri"/>
                <w:color w:val="000000"/>
                <w:szCs w:val="20"/>
                <w:lang w:eastAsia="en-AU"/>
              </w:rPr>
            </w:pPr>
            <w:r w:rsidRPr="00AC137D">
              <w:rPr>
                <w:rFonts w:eastAsiaTheme="minorEastAsia" w:cs="Calibri"/>
                <w:color w:val="000000"/>
                <w:szCs w:val="20"/>
                <w:lang w:eastAsia="en-AU"/>
              </w:rPr>
              <w:t>Transport and communications</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AC137D">
              <w:rPr>
                <w:rFonts w:eastAsiaTheme="minorEastAsia" w:cs="Calibri"/>
                <w:color w:val="000000"/>
                <w:szCs w:val="20"/>
                <w:lang w:eastAsia="en-AU"/>
              </w:rPr>
              <w:t>6 578</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AC137D">
              <w:rPr>
                <w:rFonts w:eastAsiaTheme="minorEastAsia" w:cs="Calibri"/>
                <w:color w:val="000000"/>
                <w:szCs w:val="20"/>
                <w:lang w:eastAsia="en-AU"/>
              </w:rPr>
              <w:t>7 005</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AC137D">
              <w:rPr>
                <w:rFonts w:eastAsiaTheme="minorEastAsia" w:cs="Calibri"/>
                <w:color w:val="000000"/>
                <w:szCs w:val="20"/>
                <w:lang w:eastAsia="en-AU"/>
              </w:rPr>
              <w:t>6 312</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AC137D">
              <w:rPr>
                <w:rFonts w:eastAsiaTheme="minorEastAsia" w:cs="Calibri"/>
                <w:color w:val="000000"/>
                <w:szCs w:val="20"/>
                <w:lang w:eastAsia="en-AU"/>
              </w:rPr>
              <w:t>4 448</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AC137D">
              <w:rPr>
                <w:rFonts w:eastAsiaTheme="minorEastAsia" w:cs="Calibri"/>
                <w:color w:val="000000"/>
                <w:szCs w:val="20"/>
                <w:lang w:eastAsia="en-AU"/>
              </w:rPr>
              <w:t>4 756</w:t>
            </w:r>
          </w:p>
        </w:tc>
      </w:tr>
      <w:tr w:rsidR="00A46DCA" w:rsidRPr="00AC137D" w:rsidTr="00A26D04">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A46DCA" w:rsidRPr="00AC137D" w:rsidRDefault="00A46DCA" w:rsidP="00A26D04">
            <w:pPr>
              <w:keepLines w:val="0"/>
              <w:autoSpaceDE w:val="0"/>
              <w:autoSpaceDN w:val="0"/>
              <w:adjustRightInd w:val="0"/>
              <w:rPr>
                <w:rFonts w:eastAsiaTheme="minorEastAsia" w:cs="Calibri"/>
                <w:color w:val="000000"/>
                <w:szCs w:val="20"/>
                <w:lang w:eastAsia="en-AU"/>
              </w:rPr>
            </w:pPr>
            <w:r w:rsidRPr="00AC137D">
              <w:rPr>
                <w:rFonts w:eastAsiaTheme="minorEastAsia" w:cs="Calibri"/>
                <w:color w:val="000000"/>
                <w:szCs w:val="20"/>
                <w:lang w:eastAsia="en-AU"/>
              </w:rPr>
              <w:t>Other economic affairs</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Pr>
                <w:rFonts w:eastAsiaTheme="minorEastAsia" w:cs="Calibri"/>
                <w:color w:val="000000"/>
                <w:szCs w:val="20"/>
                <w:lang w:eastAsia="en-AU"/>
              </w:rPr>
              <w:t>104</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Pr>
                <w:rFonts w:eastAsiaTheme="minorEastAsia" w:cs="Calibri"/>
                <w:color w:val="000000"/>
                <w:szCs w:val="20"/>
                <w:lang w:eastAsia="en-AU"/>
              </w:rPr>
              <w:t>143</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Pr>
                <w:rFonts w:eastAsiaTheme="minorEastAsia" w:cs="Calibri"/>
                <w:color w:val="000000"/>
                <w:szCs w:val="20"/>
                <w:lang w:eastAsia="en-AU"/>
              </w:rPr>
              <w:t>2</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Pr>
                <w:rFonts w:eastAsiaTheme="minorEastAsia" w:cs="Calibri"/>
                <w:color w:val="000000"/>
                <w:szCs w:val="20"/>
                <w:lang w:eastAsia="en-AU"/>
              </w:rPr>
              <w:t>16</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Pr>
                <w:rFonts w:eastAsiaTheme="minorEastAsia" w:cs="Calibri"/>
                <w:color w:val="000000"/>
                <w:szCs w:val="20"/>
                <w:lang w:eastAsia="en-AU"/>
              </w:rPr>
              <w:t>7</w:t>
            </w:r>
          </w:p>
        </w:tc>
      </w:tr>
      <w:tr w:rsidR="00A46DCA" w:rsidRPr="00AC137D" w:rsidTr="00A26D04">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single" w:sz="6" w:space="0" w:color="auto"/>
              <w:right w:val="nil"/>
            </w:tcBorders>
          </w:tcPr>
          <w:p w:rsidR="00A46DCA" w:rsidRPr="00AC137D" w:rsidRDefault="00A46DCA" w:rsidP="00A26D04">
            <w:pPr>
              <w:keepLines w:val="0"/>
              <w:autoSpaceDE w:val="0"/>
              <w:autoSpaceDN w:val="0"/>
              <w:adjustRightInd w:val="0"/>
              <w:rPr>
                <w:rFonts w:eastAsiaTheme="minorEastAsia" w:cs="Calibri"/>
                <w:color w:val="000000"/>
                <w:szCs w:val="20"/>
                <w:vertAlign w:val="superscript"/>
                <w:lang w:eastAsia="en-AU"/>
              </w:rPr>
            </w:pPr>
            <w:r w:rsidRPr="00AC137D">
              <w:rPr>
                <w:rFonts w:eastAsiaTheme="minorEastAsia" w:cs="Calibri"/>
                <w:color w:val="000000"/>
                <w:szCs w:val="20"/>
                <w:lang w:eastAsia="en-AU"/>
              </w:rPr>
              <w:t>Not allocated by purpose</w:t>
            </w:r>
            <w:r w:rsidRPr="00AC137D">
              <w:rPr>
                <w:rFonts w:eastAsiaTheme="minorEastAsia" w:cs="Calibri"/>
                <w:color w:val="000000"/>
                <w:szCs w:val="20"/>
                <w:vertAlign w:val="superscript"/>
                <w:lang w:eastAsia="en-AU"/>
              </w:rPr>
              <w:t>(b)</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AC137D">
              <w:rPr>
                <w:rFonts w:eastAsiaTheme="minorEastAsia" w:cs="Calibri"/>
                <w:color w:val="000000"/>
                <w:szCs w:val="20"/>
                <w:lang w:eastAsia="en-AU"/>
              </w:rPr>
              <w:t>(1 685)</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AC137D">
              <w:rPr>
                <w:rFonts w:eastAsiaTheme="minorEastAsia" w:cs="Calibri"/>
                <w:color w:val="000000"/>
                <w:szCs w:val="20"/>
                <w:lang w:eastAsia="en-AU"/>
              </w:rPr>
              <w:t>(1 947)</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Pr>
                <w:rFonts w:eastAsiaTheme="minorEastAsia" w:cs="Calibri"/>
                <w:color w:val="000000"/>
                <w:szCs w:val="20"/>
                <w:lang w:eastAsia="en-AU"/>
              </w:rPr>
              <w:t>(261)</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AC137D">
              <w:rPr>
                <w:rFonts w:eastAsiaTheme="minorEastAsia" w:cs="Calibri"/>
                <w:color w:val="000000"/>
                <w:szCs w:val="20"/>
                <w:lang w:eastAsia="en-AU"/>
              </w:rPr>
              <w:t>1 325</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AC137D">
              <w:rPr>
                <w:rFonts w:eastAsiaTheme="minorEastAsia" w:cs="Calibri"/>
                <w:color w:val="000000"/>
                <w:szCs w:val="20"/>
                <w:lang w:eastAsia="en-AU"/>
              </w:rPr>
              <w:t>1 842</w:t>
            </w:r>
          </w:p>
        </w:tc>
      </w:tr>
      <w:tr w:rsidR="00A46DCA" w:rsidRPr="00AC137D" w:rsidTr="00A26D04">
        <w:tc>
          <w:tcPr>
            <w:cnfStyle w:val="001000000000" w:firstRow="0" w:lastRow="0" w:firstColumn="1" w:lastColumn="0" w:oddVBand="0" w:evenVBand="0" w:oddHBand="0" w:evenHBand="0" w:firstRowFirstColumn="0" w:firstRowLastColumn="0" w:lastRowFirstColumn="0" w:lastRowLastColumn="0"/>
            <w:tcW w:w="3515" w:type="dxa"/>
            <w:tcBorders>
              <w:top w:val="single" w:sz="6" w:space="0" w:color="auto"/>
              <w:left w:val="nil"/>
              <w:bottom w:val="single" w:sz="12" w:space="0" w:color="auto"/>
              <w:right w:val="nil"/>
            </w:tcBorders>
          </w:tcPr>
          <w:p w:rsidR="00A46DCA" w:rsidRPr="00AC137D" w:rsidRDefault="00A46DCA" w:rsidP="00A26D04">
            <w:pPr>
              <w:keepLines w:val="0"/>
              <w:autoSpaceDE w:val="0"/>
              <w:autoSpaceDN w:val="0"/>
              <w:adjustRightInd w:val="0"/>
              <w:rPr>
                <w:rFonts w:eastAsiaTheme="minorEastAsia" w:cs="Calibri"/>
                <w:b/>
                <w:bCs/>
                <w:color w:val="000000"/>
                <w:szCs w:val="20"/>
                <w:lang w:eastAsia="en-AU"/>
              </w:rPr>
            </w:pPr>
            <w:r w:rsidRPr="00AC137D">
              <w:rPr>
                <w:rFonts w:eastAsiaTheme="minorEastAsia" w:cs="Calibri"/>
                <w:b/>
                <w:bCs/>
                <w:color w:val="000000"/>
                <w:szCs w:val="20"/>
                <w:lang w:eastAsia="en-AU"/>
              </w:rPr>
              <w:t>Total purchases of non-financial assets</w:t>
            </w:r>
          </w:p>
        </w:tc>
        <w:tc>
          <w:tcPr>
            <w:tcW w:w="850" w:type="dxa"/>
            <w:tcBorders>
              <w:top w:val="single" w:sz="6" w:space="0" w:color="auto"/>
              <w:left w:val="nil"/>
              <w:bottom w:val="single" w:sz="12" w:space="0" w:color="auto"/>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0"/>
                <w:lang w:eastAsia="en-AU"/>
              </w:rPr>
            </w:pPr>
            <w:r w:rsidRPr="00AC137D">
              <w:rPr>
                <w:rFonts w:eastAsiaTheme="minorEastAsia" w:cs="Calibri"/>
                <w:b/>
                <w:bCs/>
                <w:color w:val="000000"/>
                <w:szCs w:val="20"/>
                <w:lang w:eastAsia="en-AU"/>
              </w:rPr>
              <w:t>8 780</w:t>
            </w:r>
          </w:p>
        </w:tc>
        <w:tc>
          <w:tcPr>
            <w:tcW w:w="850" w:type="dxa"/>
            <w:tcBorders>
              <w:top w:val="single" w:sz="6" w:space="0" w:color="auto"/>
              <w:left w:val="nil"/>
              <w:bottom w:val="single" w:sz="12" w:space="0" w:color="auto"/>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0"/>
                <w:lang w:eastAsia="en-AU"/>
              </w:rPr>
            </w:pPr>
            <w:r w:rsidRPr="00AC137D">
              <w:rPr>
                <w:rFonts w:eastAsiaTheme="minorEastAsia" w:cs="Calibri"/>
                <w:b/>
                <w:bCs/>
                <w:color w:val="000000"/>
                <w:szCs w:val="20"/>
                <w:lang w:eastAsia="en-AU"/>
              </w:rPr>
              <w:t>9 289</w:t>
            </w:r>
          </w:p>
        </w:tc>
        <w:tc>
          <w:tcPr>
            <w:tcW w:w="850" w:type="dxa"/>
            <w:tcBorders>
              <w:top w:val="single" w:sz="6" w:space="0" w:color="auto"/>
              <w:left w:val="nil"/>
              <w:bottom w:val="single" w:sz="12" w:space="0" w:color="auto"/>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0"/>
                <w:lang w:eastAsia="en-AU"/>
              </w:rPr>
            </w:pPr>
            <w:r w:rsidRPr="00AC137D">
              <w:rPr>
                <w:rFonts w:eastAsiaTheme="minorEastAsia" w:cs="Calibri"/>
                <w:b/>
                <w:bCs/>
                <w:color w:val="000000"/>
                <w:szCs w:val="20"/>
                <w:lang w:eastAsia="en-AU"/>
              </w:rPr>
              <w:t>8 602</w:t>
            </w:r>
          </w:p>
        </w:tc>
        <w:tc>
          <w:tcPr>
            <w:tcW w:w="850" w:type="dxa"/>
            <w:tcBorders>
              <w:top w:val="single" w:sz="6" w:space="0" w:color="auto"/>
              <w:left w:val="nil"/>
              <w:bottom w:val="single" w:sz="12" w:space="0" w:color="auto"/>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0"/>
                <w:lang w:eastAsia="en-AU"/>
              </w:rPr>
            </w:pPr>
            <w:r w:rsidRPr="00AC137D">
              <w:rPr>
                <w:rFonts w:eastAsiaTheme="minorEastAsia" w:cs="Calibri"/>
                <w:b/>
                <w:bCs/>
                <w:color w:val="000000"/>
                <w:szCs w:val="20"/>
                <w:lang w:eastAsia="en-AU"/>
              </w:rPr>
              <w:t>7 180</w:t>
            </w:r>
          </w:p>
        </w:tc>
        <w:tc>
          <w:tcPr>
            <w:tcW w:w="850" w:type="dxa"/>
            <w:tcBorders>
              <w:top w:val="single" w:sz="6" w:space="0" w:color="auto"/>
              <w:left w:val="nil"/>
              <w:bottom w:val="single" w:sz="12" w:space="0" w:color="auto"/>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0"/>
                <w:lang w:eastAsia="en-AU"/>
              </w:rPr>
            </w:pPr>
            <w:r>
              <w:rPr>
                <w:rFonts w:eastAsiaTheme="minorEastAsia" w:cs="Calibri"/>
                <w:b/>
                <w:bCs/>
                <w:color w:val="000000"/>
                <w:szCs w:val="20"/>
                <w:lang w:eastAsia="en-AU"/>
              </w:rPr>
              <w:t>7 656</w:t>
            </w:r>
          </w:p>
        </w:tc>
      </w:tr>
    </w:tbl>
    <w:p w:rsidR="00A46DCA" w:rsidRPr="00D72444" w:rsidRDefault="00A46DCA" w:rsidP="00A26D04">
      <w:pPr>
        <w:pStyle w:val="Source"/>
      </w:pPr>
      <w:r w:rsidRPr="00D87D22">
        <w:t>Source: Department of Treasury and Finance</w:t>
      </w:r>
    </w:p>
    <w:p w:rsidR="00A46DCA" w:rsidRDefault="00A46DCA" w:rsidP="00A26D04">
      <w:pPr>
        <w:pStyle w:val="Note"/>
      </w:pPr>
      <w:r>
        <w:t>Notes:</w:t>
      </w:r>
    </w:p>
    <w:p w:rsidR="00A46DCA" w:rsidRDefault="00A46DCA" w:rsidP="00A26D04">
      <w:pPr>
        <w:pStyle w:val="Note"/>
      </w:pPr>
      <w:r>
        <w:t>(a)</w:t>
      </w:r>
      <w:r>
        <w:tab/>
        <w:t xml:space="preserve">Note 3.6 of the </w:t>
      </w:r>
      <w:r>
        <w:rPr>
          <w:i w:val="0"/>
        </w:rPr>
        <w:t>2016-17</w:t>
      </w:r>
      <w:r w:rsidRPr="00FB75AD">
        <w:rPr>
          <w:i w:val="0"/>
        </w:rPr>
        <w:t xml:space="preserve"> Financial Report</w:t>
      </w:r>
      <w:r>
        <w:t xml:space="preserve"> for the State of Victoria provides definitions and descriptions of government purpose classifications.</w:t>
      </w:r>
    </w:p>
    <w:p w:rsidR="00A46DCA" w:rsidRPr="00D72444" w:rsidRDefault="00A46DCA" w:rsidP="00A26D04">
      <w:pPr>
        <w:pStyle w:val="Note"/>
      </w:pPr>
      <w:r>
        <w:t>(b)</w:t>
      </w:r>
      <w:r>
        <w:tab/>
        <w:t>Estimated amount available to be allocated to departments and projects in future budgets, including major capital investment. It also includes departmental spending, which may be subject to carryover.</w:t>
      </w:r>
    </w:p>
    <w:p w:rsidR="00A46DCA" w:rsidRDefault="00A46DCA" w:rsidP="00A26D04"/>
    <w:p w:rsidR="00A46DCA" w:rsidRPr="007E0B06" w:rsidRDefault="00A46DCA" w:rsidP="00A26D04">
      <w:pPr>
        <w:pStyle w:val="TableHeading"/>
        <w:rPr>
          <w:bCs/>
          <w:lang w:val="en-US"/>
        </w:rPr>
      </w:pPr>
      <w:r>
        <w:t>Purchases of non-financial assets by portfolio department</w:t>
      </w:r>
      <w:r>
        <w:tab/>
        <w:t>($ million)</w:t>
      </w:r>
    </w:p>
    <w:tbl>
      <w:tblPr>
        <w:tblStyle w:val="DTFTable"/>
        <w:tblW w:w="7766" w:type="dxa"/>
        <w:tblInd w:w="45" w:type="dxa"/>
        <w:tblLayout w:type="fixed"/>
        <w:tblCellMar>
          <w:left w:w="45" w:type="dxa"/>
          <w:right w:w="45" w:type="dxa"/>
        </w:tblCellMar>
        <w:tblLook w:val="06A0" w:firstRow="1" w:lastRow="0" w:firstColumn="1" w:lastColumn="0" w:noHBand="1" w:noVBand="1"/>
      </w:tblPr>
      <w:tblGrid>
        <w:gridCol w:w="3515"/>
        <w:gridCol w:w="295"/>
        <w:gridCol w:w="556"/>
        <w:gridCol w:w="850"/>
        <w:gridCol w:w="850"/>
        <w:gridCol w:w="850"/>
        <w:gridCol w:w="850"/>
      </w:tblGrid>
      <w:tr w:rsidR="00A26D04" w:rsidRPr="007E0B06" w:rsidTr="002677DA">
        <w:trPr>
          <w:cnfStyle w:val="100000000000" w:firstRow="1" w:lastRow="0" w:firstColumn="0" w:lastColumn="0" w:oddVBand="0" w:evenVBand="0" w:oddHBand="0" w:evenHBand="0" w:firstRowFirstColumn="0" w:firstRowLastColumn="0" w:lastRowFirstColumn="0" w:lastRowLastColumn="0"/>
          <w:trHeight w:val="55"/>
          <w:tblHeader/>
        </w:trPr>
        <w:tc>
          <w:tcPr>
            <w:cnfStyle w:val="001000000000" w:firstRow="0" w:lastRow="0" w:firstColumn="1" w:lastColumn="0" w:oddVBand="0" w:evenVBand="0" w:oddHBand="0" w:evenHBand="0" w:firstRowFirstColumn="0" w:firstRowLastColumn="0" w:lastRowFirstColumn="0" w:lastRowLastColumn="0"/>
            <w:tcW w:w="3515" w:type="dxa"/>
            <w:tcBorders>
              <w:top w:val="nil"/>
              <w:left w:val="nil"/>
              <w:right w:val="nil"/>
            </w:tcBorders>
            <w:shd w:val="solid" w:color="000000" w:fill="auto"/>
          </w:tcPr>
          <w:p w:rsidR="00A26D04" w:rsidRPr="007E0B06" w:rsidRDefault="00A26D04" w:rsidP="00A26D04">
            <w:pPr>
              <w:autoSpaceDE w:val="0"/>
              <w:autoSpaceDN w:val="0"/>
              <w:adjustRightInd w:val="0"/>
              <w:rPr>
                <w:rFonts w:eastAsiaTheme="minorEastAsia" w:cs="Calibri"/>
                <w:iCs/>
                <w:color w:val="FFFFFF"/>
                <w:szCs w:val="20"/>
                <w:lang w:eastAsia="en-AU"/>
              </w:rPr>
            </w:pPr>
            <w:r w:rsidRPr="007E0B06">
              <w:rPr>
                <w:rFonts w:eastAsiaTheme="minorEastAsia" w:cs="Calibri"/>
                <w:iCs/>
                <w:color w:val="FFFFFF"/>
                <w:szCs w:val="20"/>
                <w:lang w:eastAsia="en-AU"/>
              </w:rPr>
              <w:t xml:space="preserve">  </w:t>
            </w:r>
          </w:p>
        </w:tc>
        <w:tc>
          <w:tcPr>
            <w:tcW w:w="851" w:type="dxa"/>
            <w:gridSpan w:val="2"/>
            <w:tcBorders>
              <w:top w:val="single" w:sz="6" w:space="0" w:color="auto"/>
              <w:left w:val="nil"/>
              <w:right w:val="nil"/>
            </w:tcBorders>
            <w:shd w:val="solid" w:color="000000" w:fill="auto"/>
          </w:tcPr>
          <w:p w:rsidR="00A26D04" w:rsidRPr="007E0B06" w:rsidRDefault="00A26D04" w:rsidP="00A26D0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20"/>
                <w:lang w:eastAsia="en-AU"/>
              </w:rPr>
            </w:pPr>
            <w:r w:rsidRPr="007E0B06">
              <w:rPr>
                <w:rFonts w:eastAsiaTheme="minorEastAsia" w:cs="Calibri"/>
                <w:iCs/>
                <w:color w:val="FFFFFF"/>
                <w:szCs w:val="20"/>
                <w:lang w:eastAsia="en-AU"/>
              </w:rPr>
              <w:t>2017-18</w:t>
            </w:r>
            <w:r>
              <w:rPr>
                <w:rFonts w:eastAsiaTheme="minorEastAsia" w:cs="Calibri"/>
                <w:iCs/>
                <w:color w:val="FFFFFF"/>
                <w:szCs w:val="20"/>
                <w:lang w:eastAsia="en-AU"/>
              </w:rPr>
              <w:br/>
            </w:r>
            <w:r w:rsidRPr="007E0B06">
              <w:rPr>
                <w:rFonts w:eastAsiaTheme="minorEastAsia" w:cs="Calibri"/>
                <w:iCs/>
                <w:color w:val="FFFFFF"/>
                <w:szCs w:val="20"/>
                <w:lang w:eastAsia="en-AU"/>
              </w:rPr>
              <w:t>budget</w:t>
            </w:r>
          </w:p>
        </w:tc>
        <w:tc>
          <w:tcPr>
            <w:tcW w:w="850" w:type="dxa"/>
            <w:tcBorders>
              <w:top w:val="single" w:sz="6" w:space="0" w:color="auto"/>
              <w:left w:val="nil"/>
              <w:right w:val="nil"/>
            </w:tcBorders>
            <w:shd w:val="solid" w:color="000000" w:fill="auto"/>
          </w:tcPr>
          <w:p w:rsidR="00A26D04" w:rsidRPr="007E0B06" w:rsidRDefault="00A26D04" w:rsidP="00A26D0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20"/>
                <w:lang w:eastAsia="en-AU"/>
              </w:rPr>
            </w:pPr>
            <w:r w:rsidRPr="007E0B06">
              <w:rPr>
                <w:rFonts w:eastAsiaTheme="minorEastAsia" w:cs="Calibri"/>
                <w:iCs/>
                <w:color w:val="FFFFFF"/>
                <w:szCs w:val="20"/>
                <w:lang w:eastAsia="en-AU"/>
              </w:rPr>
              <w:t>2017-18</w:t>
            </w:r>
            <w:r>
              <w:rPr>
                <w:rFonts w:eastAsiaTheme="minorEastAsia" w:cs="Calibri"/>
                <w:iCs/>
                <w:color w:val="FFFFFF"/>
                <w:szCs w:val="20"/>
                <w:lang w:eastAsia="en-AU"/>
              </w:rPr>
              <w:br/>
            </w:r>
            <w:r w:rsidRPr="007E0B06">
              <w:rPr>
                <w:rFonts w:eastAsiaTheme="minorEastAsia" w:cs="Calibri"/>
                <w:iCs/>
                <w:color w:val="FFFFFF"/>
                <w:szCs w:val="20"/>
                <w:lang w:eastAsia="en-AU"/>
              </w:rPr>
              <w:t>revised</w:t>
            </w:r>
          </w:p>
        </w:tc>
        <w:tc>
          <w:tcPr>
            <w:tcW w:w="850" w:type="dxa"/>
            <w:tcBorders>
              <w:top w:val="single" w:sz="6" w:space="0" w:color="auto"/>
              <w:left w:val="nil"/>
              <w:right w:val="nil"/>
            </w:tcBorders>
            <w:shd w:val="solid" w:color="000000" w:fill="auto"/>
          </w:tcPr>
          <w:p w:rsidR="00A26D04" w:rsidRPr="007E0B06" w:rsidRDefault="00A26D04" w:rsidP="00A26D0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20"/>
                <w:lang w:eastAsia="en-AU"/>
              </w:rPr>
            </w:pPr>
            <w:r w:rsidRPr="007E0B06">
              <w:rPr>
                <w:rFonts w:eastAsiaTheme="minorEastAsia" w:cs="Calibri"/>
                <w:iCs/>
                <w:color w:val="FFFFFF"/>
                <w:szCs w:val="20"/>
                <w:lang w:eastAsia="en-AU"/>
              </w:rPr>
              <w:t>2018-19</w:t>
            </w:r>
            <w:r>
              <w:rPr>
                <w:rFonts w:eastAsiaTheme="minorEastAsia" w:cs="Calibri"/>
                <w:iCs/>
                <w:color w:val="FFFFFF"/>
                <w:szCs w:val="20"/>
                <w:lang w:eastAsia="en-AU"/>
              </w:rPr>
              <w:br/>
            </w:r>
            <w:r w:rsidRPr="007E0B06">
              <w:rPr>
                <w:rFonts w:eastAsiaTheme="minorEastAsia" w:cs="Calibri"/>
                <w:iCs/>
                <w:color w:val="FFFFFF"/>
                <w:szCs w:val="20"/>
                <w:lang w:eastAsia="en-AU"/>
              </w:rPr>
              <w:t>estimate</w:t>
            </w:r>
          </w:p>
        </w:tc>
        <w:tc>
          <w:tcPr>
            <w:tcW w:w="850" w:type="dxa"/>
            <w:tcBorders>
              <w:top w:val="single" w:sz="6" w:space="0" w:color="auto"/>
              <w:left w:val="nil"/>
              <w:right w:val="nil"/>
            </w:tcBorders>
            <w:shd w:val="solid" w:color="000000" w:fill="auto"/>
          </w:tcPr>
          <w:p w:rsidR="00A26D04" w:rsidRPr="007E0B06" w:rsidRDefault="00A26D04" w:rsidP="00A26D0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20"/>
                <w:lang w:eastAsia="en-AU"/>
              </w:rPr>
            </w:pPr>
            <w:r w:rsidRPr="007E0B06">
              <w:rPr>
                <w:rFonts w:eastAsiaTheme="minorEastAsia" w:cs="Calibri"/>
                <w:iCs/>
                <w:color w:val="FFFFFF"/>
                <w:szCs w:val="20"/>
                <w:lang w:eastAsia="en-AU"/>
              </w:rPr>
              <w:t>2019-20</w:t>
            </w:r>
            <w:r>
              <w:rPr>
                <w:rFonts w:eastAsiaTheme="minorEastAsia" w:cs="Calibri"/>
                <w:iCs/>
                <w:color w:val="FFFFFF"/>
                <w:szCs w:val="20"/>
                <w:lang w:eastAsia="en-AU"/>
              </w:rPr>
              <w:br/>
            </w:r>
            <w:r w:rsidRPr="007E0B06">
              <w:rPr>
                <w:rFonts w:eastAsiaTheme="minorEastAsia" w:cs="Calibri"/>
                <w:iCs/>
                <w:color w:val="FFFFFF"/>
                <w:szCs w:val="20"/>
                <w:lang w:eastAsia="en-AU"/>
              </w:rPr>
              <w:t>estimate</w:t>
            </w:r>
          </w:p>
        </w:tc>
        <w:tc>
          <w:tcPr>
            <w:tcW w:w="850" w:type="dxa"/>
            <w:tcBorders>
              <w:top w:val="single" w:sz="6" w:space="0" w:color="auto"/>
              <w:left w:val="nil"/>
              <w:right w:val="nil"/>
            </w:tcBorders>
            <w:shd w:val="solid" w:color="000000" w:fill="auto"/>
          </w:tcPr>
          <w:p w:rsidR="00A26D04" w:rsidRPr="007E0B06" w:rsidRDefault="00A26D04" w:rsidP="00A26D0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20"/>
                <w:lang w:eastAsia="en-AU"/>
              </w:rPr>
            </w:pPr>
            <w:r w:rsidRPr="007E0B06">
              <w:rPr>
                <w:rFonts w:eastAsiaTheme="minorEastAsia" w:cs="Calibri"/>
                <w:iCs/>
                <w:color w:val="FFFFFF"/>
                <w:szCs w:val="20"/>
                <w:lang w:eastAsia="en-AU"/>
              </w:rPr>
              <w:t>2020-21</w:t>
            </w:r>
            <w:r>
              <w:rPr>
                <w:rFonts w:eastAsiaTheme="minorEastAsia" w:cs="Calibri"/>
                <w:iCs/>
                <w:color w:val="FFFFFF"/>
                <w:szCs w:val="20"/>
                <w:lang w:eastAsia="en-AU"/>
              </w:rPr>
              <w:br/>
            </w:r>
            <w:r w:rsidRPr="007E0B06">
              <w:rPr>
                <w:rFonts w:eastAsiaTheme="minorEastAsia" w:cs="Calibri"/>
                <w:iCs/>
                <w:color w:val="FFFFFF"/>
                <w:szCs w:val="20"/>
                <w:lang w:eastAsia="en-AU"/>
              </w:rPr>
              <w:t>estimate</w:t>
            </w:r>
          </w:p>
        </w:tc>
      </w:tr>
      <w:tr w:rsidR="00A46DCA" w:rsidRPr="007E0B06" w:rsidTr="00A26D04">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A46DCA" w:rsidRPr="007E0B06" w:rsidRDefault="00A46DCA" w:rsidP="00A26D04">
            <w:pPr>
              <w:keepLines w:val="0"/>
              <w:autoSpaceDE w:val="0"/>
              <w:autoSpaceDN w:val="0"/>
              <w:adjustRightInd w:val="0"/>
              <w:rPr>
                <w:rFonts w:eastAsiaTheme="minorEastAsia" w:cs="Calibri"/>
                <w:color w:val="000000"/>
                <w:szCs w:val="20"/>
                <w:lang w:eastAsia="en-AU"/>
              </w:rPr>
            </w:pPr>
            <w:r w:rsidRPr="007E0B06">
              <w:rPr>
                <w:rFonts w:eastAsiaTheme="minorEastAsia" w:cs="Calibri"/>
                <w:color w:val="000000"/>
                <w:szCs w:val="20"/>
                <w:lang w:eastAsia="en-AU"/>
              </w:rPr>
              <w:t>Economic Development, Jobs, Transport and Resources</w:t>
            </w:r>
          </w:p>
        </w:tc>
        <w:tc>
          <w:tcPr>
            <w:tcW w:w="851" w:type="dxa"/>
            <w:gridSpan w:val="2"/>
            <w:tcBorders>
              <w:top w:val="nil"/>
              <w:left w:val="nil"/>
              <w:bottom w:val="nil"/>
              <w:right w:val="nil"/>
            </w:tcBorders>
          </w:tcPr>
          <w:p w:rsidR="00A46DCA" w:rsidRPr="007E0B06"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7E0B06">
              <w:rPr>
                <w:rFonts w:eastAsiaTheme="minorEastAsia" w:cs="Calibri"/>
                <w:color w:val="000000"/>
                <w:szCs w:val="20"/>
                <w:lang w:eastAsia="en-AU"/>
              </w:rPr>
              <w:t>5 601</w:t>
            </w:r>
          </w:p>
        </w:tc>
        <w:tc>
          <w:tcPr>
            <w:tcW w:w="850" w:type="dxa"/>
            <w:tcBorders>
              <w:top w:val="nil"/>
              <w:left w:val="nil"/>
              <w:bottom w:val="nil"/>
              <w:right w:val="nil"/>
            </w:tcBorders>
          </w:tcPr>
          <w:p w:rsidR="00A46DCA" w:rsidRPr="007E0B06"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7E0B06">
              <w:rPr>
                <w:rFonts w:eastAsiaTheme="minorEastAsia" w:cs="Calibri"/>
                <w:color w:val="000000"/>
                <w:szCs w:val="20"/>
                <w:lang w:eastAsia="en-AU"/>
              </w:rPr>
              <w:t>6 664</w:t>
            </w:r>
          </w:p>
        </w:tc>
        <w:tc>
          <w:tcPr>
            <w:tcW w:w="850" w:type="dxa"/>
            <w:tcBorders>
              <w:top w:val="nil"/>
              <w:left w:val="nil"/>
              <w:bottom w:val="nil"/>
              <w:right w:val="nil"/>
            </w:tcBorders>
          </w:tcPr>
          <w:p w:rsidR="00A46DCA" w:rsidRPr="007E0B06"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7E0B06">
              <w:rPr>
                <w:rFonts w:eastAsiaTheme="minorEastAsia" w:cs="Calibri"/>
                <w:color w:val="000000"/>
                <w:szCs w:val="20"/>
                <w:lang w:eastAsia="en-AU"/>
              </w:rPr>
              <w:t>4 537</w:t>
            </w:r>
          </w:p>
        </w:tc>
        <w:tc>
          <w:tcPr>
            <w:tcW w:w="850" w:type="dxa"/>
            <w:tcBorders>
              <w:top w:val="nil"/>
              <w:left w:val="nil"/>
              <w:bottom w:val="nil"/>
              <w:right w:val="nil"/>
            </w:tcBorders>
          </w:tcPr>
          <w:p w:rsidR="00A46DCA" w:rsidRPr="007E0B06"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7E0B06">
              <w:rPr>
                <w:rFonts w:eastAsiaTheme="minorEastAsia" w:cs="Calibri"/>
                <w:color w:val="000000"/>
                <w:szCs w:val="20"/>
                <w:lang w:eastAsia="en-AU"/>
              </w:rPr>
              <w:t>2 313</w:t>
            </w:r>
          </w:p>
        </w:tc>
        <w:tc>
          <w:tcPr>
            <w:tcW w:w="850" w:type="dxa"/>
            <w:tcBorders>
              <w:top w:val="nil"/>
              <w:left w:val="nil"/>
              <w:bottom w:val="nil"/>
              <w:right w:val="nil"/>
            </w:tcBorders>
          </w:tcPr>
          <w:p w:rsidR="00A46DCA" w:rsidRPr="007E0B06"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7E0B06">
              <w:rPr>
                <w:rFonts w:eastAsiaTheme="minorEastAsia" w:cs="Calibri"/>
                <w:color w:val="000000"/>
                <w:szCs w:val="20"/>
                <w:lang w:eastAsia="en-AU"/>
              </w:rPr>
              <w:t>2 400</w:t>
            </w:r>
          </w:p>
        </w:tc>
      </w:tr>
      <w:tr w:rsidR="00A46DCA" w:rsidRPr="007E0B06" w:rsidTr="00A26D04">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A46DCA" w:rsidRPr="007E0B06" w:rsidRDefault="00A46DCA" w:rsidP="00A26D04">
            <w:pPr>
              <w:keepLines w:val="0"/>
              <w:autoSpaceDE w:val="0"/>
              <w:autoSpaceDN w:val="0"/>
              <w:adjustRightInd w:val="0"/>
              <w:rPr>
                <w:rFonts w:eastAsiaTheme="minorEastAsia" w:cs="Calibri"/>
                <w:color w:val="000000"/>
                <w:szCs w:val="20"/>
                <w:lang w:eastAsia="en-AU"/>
              </w:rPr>
            </w:pPr>
            <w:r w:rsidRPr="007E0B06">
              <w:rPr>
                <w:rFonts w:eastAsiaTheme="minorEastAsia" w:cs="Calibri"/>
                <w:color w:val="000000"/>
                <w:szCs w:val="20"/>
                <w:lang w:eastAsia="en-AU"/>
              </w:rPr>
              <w:t>Education and Training</w:t>
            </w:r>
          </w:p>
        </w:tc>
        <w:tc>
          <w:tcPr>
            <w:tcW w:w="851" w:type="dxa"/>
            <w:gridSpan w:val="2"/>
            <w:tcBorders>
              <w:top w:val="nil"/>
              <w:left w:val="nil"/>
              <w:bottom w:val="nil"/>
              <w:right w:val="nil"/>
            </w:tcBorders>
          </w:tcPr>
          <w:p w:rsidR="00A46DCA" w:rsidRPr="007E0B06"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7E0B06">
              <w:rPr>
                <w:rFonts w:eastAsiaTheme="minorEastAsia" w:cs="Calibri"/>
                <w:color w:val="000000"/>
                <w:szCs w:val="20"/>
                <w:lang w:eastAsia="en-AU"/>
              </w:rPr>
              <w:t>1 040</w:t>
            </w:r>
          </w:p>
        </w:tc>
        <w:tc>
          <w:tcPr>
            <w:tcW w:w="850" w:type="dxa"/>
            <w:tcBorders>
              <w:top w:val="nil"/>
              <w:left w:val="nil"/>
              <w:bottom w:val="nil"/>
              <w:right w:val="nil"/>
            </w:tcBorders>
          </w:tcPr>
          <w:p w:rsidR="00A46DCA" w:rsidRPr="007E0B06"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7E0B06">
              <w:rPr>
                <w:rFonts w:eastAsiaTheme="minorEastAsia" w:cs="Calibri"/>
                <w:color w:val="000000"/>
                <w:szCs w:val="20"/>
                <w:lang w:eastAsia="en-AU"/>
              </w:rPr>
              <w:t>1 172</w:t>
            </w:r>
          </w:p>
        </w:tc>
        <w:tc>
          <w:tcPr>
            <w:tcW w:w="850" w:type="dxa"/>
            <w:tcBorders>
              <w:top w:val="nil"/>
              <w:left w:val="nil"/>
              <w:bottom w:val="nil"/>
              <w:right w:val="nil"/>
            </w:tcBorders>
          </w:tcPr>
          <w:p w:rsidR="00A46DCA" w:rsidRPr="007E0B06"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Pr>
                <w:rFonts w:eastAsiaTheme="minorEastAsia" w:cs="Calibri"/>
                <w:color w:val="000000"/>
                <w:szCs w:val="20"/>
                <w:lang w:eastAsia="en-AU"/>
              </w:rPr>
              <w:t>799</w:t>
            </w:r>
          </w:p>
        </w:tc>
        <w:tc>
          <w:tcPr>
            <w:tcW w:w="850" w:type="dxa"/>
            <w:tcBorders>
              <w:top w:val="nil"/>
              <w:left w:val="nil"/>
              <w:bottom w:val="nil"/>
              <w:right w:val="nil"/>
            </w:tcBorders>
          </w:tcPr>
          <w:p w:rsidR="00A46DCA" w:rsidRPr="007E0B06"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Pr>
                <w:rFonts w:eastAsiaTheme="minorEastAsia" w:cs="Calibri"/>
                <w:color w:val="000000"/>
                <w:szCs w:val="20"/>
                <w:lang w:eastAsia="en-AU"/>
              </w:rPr>
              <w:t>343</w:t>
            </w:r>
          </w:p>
        </w:tc>
        <w:tc>
          <w:tcPr>
            <w:tcW w:w="850" w:type="dxa"/>
            <w:tcBorders>
              <w:top w:val="nil"/>
              <w:left w:val="nil"/>
              <w:bottom w:val="nil"/>
              <w:right w:val="nil"/>
            </w:tcBorders>
          </w:tcPr>
          <w:p w:rsidR="00A46DCA" w:rsidRPr="007E0B06"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Pr>
                <w:rFonts w:eastAsiaTheme="minorEastAsia" w:cs="Calibri"/>
                <w:color w:val="000000"/>
                <w:szCs w:val="20"/>
                <w:lang w:eastAsia="en-AU"/>
              </w:rPr>
              <w:t>230</w:t>
            </w:r>
          </w:p>
        </w:tc>
      </w:tr>
      <w:tr w:rsidR="00A46DCA" w:rsidRPr="007E0B06" w:rsidTr="00A26D04">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A46DCA" w:rsidRPr="007E0B06" w:rsidRDefault="00A46DCA" w:rsidP="00A26D04">
            <w:pPr>
              <w:keepLines w:val="0"/>
              <w:autoSpaceDE w:val="0"/>
              <w:autoSpaceDN w:val="0"/>
              <w:adjustRightInd w:val="0"/>
              <w:rPr>
                <w:rFonts w:eastAsiaTheme="minorEastAsia" w:cs="Calibri"/>
                <w:color w:val="000000"/>
                <w:szCs w:val="20"/>
                <w:lang w:eastAsia="en-AU"/>
              </w:rPr>
            </w:pPr>
            <w:r w:rsidRPr="007E0B06">
              <w:rPr>
                <w:rFonts w:eastAsiaTheme="minorEastAsia" w:cs="Calibri"/>
                <w:color w:val="000000"/>
                <w:szCs w:val="20"/>
                <w:lang w:eastAsia="en-AU"/>
              </w:rPr>
              <w:t>Environment, Land, Water and Planning</w:t>
            </w:r>
          </w:p>
        </w:tc>
        <w:tc>
          <w:tcPr>
            <w:tcW w:w="851" w:type="dxa"/>
            <w:gridSpan w:val="2"/>
            <w:tcBorders>
              <w:top w:val="nil"/>
              <w:left w:val="nil"/>
              <w:bottom w:val="nil"/>
              <w:right w:val="nil"/>
            </w:tcBorders>
          </w:tcPr>
          <w:p w:rsidR="00A46DCA" w:rsidRPr="007E0B06"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Pr>
                <w:rFonts w:eastAsiaTheme="minorEastAsia" w:cs="Calibri"/>
                <w:color w:val="000000"/>
                <w:szCs w:val="20"/>
                <w:lang w:eastAsia="en-AU"/>
              </w:rPr>
              <w:t>130</w:t>
            </w:r>
          </w:p>
        </w:tc>
        <w:tc>
          <w:tcPr>
            <w:tcW w:w="850" w:type="dxa"/>
            <w:tcBorders>
              <w:top w:val="nil"/>
              <w:left w:val="nil"/>
              <w:bottom w:val="nil"/>
              <w:right w:val="nil"/>
            </w:tcBorders>
          </w:tcPr>
          <w:p w:rsidR="00A46DCA" w:rsidRPr="007E0B06"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Pr>
                <w:rFonts w:eastAsiaTheme="minorEastAsia" w:cs="Calibri"/>
                <w:color w:val="000000"/>
                <w:szCs w:val="20"/>
                <w:lang w:eastAsia="en-AU"/>
              </w:rPr>
              <w:t>124</w:t>
            </w:r>
          </w:p>
        </w:tc>
        <w:tc>
          <w:tcPr>
            <w:tcW w:w="850" w:type="dxa"/>
            <w:tcBorders>
              <w:top w:val="nil"/>
              <w:left w:val="nil"/>
              <w:bottom w:val="nil"/>
              <w:right w:val="nil"/>
            </w:tcBorders>
          </w:tcPr>
          <w:p w:rsidR="00A46DCA" w:rsidRPr="007E0B06"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Pr>
                <w:rFonts w:eastAsiaTheme="minorEastAsia" w:cs="Calibri"/>
                <w:color w:val="000000"/>
                <w:szCs w:val="20"/>
                <w:lang w:eastAsia="en-AU"/>
              </w:rPr>
              <w:t>97</w:t>
            </w:r>
          </w:p>
        </w:tc>
        <w:tc>
          <w:tcPr>
            <w:tcW w:w="850" w:type="dxa"/>
            <w:tcBorders>
              <w:top w:val="nil"/>
              <w:left w:val="nil"/>
              <w:bottom w:val="nil"/>
              <w:right w:val="nil"/>
            </w:tcBorders>
          </w:tcPr>
          <w:p w:rsidR="00A46DCA" w:rsidRPr="007E0B06"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Pr>
                <w:rFonts w:eastAsiaTheme="minorEastAsia" w:cs="Calibri"/>
                <w:color w:val="000000"/>
                <w:szCs w:val="20"/>
                <w:lang w:eastAsia="en-AU"/>
              </w:rPr>
              <w:t>95</w:t>
            </w:r>
          </w:p>
        </w:tc>
        <w:tc>
          <w:tcPr>
            <w:tcW w:w="850" w:type="dxa"/>
            <w:tcBorders>
              <w:top w:val="nil"/>
              <w:left w:val="nil"/>
              <w:bottom w:val="nil"/>
              <w:right w:val="nil"/>
            </w:tcBorders>
          </w:tcPr>
          <w:p w:rsidR="00A46DCA" w:rsidRPr="007E0B06"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Pr>
                <w:rFonts w:eastAsiaTheme="minorEastAsia" w:cs="Calibri"/>
                <w:color w:val="000000"/>
                <w:szCs w:val="20"/>
                <w:lang w:eastAsia="en-AU"/>
              </w:rPr>
              <w:t>76</w:t>
            </w:r>
          </w:p>
        </w:tc>
      </w:tr>
      <w:tr w:rsidR="00A46DCA" w:rsidRPr="007E0B06" w:rsidTr="00A26D04">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A46DCA" w:rsidRPr="007E0B06" w:rsidRDefault="00A46DCA" w:rsidP="00A26D04">
            <w:pPr>
              <w:keepLines w:val="0"/>
              <w:autoSpaceDE w:val="0"/>
              <w:autoSpaceDN w:val="0"/>
              <w:adjustRightInd w:val="0"/>
              <w:rPr>
                <w:rFonts w:eastAsiaTheme="minorEastAsia" w:cs="Calibri"/>
                <w:color w:val="000000"/>
                <w:szCs w:val="20"/>
                <w:lang w:eastAsia="en-AU"/>
              </w:rPr>
            </w:pPr>
            <w:r w:rsidRPr="007E0B06">
              <w:rPr>
                <w:rFonts w:eastAsiaTheme="minorEastAsia" w:cs="Calibri"/>
                <w:color w:val="000000"/>
                <w:szCs w:val="20"/>
                <w:lang w:eastAsia="en-AU"/>
              </w:rPr>
              <w:t>Health and Human Services</w:t>
            </w:r>
          </w:p>
        </w:tc>
        <w:tc>
          <w:tcPr>
            <w:tcW w:w="851" w:type="dxa"/>
            <w:gridSpan w:val="2"/>
            <w:tcBorders>
              <w:top w:val="nil"/>
              <w:left w:val="nil"/>
              <w:bottom w:val="nil"/>
              <w:right w:val="nil"/>
            </w:tcBorders>
          </w:tcPr>
          <w:p w:rsidR="00A46DCA" w:rsidRPr="007E0B06"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7E0B06">
              <w:rPr>
                <w:rFonts w:eastAsiaTheme="minorEastAsia" w:cs="Calibri"/>
                <w:color w:val="000000"/>
                <w:szCs w:val="20"/>
                <w:lang w:eastAsia="en-AU"/>
              </w:rPr>
              <w:t>1 073</w:t>
            </w:r>
          </w:p>
        </w:tc>
        <w:tc>
          <w:tcPr>
            <w:tcW w:w="850" w:type="dxa"/>
            <w:tcBorders>
              <w:top w:val="nil"/>
              <w:left w:val="nil"/>
              <w:bottom w:val="nil"/>
              <w:right w:val="nil"/>
            </w:tcBorders>
          </w:tcPr>
          <w:p w:rsidR="00A46DCA" w:rsidRPr="007E0B06"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7E0B06">
              <w:rPr>
                <w:rFonts w:eastAsiaTheme="minorEastAsia" w:cs="Calibri"/>
                <w:color w:val="000000"/>
                <w:szCs w:val="20"/>
                <w:lang w:eastAsia="en-AU"/>
              </w:rPr>
              <w:t>1 237</w:t>
            </w:r>
          </w:p>
        </w:tc>
        <w:tc>
          <w:tcPr>
            <w:tcW w:w="850" w:type="dxa"/>
            <w:tcBorders>
              <w:top w:val="nil"/>
              <w:left w:val="nil"/>
              <w:bottom w:val="nil"/>
              <w:right w:val="nil"/>
            </w:tcBorders>
          </w:tcPr>
          <w:p w:rsidR="00A46DCA" w:rsidRPr="007E0B06"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Pr>
                <w:rFonts w:eastAsiaTheme="minorEastAsia" w:cs="Calibri"/>
                <w:color w:val="000000"/>
                <w:szCs w:val="20"/>
                <w:lang w:eastAsia="en-AU"/>
              </w:rPr>
              <w:t>729</w:t>
            </w:r>
          </w:p>
        </w:tc>
        <w:tc>
          <w:tcPr>
            <w:tcW w:w="850" w:type="dxa"/>
            <w:tcBorders>
              <w:top w:val="nil"/>
              <w:left w:val="nil"/>
              <w:bottom w:val="nil"/>
              <w:right w:val="nil"/>
            </w:tcBorders>
          </w:tcPr>
          <w:p w:rsidR="00A46DCA" w:rsidRPr="007E0B06"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Pr>
                <w:rFonts w:eastAsiaTheme="minorEastAsia" w:cs="Calibri"/>
                <w:color w:val="000000"/>
                <w:szCs w:val="20"/>
                <w:lang w:eastAsia="en-AU"/>
              </w:rPr>
              <w:t>394</w:t>
            </w:r>
          </w:p>
        </w:tc>
        <w:tc>
          <w:tcPr>
            <w:tcW w:w="850" w:type="dxa"/>
            <w:tcBorders>
              <w:top w:val="nil"/>
              <w:left w:val="nil"/>
              <w:bottom w:val="nil"/>
              <w:right w:val="nil"/>
            </w:tcBorders>
          </w:tcPr>
          <w:p w:rsidR="00A46DCA" w:rsidRPr="007E0B06"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Pr>
                <w:rFonts w:eastAsiaTheme="minorEastAsia" w:cs="Calibri"/>
                <w:color w:val="000000"/>
                <w:szCs w:val="20"/>
                <w:lang w:eastAsia="en-AU"/>
              </w:rPr>
              <w:t>427</w:t>
            </w:r>
          </w:p>
        </w:tc>
      </w:tr>
      <w:tr w:rsidR="00A46DCA" w:rsidRPr="007E0B06" w:rsidTr="00A26D04">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A46DCA" w:rsidRPr="007E0B06" w:rsidRDefault="00A46DCA" w:rsidP="00A26D04">
            <w:pPr>
              <w:keepLines w:val="0"/>
              <w:autoSpaceDE w:val="0"/>
              <w:autoSpaceDN w:val="0"/>
              <w:adjustRightInd w:val="0"/>
              <w:rPr>
                <w:rFonts w:eastAsiaTheme="minorEastAsia" w:cs="Calibri"/>
                <w:color w:val="000000"/>
                <w:szCs w:val="20"/>
                <w:lang w:eastAsia="en-AU"/>
              </w:rPr>
            </w:pPr>
            <w:r w:rsidRPr="007E0B06">
              <w:rPr>
                <w:rFonts w:eastAsiaTheme="minorEastAsia" w:cs="Calibri"/>
                <w:color w:val="000000"/>
                <w:szCs w:val="20"/>
                <w:lang w:eastAsia="en-AU"/>
              </w:rPr>
              <w:t>Justice and Regulation</w:t>
            </w:r>
          </w:p>
        </w:tc>
        <w:tc>
          <w:tcPr>
            <w:tcW w:w="851" w:type="dxa"/>
            <w:gridSpan w:val="2"/>
            <w:tcBorders>
              <w:top w:val="nil"/>
              <w:left w:val="nil"/>
              <w:bottom w:val="nil"/>
              <w:right w:val="nil"/>
            </w:tcBorders>
          </w:tcPr>
          <w:p w:rsidR="00A46DCA" w:rsidRPr="007E0B06"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Pr>
                <w:rFonts w:eastAsiaTheme="minorEastAsia" w:cs="Calibri"/>
                <w:color w:val="000000"/>
                <w:szCs w:val="20"/>
                <w:lang w:eastAsia="en-AU"/>
              </w:rPr>
              <w:t>847</w:t>
            </w:r>
          </w:p>
        </w:tc>
        <w:tc>
          <w:tcPr>
            <w:tcW w:w="850" w:type="dxa"/>
            <w:tcBorders>
              <w:top w:val="nil"/>
              <w:left w:val="nil"/>
              <w:bottom w:val="nil"/>
              <w:right w:val="nil"/>
            </w:tcBorders>
          </w:tcPr>
          <w:p w:rsidR="00A46DCA" w:rsidRPr="007E0B06"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7E0B06">
              <w:rPr>
                <w:rFonts w:eastAsiaTheme="minorEastAsia" w:cs="Calibri"/>
                <w:color w:val="000000"/>
                <w:szCs w:val="20"/>
                <w:lang w:eastAsia="en-AU"/>
              </w:rPr>
              <w:t>1 021</w:t>
            </w:r>
          </w:p>
        </w:tc>
        <w:tc>
          <w:tcPr>
            <w:tcW w:w="850" w:type="dxa"/>
            <w:tcBorders>
              <w:top w:val="nil"/>
              <w:left w:val="nil"/>
              <w:bottom w:val="nil"/>
              <w:right w:val="nil"/>
            </w:tcBorders>
          </w:tcPr>
          <w:p w:rsidR="00A46DCA" w:rsidRPr="007E0B06"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Pr>
                <w:rFonts w:eastAsiaTheme="minorEastAsia" w:cs="Calibri"/>
                <w:color w:val="000000"/>
                <w:szCs w:val="20"/>
                <w:lang w:eastAsia="en-AU"/>
              </w:rPr>
              <w:t>471</w:t>
            </w:r>
          </w:p>
        </w:tc>
        <w:tc>
          <w:tcPr>
            <w:tcW w:w="850" w:type="dxa"/>
            <w:tcBorders>
              <w:top w:val="nil"/>
              <w:left w:val="nil"/>
              <w:bottom w:val="nil"/>
              <w:right w:val="nil"/>
            </w:tcBorders>
          </w:tcPr>
          <w:p w:rsidR="00A46DCA" w:rsidRPr="007E0B06"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Pr>
                <w:rFonts w:eastAsiaTheme="minorEastAsia" w:cs="Calibri"/>
                <w:color w:val="000000"/>
                <w:szCs w:val="20"/>
                <w:lang w:eastAsia="en-AU"/>
              </w:rPr>
              <w:t>347</w:t>
            </w:r>
          </w:p>
        </w:tc>
        <w:tc>
          <w:tcPr>
            <w:tcW w:w="850" w:type="dxa"/>
            <w:tcBorders>
              <w:top w:val="nil"/>
              <w:left w:val="nil"/>
              <w:bottom w:val="nil"/>
              <w:right w:val="nil"/>
            </w:tcBorders>
          </w:tcPr>
          <w:p w:rsidR="00A46DCA" w:rsidRPr="007E0B06"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Pr>
                <w:rFonts w:eastAsiaTheme="minorEastAsia" w:cs="Calibri"/>
                <w:color w:val="000000"/>
                <w:szCs w:val="20"/>
                <w:lang w:eastAsia="en-AU"/>
              </w:rPr>
              <w:t>186</w:t>
            </w:r>
          </w:p>
        </w:tc>
      </w:tr>
      <w:tr w:rsidR="00A46DCA" w:rsidRPr="007E0B06" w:rsidTr="00A26D04">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A46DCA" w:rsidRPr="007E0B06" w:rsidRDefault="00A46DCA" w:rsidP="00A26D04">
            <w:pPr>
              <w:keepLines w:val="0"/>
              <w:autoSpaceDE w:val="0"/>
              <w:autoSpaceDN w:val="0"/>
              <w:adjustRightInd w:val="0"/>
              <w:rPr>
                <w:rFonts w:eastAsiaTheme="minorEastAsia" w:cs="Calibri"/>
                <w:color w:val="000000"/>
                <w:szCs w:val="20"/>
                <w:lang w:eastAsia="en-AU"/>
              </w:rPr>
            </w:pPr>
            <w:r w:rsidRPr="007E0B06">
              <w:rPr>
                <w:rFonts w:eastAsiaTheme="minorEastAsia" w:cs="Calibri"/>
                <w:color w:val="000000"/>
                <w:szCs w:val="20"/>
                <w:lang w:eastAsia="en-AU"/>
              </w:rPr>
              <w:t>Premier and Cabinet</w:t>
            </w:r>
          </w:p>
        </w:tc>
        <w:tc>
          <w:tcPr>
            <w:tcW w:w="851" w:type="dxa"/>
            <w:gridSpan w:val="2"/>
            <w:tcBorders>
              <w:top w:val="nil"/>
              <w:left w:val="nil"/>
              <w:bottom w:val="nil"/>
              <w:right w:val="nil"/>
            </w:tcBorders>
          </w:tcPr>
          <w:p w:rsidR="00A46DCA" w:rsidRPr="007E0B06"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Pr>
                <w:rFonts w:eastAsiaTheme="minorEastAsia" w:cs="Calibri"/>
                <w:color w:val="000000"/>
                <w:szCs w:val="20"/>
                <w:lang w:eastAsia="en-AU"/>
              </w:rPr>
              <w:t>18</w:t>
            </w:r>
          </w:p>
        </w:tc>
        <w:tc>
          <w:tcPr>
            <w:tcW w:w="850" w:type="dxa"/>
            <w:tcBorders>
              <w:top w:val="nil"/>
              <w:left w:val="nil"/>
              <w:bottom w:val="nil"/>
              <w:right w:val="nil"/>
            </w:tcBorders>
          </w:tcPr>
          <w:p w:rsidR="00A46DCA" w:rsidRPr="007E0B06"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Pr>
                <w:rFonts w:eastAsiaTheme="minorEastAsia" w:cs="Calibri"/>
                <w:color w:val="000000"/>
                <w:szCs w:val="20"/>
                <w:lang w:eastAsia="en-AU"/>
              </w:rPr>
              <w:t>25</w:t>
            </w:r>
          </w:p>
        </w:tc>
        <w:tc>
          <w:tcPr>
            <w:tcW w:w="850" w:type="dxa"/>
            <w:tcBorders>
              <w:top w:val="nil"/>
              <w:left w:val="nil"/>
              <w:bottom w:val="nil"/>
              <w:right w:val="nil"/>
            </w:tcBorders>
          </w:tcPr>
          <w:p w:rsidR="00A46DCA" w:rsidRPr="007E0B06"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Pr>
                <w:rFonts w:eastAsiaTheme="minorEastAsia" w:cs="Calibri"/>
                <w:color w:val="000000"/>
                <w:szCs w:val="20"/>
                <w:lang w:eastAsia="en-AU"/>
              </w:rPr>
              <w:t>19</w:t>
            </w:r>
          </w:p>
        </w:tc>
        <w:tc>
          <w:tcPr>
            <w:tcW w:w="850" w:type="dxa"/>
            <w:tcBorders>
              <w:top w:val="nil"/>
              <w:left w:val="nil"/>
              <w:bottom w:val="nil"/>
              <w:right w:val="nil"/>
            </w:tcBorders>
          </w:tcPr>
          <w:p w:rsidR="00A46DCA" w:rsidRPr="007E0B06"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Pr>
                <w:rFonts w:eastAsiaTheme="minorEastAsia" w:cs="Calibri"/>
                <w:color w:val="000000"/>
                <w:szCs w:val="20"/>
                <w:lang w:eastAsia="en-AU"/>
              </w:rPr>
              <w:t>13</w:t>
            </w:r>
          </w:p>
        </w:tc>
        <w:tc>
          <w:tcPr>
            <w:tcW w:w="850" w:type="dxa"/>
            <w:tcBorders>
              <w:top w:val="nil"/>
              <w:left w:val="nil"/>
              <w:bottom w:val="nil"/>
              <w:right w:val="nil"/>
            </w:tcBorders>
          </w:tcPr>
          <w:p w:rsidR="00A46DCA" w:rsidRPr="007E0B06"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Pr>
                <w:rFonts w:eastAsiaTheme="minorEastAsia" w:cs="Calibri"/>
                <w:color w:val="000000"/>
                <w:szCs w:val="20"/>
                <w:lang w:eastAsia="en-AU"/>
              </w:rPr>
              <w:t>11</w:t>
            </w:r>
          </w:p>
        </w:tc>
      </w:tr>
      <w:tr w:rsidR="00A46DCA" w:rsidRPr="007E0B06" w:rsidTr="00A26D04">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A46DCA" w:rsidRPr="007E0B06" w:rsidRDefault="00A46DCA" w:rsidP="00A26D04">
            <w:pPr>
              <w:keepLines w:val="0"/>
              <w:autoSpaceDE w:val="0"/>
              <w:autoSpaceDN w:val="0"/>
              <w:adjustRightInd w:val="0"/>
              <w:rPr>
                <w:rFonts w:eastAsiaTheme="minorEastAsia" w:cs="Calibri"/>
                <w:color w:val="000000"/>
                <w:szCs w:val="20"/>
                <w:lang w:eastAsia="en-AU"/>
              </w:rPr>
            </w:pPr>
            <w:r w:rsidRPr="007E0B06">
              <w:rPr>
                <w:rFonts w:eastAsiaTheme="minorEastAsia" w:cs="Calibri"/>
                <w:color w:val="000000"/>
                <w:szCs w:val="20"/>
                <w:lang w:eastAsia="en-AU"/>
              </w:rPr>
              <w:t>Treasury and Finance</w:t>
            </w:r>
          </w:p>
        </w:tc>
        <w:tc>
          <w:tcPr>
            <w:tcW w:w="851" w:type="dxa"/>
            <w:gridSpan w:val="2"/>
            <w:tcBorders>
              <w:top w:val="nil"/>
              <w:left w:val="nil"/>
              <w:bottom w:val="nil"/>
              <w:right w:val="nil"/>
            </w:tcBorders>
          </w:tcPr>
          <w:p w:rsidR="00A46DCA" w:rsidRPr="007E0B06"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Pr>
                <w:rFonts w:eastAsiaTheme="minorEastAsia" w:cs="Calibri"/>
                <w:color w:val="000000"/>
                <w:szCs w:val="20"/>
                <w:lang w:eastAsia="en-AU"/>
              </w:rPr>
              <w:t>24</w:t>
            </w:r>
          </w:p>
        </w:tc>
        <w:tc>
          <w:tcPr>
            <w:tcW w:w="850" w:type="dxa"/>
            <w:tcBorders>
              <w:top w:val="nil"/>
              <w:left w:val="nil"/>
              <w:bottom w:val="nil"/>
              <w:right w:val="nil"/>
            </w:tcBorders>
          </w:tcPr>
          <w:p w:rsidR="00A46DCA" w:rsidRPr="007E0B06"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Pr>
                <w:rFonts w:eastAsiaTheme="minorEastAsia" w:cs="Calibri"/>
                <w:color w:val="000000"/>
                <w:szCs w:val="20"/>
                <w:lang w:eastAsia="en-AU"/>
              </w:rPr>
              <w:t>42</w:t>
            </w:r>
          </w:p>
        </w:tc>
        <w:tc>
          <w:tcPr>
            <w:tcW w:w="850" w:type="dxa"/>
            <w:tcBorders>
              <w:top w:val="nil"/>
              <w:left w:val="nil"/>
              <w:bottom w:val="nil"/>
              <w:right w:val="nil"/>
            </w:tcBorders>
          </w:tcPr>
          <w:p w:rsidR="00A46DCA" w:rsidRPr="007E0B06"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Pr>
                <w:rFonts w:eastAsiaTheme="minorEastAsia" w:cs="Calibri"/>
                <w:color w:val="000000"/>
                <w:szCs w:val="20"/>
                <w:lang w:eastAsia="en-AU"/>
              </w:rPr>
              <w:t>65</w:t>
            </w:r>
          </w:p>
        </w:tc>
        <w:tc>
          <w:tcPr>
            <w:tcW w:w="850" w:type="dxa"/>
            <w:tcBorders>
              <w:top w:val="nil"/>
              <w:left w:val="nil"/>
              <w:bottom w:val="nil"/>
              <w:right w:val="nil"/>
            </w:tcBorders>
          </w:tcPr>
          <w:p w:rsidR="00A46DCA" w:rsidRPr="007E0B06"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Pr>
                <w:rFonts w:eastAsiaTheme="minorEastAsia" w:cs="Calibri"/>
                <w:color w:val="000000"/>
                <w:szCs w:val="20"/>
                <w:lang w:eastAsia="en-AU"/>
              </w:rPr>
              <w:t>28</w:t>
            </w:r>
          </w:p>
        </w:tc>
        <w:tc>
          <w:tcPr>
            <w:tcW w:w="850" w:type="dxa"/>
            <w:tcBorders>
              <w:top w:val="nil"/>
              <w:left w:val="nil"/>
              <w:bottom w:val="nil"/>
              <w:right w:val="nil"/>
            </w:tcBorders>
          </w:tcPr>
          <w:p w:rsidR="00A46DCA" w:rsidRPr="007E0B06"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Pr>
                <w:rFonts w:eastAsiaTheme="minorEastAsia" w:cs="Calibri"/>
                <w:color w:val="000000"/>
                <w:szCs w:val="20"/>
                <w:lang w:eastAsia="en-AU"/>
              </w:rPr>
              <w:t>47</w:t>
            </w:r>
          </w:p>
        </w:tc>
      </w:tr>
      <w:tr w:rsidR="00A46DCA" w:rsidRPr="007E0B06" w:rsidTr="00A26D04">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A46DCA" w:rsidRPr="007E0B06" w:rsidRDefault="00A46DCA" w:rsidP="00A26D04">
            <w:pPr>
              <w:keepLines w:val="0"/>
              <w:autoSpaceDE w:val="0"/>
              <w:autoSpaceDN w:val="0"/>
              <w:adjustRightInd w:val="0"/>
              <w:rPr>
                <w:rFonts w:eastAsiaTheme="minorEastAsia" w:cs="Calibri"/>
                <w:color w:val="000000"/>
                <w:szCs w:val="20"/>
                <w:lang w:eastAsia="en-AU"/>
              </w:rPr>
            </w:pPr>
            <w:r w:rsidRPr="007E0B06">
              <w:rPr>
                <w:rFonts w:eastAsiaTheme="minorEastAsia" w:cs="Calibri"/>
                <w:color w:val="000000"/>
                <w:szCs w:val="20"/>
                <w:lang w:eastAsia="en-AU"/>
              </w:rPr>
              <w:t>Parliament</w:t>
            </w:r>
          </w:p>
        </w:tc>
        <w:tc>
          <w:tcPr>
            <w:tcW w:w="851" w:type="dxa"/>
            <w:gridSpan w:val="2"/>
            <w:tcBorders>
              <w:top w:val="nil"/>
              <w:left w:val="nil"/>
              <w:bottom w:val="nil"/>
              <w:right w:val="nil"/>
            </w:tcBorders>
          </w:tcPr>
          <w:p w:rsidR="00A46DCA" w:rsidRPr="007E0B06"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Pr>
                <w:rFonts w:eastAsiaTheme="minorEastAsia" w:cs="Calibri"/>
                <w:color w:val="000000"/>
                <w:szCs w:val="20"/>
                <w:lang w:eastAsia="en-AU"/>
              </w:rPr>
              <w:t>21</w:t>
            </w:r>
          </w:p>
        </w:tc>
        <w:tc>
          <w:tcPr>
            <w:tcW w:w="850" w:type="dxa"/>
            <w:tcBorders>
              <w:top w:val="nil"/>
              <w:left w:val="nil"/>
              <w:bottom w:val="nil"/>
              <w:right w:val="nil"/>
            </w:tcBorders>
          </w:tcPr>
          <w:p w:rsidR="00A46DCA" w:rsidRPr="007E0B06"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Pr>
                <w:rFonts w:eastAsiaTheme="minorEastAsia" w:cs="Calibri"/>
                <w:color w:val="000000"/>
                <w:szCs w:val="20"/>
                <w:lang w:eastAsia="en-AU"/>
              </w:rPr>
              <w:t>31</w:t>
            </w:r>
          </w:p>
        </w:tc>
        <w:tc>
          <w:tcPr>
            <w:tcW w:w="850" w:type="dxa"/>
            <w:tcBorders>
              <w:top w:val="nil"/>
              <w:left w:val="nil"/>
              <w:bottom w:val="nil"/>
              <w:right w:val="nil"/>
            </w:tcBorders>
          </w:tcPr>
          <w:p w:rsidR="00A46DCA" w:rsidRPr="007E0B06"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Pr>
                <w:rFonts w:eastAsiaTheme="minorEastAsia" w:cs="Calibri"/>
                <w:color w:val="000000"/>
                <w:szCs w:val="20"/>
                <w:lang w:eastAsia="en-AU"/>
              </w:rPr>
              <w:t>..</w:t>
            </w:r>
          </w:p>
        </w:tc>
        <w:tc>
          <w:tcPr>
            <w:tcW w:w="850" w:type="dxa"/>
            <w:tcBorders>
              <w:top w:val="nil"/>
              <w:left w:val="nil"/>
              <w:bottom w:val="nil"/>
              <w:right w:val="nil"/>
            </w:tcBorders>
          </w:tcPr>
          <w:p w:rsidR="00A46DCA" w:rsidRPr="007E0B06"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Pr>
                <w:rFonts w:eastAsiaTheme="minorEastAsia" w:cs="Calibri"/>
                <w:color w:val="000000"/>
                <w:szCs w:val="20"/>
                <w:lang w:eastAsia="en-AU"/>
              </w:rPr>
              <w:t>..</w:t>
            </w:r>
          </w:p>
        </w:tc>
        <w:tc>
          <w:tcPr>
            <w:tcW w:w="850" w:type="dxa"/>
            <w:tcBorders>
              <w:top w:val="nil"/>
              <w:left w:val="nil"/>
              <w:bottom w:val="nil"/>
              <w:right w:val="nil"/>
            </w:tcBorders>
          </w:tcPr>
          <w:p w:rsidR="00A46DCA" w:rsidRPr="007E0B06"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Pr>
                <w:rFonts w:eastAsiaTheme="minorEastAsia" w:cs="Calibri"/>
                <w:color w:val="000000"/>
                <w:szCs w:val="20"/>
                <w:lang w:eastAsia="en-AU"/>
              </w:rPr>
              <w:t>..</w:t>
            </w:r>
          </w:p>
        </w:tc>
      </w:tr>
      <w:tr w:rsidR="00A46DCA" w:rsidRPr="007E0B06" w:rsidTr="00A26D04">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A46DCA" w:rsidRPr="007E0B06" w:rsidRDefault="00A46DCA" w:rsidP="00A26D04">
            <w:pPr>
              <w:keepLines w:val="0"/>
              <w:autoSpaceDE w:val="0"/>
              <w:autoSpaceDN w:val="0"/>
              <w:adjustRightInd w:val="0"/>
              <w:rPr>
                <w:rFonts w:eastAsiaTheme="minorEastAsia" w:cs="Calibri"/>
                <w:color w:val="000000"/>
                <w:szCs w:val="20"/>
                <w:lang w:eastAsia="en-AU"/>
              </w:rPr>
            </w:pPr>
            <w:r w:rsidRPr="007E0B06">
              <w:rPr>
                <w:rFonts w:eastAsiaTheme="minorEastAsia" w:cs="Calibri"/>
                <w:color w:val="000000"/>
                <w:szCs w:val="20"/>
                <w:lang w:eastAsia="en-AU"/>
              </w:rPr>
              <w:t>Courts</w:t>
            </w:r>
          </w:p>
        </w:tc>
        <w:tc>
          <w:tcPr>
            <w:tcW w:w="851" w:type="dxa"/>
            <w:gridSpan w:val="2"/>
            <w:tcBorders>
              <w:top w:val="nil"/>
              <w:left w:val="nil"/>
              <w:bottom w:val="nil"/>
              <w:right w:val="nil"/>
            </w:tcBorders>
          </w:tcPr>
          <w:p w:rsidR="00A46DCA" w:rsidRPr="007E0B06"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Pr>
                <w:rFonts w:eastAsiaTheme="minorEastAsia" w:cs="Calibri"/>
                <w:color w:val="000000"/>
                <w:szCs w:val="20"/>
                <w:lang w:eastAsia="en-AU"/>
              </w:rPr>
              <w:t>67</w:t>
            </w:r>
          </w:p>
        </w:tc>
        <w:tc>
          <w:tcPr>
            <w:tcW w:w="850" w:type="dxa"/>
            <w:tcBorders>
              <w:top w:val="nil"/>
              <w:left w:val="nil"/>
              <w:bottom w:val="nil"/>
              <w:right w:val="nil"/>
            </w:tcBorders>
          </w:tcPr>
          <w:p w:rsidR="00A46DCA" w:rsidRPr="007E0B06"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Pr>
                <w:rFonts w:eastAsiaTheme="minorEastAsia" w:cs="Calibri"/>
                <w:color w:val="000000"/>
                <w:szCs w:val="20"/>
                <w:lang w:eastAsia="en-AU"/>
              </w:rPr>
              <w:t>85</w:t>
            </w:r>
          </w:p>
        </w:tc>
        <w:tc>
          <w:tcPr>
            <w:tcW w:w="850" w:type="dxa"/>
            <w:tcBorders>
              <w:top w:val="nil"/>
              <w:left w:val="nil"/>
              <w:bottom w:val="nil"/>
              <w:right w:val="nil"/>
            </w:tcBorders>
          </w:tcPr>
          <w:p w:rsidR="00A46DCA" w:rsidRPr="007E0B06"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Pr>
                <w:rFonts w:eastAsiaTheme="minorEastAsia" w:cs="Calibri"/>
                <w:color w:val="000000"/>
                <w:szCs w:val="20"/>
                <w:lang w:eastAsia="en-AU"/>
              </w:rPr>
              <w:t>44</w:t>
            </w:r>
          </w:p>
        </w:tc>
        <w:tc>
          <w:tcPr>
            <w:tcW w:w="850" w:type="dxa"/>
            <w:tcBorders>
              <w:top w:val="nil"/>
              <w:left w:val="nil"/>
              <w:bottom w:val="nil"/>
              <w:right w:val="nil"/>
            </w:tcBorders>
          </w:tcPr>
          <w:p w:rsidR="00A46DCA" w:rsidRPr="007E0B06"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Pr>
                <w:rFonts w:eastAsiaTheme="minorEastAsia" w:cs="Calibri"/>
                <w:color w:val="000000"/>
                <w:szCs w:val="20"/>
                <w:lang w:eastAsia="en-AU"/>
              </w:rPr>
              <w:t>15</w:t>
            </w:r>
          </w:p>
        </w:tc>
        <w:tc>
          <w:tcPr>
            <w:tcW w:w="850" w:type="dxa"/>
            <w:tcBorders>
              <w:top w:val="nil"/>
              <w:left w:val="nil"/>
              <w:bottom w:val="nil"/>
              <w:right w:val="nil"/>
            </w:tcBorders>
          </w:tcPr>
          <w:p w:rsidR="00A46DCA" w:rsidRPr="007E0B06"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Pr>
                <w:rFonts w:eastAsiaTheme="minorEastAsia" w:cs="Calibri"/>
                <w:color w:val="000000"/>
                <w:szCs w:val="20"/>
                <w:lang w:eastAsia="en-AU"/>
              </w:rPr>
              <w:t>7</w:t>
            </w:r>
          </w:p>
        </w:tc>
      </w:tr>
      <w:tr w:rsidR="00A46DCA" w:rsidRPr="007E0B06" w:rsidTr="00A26D04">
        <w:tc>
          <w:tcPr>
            <w:cnfStyle w:val="001000000000" w:firstRow="0" w:lastRow="0" w:firstColumn="1" w:lastColumn="0" w:oddVBand="0" w:evenVBand="0" w:oddHBand="0" w:evenHBand="0" w:firstRowFirstColumn="0" w:firstRowLastColumn="0" w:lastRowFirstColumn="0" w:lastRowLastColumn="0"/>
            <w:tcW w:w="3810" w:type="dxa"/>
            <w:gridSpan w:val="2"/>
            <w:tcBorders>
              <w:top w:val="nil"/>
              <w:left w:val="nil"/>
              <w:bottom w:val="nil"/>
              <w:right w:val="nil"/>
            </w:tcBorders>
          </w:tcPr>
          <w:p w:rsidR="00A46DCA" w:rsidRPr="007E0B06" w:rsidRDefault="00A46DCA" w:rsidP="00A26D04">
            <w:pPr>
              <w:keepLines w:val="0"/>
              <w:autoSpaceDE w:val="0"/>
              <w:autoSpaceDN w:val="0"/>
              <w:adjustRightInd w:val="0"/>
              <w:rPr>
                <w:rFonts w:eastAsiaTheme="minorEastAsia" w:cs="Calibri"/>
                <w:color w:val="000000"/>
                <w:szCs w:val="20"/>
                <w:vertAlign w:val="superscript"/>
                <w:lang w:eastAsia="en-AU"/>
              </w:rPr>
            </w:pPr>
            <w:r w:rsidRPr="007E0B06">
              <w:rPr>
                <w:rFonts w:eastAsiaTheme="minorEastAsia" w:cs="Calibri"/>
                <w:color w:val="000000"/>
                <w:szCs w:val="20"/>
                <w:lang w:eastAsia="en-AU"/>
              </w:rPr>
              <w:t xml:space="preserve">Regulatory bodies and other part funded agencies </w:t>
            </w:r>
            <w:r w:rsidRPr="007E0B06">
              <w:rPr>
                <w:rFonts w:eastAsiaTheme="minorEastAsia" w:cs="Calibri"/>
                <w:color w:val="000000"/>
                <w:szCs w:val="20"/>
                <w:vertAlign w:val="superscript"/>
                <w:lang w:eastAsia="en-AU"/>
              </w:rPr>
              <w:t>(a)</w:t>
            </w:r>
          </w:p>
        </w:tc>
        <w:tc>
          <w:tcPr>
            <w:tcW w:w="556" w:type="dxa"/>
            <w:tcBorders>
              <w:top w:val="nil"/>
              <w:left w:val="nil"/>
              <w:bottom w:val="nil"/>
              <w:right w:val="nil"/>
            </w:tcBorders>
          </w:tcPr>
          <w:p w:rsidR="00A46DCA" w:rsidRPr="007E0B06"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Pr>
                <w:rFonts w:eastAsiaTheme="minorEastAsia" w:cs="Calibri"/>
                <w:color w:val="000000"/>
                <w:szCs w:val="20"/>
                <w:lang w:eastAsia="en-AU"/>
              </w:rPr>
              <w:t>281</w:t>
            </w:r>
          </w:p>
        </w:tc>
        <w:tc>
          <w:tcPr>
            <w:tcW w:w="850" w:type="dxa"/>
            <w:tcBorders>
              <w:top w:val="nil"/>
              <w:left w:val="nil"/>
              <w:bottom w:val="nil"/>
              <w:right w:val="nil"/>
            </w:tcBorders>
          </w:tcPr>
          <w:p w:rsidR="00A46DCA" w:rsidRPr="007E0B06"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Pr>
                <w:rFonts w:eastAsiaTheme="minorEastAsia" w:cs="Calibri"/>
                <w:color w:val="000000"/>
                <w:szCs w:val="20"/>
                <w:lang w:eastAsia="en-AU"/>
              </w:rPr>
              <w:t>287</w:t>
            </w:r>
          </w:p>
        </w:tc>
        <w:tc>
          <w:tcPr>
            <w:tcW w:w="850" w:type="dxa"/>
            <w:tcBorders>
              <w:top w:val="nil"/>
              <w:left w:val="nil"/>
              <w:bottom w:val="nil"/>
              <w:right w:val="nil"/>
            </w:tcBorders>
          </w:tcPr>
          <w:p w:rsidR="00A46DCA" w:rsidRPr="007E0B06"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Pr>
                <w:rFonts w:eastAsiaTheme="minorEastAsia" w:cs="Calibri"/>
                <w:color w:val="000000"/>
                <w:szCs w:val="20"/>
                <w:lang w:eastAsia="en-AU"/>
              </w:rPr>
              <w:t>187</w:t>
            </w:r>
          </w:p>
        </w:tc>
        <w:tc>
          <w:tcPr>
            <w:tcW w:w="850" w:type="dxa"/>
            <w:tcBorders>
              <w:top w:val="nil"/>
              <w:left w:val="nil"/>
              <w:bottom w:val="nil"/>
              <w:right w:val="nil"/>
            </w:tcBorders>
          </w:tcPr>
          <w:p w:rsidR="00A46DCA" w:rsidRPr="007E0B06"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Pr>
                <w:rFonts w:eastAsiaTheme="minorEastAsia" w:cs="Calibri"/>
                <w:color w:val="000000"/>
                <w:szCs w:val="20"/>
                <w:lang w:eastAsia="en-AU"/>
              </w:rPr>
              <w:t>137</w:t>
            </w:r>
          </w:p>
        </w:tc>
        <w:tc>
          <w:tcPr>
            <w:tcW w:w="850" w:type="dxa"/>
            <w:tcBorders>
              <w:top w:val="nil"/>
              <w:left w:val="nil"/>
              <w:bottom w:val="nil"/>
              <w:right w:val="nil"/>
            </w:tcBorders>
          </w:tcPr>
          <w:p w:rsidR="00A46DCA" w:rsidRPr="007E0B06"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Pr>
                <w:rFonts w:eastAsiaTheme="minorEastAsia" w:cs="Calibri"/>
                <w:color w:val="000000"/>
                <w:szCs w:val="20"/>
                <w:lang w:eastAsia="en-AU"/>
              </w:rPr>
              <w:t>102</w:t>
            </w:r>
          </w:p>
        </w:tc>
      </w:tr>
      <w:tr w:rsidR="00A46DCA" w:rsidRPr="007E0B06" w:rsidTr="00A26D04">
        <w:tc>
          <w:tcPr>
            <w:cnfStyle w:val="001000000000" w:firstRow="0" w:lastRow="0" w:firstColumn="1" w:lastColumn="0" w:oddVBand="0" w:evenVBand="0" w:oddHBand="0" w:evenHBand="0" w:firstRowFirstColumn="0" w:firstRowLastColumn="0" w:lastRowFirstColumn="0" w:lastRowLastColumn="0"/>
            <w:tcW w:w="3810" w:type="dxa"/>
            <w:gridSpan w:val="2"/>
            <w:tcBorders>
              <w:top w:val="nil"/>
              <w:left w:val="nil"/>
              <w:bottom w:val="nil"/>
              <w:right w:val="nil"/>
            </w:tcBorders>
          </w:tcPr>
          <w:p w:rsidR="00A46DCA" w:rsidRPr="007E0B06" w:rsidRDefault="00A46DCA" w:rsidP="00A26D04">
            <w:pPr>
              <w:keepLines w:val="0"/>
              <w:autoSpaceDE w:val="0"/>
              <w:autoSpaceDN w:val="0"/>
              <w:adjustRightInd w:val="0"/>
              <w:rPr>
                <w:rFonts w:eastAsiaTheme="minorEastAsia" w:cs="Calibri"/>
                <w:color w:val="000000"/>
                <w:szCs w:val="20"/>
                <w:vertAlign w:val="superscript"/>
                <w:lang w:eastAsia="en-AU"/>
              </w:rPr>
            </w:pPr>
            <w:r w:rsidRPr="007E0B06">
              <w:rPr>
                <w:rFonts w:eastAsiaTheme="minorEastAsia" w:cs="Calibri"/>
                <w:color w:val="000000"/>
                <w:szCs w:val="20"/>
                <w:lang w:eastAsia="en-AU"/>
              </w:rPr>
              <w:t xml:space="preserve">Asset contingencies not allocated to departments </w:t>
            </w:r>
            <w:r w:rsidRPr="007E0B06">
              <w:rPr>
                <w:rFonts w:eastAsiaTheme="minorEastAsia" w:cs="Calibri"/>
                <w:color w:val="000000"/>
                <w:szCs w:val="20"/>
                <w:vertAlign w:val="superscript"/>
                <w:lang w:eastAsia="en-AU"/>
              </w:rPr>
              <w:t>(b)</w:t>
            </w:r>
          </w:p>
        </w:tc>
        <w:tc>
          <w:tcPr>
            <w:tcW w:w="556" w:type="dxa"/>
            <w:tcBorders>
              <w:top w:val="nil"/>
              <w:left w:val="nil"/>
              <w:bottom w:val="nil"/>
              <w:right w:val="nil"/>
            </w:tcBorders>
          </w:tcPr>
          <w:p w:rsidR="00A46DCA" w:rsidRPr="007E0B06"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7E0B06">
              <w:rPr>
                <w:rFonts w:eastAsiaTheme="minorEastAsia" w:cs="Calibri"/>
                <w:color w:val="000000"/>
                <w:szCs w:val="20"/>
                <w:lang w:eastAsia="en-AU"/>
              </w:rPr>
              <w:t>1 425</w:t>
            </w:r>
          </w:p>
        </w:tc>
        <w:tc>
          <w:tcPr>
            <w:tcW w:w="850" w:type="dxa"/>
            <w:tcBorders>
              <w:top w:val="nil"/>
              <w:left w:val="nil"/>
              <w:bottom w:val="nil"/>
              <w:right w:val="nil"/>
            </w:tcBorders>
          </w:tcPr>
          <w:p w:rsidR="00A46DCA" w:rsidRPr="007E0B06"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Pr>
                <w:rFonts w:eastAsiaTheme="minorEastAsia" w:cs="Calibri"/>
                <w:color w:val="000000"/>
                <w:szCs w:val="20"/>
                <w:lang w:eastAsia="en-AU"/>
              </w:rPr>
              <w:t>811</w:t>
            </w:r>
          </w:p>
        </w:tc>
        <w:tc>
          <w:tcPr>
            <w:tcW w:w="850" w:type="dxa"/>
            <w:tcBorders>
              <w:top w:val="nil"/>
              <w:left w:val="nil"/>
              <w:bottom w:val="nil"/>
              <w:right w:val="nil"/>
            </w:tcBorders>
          </w:tcPr>
          <w:p w:rsidR="00A46DCA" w:rsidRPr="007E0B06"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7E0B06">
              <w:rPr>
                <w:rFonts w:eastAsiaTheme="minorEastAsia" w:cs="Calibri"/>
                <w:color w:val="000000"/>
                <w:szCs w:val="20"/>
                <w:lang w:eastAsia="en-AU"/>
              </w:rPr>
              <w:t>2 647</w:t>
            </w:r>
          </w:p>
        </w:tc>
        <w:tc>
          <w:tcPr>
            <w:tcW w:w="850" w:type="dxa"/>
            <w:tcBorders>
              <w:top w:val="nil"/>
              <w:left w:val="nil"/>
              <w:bottom w:val="nil"/>
              <w:right w:val="nil"/>
            </w:tcBorders>
          </w:tcPr>
          <w:p w:rsidR="00A46DCA" w:rsidRPr="007E0B06"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7E0B06">
              <w:rPr>
                <w:rFonts w:eastAsiaTheme="minorEastAsia" w:cs="Calibri"/>
                <w:color w:val="000000"/>
                <w:szCs w:val="20"/>
                <w:lang w:eastAsia="en-AU"/>
              </w:rPr>
              <w:t>3 784</w:t>
            </w:r>
          </w:p>
        </w:tc>
        <w:tc>
          <w:tcPr>
            <w:tcW w:w="850" w:type="dxa"/>
            <w:tcBorders>
              <w:top w:val="nil"/>
              <w:left w:val="nil"/>
              <w:bottom w:val="nil"/>
              <w:right w:val="nil"/>
            </w:tcBorders>
          </w:tcPr>
          <w:p w:rsidR="00A46DCA" w:rsidRPr="007E0B06"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7E0B06">
              <w:rPr>
                <w:rFonts w:eastAsiaTheme="minorEastAsia" w:cs="Calibri"/>
                <w:color w:val="000000"/>
                <w:szCs w:val="20"/>
                <w:lang w:eastAsia="en-AU"/>
              </w:rPr>
              <w:t>3 777</w:t>
            </w:r>
          </w:p>
        </w:tc>
      </w:tr>
      <w:tr w:rsidR="00A46DCA" w:rsidRPr="007E0B06" w:rsidTr="00A26D04">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A46DCA" w:rsidRPr="007E0B06" w:rsidRDefault="00A46DCA" w:rsidP="00A26D04">
            <w:pPr>
              <w:keepLines w:val="0"/>
              <w:autoSpaceDE w:val="0"/>
              <w:autoSpaceDN w:val="0"/>
              <w:adjustRightInd w:val="0"/>
              <w:rPr>
                <w:rFonts w:eastAsiaTheme="minorEastAsia" w:cs="Calibri"/>
                <w:color w:val="000000"/>
                <w:szCs w:val="20"/>
                <w:vertAlign w:val="superscript"/>
                <w:lang w:eastAsia="en-AU"/>
              </w:rPr>
            </w:pPr>
            <w:r w:rsidRPr="007E0B06">
              <w:rPr>
                <w:rFonts w:eastAsiaTheme="minorEastAsia" w:cs="Calibri"/>
                <w:color w:val="000000"/>
                <w:szCs w:val="20"/>
                <w:lang w:eastAsia="en-AU"/>
              </w:rPr>
              <w:t xml:space="preserve">Adjustments </w:t>
            </w:r>
            <w:r w:rsidRPr="007E0B06">
              <w:rPr>
                <w:rFonts w:eastAsiaTheme="minorEastAsia" w:cs="Calibri"/>
                <w:color w:val="000000"/>
                <w:szCs w:val="20"/>
                <w:vertAlign w:val="superscript"/>
                <w:lang w:eastAsia="en-AU"/>
              </w:rPr>
              <w:t>(c)</w:t>
            </w:r>
          </w:p>
        </w:tc>
        <w:tc>
          <w:tcPr>
            <w:tcW w:w="851" w:type="dxa"/>
            <w:gridSpan w:val="2"/>
            <w:tcBorders>
              <w:top w:val="nil"/>
              <w:left w:val="nil"/>
              <w:bottom w:val="nil"/>
              <w:right w:val="nil"/>
            </w:tcBorders>
          </w:tcPr>
          <w:p w:rsidR="00A46DCA" w:rsidRPr="007E0B06"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7E0B06">
              <w:rPr>
                <w:rFonts w:eastAsiaTheme="minorEastAsia" w:cs="Calibri"/>
                <w:color w:val="000000"/>
                <w:szCs w:val="20"/>
                <w:lang w:eastAsia="en-AU"/>
              </w:rPr>
              <w:t>(1 747)</w:t>
            </w:r>
          </w:p>
        </w:tc>
        <w:tc>
          <w:tcPr>
            <w:tcW w:w="850" w:type="dxa"/>
            <w:tcBorders>
              <w:top w:val="nil"/>
              <w:left w:val="nil"/>
              <w:bottom w:val="nil"/>
              <w:right w:val="nil"/>
            </w:tcBorders>
          </w:tcPr>
          <w:p w:rsidR="00A46DCA" w:rsidRPr="007E0B06"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7E0B06">
              <w:rPr>
                <w:rFonts w:eastAsiaTheme="minorEastAsia" w:cs="Calibri"/>
                <w:color w:val="000000"/>
                <w:szCs w:val="20"/>
                <w:lang w:eastAsia="en-AU"/>
              </w:rPr>
              <w:t>(2 210)</w:t>
            </w:r>
          </w:p>
        </w:tc>
        <w:tc>
          <w:tcPr>
            <w:tcW w:w="850" w:type="dxa"/>
            <w:tcBorders>
              <w:top w:val="nil"/>
              <w:left w:val="nil"/>
              <w:bottom w:val="nil"/>
              <w:right w:val="nil"/>
            </w:tcBorders>
          </w:tcPr>
          <w:p w:rsidR="00A46DCA" w:rsidRPr="007E0B06"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Pr>
                <w:rFonts w:eastAsiaTheme="minorEastAsia" w:cs="Calibri"/>
                <w:color w:val="000000"/>
                <w:szCs w:val="20"/>
                <w:lang w:eastAsia="en-AU"/>
              </w:rPr>
              <w:t>(992)</w:t>
            </w:r>
          </w:p>
        </w:tc>
        <w:tc>
          <w:tcPr>
            <w:tcW w:w="850" w:type="dxa"/>
            <w:tcBorders>
              <w:top w:val="nil"/>
              <w:left w:val="nil"/>
              <w:bottom w:val="nil"/>
              <w:right w:val="nil"/>
            </w:tcBorders>
          </w:tcPr>
          <w:p w:rsidR="00A46DCA" w:rsidRPr="007E0B06"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Pr>
                <w:rFonts w:eastAsiaTheme="minorEastAsia" w:cs="Calibri"/>
                <w:color w:val="000000"/>
                <w:szCs w:val="20"/>
                <w:lang w:eastAsia="en-AU"/>
              </w:rPr>
              <w:t>(290)</w:t>
            </w:r>
          </w:p>
        </w:tc>
        <w:tc>
          <w:tcPr>
            <w:tcW w:w="850" w:type="dxa"/>
            <w:tcBorders>
              <w:top w:val="nil"/>
              <w:left w:val="nil"/>
              <w:bottom w:val="nil"/>
              <w:right w:val="nil"/>
            </w:tcBorders>
          </w:tcPr>
          <w:p w:rsidR="00A46DCA" w:rsidRPr="007E0B06"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Pr>
                <w:rFonts w:eastAsiaTheme="minorEastAsia" w:cs="Calibri"/>
                <w:color w:val="000000"/>
                <w:szCs w:val="20"/>
                <w:lang w:eastAsia="en-AU"/>
              </w:rPr>
              <w:t>393</w:t>
            </w:r>
          </w:p>
        </w:tc>
      </w:tr>
      <w:tr w:rsidR="00A46DCA" w:rsidRPr="007E0B06" w:rsidTr="00A26D04">
        <w:tc>
          <w:tcPr>
            <w:cnfStyle w:val="001000000000" w:firstRow="0" w:lastRow="0" w:firstColumn="1" w:lastColumn="0" w:oddVBand="0" w:evenVBand="0" w:oddHBand="0" w:evenHBand="0" w:firstRowFirstColumn="0" w:firstRowLastColumn="0" w:lastRowFirstColumn="0" w:lastRowLastColumn="0"/>
            <w:tcW w:w="3515" w:type="dxa"/>
            <w:tcBorders>
              <w:top w:val="single" w:sz="6" w:space="0" w:color="auto"/>
              <w:left w:val="nil"/>
              <w:bottom w:val="single" w:sz="12" w:space="0" w:color="auto"/>
              <w:right w:val="nil"/>
            </w:tcBorders>
          </w:tcPr>
          <w:p w:rsidR="00A46DCA" w:rsidRPr="007E0B06" w:rsidRDefault="00A46DCA" w:rsidP="00A26D04">
            <w:pPr>
              <w:keepLines w:val="0"/>
              <w:autoSpaceDE w:val="0"/>
              <w:autoSpaceDN w:val="0"/>
              <w:adjustRightInd w:val="0"/>
              <w:rPr>
                <w:rFonts w:eastAsiaTheme="minorEastAsia" w:cs="Calibri"/>
                <w:b/>
                <w:bCs/>
                <w:color w:val="000000"/>
                <w:szCs w:val="20"/>
                <w:lang w:eastAsia="en-AU"/>
              </w:rPr>
            </w:pPr>
            <w:r w:rsidRPr="007E0B06">
              <w:rPr>
                <w:rFonts w:eastAsiaTheme="minorEastAsia" w:cs="Calibri"/>
                <w:b/>
                <w:bCs/>
                <w:color w:val="000000"/>
                <w:szCs w:val="20"/>
                <w:lang w:eastAsia="en-AU"/>
              </w:rPr>
              <w:t>Total purchases of non-financial assets</w:t>
            </w:r>
          </w:p>
        </w:tc>
        <w:tc>
          <w:tcPr>
            <w:tcW w:w="851" w:type="dxa"/>
            <w:gridSpan w:val="2"/>
            <w:tcBorders>
              <w:top w:val="single" w:sz="6" w:space="0" w:color="auto"/>
              <w:left w:val="nil"/>
              <w:bottom w:val="single" w:sz="12" w:space="0" w:color="auto"/>
              <w:right w:val="nil"/>
            </w:tcBorders>
          </w:tcPr>
          <w:p w:rsidR="00A46DCA" w:rsidRPr="007E0B06"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0"/>
                <w:lang w:eastAsia="en-AU"/>
              </w:rPr>
            </w:pPr>
            <w:r w:rsidRPr="007E0B06">
              <w:rPr>
                <w:rFonts w:eastAsiaTheme="minorEastAsia" w:cs="Calibri"/>
                <w:b/>
                <w:bCs/>
                <w:color w:val="000000"/>
                <w:szCs w:val="20"/>
                <w:lang w:eastAsia="en-AU"/>
              </w:rPr>
              <w:t>8 780</w:t>
            </w:r>
          </w:p>
        </w:tc>
        <w:tc>
          <w:tcPr>
            <w:tcW w:w="850" w:type="dxa"/>
            <w:tcBorders>
              <w:top w:val="single" w:sz="6" w:space="0" w:color="auto"/>
              <w:left w:val="nil"/>
              <w:bottom w:val="single" w:sz="12" w:space="0" w:color="auto"/>
              <w:right w:val="nil"/>
            </w:tcBorders>
          </w:tcPr>
          <w:p w:rsidR="00A46DCA" w:rsidRPr="007E0B06"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0"/>
                <w:lang w:eastAsia="en-AU"/>
              </w:rPr>
            </w:pPr>
            <w:r w:rsidRPr="007E0B06">
              <w:rPr>
                <w:rFonts w:eastAsiaTheme="minorEastAsia" w:cs="Calibri"/>
                <w:b/>
                <w:bCs/>
                <w:color w:val="000000"/>
                <w:szCs w:val="20"/>
                <w:lang w:eastAsia="en-AU"/>
              </w:rPr>
              <w:t>9 289</w:t>
            </w:r>
          </w:p>
        </w:tc>
        <w:tc>
          <w:tcPr>
            <w:tcW w:w="850" w:type="dxa"/>
            <w:tcBorders>
              <w:top w:val="single" w:sz="6" w:space="0" w:color="auto"/>
              <w:left w:val="nil"/>
              <w:bottom w:val="single" w:sz="12" w:space="0" w:color="auto"/>
              <w:right w:val="nil"/>
            </w:tcBorders>
          </w:tcPr>
          <w:p w:rsidR="00A46DCA" w:rsidRPr="007E0B06"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0"/>
                <w:lang w:eastAsia="en-AU"/>
              </w:rPr>
            </w:pPr>
            <w:r w:rsidRPr="007E0B06">
              <w:rPr>
                <w:rFonts w:eastAsiaTheme="minorEastAsia" w:cs="Calibri"/>
                <w:b/>
                <w:bCs/>
                <w:color w:val="000000"/>
                <w:szCs w:val="20"/>
                <w:lang w:eastAsia="en-AU"/>
              </w:rPr>
              <w:t>8 602</w:t>
            </w:r>
          </w:p>
        </w:tc>
        <w:tc>
          <w:tcPr>
            <w:tcW w:w="850" w:type="dxa"/>
            <w:tcBorders>
              <w:top w:val="single" w:sz="6" w:space="0" w:color="auto"/>
              <w:left w:val="nil"/>
              <w:bottom w:val="single" w:sz="12" w:space="0" w:color="auto"/>
              <w:right w:val="nil"/>
            </w:tcBorders>
          </w:tcPr>
          <w:p w:rsidR="00A46DCA" w:rsidRPr="007E0B06"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0"/>
                <w:lang w:eastAsia="en-AU"/>
              </w:rPr>
            </w:pPr>
            <w:r w:rsidRPr="007E0B06">
              <w:rPr>
                <w:rFonts w:eastAsiaTheme="minorEastAsia" w:cs="Calibri"/>
                <w:b/>
                <w:bCs/>
                <w:color w:val="000000"/>
                <w:szCs w:val="20"/>
                <w:lang w:eastAsia="en-AU"/>
              </w:rPr>
              <w:t>7 180</w:t>
            </w:r>
          </w:p>
        </w:tc>
        <w:tc>
          <w:tcPr>
            <w:tcW w:w="850" w:type="dxa"/>
            <w:tcBorders>
              <w:top w:val="single" w:sz="6" w:space="0" w:color="auto"/>
              <w:left w:val="nil"/>
              <w:bottom w:val="single" w:sz="12" w:space="0" w:color="auto"/>
              <w:right w:val="nil"/>
            </w:tcBorders>
          </w:tcPr>
          <w:p w:rsidR="00A46DCA" w:rsidRPr="007E0B06"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0"/>
                <w:lang w:eastAsia="en-AU"/>
              </w:rPr>
            </w:pPr>
            <w:r w:rsidRPr="007E0B06">
              <w:rPr>
                <w:rFonts w:eastAsiaTheme="minorEastAsia" w:cs="Calibri"/>
                <w:b/>
                <w:bCs/>
                <w:color w:val="000000"/>
                <w:szCs w:val="20"/>
                <w:lang w:eastAsia="en-AU"/>
              </w:rPr>
              <w:t>7 656</w:t>
            </w:r>
          </w:p>
        </w:tc>
      </w:tr>
    </w:tbl>
    <w:p w:rsidR="00A46DCA" w:rsidRPr="00D72444" w:rsidRDefault="00A46DCA" w:rsidP="00A26D04">
      <w:pPr>
        <w:pStyle w:val="Source"/>
      </w:pPr>
      <w:r w:rsidRPr="00D87D22">
        <w:t>Source: Department of Treasury and Finance</w:t>
      </w:r>
    </w:p>
    <w:p w:rsidR="00A46DCA" w:rsidRPr="00697AD9" w:rsidRDefault="00A46DCA" w:rsidP="00A26D04">
      <w:pPr>
        <w:pStyle w:val="Note"/>
      </w:pPr>
      <w:r w:rsidRPr="00697AD9">
        <w:t>Notes:</w:t>
      </w:r>
    </w:p>
    <w:p w:rsidR="00A46DCA" w:rsidRPr="00697AD9" w:rsidRDefault="00A46DCA" w:rsidP="00A26D04">
      <w:pPr>
        <w:pStyle w:val="Note"/>
      </w:pPr>
      <w:r w:rsidRPr="00697AD9">
        <w:t>(a)</w:t>
      </w:r>
      <w:r w:rsidRPr="00697AD9">
        <w:tab/>
      </w:r>
      <w:r>
        <w:t>Other general government sector agencies not allocated to departmental portfolios.</w:t>
      </w:r>
    </w:p>
    <w:p w:rsidR="00A46DCA" w:rsidRDefault="00A46DCA" w:rsidP="00A26D04">
      <w:pPr>
        <w:pStyle w:val="Note"/>
      </w:pPr>
      <w:r w:rsidRPr="00697AD9">
        <w:t>(b)</w:t>
      </w:r>
      <w:r w:rsidRPr="00697AD9">
        <w:tab/>
      </w:r>
      <w:r>
        <w:t>The following table provides a breakdown of the general government asset contingencies not allocated to departments.</w:t>
      </w:r>
    </w:p>
    <w:p w:rsidR="00A46DCA" w:rsidRPr="00D72444" w:rsidRDefault="00A46DCA" w:rsidP="00A26D04">
      <w:pPr>
        <w:pStyle w:val="Note"/>
      </w:pPr>
      <w:r>
        <w:t>(c)</w:t>
      </w:r>
      <w:r>
        <w:tab/>
        <w:t>Mainly comprises estimated departmental underspend, which may be subject to carryover and estimated outer budget agency underspend.</w:t>
      </w:r>
    </w:p>
    <w:p w:rsidR="00A46DCA" w:rsidRPr="00AC137D" w:rsidRDefault="00A46DCA" w:rsidP="00A26D04">
      <w:pPr>
        <w:pStyle w:val="TableHeading"/>
        <w:rPr>
          <w:bCs/>
          <w:lang w:val="en-US"/>
        </w:rPr>
      </w:pPr>
      <w:r>
        <w:lastRenderedPageBreak/>
        <w:t xml:space="preserve">General government asset contingencies not allocated to departments </w:t>
      </w:r>
      <w:r>
        <w:tab/>
        <w:t>($ million)</w:t>
      </w:r>
    </w:p>
    <w:tbl>
      <w:tblPr>
        <w:tblStyle w:val="DTFTable"/>
        <w:tblW w:w="7765" w:type="dxa"/>
        <w:tblInd w:w="45" w:type="dxa"/>
        <w:tblLayout w:type="fixed"/>
        <w:tblCellMar>
          <w:left w:w="45" w:type="dxa"/>
          <w:right w:w="45" w:type="dxa"/>
        </w:tblCellMar>
        <w:tblLook w:val="06E0" w:firstRow="1" w:lastRow="1" w:firstColumn="1" w:lastColumn="0" w:noHBand="1" w:noVBand="1"/>
      </w:tblPr>
      <w:tblGrid>
        <w:gridCol w:w="3515"/>
        <w:gridCol w:w="850"/>
        <w:gridCol w:w="850"/>
        <w:gridCol w:w="850"/>
        <w:gridCol w:w="850"/>
        <w:gridCol w:w="850"/>
      </w:tblGrid>
      <w:tr w:rsidR="00A26D04" w:rsidRPr="00AC137D" w:rsidTr="00A26D04">
        <w:trPr>
          <w:cnfStyle w:val="100000000000" w:firstRow="1" w:lastRow="0" w:firstColumn="0" w:lastColumn="0" w:oddVBand="0" w:evenVBand="0" w:oddHBand="0" w:evenHBand="0" w:firstRowFirstColumn="0" w:firstRowLastColumn="0" w:lastRowFirstColumn="0" w:lastRowLastColumn="0"/>
          <w:trHeight w:val="480"/>
          <w:tblHeader/>
        </w:trPr>
        <w:tc>
          <w:tcPr>
            <w:cnfStyle w:val="001000000000" w:firstRow="0" w:lastRow="0" w:firstColumn="1" w:lastColumn="0" w:oddVBand="0" w:evenVBand="0" w:oddHBand="0" w:evenHBand="0" w:firstRowFirstColumn="0" w:firstRowLastColumn="0" w:lastRowFirstColumn="0" w:lastRowLastColumn="0"/>
            <w:tcW w:w="3515" w:type="dxa"/>
            <w:tcBorders>
              <w:top w:val="single" w:sz="6" w:space="0" w:color="auto"/>
              <w:left w:val="nil"/>
              <w:right w:val="nil"/>
            </w:tcBorders>
            <w:shd w:val="solid" w:color="000000" w:fill="auto"/>
          </w:tcPr>
          <w:p w:rsidR="00A26D04" w:rsidRPr="00AC137D" w:rsidRDefault="00A26D04" w:rsidP="00A26D04">
            <w:pPr>
              <w:autoSpaceDE w:val="0"/>
              <w:autoSpaceDN w:val="0"/>
              <w:adjustRightInd w:val="0"/>
              <w:rPr>
                <w:rFonts w:eastAsiaTheme="minorEastAsia" w:cs="Calibri"/>
                <w:iCs/>
                <w:color w:val="FFFFFF"/>
                <w:szCs w:val="20"/>
                <w:lang w:eastAsia="en-AU"/>
              </w:rPr>
            </w:pPr>
            <w:r w:rsidRPr="00AC137D">
              <w:rPr>
                <w:rFonts w:eastAsiaTheme="minorEastAsia" w:cs="Calibri"/>
                <w:iCs/>
                <w:color w:val="FFFFFF"/>
                <w:szCs w:val="20"/>
                <w:lang w:eastAsia="en-AU"/>
              </w:rPr>
              <w:t xml:space="preserve">  </w:t>
            </w:r>
          </w:p>
        </w:tc>
        <w:tc>
          <w:tcPr>
            <w:tcW w:w="850" w:type="dxa"/>
            <w:tcBorders>
              <w:top w:val="single" w:sz="6" w:space="0" w:color="auto"/>
              <w:left w:val="nil"/>
              <w:right w:val="nil"/>
            </w:tcBorders>
            <w:shd w:val="solid" w:color="000000" w:fill="auto"/>
          </w:tcPr>
          <w:p w:rsidR="00A26D04" w:rsidRPr="00AC137D" w:rsidRDefault="00A26D04" w:rsidP="00A26D0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20"/>
                <w:lang w:eastAsia="en-AU"/>
              </w:rPr>
            </w:pPr>
            <w:r w:rsidRPr="00AC137D">
              <w:rPr>
                <w:rFonts w:eastAsiaTheme="minorEastAsia" w:cs="Calibri"/>
                <w:iCs/>
                <w:color w:val="FFFFFF"/>
                <w:szCs w:val="20"/>
                <w:lang w:eastAsia="en-AU"/>
              </w:rPr>
              <w:t>2017-18</w:t>
            </w:r>
            <w:r>
              <w:rPr>
                <w:rFonts w:eastAsiaTheme="minorEastAsia" w:cs="Calibri"/>
                <w:iCs/>
                <w:color w:val="FFFFFF"/>
                <w:szCs w:val="20"/>
                <w:lang w:eastAsia="en-AU"/>
              </w:rPr>
              <w:br/>
            </w:r>
            <w:r w:rsidRPr="00AC137D">
              <w:rPr>
                <w:rFonts w:eastAsiaTheme="minorEastAsia" w:cs="Calibri"/>
                <w:iCs/>
                <w:color w:val="FFFFFF"/>
                <w:szCs w:val="20"/>
                <w:lang w:eastAsia="en-AU"/>
              </w:rPr>
              <w:t>budget</w:t>
            </w:r>
          </w:p>
        </w:tc>
        <w:tc>
          <w:tcPr>
            <w:tcW w:w="850" w:type="dxa"/>
            <w:tcBorders>
              <w:top w:val="single" w:sz="6" w:space="0" w:color="auto"/>
              <w:left w:val="nil"/>
              <w:right w:val="nil"/>
            </w:tcBorders>
            <w:shd w:val="solid" w:color="000000" w:fill="auto"/>
          </w:tcPr>
          <w:p w:rsidR="00A26D04" w:rsidRPr="00AC137D" w:rsidRDefault="00A26D04" w:rsidP="00A26D0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20"/>
                <w:lang w:eastAsia="en-AU"/>
              </w:rPr>
            </w:pPr>
            <w:r w:rsidRPr="00AC137D">
              <w:rPr>
                <w:rFonts w:eastAsiaTheme="minorEastAsia" w:cs="Calibri"/>
                <w:iCs/>
                <w:color w:val="FFFFFF"/>
                <w:szCs w:val="20"/>
                <w:lang w:eastAsia="en-AU"/>
              </w:rPr>
              <w:t>2017-18</w:t>
            </w:r>
            <w:r>
              <w:rPr>
                <w:rFonts w:eastAsiaTheme="minorEastAsia" w:cs="Calibri"/>
                <w:iCs/>
                <w:color w:val="FFFFFF"/>
                <w:szCs w:val="20"/>
                <w:lang w:eastAsia="en-AU"/>
              </w:rPr>
              <w:br/>
            </w:r>
            <w:r w:rsidRPr="00AC137D">
              <w:rPr>
                <w:rFonts w:eastAsiaTheme="minorEastAsia" w:cs="Calibri"/>
                <w:iCs/>
                <w:color w:val="FFFFFF"/>
                <w:szCs w:val="20"/>
                <w:lang w:eastAsia="en-AU"/>
              </w:rPr>
              <w:t>revised</w:t>
            </w:r>
          </w:p>
        </w:tc>
        <w:tc>
          <w:tcPr>
            <w:tcW w:w="850" w:type="dxa"/>
            <w:tcBorders>
              <w:top w:val="single" w:sz="6" w:space="0" w:color="auto"/>
              <w:left w:val="nil"/>
              <w:right w:val="nil"/>
            </w:tcBorders>
            <w:shd w:val="solid" w:color="000000" w:fill="auto"/>
          </w:tcPr>
          <w:p w:rsidR="00A26D04" w:rsidRPr="00AC137D" w:rsidRDefault="00A26D04" w:rsidP="00A26D0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20"/>
                <w:lang w:eastAsia="en-AU"/>
              </w:rPr>
            </w:pPr>
            <w:r w:rsidRPr="00AC137D">
              <w:rPr>
                <w:rFonts w:eastAsiaTheme="minorEastAsia" w:cs="Calibri"/>
                <w:iCs/>
                <w:color w:val="FFFFFF"/>
                <w:szCs w:val="20"/>
                <w:lang w:eastAsia="en-AU"/>
              </w:rPr>
              <w:t>2018-19</w:t>
            </w:r>
            <w:r>
              <w:rPr>
                <w:rFonts w:eastAsiaTheme="minorEastAsia" w:cs="Calibri"/>
                <w:iCs/>
                <w:color w:val="FFFFFF"/>
                <w:szCs w:val="20"/>
                <w:lang w:eastAsia="en-AU"/>
              </w:rPr>
              <w:br/>
            </w:r>
            <w:r w:rsidRPr="00AC137D">
              <w:rPr>
                <w:rFonts w:eastAsiaTheme="minorEastAsia" w:cs="Calibri"/>
                <w:iCs/>
                <w:color w:val="FFFFFF"/>
                <w:szCs w:val="20"/>
                <w:lang w:eastAsia="en-AU"/>
              </w:rPr>
              <w:t>estimate</w:t>
            </w:r>
          </w:p>
        </w:tc>
        <w:tc>
          <w:tcPr>
            <w:tcW w:w="850" w:type="dxa"/>
            <w:tcBorders>
              <w:top w:val="single" w:sz="6" w:space="0" w:color="auto"/>
              <w:left w:val="nil"/>
              <w:right w:val="nil"/>
            </w:tcBorders>
            <w:shd w:val="solid" w:color="000000" w:fill="auto"/>
          </w:tcPr>
          <w:p w:rsidR="00A26D04" w:rsidRPr="00AC137D" w:rsidRDefault="00A26D04" w:rsidP="00A26D0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20"/>
                <w:lang w:eastAsia="en-AU"/>
              </w:rPr>
            </w:pPr>
            <w:r w:rsidRPr="00AC137D">
              <w:rPr>
                <w:rFonts w:eastAsiaTheme="minorEastAsia" w:cs="Calibri"/>
                <w:iCs/>
                <w:color w:val="FFFFFF"/>
                <w:szCs w:val="20"/>
                <w:lang w:eastAsia="en-AU"/>
              </w:rPr>
              <w:t>2019-20</w:t>
            </w:r>
            <w:r>
              <w:rPr>
                <w:rFonts w:eastAsiaTheme="minorEastAsia" w:cs="Calibri"/>
                <w:iCs/>
                <w:color w:val="FFFFFF"/>
                <w:szCs w:val="20"/>
                <w:lang w:eastAsia="en-AU"/>
              </w:rPr>
              <w:br/>
            </w:r>
            <w:r w:rsidRPr="00AC137D">
              <w:rPr>
                <w:rFonts w:eastAsiaTheme="minorEastAsia" w:cs="Calibri"/>
                <w:iCs/>
                <w:color w:val="FFFFFF"/>
                <w:szCs w:val="20"/>
                <w:lang w:eastAsia="en-AU"/>
              </w:rPr>
              <w:t>estimate</w:t>
            </w:r>
          </w:p>
        </w:tc>
        <w:tc>
          <w:tcPr>
            <w:tcW w:w="850" w:type="dxa"/>
            <w:tcBorders>
              <w:top w:val="single" w:sz="6" w:space="0" w:color="auto"/>
              <w:left w:val="nil"/>
              <w:right w:val="nil"/>
            </w:tcBorders>
            <w:shd w:val="solid" w:color="000000" w:fill="auto"/>
          </w:tcPr>
          <w:p w:rsidR="00A26D04" w:rsidRPr="00AC137D" w:rsidRDefault="00A26D04" w:rsidP="00A26D0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20"/>
                <w:lang w:eastAsia="en-AU"/>
              </w:rPr>
            </w:pPr>
            <w:r w:rsidRPr="00AC137D">
              <w:rPr>
                <w:rFonts w:eastAsiaTheme="minorEastAsia" w:cs="Calibri"/>
                <w:iCs/>
                <w:color w:val="FFFFFF"/>
                <w:szCs w:val="20"/>
                <w:lang w:eastAsia="en-AU"/>
              </w:rPr>
              <w:t>2020-21</w:t>
            </w:r>
            <w:r>
              <w:rPr>
                <w:rFonts w:eastAsiaTheme="minorEastAsia" w:cs="Calibri"/>
                <w:iCs/>
                <w:color w:val="FFFFFF"/>
                <w:szCs w:val="20"/>
                <w:lang w:eastAsia="en-AU"/>
              </w:rPr>
              <w:br/>
            </w:r>
            <w:r w:rsidRPr="00AC137D">
              <w:rPr>
                <w:rFonts w:eastAsiaTheme="minorEastAsia" w:cs="Calibri"/>
                <w:iCs/>
                <w:color w:val="FFFFFF"/>
                <w:szCs w:val="20"/>
                <w:lang w:eastAsia="en-AU"/>
              </w:rPr>
              <w:t>estimate</w:t>
            </w:r>
          </w:p>
        </w:tc>
      </w:tr>
      <w:tr w:rsidR="00A46DCA" w:rsidRPr="00AC137D" w:rsidTr="00A26D04">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A46DCA" w:rsidRPr="00AC137D" w:rsidRDefault="00A46DCA" w:rsidP="00A26D04">
            <w:pPr>
              <w:keepLines w:val="0"/>
              <w:autoSpaceDE w:val="0"/>
              <w:autoSpaceDN w:val="0"/>
              <w:adjustRightInd w:val="0"/>
              <w:rPr>
                <w:rFonts w:eastAsiaTheme="minorEastAsia" w:cs="Calibri"/>
                <w:color w:val="000000"/>
                <w:szCs w:val="20"/>
                <w:vertAlign w:val="superscript"/>
                <w:lang w:eastAsia="en-AU"/>
              </w:rPr>
            </w:pPr>
            <w:r w:rsidRPr="00AC137D">
              <w:rPr>
                <w:rFonts w:eastAsiaTheme="minorEastAsia" w:cs="Calibri"/>
                <w:color w:val="000000"/>
                <w:szCs w:val="20"/>
                <w:lang w:eastAsia="en-AU"/>
              </w:rPr>
              <w:t xml:space="preserve">Decisions made but not yet allocated </w:t>
            </w:r>
            <w:r w:rsidRPr="00AC137D">
              <w:rPr>
                <w:rFonts w:eastAsiaTheme="minorEastAsia" w:cs="Calibri"/>
                <w:color w:val="000000"/>
                <w:szCs w:val="20"/>
                <w:vertAlign w:val="superscript"/>
                <w:lang w:eastAsia="en-AU"/>
              </w:rPr>
              <w:t>(a)</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AC137D">
              <w:rPr>
                <w:rFonts w:eastAsiaTheme="minorEastAsia" w:cs="Calibri"/>
                <w:color w:val="000000"/>
                <w:szCs w:val="20"/>
                <w:lang w:eastAsia="en-AU"/>
              </w:rPr>
              <w:t>1 425</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Pr>
                <w:rFonts w:eastAsiaTheme="minorEastAsia" w:cs="Calibri"/>
                <w:color w:val="000000"/>
                <w:szCs w:val="20"/>
                <w:lang w:eastAsia="en-AU"/>
              </w:rPr>
              <w:t>811</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AC137D">
              <w:rPr>
                <w:rFonts w:eastAsiaTheme="minorEastAsia" w:cs="Calibri"/>
                <w:color w:val="000000"/>
                <w:szCs w:val="20"/>
                <w:lang w:eastAsia="en-AU"/>
              </w:rPr>
              <w:t>2 247</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AC137D">
              <w:rPr>
                <w:rFonts w:eastAsiaTheme="minorEastAsia" w:cs="Calibri"/>
                <w:color w:val="000000"/>
                <w:szCs w:val="20"/>
                <w:lang w:eastAsia="en-AU"/>
              </w:rPr>
              <w:t>2 984</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AC137D">
              <w:rPr>
                <w:rFonts w:eastAsiaTheme="minorEastAsia" w:cs="Calibri"/>
                <w:color w:val="000000"/>
                <w:szCs w:val="20"/>
                <w:lang w:eastAsia="en-AU"/>
              </w:rPr>
              <w:t>2 577</w:t>
            </w:r>
          </w:p>
        </w:tc>
      </w:tr>
      <w:tr w:rsidR="00A46DCA" w:rsidRPr="00AC137D" w:rsidTr="00A26D04">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A46DCA" w:rsidRPr="00AC137D" w:rsidRDefault="00A46DCA" w:rsidP="00A26D04">
            <w:pPr>
              <w:keepLines w:val="0"/>
              <w:autoSpaceDE w:val="0"/>
              <w:autoSpaceDN w:val="0"/>
              <w:adjustRightInd w:val="0"/>
              <w:rPr>
                <w:rFonts w:eastAsiaTheme="minorEastAsia" w:cs="Calibri"/>
                <w:color w:val="000000"/>
                <w:szCs w:val="20"/>
                <w:vertAlign w:val="superscript"/>
                <w:lang w:eastAsia="en-AU"/>
              </w:rPr>
            </w:pPr>
            <w:r w:rsidRPr="00AC137D">
              <w:rPr>
                <w:rFonts w:eastAsiaTheme="minorEastAsia" w:cs="Calibri"/>
                <w:color w:val="000000"/>
                <w:szCs w:val="20"/>
                <w:lang w:eastAsia="en-AU"/>
              </w:rPr>
              <w:t xml:space="preserve">Funding not allocated to specific purposes </w:t>
            </w:r>
            <w:r w:rsidRPr="00AC137D">
              <w:rPr>
                <w:rFonts w:eastAsiaTheme="minorEastAsia" w:cs="Calibri"/>
                <w:color w:val="000000"/>
                <w:szCs w:val="20"/>
                <w:vertAlign w:val="superscript"/>
                <w:lang w:eastAsia="en-AU"/>
              </w:rPr>
              <w:t>(b)</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AC137D">
              <w:rPr>
                <w:rFonts w:eastAsiaTheme="minorEastAsia" w:cs="Calibri"/>
                <w:color w:val="000000"/>
                <w:szCs w:val="20"/>
                <w:lang w:eastAsia="en-AU"/>
              </w:rPr>
              <w:t>..</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AC137D">
              <w:rPr>
                <w:rFonts w:eastAsiaTheme="minorEastAsia" w:cs="Calibri"/>
                <w:color w:val="000000"/>
                <w:szCs w:val="20"/>
                <w:lang w:eastAsia="en-AU"/>
              </w:rPr>
              <w:t>..</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Pr>
                <w:rFonts w:eastAsiaTheme="minorEastAsia" w:cs="Calibri"/>
                <w:color w:val="000000"/>
                <w:szCs w:val="20"/>
                <w:lang w:eastAsia="en-AU"/>
              </w:rPr>
              <w:t>400</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Pr>
                <w:rFonts w:eastAsiaTheme="minorEastAsia" w:cs="Calibri"/>
                <w:color w:val="000000"/>
                <w:szCs w:val="20"/>
                <w:lang w:eastAsia="en-AU"/>
              </w:rPr>
              <w:t>800</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AC137D">
              <w:rPr>
                <w:rFonts w:eastAsiaTheme="minorEastAsia" w:cs="Calibri"/>
                <w:color w:val="000000"/>
                <w:szCs w:val="20"/>
                <w:lang w:eastAsia="en-AU"/>
              </w:rPr>
              <w:t>1 200</w:t>
            </w:r>
          </w:p>
        </w:tc>
      </w:tr>
      <w:tr w:rsidR="00A46DCA" w:rsidRPr="00AC137D" w:rsidTr="00A26D04">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5" w:type="dxa"/>
            <w:tcBorders>
              <w:top w:val="single" w:sz="6" w:space="0" w:color="auto"/>
              <w:bottom w:val="single" w:sz="12" w:space="0" w:color="auto"/>
            </w:tcBorders>
          </w:tcPr>
          <w:p w:rsidR="00A46DCA" w:rsidRPr="00AC137D" w:rsidRDefault="00A46DCA" w:rsidP="00A26D04">
            <w:pPr>
              <w:keepLines w:val="0"/>
              <w:autoSpaceDE w:val="0"/>
              <w:autoSpaceDN w:val="0"/>
              <w:adjustRightInd w:val="0"/>
              <w:rPr>
                <w:rFonts w:eastAsiaTheme="minorEastAsia" w:cs="Calibri"/>
                <w:bCs/>
                <w:color w:val="000000"/>
                <w:szCs w:val="20"/>
                <w:lang w:eastAsia="en-AU"/>
              </w:rPr>
            </w:pPr>
            <w:r w:rsidRPr="00AC137D">
              <w:rPr>
                <w:rFonts w:eastAsiaTheme="minorEastAsia" w:cs="Calibri"/>
                <w:bCs/>
                <w:color w:val="000000"/>
                <w:szCs w:val="20"/>
                <w:lang w:eastAsia="en-AU"/>
              </w:rPr>
              <w:t>Total general government asset contingencies</w:t>
            </w:r>
          </w:p>
        </w:tc>
        <w:tc>
          <w:tcPr>
            <w:tcW w:w="850" w:type="dxa"/>
            <w:tcBorders>
              <w:top w:val="single" w:sz="6" w:space="0" w:color="auto"/>
              <w:bottom w:val="single" w:sz="12" w:space="0" w:color="auto"/>
            </w:tcBorders>
          </w:tcPr>
          <w:p w:rsidR="00A46DCA" w:rsidRPr="00AC137D" w:rsidRDefault="00A46DCA" w:rsidP="00A26D0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20"/>
                <w:lang w:eastAsia="en-AU"/>
              </w:rPr>
            </w:pPr>
            <w:r w:rsidRPr="00AC137D">
              <w:rPr>
                <w:rFonts w:eastAsiaTheme="minorEastAsia" w:cs="Calibri"/>
                <w:bCs/>
                <w:color w:val="000000"/>
                <w:szCs w:val="20"/>
                <w:lang w:eastAsia="en-AU"/>
              </w:rPr>
              <w:t>1 425</w:t>
            </w:r>
          </w:p>
        </w:tc>
        <w:tc>
          <w:tcPr>
            <w:tcW w:w="850" w:type="dxa"/>
            <w:tcBorders>
              <w:top w:val="single" w:sz="6" w:space="0" w:color="auto"/>
              <w:bottom w:val="single" w:sz="12" w:space="0" w:color="auto"/>
            </w:tcBorders>
          </w:tcPr>
          <w:p w:rsidR="00A46DCA" w:rsidRPr="00AC137D" w:rsidRDefault="00A46DCA" w:rsidP="00A26D0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20"/>
                <w:lang w:eastAsia="en-AU"/>
              </w:rPr>
            </w:pPr>
            <w:r>
              <w:rPr>
                <w:rFonts w:eastAsiaTheme="minorEastAsia" w:cs="Calibri"/>
                <w:bCs/>
                <w:color w:val="000000"/>
                <w:szCs w:val="20"/>
                <w:lang w:eastAsia="en-AU"/>
              </w:rPr>
              <w:t>811</w:t>
            </w:r>
          </w:p>
        </w:tc>
        <w:tc>
          <w:tcPr>
            <w:tcW w:w="850" w:type="dxa"/>
            <w:tcBorders>
              <w:top w:val="single" w:sz="6" w:space="0" w:color="auto"/>
              <w:bottom w:val="single" w:sz="12" w:space="0" w:color="auto"/>
            </w:tcBorders>
          </w:tcPr>
          <w:p w:rsidR="00A46DCA" w:rsidRPr="00AC137D" w:rsidRDefault="00A46DCA" w:rsidP="00A26D0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20"/>
                <w:lang w:eastAsia="en-AU"/>
              </w:rPr>
            </w:pPr>
            <w:r w:rsidRPr="00AC137D">
              <w:rPr>
                <w:rFonts w:eastAsiaTheme="minorEastAsia" w:cs="Calibri"/>
                <w:bCs/>
                <w:color w:val="000000"/>
                <w:szCs w:val="20"/>
                <w:lang w:eastAsia="en-AU"/>
              </w:rPr>
              <w:t>2 647</w:t>
            </w:r>
          </w:p>
        </w:tc>
        <w:tc>
          <w:tcPr>
            <w:tcW w:w="850" w:type="dxa"/>
            <w:tcBorders>
              <w:top w:val="single" w:sz="6" w:space="0" w:color="auto"/>
              <w:bottom w:val="single" w:sz="12" w:space="0" w:color="auto"/>
            </w:tcBorders>
          </w:tcPr>
          <w:p w:rsidR="00A46DCA" w:rsidRPr="00AC137D" w:rsidRDefault="00A46DCA" w:rsidP="00A26D0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20"/>
                <w:lang w:eastAsia="en-AU"/>
              </w:rPr>
            </w:pPr>
            <w:r w:rsidRPr="00AC137D">
              <w:rPr>
                <w:rFonts w:eastAsiaTheme="minorEastAsia" w:cs="Calibri"/>
                <w:bCs/>
                <w:color w:val="000000"/>
                <w:szCs w:val="20"/>
                <w:lang w:eastAsia="en-AU"/>
              </w:rPr>
              <w:t>3 784</w:t>
            </w:r>
          </w:p>
        </w:tc>
        <w:tc>
          <w:tcPr>
            <w:tcW w:w="850" w:type="dxa"/>
            <w:tcBorders>
              <w:top w:val="single" w:sz="6" w:space="0" w:color="auto"/>
              <w:bottom w:val="single" w:sz="12" w:space="0" w:color="auto"/>
            </w:tcBorders>
          </w:tcPr>
          <w:p w:rsidR="00A46DCA" w:rsidRPr="00AC137D" w:rsidRDefault="00A46DCA" w:rsidP="00A26D0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20"/>
                <w:lang w:eastAsia="en-AU"/>
              </w:rPr>
            </w:pPr>
            <w:r w:rsidRPr="00AC137D">
              <w:rPr>
                <w:rFonts w:eastAsiaTheme="minorEastAsia" w:cs="Calibri"/>
                <w:bCs/>
                <w:color w:val="000000"/>
                <w:szCs w:val="20"/>
                <w:lang w:eastAsia="en-AU"/>
              </w:rPr>
              <w:t>3 777</w:t>
            </w:r>
          </w:p>
        </w:tc>
      </w:tr>
    </w:tbl>
    <w:p w:rsidR="00A46DCA" w:rsidRPr="00D72444" w:rsidRDefault="00A46DCA" w:rsidP="00A26D04">
      <w:pPr>
        <w:pStyle w:val="Source"/>
      </w:pPr>
      <w:r w:rsidRPr="00D87D22">
        <w:t>Source: Department of Treasury and Finance</w:t>
      </w:r>
    </w:p>
    <w:p w:rsidR="00A46DCA" w:rsidRPr="00697AD9" w:rsidRDefault="00A46DCA" w:rsidP="00A26D04">
      <w:pPr>
        <w:pStyle w:val="Note"/>
      </w:pPr>
      <w:r w:rsidRPr="00697AD9">
        <w:t>Notes:</w:t>
      </w:r>
    </w:p>
    <w:p w:rsidR="00A46DCA" w:rsidRDefault="00A46DCA" w:rsidP="00A26D04">
      <w:pPr>
        <w:pStyle w:val="Note"/>
      </w:pPr>
      <w:r w:rsidRPr="00697AD9">
        <w:t>(</w:t>
      </w:r>
      <w:r>
        <w:t>a)</w:t>
      </w:r>
      <w:r>
        <w:tab/>
        <w:t>A provision to account for asset policy decisions for which the funding has yet to be allocated to departments.</w:t>
      </w:r>
    </w:p>
    <w:p w:rsidR="00A46DCA" w:rsidRDefault="00A46DCA" w:rsidP="00A26D04">
      <w:pPr>
        <w:pStyle w:val="Note"/>
      </w:pPr>
      <w:r>
        <w:t>(b)</w:t>
      </w:r>
      <w:r>
        <w:tab/>
        <w:t>An unallocated provision available for future government asset investment decisions.</w:t>
      </w:r>
    </w:p>
    <w:p w:rsidR="00A46DCA" w:rsidRDefault="00A46DCA" w:rsidP="00A26D04">
      <w:pPr>
        <w:rPr>
          <w:rStyle w:val="Heading2Char0"/>
          <w:b w:val="0"/>
          <w:sz w:val="20"/>
          <w:szCs w:val="20"/>
        </w:rPr>
      </w:pPr>
    </w:p>
    <w:p w:rsidR="00A46DCA" w:rsidRDefault="00A46DCA" w:rsidP="00A26D04">
      <w:pPr>
        <w:rPr>
          <w:rStyle w:val="Heading2Char0"/>
          <w:b w:val="0"/>
          <w:sz w:val="20"/>
          <w:szCs w:val="20"/>
        </w:rPr>
      </w:pPr>
    </w:p>
    <w:p w:rsidR="00A46DCA" w:rsidRPr="00AC137D" w:rsidRDefault="00A46DCA" w:rsidP="00A26D04">
      <w:pPr>
        <w:pStyle w:val="Heading3"/>
        <w:numPr>
          <w:ilvl w:val="2"/>
          <w:numId w:val="19"/>
        </w:numPr>
        <w:tabs>
          <w:tab w:val="clear" w:pos="9582"/>
          <w:tab w:val="left" w:pos="850"/>
          <w:tab w:val="right" w:pos="7711"/>
        </w:tabs>
        <w:spacing w:after="60"/>
        <w:rPr>
          <w:lang w:val="en-US"/>
        </w:rPr>
      </w:pPr>
      <w:r w:rsidRPr="00833B8D">
        <w:t>Net acquisition of non-financial assets from transactions</w:t>
      </w:r>
      <w:r w:rsidRPr="00833B8D">
        <w:tab/>
        <w:t>($ million)</w:t>
      </w:r>
    </w:p>
    <w:tbl>
      <w:tblPr>
        <w:tblStyle w:val="DTFTable"/>
        <w:tblW w:w="7771" w:type="dxa"/>
        <w:tblInd w:w="45" w:type="dxa"/>
        <w:tblLayout w:type="fixed"/>
        <w:tblCellMar>
          <w:left w:w="45" w:type="dxa"/>
          <w:right w:w="45" w:type="dxa"/>
        </w:tblCellMar>
        <w:tblLook w:val="06E0" w:firstRow="1" w:lastRow="1" w:firstColumn="1" w:lastColumn="0" w:noHBand="1" w:noVBand="1"/>
      </w:tblPr>
      <w:tblGrid>
        <w:gridCol w:w="3764"/>
        <w:gridCol w:w="743"/>
        <w:gridCol w:w="816"/>
        <w:gridCol w:w="816"/>
        <w:gridCol w:w="816"/>
        <w:gridCol w:w="816"/>
      </w:tblGrid>
      <w:tr w:rsidR="00A26D04" w:rsidRPr="00AC137D" w:rsidTr="00A26D04">
        <w:trPr>
          <w:cnfStyle w:val="100000000000" w:firstRow="1" w:lastRow="0" w:firstColumn="0" w:lastColumn="0" w:oddVBand="0" w:evenVBand="0" w:oddHBand="0" w:evenHBand="0" w:firstRowFirstColumn="0" w:firstRowLastColumn="0" w:lastRowFirstColumn="0" w:lastRowLastColumn="0"/>
          <w:trHeight w:val="465"/>
          <w:tblHeader/>
        </w:trPr>
        <w:tc>
          <w:tcPr>
            <w:cnfStyle w:val="001000000000" w:firstRow="0" w:lastRow="0" w:firstColumn="1" w:lastColumn="0" w:oddVBand="0" w:evenVBand="0" w:oddHBand="0" w:evenHBand="0" w:firstRowFirstColumn="0" w:firstRowLastColumn="0" w:lastRowFirstColumn="0" w:lastRowLastColumn="0"/>
            <w:tcW w:w="3764" w:type="dxa"/>
            <w:tcBorders>
              <w:top w:val="nil"/>
              <w:left w:val="nil"/>
              <w:right w:val="nil"/>
            </w:tcBorders>
            <w:shd w:val="solid" w:color="000000" w:fill="auto"/>
          </w:tcPr>
          <w:p w:rsidR="00A26D04" w:rsidRPr="00AC137D" w:rsidRDefault="00A26D04" w:rsidP="00A26D04">
            <w:pPr>
              <w:autoSpaceDE w:val="0"/>
              <w:autoSpaceDN w:val="0"/>
              <w:adjustRightInd w:val="0"/>
              <w:rPr>
                <w:rFonts w:eastAsiaTheme="minorEastAsia" w:cs="Calibri"/>
                <w:iCs/>
                <w:color w:val="FFFFFF"/>
                <w:lang w:eastAsia="en-AU"/>
              </w:rPr>
            </w:pPr>
            <w:r w:rsidRPr="00AC137D">
              <w:rPr>
                <w:rFonts w:eastAsiaTheme="minorEastAsia" w:cs="Calibri"/>
                <w:iCs/>
                <w:color w:val="FFFFFF"/>
                <w:lang w:eastAsia="en-AU"/>
              </w:rPr>
              <w:t xml:space="preserve">  </w:t>
            </w:r>
          </w:p>
        </w:tc>
        <w:tc>
          <w:tcPr>
            <w:tcW w:w="743" w:type="dxa"/>
            <w:tcBorders>
              <w:top w:val="nil"/>
              <w:left w:val="nil"/>
              <w:right w:val="nil"/>
            </w:tcBorders>
            <w:shd w:val="solid" w:color="000000" w:fill="auto"/>
          </w:tcPr>
          <w:p w:rsidR="00A26D04" w:rsidRPr="00AC137D" w:rsidRDefault="00A26D04" w:rsidP="00A26D0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AC137D">
              <w:rPr>
                <w:rFonts w:eastAsiaTheme="minorEastAsia" w:cs="Calibri"/>
                <w:iCs/>
                <w:color w:val="FFFFFF"/>
                <w:szCs w:val="16"/>
                <w:lang w:eastAsia="en-AU"/>
              </w:rPr>
              <w:t xml:space="preserve">2017-18 </w:t>
            </w:r>
            <w:r>
              <w:rPr>
                <w:rFonts w:eastAsiaTheme="minorEastAsia" w:cs="Calibri"/>
                <w:iCs/>
                <w:color w:val="FFFFFF"/>
                <w:szCs w:val="16"/>
                <w:lang w:eastAsia="en-AU"/>
              </w:rPr>
              <w:br/>
            </w:r>
            <w:r w:rsidRPr="00AC137D">
              <w:rPr>
                <w:rFonts w:eastAsiaTheme="minorEastAsia" w:cs="Calibri"/>
                <w:iCs/>
                <w:color w:val="FFFFFF"/>
                <w:szCs w:val="16"/>
                <w:lang w:eastAsia="en-AU"/>
              </w:rPr>
              <w:t>budget</w:t>
            </w:r>
          </w:p>
        </w:tc>
        <w:tc>
          <w:tcPr>
            <w:tcW w:w="816" w:type="dxa"/>
            <w:tcBorders>
              <w:top w:val="nil"/>
              <w:left w:val="nil"/>
              <w:right w:val="nil"/>
            </w:tcBorders>
            <w:shd w:val="solid" w:color="000000" w:fill="auto"/>
          </w:tcPr>
          <w:p w:rsidR="00A26D04" w:rsidRPr="00AC137D" w:rsidRDefault="00A26D04" w:rsidP="00A26D0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AC137D">
              <w:rPr>
                <w:rFonts w:eastAsiaTheme="minorEastAsia" w:cs="Calibri"/>
                <w:iCs/>
                <w:color w:val="FFFFFF"/>
                <w:szCs w:val="16"/>
                <w:lang w:eastAsia="en-AU"/>
              </w:rPr>
              <w:t xml:space="preserve">2017-18 </w:t>
            </w:r>
            <w:r>
              <w:rPr>
                <w:rFonts w:eastAsiaTheme="minorEastAsia" w:cs="Calibri"/>
                <w:iCs/>
                <w:color w:val="FFFFFF"/>
                <w:szCs w:val="16"/>
                <w:lang w:eastAsia="en-AU"/>
              </w:rPr>
              <w:br/>
            </w:r>
            <w:r w:rsidRPr="00AC137D">
              <w:rPr>
                <w:rFonts w:eastAsiaTheme="minorEastAsia" w:cs="Calibri"/>
                <w:iCs/>
                <w:color w:val="FFFFFF"/>
                <w:szCs w:val="16"/>
                <w:lang w:eastAsia="en-AU"/>
              </w:rPr>
              <w:t>revised</w:t>
            </w:r>
          </w:p>
        </w:tc>
        <w:tc>
          <w:tcPr>
            <w:tcW w:w="816" w:type="dxa"/>
            <w:tcBorders>
              <w:top w:val="nil"/>
              <w:left w:val="nil"/>
              <w:right w:val="nil"/>
            </w:tcBorders>
            <w:shd w:val="solid" w:color="000000" w:fill="auto"/>
          </w:tcPr>
          <w:p w:rsidR="00A26D04" w:rsidRPr="00AC137D" w:rsidRDefault="00A26D04" w:rsidP="00A26D0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AC137D">
              <w:rPr>
                <w:rFonts w:eastAsiaTheme="minorEastAsia" w:cs="Calibri"/>
                <w:iCs/>
                <w:color w:val="FFFFFF"/>
                <w:szCs w:val="16"/>
                <w:lang w:eastAsia="en-AU"/>
              </w:rPr>
              <w:t xml:space="preserve">2018-19 </w:t>
            </w:r>
            <w:r>
              <w:rPr>
                <w:rFonts w:eastAsiaTheme="minorEastAsia" w:cs="Calibri"/>
                <w:iCs/>
                <w:color w:val="FFFFFF"/>
                <w:szCs w:val="16"/>
                <w:lang w:eastAsia="en-AU"/>
              </w:rPr>
              <w:br/>
            </w:r>
            <w:r w:rsidRPr="00AC137D">
              <w:rPr>
                <w:rFonts w:eastAsiaTheme="minorEastAsia" w:cs="Calibri"/>
                <w:iCs/>
                <w:color w:val="FFFFFF"/>
                <w:szCs w:val="16"/>
                <w:lang w:eastAsia="en-AU"/>
              </w:rPr>
              <w:t>estimate</w:t>
            </w:r>
          </w:p>
        </w:tc>
        <w:tc>
          <w:tcPr>
            <w:tcW w:w="816" w:type="dxa"/>
            <w:tcBorders>
              <w:top w:val="nil"/>
              <w:left w:val="nil"/>
              <w:right w:val="nil"/>
            </w:tcBorders>
            <w:shd w:val="solid" w:color="000000" w:fill="auto"/>
          </w:tcPr>
          <w:p w:rsidR="00A26D04" w:rsidRPr="00AC137D" w:rsidRDefault="00A26D04" w:rsidP="00A26D0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AC137D">
              <w:rPr>
                <w:rFonts w:eastAsiaTheme="minorEastAsia" w:cs="Calibri"/>
                <w:iCs/>
                <w:color w:val="FFFFFF"/>
                <w:szCs w:val="16"/>
                <w:lang w:eastAsia="en-AU"/>
              </w:rPr>
              <w:t xml:space="preserve">2019-20 </w:t>
            </w:r>
            <w:r>
              <w:rPr>
                <w:rFonts w:eastAsiaTheme="minorEastAsia" w:cs="Calibri"/>
                <w:iCs/>
                <w:color w:val="FFFFFF"/>
                <w:szCs w:val="16"/>
                <w:lang w:eastAsia="en-AU"/>
              </w:rPr>
              <w:br/>
            </w:r>
            <w:r w:rsidRPr="00AC137D">
              <w:rPr>
                <w:rFonts w:eastAsiaTheme="minorEastAsia" w:cs="Calibri"/>
                <w:iCs/>
                <w:color w:val="FFFFFF"/>
                <w:szCs w:val="16"/>
                <w:lang w:eastAsia="en-AU"/>
              </w:rPr>
              <w:t>estimate</w:t>
            </w:r>
          </w:p>
        </w:tc>
        <w:tc>
          <w:tcPr>
            <w:tcW w:w="816" w:type="dxa"/>
            <w:tcBorders>
              <w:top w:val="nil"/>
              <w:left w:val="nil"/>
              <w:right w:val="nil"/>
            </w:tcBorders>
            <w:shd w:val="solid" w:color="000000" w:fill="auto"/>
          </w:tcPr>
          <w:p w:rsidR="00A26D04" w:rsidRPr="00AC137D" w:rsidRDefault="00A26D04" w:rsidP="00A26D0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AC137D">
              <w:rPr>
                <w:rFonts w:eastAsiaTheme="minorEastAsia" w:cs="Calibri"/>
                <w:iCs/>
                <w:color w:val="FFFFFF"/>
                <w:szCs w:val="16"/>
                <w:lang w:eastAsia="en-AU"/>
              </w:rPr>
              <w:t xml:space="preserve">2020-21 </w:t>
            </w:r>
            <w:r>
              <w:rPr>
                <w:rFonts w:eastAsiaTheme="minorEastAsia" w:cs="Calibri"/>
                <w:iCs/>
                <w:color w:val="FFFFFF"/>
                <w:szCs w:val="16"/>
                <w:lang w:eastAsia="en-AU"/>
              </w:rPr>
              <w:br/>
            </w:r>
            <w:r w:rsidRPr="00AC137D">
              <w:rPr>
                <w:rFonts w:eastAsiaTheme="minorEastAsia" w:cs="Calibri"/>
                <w:iCs/>
                <w:color w:val="FFFFFF"/>
                <w:szCs w:val="16"/>
                <w:lang w:eastAsia="en-AU"/>
              </w:rPr>
              <w:t>estimate</w:t>
            </w:r>
          </w:p>
        </w:tc>
      </w:tr>
      <w:tr w:rsidR="00A46DCA" w:rsidRPr="00AC137D" w:rsidTr="00A26D04">
        <w:tc>
          <w:tcPr>
            <w:cnfStyle w:val="001000000000" w:firstRow="0" w:lastRow="0" w:firstColumn="1" w:lastColumn="0" w:oddVBand="0" w:evenVBand="0" w:oddHBand="0" w:evenHBand="0" w:firstRowFirstColumn="0" w:firstRowLastColumn="0" w:lastRowFirstColumn="0" w:lastRowLastColumn="0"/>
            <w:tcW w:w="3764" w:type="dxa"/>
            <w:tcBorders>
              <w:top w:val="nil"/>
              <w:left w:val="nil"/>
              <w:bottom w:val="nil"/>
              <w:right w:val="nil"/>
            </w:tcBorders>
          </w:tcPr>
          <w:p w:rsidR="00A46DCA" w:rsidRPr="00AC137D" w:rsidRDefault="00A46DCA" w:rsidP="00A26D04">
            <w:pPr>
              <w:keepLines w:val="0"/>
              <w:autoSpaceDE w:val="0"/>
              <w:autoSpaceDN w:val="0"/>
              <w:adjustRightInd w:val="0"/>
              <w:rPr>
                <w:rFonts w:eastAsiaTheme="minorEastAsia" w:cs="Calibri"/>
                <w:color w:val="000000"/>
                <w:szCs w:val="16"/>
                <w:lang w:eastAsia="en-AU"/>
              </w:rPr>
            </w:pPr>
            <w:r w:rsidRPr="00AC137D">
              <w:rPr>
                <w:rFonts w:eastAsiaTheme="minorEastAsia" w:cs="Calibri"/>
                <w:color w:val="000000"/>
                <w:szCs w:val="16"/>
                <w:lang w:eastAsia="en-AU"/>
              </w:rPr>
              <w:t xml:space="preserve">Purchases of non-financial assets </w:t>
            </w:r>
            <w:r>
              <w:rPr>
                <w:rFonts w:eastAsiaTheme="minorEastAsia" w:cs="Calibri"/>
                <w:color w:val="000000"/>
                <w:szCs w:val="16"/>
                <w:lang w:eastAsia="en-AU"/>
              </w:rPr>
              <w:br/>
            </w:r>
            <w:r w:rsidRPr="00AC137D">
              <w:rPr>
                <w:rFonts w:eastAsiaTheme="minorEastAsia" w:cs="Calibri"/>
                <w:color w:val="000000"/>
                <w:szCs w:val="16"/>
                <w:lang w:eastAsia="en-AU"/>
              </w:rPr>
              <w:t>(including change in inventories)</w:t>
            </w:r>
          </w:p>
        </w:tc>
        <w:tc>
          <w:tcPr>
            <w:tcW w:w="743"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AC137D">
              <w:rPr>
                <w:rFonts w:eastAsiaTheme="minorEastAsia" w:cs="Calibri"/>
                <w:color w:val="000000"/>
                <w:szCs w:val="16"/>
                <w:lang w:eastAsia="en-AU"/>
              </w:rPr>
              <w:t>8 747</w:t>
            </w:r>
          </w:p>
        </w:tc>
        <w:tc>
          <w:tcPr>
            <w:tcW w:w="816"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AC137D">
              <w:rPr>
                <w:rFonts w:eastAsiaTheme="minorEastAsia" w:cs="Calibri"/>
                <w:color w:val="000000"/>
                <w:szCs w:val="16"/>
                <w:lang w:eastAsia="en-AU"/>
              </w:rPr>
              <w:t>9 256</w:t>
            </w:r>
          </w:p>
        </w:tc>
        <w:tc>
          <w:tcPr>
            <w:tcW w:w="816"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AC137D">
              <w:rPr>
                <w:rFonts w:eastAsiaTheme="minorEastAsia" w:cs="Calibri"/>
                <w:color w:val="000000"/>
                <w:szCs w:val="16"/>
                <w:lang w:eastAsia="en-AU"/>
              </w:rPr>
              <w:t>8 606</w:t>
            </w:r>
          </w:p>
        </w:tc>
        <w:tc>
          <w:tcPr>
            <w:tcW w:w="816"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AC137D">
              <w:rPr>
                <w:rFonts w:eastAsiaTheme="minorEastAsia" w:cs="Calibri"/>
                <w:color w:val="000000"/>
                <w:szCs w:val="16"/>
                <w:lang w:eastAsia="en-AU"/>
              </w:rPr>
              <w:t>7 185</w:t>
            </w:r>
          </w:p>
        </w:tc>
        <w:tc>
          <w:tcPr>
            <w:tcW w:w="816"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AC137D">
              <w:rPr>
                <w:rFonts w:eastAsiaTheme="minorEastAsia" w:cs="Calibri"/>
                <w:color w:val="000000"/>
                <w:szCs w:val="16"/>
                <w:lang w:eastAsia="en-AU"/>
              </w:rPr>
              <w:t>7 660</w:t>
            </w:r>
          </w:p>
        </w:tc>
      </w:tr>
      <w:tr w:rsidR="00A46DCA" w:rsidRPr="00AC137D" w:rsidTr="00A26D04">
        <w:tc>
          <w:tcPr>
            <w:cnfStyle w:val="001000000000" w:firstRow="0" w:lastRow="0" w:firstColumn="1" w:lastColumn="0" w:oddVBand="0" w:evenVBand="0" w:oddHBand="0" w:evenHBand="0" w:firstRowFirstColumn="0" w:firstRowLastColumn="0" w:lastRowFirstColumn="0" w:lastRowLastColumn="0"/>
            <w:tcW w:w="3764" w:type="dxa"/>
            <w:tcBorders>
              <w:top w:val="nil"/>
              <w:left w:val="nil"/>
              <w:bottom w:val="nil"/>
              <w:right w:val="nil"/>
            </w:tcBorders>
          </w:tcPr>
          <w:p w:rsidR="00A46DCA" w:rsidRPr="00AC137D" w:rsidRDefault="00A46DCA" w:rsidP="00A26D04">
            <w:pPr>
              <w:keepLines w:val="0"/>
              <w:autoSpaceDE w:val="0"/>
              <w:autoSpaceDN w:val="0"/>
              <w:adjustRightInd w:val="0"/>
              <w:rPr>
                <w:rFonts w:eastAsiaTheme="minorEastAsia" w:cs="Calibri"/>
                <w:color w:val="000000"/>
                <w:szCs w:val="16"/>
                <w:lang w:eastAsia="en-AU"/>
              </w:rPr>
            </w:pPr>
            <w:r w:rsidRPr="00AC137D">
              <w:rPr>
                <w:rFonts w:eastAsiaTheme="minorEastAsia" w:cs="Calibri"/>
                <w:color w:val="000000"/>
                <w:szCs w:val="16"/>
                <w:lang w:eastAsia="en-AU"/>
              </w:rPr>
              <w:t>Less: Sales of non-financial assets</w:t>
            </w:r>
          </w:p>
        </w:tc>
        <w:tc>
          <w:tcPr>
            <w:tcW w:w="743"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(503)</w:t>
            </w:r>
          </w:p>
        </w:tc>
        <w:tc>
          <w:tcPr>
            <w:tcW w:w="816"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(532)</w:t>
            </w:r>
          </w:p>
        </w:tc>
        <w:tc>
          <w:tcPr>
            <w:tcW w:w="816"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(789)</w:t>
            </w:r>
          </w:p>
        </w:tc>
        <w:tc>
          <w:tcPr>
            <w:tcW w:w="816"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(506)</w:t>
            </w:r>
          </w:p>
        </w:tc>
        <w:tc>
          <w:tcPr>
            <w:tcW w:w="816"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(536)</w:t>
            </w:r>
          </w:p>
        </w:tc>
      </w:tr>
      <w:tr w:rsidR="00A46DCA" w:rsidRPr="00AC137D" w:rsidTr="00A26D04">
        <w:tc>
          <w:tcPr>
            <w:cnfStyle w:val="001000000000" w:firstRow="0" w:lastRow="0" w:firstColumn="1" w:lastColumn="0" w:oddVBand="0" w:evenVBand="0" w:oddHBand="0" w:evenHBand="0" w:firstRowFirstColumn="0" w:firstRowLastColumn="0" w:lastRowFirstColumn="0" w:lastRowLastColumn="0"/>
            <w:tcW w:w="3764" w:type="dxa"/>
            <w:tcBorders>
              <w:top w:val="nil"/>
              <w:left w:val="nil"/>
              <w:bottom w:val="nil"/>
              <w:right w:val="nil"/>
            </w:tcBorders>
          </w:tcPr>
          <w:p w:rsidR="00A46DCA" w:rsidRPr="00AC137D" w:rsidRDefault="00A46DCA" w:rsidP="00A26D04">
            <w:pPr>
              <w:keepLines w:val="0"/>
              <w:autoSpaceDE w:val="0"/>
              <w:autoSpaceDN w:val="0"/>
              <w:adjustRightInd w:val="0"/>
              <w:rPr>
                <w:rFonts w:eastAsiaTheme="minorEastAsia" w:cs="Calibri"/>
                <w:color w:val="000000"/>
                <w:szCs w:val="16"/>
                <w:lang w:eastAsia="en-AU"/>
              </w:rPr>
            </w:pPr>
            <w:r w:rsidRPr="00AC137D">
              <w:rPr>
                <w:rFonts w:eastAsiaTheme="minorEastAsia" w:cs="Calibri"/>
                <w:color w:val="000000"/>
                <w:szCs w:val="16"/>
                <w:lang w:eastAsia="en-AU"/>
              </w:rPr>
              <w:t>Less: Depreciation and amortisation</w:t>
            </w:r>
          </w:p>
        </w:tc>
        <w:tc>
          <w:tcPr>
            <w:tcW w:w="743"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(2 788)</w:t>
            </w:r>
          </w:p>
        </w:tc>
        <w:tc>
          <w:tcPr>
            <w:tcW w:w="816"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(2 734)</w:t>
            </w:r>
          </w:p>
        </w:tc>
        <w:tc>
          <w:tcPr>
            <w:tcW w:w="816"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(2 960)</w:t>
            </w:r>
          </w:p>
        </w:tc>
        <w:tc>
          <w:tcPr>
            <w:tcW w:w="816"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(3 222)</w:t>
            </w:r>
          </w:p>
        </w:tc>
        <w:tc>
          <w:tcPr>
            <w:tcW w:w="816"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(3 542)</w:t>
            </w:r>
          </w:p>
        </w:tc>
      </w:tr>
      <w:tr w:rsidR="00A46DCA" w:rsidRPr="00AC137D" w:rsidTr="00A26D04">
        <w:tc>
          <w:tcPr>
            <w:cnfStyle w:val="001000000000" w:firstRow="0" w:lastRow="0" w:firstColumn="1" w:lastColumn="0" w:oddVBand="0" w:evenVBand="0" w:oddHBand="0" w:evenHBand="0" w:firstRowFirstColumn="0" w:firstRowLastColumn="0" w:lastRowFirstColumn="0" w:lastRowLastColumn="0"/>
            <w:tcW w:w="3764" w:type="dxa"/>
            <w:tcBorders>
              <w:top w:val="nil"/>
              <w:left w:val="nil"/>
              <w:bottom w:val="nil"/>
              <w:right w:val="nil"/>
            </w:tcBorders>
          </w:tcPr>
          <w:p w:rsidR="00A46DCA" w:rsidRPr="00AC137D" w:rsidRDefault="00A46DCA" w:rsidP="00A26D04">
            <w:pPr>
              <w:keepLines w:val="0"/>
              <w:autoSpaceDE w:val="0"/>
              <w:autoSpaceDN w:val="0"/>
              <w:adjustRightInd w:val="0"/>
              <w:rPr>
                <w:rFonts w:eastAsiaTheme="minorEastAsia" w:cs="Calibri"/>
                <w:color w:val="000000"/>
                <w:szCs w:val="16"/>
                <w:vertAlign w:val="superscript"/>
                <w:lang w:eastAsia="en-AU"/>
              </w:rPr>
            </w:pPr>
            <w:r w:rsidRPr="00AC137D">
              <w:rPr>
                <w:rFonts w:eastAsiaTheme="minorEastAsia" w:cs="Calibri"/>
                <w:color w:val="000000"/>
                <w:szCs w:val="16"/>
                <w:lang w:eastAsia="en-AU"/>
              </w:rPr>
              <w:t xml:space="preserve">Plus: Other movements in non-financial assets </w:t>
            </w:r>
            <w:r w:rsidRPr="00AC137D">
              <w:rPr>
                <w:rFonts w:eastAsiaTheme="minorEastAsia" w:cs="Calibri"/>
                <w:color w:val="000000"/>
                <w:szCs w:val="16"/>
                <w:vertAlign w:val="superscript"/>
                <w:lang w:eastAsia="en-AU"/>
              </w:rPr>
              <w:t>(a)</w:t>
            </w:r>
          </w:p>
        </w:tc>
        <w:tc>
          <w:tcPr>
            <w:tcW w:w="743"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(3 643)</w:t>
            </w:r>
          </w:p>
        </w:tc>
        <w:tc>
          <w:tcPr>
            <w:tcW w:w="816"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(4 125)</w:t>
            </w:r>
          </w:p>
        </w:tc>
        <w:tc>
          <w:tcPr>
            <w:tcW w:w="816"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(4 138)</w:t>
            </w:r>
          </w:p>
        </w:tc>
        <w:tc>
          <w:tcPr>
            <w:tcW w:w="816"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(3 087)</w:t>
            </w:r>
          </w:p>
        </w:tc>
        <w:tc>
          <w:tcPr>
            <w:tcW w:w="816"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(2 981)</w:t>
            </w:r>
          </w:p>
        </w:tc>
      </w:tr>
      <w:tr w:rsidR="00A46DCA" w:rsidRPr="00AC137D" w:rsidTr="00A26D04">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64" w:type="dxa"/>
            <w:tcBorders>
              <w:top w:val="single" w:sz="6" w:space="0" w:color="000000"/>
              <w:bottom w:val="single" w:sz="12" w:space="0" w:color="000000"/>
            </w:tcBorders>
          </w:tcPr>
          <w:p w:rsidR="00A46DCA" w:rsidRPr="00AC137D" w:rsidRDefault="00A46DCA" w:rsidP="00A26D04">
            <w:pPr>
              <w:keepLines w:val="0"/>
              <w:autoSpaceDE w:val="0"/>
              <w:autoSpaceDN w:val="0"/>
              <w:adjustRightInd w:val="0"/>
              <w:rPr>
                <w:rFonts w:eastAsiaTheme="minorEastAsia" w:cs="Calibri"/>
                <w:bCs/>
                <w:color w:val="000000"/>
                <w:szCs w:val="16"/>
                <w:vertAlign w:val="superscript"/>
                <w:lang w:eastAsia="en-AU"/>
              </w:rPr>
            </w:pPr>
            <w:r w:rsidRPr="00AC137D">
              <w:rPr>
                <w:rFonts w:eastAsiaTheme="minorEastAsia" w:cs="Calibri"/>
                <w:bCs/>
                <w:color w:val="000000"/>
                <w:szCs w:val="16"/>
                <w:lang w:eastAsia="en-AU"/>
              </w:rPr>
              <w:t xml:space="preserve">Total net acquisition of non-financial assets </w:t>
            </w:r>
            <w:r w:rsidR="002677DA">
              <w:rPr>
                <w:rFonts w:eastAsiaTheme="minorEastAsia" w:cs="Calibri"/>
                <w:bCs/>
                <w:color w:val="000000"/>
                <w:szCs w:val="16"/>
                <w:lang w:eastAsia="en-AU"/>
              </w:rPr>
              <w:br/>
            </w:r>
            <w:r w:rsidRPr="00AC137D">
              <w:rPr>
                <w:rFonts w:eastAsiaTheme="minorEastAsia" w:cs="Calibri"/>
                <w:bCs/>
                <w:color w:val="000000"/>
                <w:szCs w:val="16"/>
                <w:lang w:eastAsia="en-AU"/>
              </w:rPr>
              <w:t xml:space="preserve">from transactions </w:t>
            </w:r>
          </w:p>
        </w:tc>
        <w:tc>
          <w:tcPr>
            <w:tcW w:w="743" w:type="dxa"/>
            <w:tcBorders>
              <w:top w:val="single" w:sz="6" w:space="0" w:color="000000"/>
              <w:bottom w:val="single" w:sz="12" w:space="0" w:color="000000"/>
            </w:tcBorders>
          </w:tcPr>
          <w:p w:rsidR="00A46DCA" w:rsidRPr="00AC137D" w:rsidRDefault="00A46DCA" w:rsidP="00A26D0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6"/>
                <w:lang w:eastAsia="en-AU"/>
              </w:rPr>
            </w:pPr>
            <w:r w:rsidRPr="00AC137D">
              <w:rPr>
                <w:rFonts w:eastAsiaTheme="minorEastAsia" w:cs="Calibri"/>
                <w:bCs/>
                <w:color w:val="000000"/>
                <w:szCs w:val="16"/>
                <w:lang w:eastAsia="en-AU"/>
              </w:rPr>
              <w:t>1 813</w:t>
            </w:r>
          </w:p>
        </w:tc>
        <w:tc>
          <w:tcPr>
            <w:tcW w:w="816" w:type="dxa"/>
            <w:tcBorders>
              <w:top w:val="single" w:sz="6" w:space="0" w:color="000000"/>
              <w:bottom w:val="single" w:sz="12" w:space="0" w:color="000000"/>
            </w:tcBorders>
          </w:tcPr>
          <w:p w:rsidR="00A46DCA" w:rsidRPr="00AC137D" w:rsidRDefault="00A46DCA" w:rsidP="00A26D0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6"/>
                <w:lang w:eastAsia="en-AU"/>
              </w:rPr>
            </w:pPr>
            <w:r w:rsidRPr="00AC137D">
              <w:rPr>
                <w:rFonts w:eastAsiaTheme="minorEastAsia" w:cs="Calibri"/>
                <w:bCs/>
                <w:color w:val="000000"/>
                <w:szCs w:val="16"/>
                <w:lang w:eastAsia="en-AU"/>
              </w:rPr>
              <w:t>1 865</w:t>
            </w:r>
          </w:p>
        </w:tc>
        <w:tc>
          <w:tcPr>
            <w:tcW w:w="816" w:type="dxa"/>
            <w:tcBorders>
              <w:top w:val="single" w:sz="6" w:space="0" w:color="000000"/>
              <w:bottom w:val="single" w:sz="12" w:space="0" w:color="000000"/>
            </w:tcBorders>
          </w:tcPr>
          <w:p w:rsidR="00A46DCA" w:rsidRPr="00AC137D" w:rsidRDefault="00A46DCA" w:rsidP="00A26D0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6"/>
                <w:lang w:eastAsia="en-AU"/>
              </w:rPr>
            </w:pPr>
            <w:r>
              <w:rPr>
                <w:rFonts w:eastAsiaTheme="minorEastAsia" w:cs="Calibri"/>
                <w:bCs/>
                <w:color w:val="000000"/>
                <w:szCs w:val="16"/>
                <w:lang w:eastAsia="en-AU"/>
              </w:rPr>
              <w:t>720</w:t>
            </w:r>
          </w:p>
        </w:tc>
        <w:tc>
          <w:tcPr>
            <w:tcW w:w="816" w:type="dxa"/>
            <w:tcBorders>
              <w:top w:val="single" w:sz="6" w:space="0" w:color="000000"/>
              <w:bottom w:val="single" w:sz="12" w:space="0" w:color="000000"/>
            </w:tcBorders>
          </w:tcPr>
          <w:p w:rsidR="00A46DCA" w:rsidRPr="00AC137D" w:rsidRDefault="00A46DCA" w:rsidP="00A26D0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6"/>
                <w:lang w:eastAsia="en-AU"/>
              </w:rPr>
            </w:pPr>
            <w:r>
              <w:rPr>
                <w:rFonts w:eastAsiaTheme="minorEastAsia" w:cs="Calibri"/>
                <w:bCs/>
                <w:color w:val="000000"/>
                <w:szCs w:val="16"/>
                <w:lang w:eastAsia="en-AU"/>
              </w:rPr>
              <w:t>371</w:t>
            </w:r>
          </w:p>
        </w:tc>
        <w:tc>
          <w:tcPr>
            <w:tcW w:w="816" w:type="dxa"/>
            <w:tcBorders>
              <w:top w:val="single" w:sz="6" w:space="0" w:color="000000"/>
              <w:bottom w:val="single" w:sz="12" w:space="0" w:color="000000"/>
            </w:tcBorders>
          </w:tcPr>
          <w:p w:rsidR="00A46DCA" w:rsidRPr="00AC137D" w:rsidRDefault="00A46DCA" w:rsidP="00A26D0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6"/>
                <w:lang w:eastAsia="en-AU"/>
              </w:rPr>
            </w:pPr>
            <w:r>
              <w:rPr>
                <w:rFonts w:eastAsiaTheme="minorEastAsia" w:cs="Calibri"/>
                <w:bCs/>
                <w:color w:val="000000"/>
                <w:szCs w:val="16"/>
                <w:lang w:eastAsia="en-AU"/>
              </w:rPr>
              <w:t>601</w:t>
            </w:r>
          </w:p>
        </w:tc>
      </w:tr>
    </w:tbl>
    <w:p w:rsidR="00A46DCA" w:rsidRDefault="00A46DCA" w:rsidP="00A26D04">
      <w:pPr>
        <w:pStyle w:val="Source"/>
      </w:pPr>
      <w:r w:rsidRPr="00D87D22">
        <w:t>Source: Department of Treasury and Finance</w:t>
      </w:r>
    </w:p>
    <w:p w:rsidR="00A46DCA" w:rsidRDefault="00A46DCA" w:rsidP="00A26D04">
      <w:pPr>
        <w:pStyle w:val="Note"/>
      </w:pPr>
      <w:r>
        <w:t>Note:</w:t>
      </w:r>
    </w:p>
    <w:p w:rsidR="00A46DCA" w:rsidRDefault="00A46DCA" w:rsidP="00A26D04">
      <w:pPr>
        <w:pStyle w:val="Note"/>
      </w:pPr>
      <w:r>
        <w:t>(a)</w:t>
      </w:r>
      <w:r>
        <w:tab/>
        <w:t>The other movements in non-financial assets includes the transfer of fixed assets to other sectors of government and the recognition of finance lease arrangements.</w:t>
      </w:r>
    </w:p>
    <w:p w:rsidR="00A46DCA" w:rsidRDefault="00A46DCA" w:rsidP="00A26D04"/>
    <w:p w:rsidR="00A46DCA" w:rsidRDefault="00A46DCA" w:rsidP="00A26D04"/>
    <w:bookmarkEnd w:id="33"/>
    <w:p w:rsidR="00A46DCA" w:rsidRDefault="00A46DCA" w:rsidP="00A26D04">
      <w:pPr>
        <w:pStyle w:val="Heading2"/>
        <w:pageBreakBefore/>
        <w:numPr>
          <w:ilvl w:val="1"/>
          <w:numId w:val="19"/>
        </w:numPr>
      </w:pPr>
      <w:r>
        <w:lastRenderedPageBreak/>
        <w:t>MAJOR ASSETS AND INVESTMENTS</w:t>
      </w:r>
    </w:p>
    <w:p w:rsidR="00A46DCA" w:rsidRDefault="00A46DCA" w:rsidP="00A26D04">
      <w:pPr>
        <w:pStyle w:val="Heading20"/>
        <w:sectPr w:rsidR="00A46DCA" w:rsidSect="00A26D04">
          <w:type w:val="continuous"/>
          <w:pgSz w:w="9979" w:h="14175" w:code="9"/>
          <w:pgMar w:top="851" w:right="1134" w:bottom="851" w:left="1134" w:header="624" w:footer="567" w:gutter="0"/>
          <w:cols w:sep="1" w:space="567"/>
          <w:docGrid w:linePitch="360"/>
        </w:sectPr>
      </w:pPr>
    </w:p>
    <w:p w:rsidR="00A46DCA" w:rsidRDefault="00A46DCA" w:rsidP="00A26D04">
      <w:pPr>
        <w:pStyle w:val="Heading30"/>
        <w:pBdr>
          <w:bottom w:val="single" w:sz="4" w:space="1" w:color="auto"/>
        </w:pBdr>
      </w:pPr>
      <w:r>
        <w:lastRenderedPageBreak/>
        <w:t>Introduction</w:t>
      </w:r>
    </w:p>
    <w:p w:rsidR="00A46DCA" w:rsidRDefault="00A46DCA" w:rsidP="00A26D04">
      <w:r>
        <w:t>This section outlines the major assets that the general government sector controls from investing activities in the prior, current, and future years.</w:t>
      </w:r>
    </w:p>
    <w:p w:rsidR="00A46DCA" w:rsidRDefault="00A46DCA" w:rsidP="00A26D04">
      <w:pPr>
        <w:pStyle w:val="Heading30"/>
        <w:pBdr>
          <w:bottom w:val="single" w:sz="4" w:space="1" w:color="auto"/>
        </w:pBdr>
      </w:pPr>
      <w:r>
        <w:br w:type="column"/>
      </w:r>
      <w:r>
        <w:lastRenderedPageBreak/>
        <w:t>Structure</w:t>
      </w:r>
    </w:p>
    <w:p w:rsidR="00A46DCA" w:rsidRDefault="00A46DCA">
      <w:pPr>
        <w:pStyle w:val="TOC9"/>
        <w:rPr>
          <w:rFonts w:eastAsiaTheme="minorEastAsia"/>
          <w:noProof/>
          <w:spacing w:val="0"/>
          <w:lang w:eastAsia="en-AU"/>
        </w:rPr>
      </w:pPr>
      <w:r>
        <w:fldChar w:fldCharType="begin"/>
      </w:r>
      <w:r>
        <w:instrText xml:space="preserve"> TOC \h \z \t "Heading 3 (#),9" \b Section_4 \* MERGEFORMAT </w:instrText>
      </w:r>
      <w:r>
        <w:fldChar w:fldCharType="separate"/>
      </w:r>
      <w:hyperlink w:anchor="_Toc498006433" w:history="1">
        <w:r w:rsidRPr="00F55A57">
          <w:rPr>
            <w:rStyle w:val="Hyperlink"/>
            <w:noProof/>
            <w:lang w:val="en-US"/>
          </w:rPr>
          <w:t>4.4.1</w:t>
        </w:r>
        <w:r>
          <w:rPr>
            <w:rFonts w:eastAsiaTheme="minorEastAsia"/>
            <w:noProof/>
            <w:spacing w:val="0"/>
            <w:lang w:eastAsia="en-AU"/>
          </w:rPr>
          <w:tab/>
        </w:r>
        <w:r w:rsidRPr="00F55A57">
          <w:rPr>
            <w:rStyle w:val="Hyperlink"/>
            <w:noProof/>
          </w:rPr>
          <w:t>Total land, buildings, infrastructure, plant and equipment</w:t>
        </w:r>
        <w:r>
          <w:rPr>
            <w:noProof/>
            <w:webHidden/>
          </w:rPr>
          <w:tab/>
        </w:r>
        <w:r>
          <w:rPr>
            <w:noProof/>
            <w:webHidden/>
          </w:rPr>
          <w:fldChar w:fldCharType="begin"/>
        </w:r>
        <w:r>
          <w:rPr>
            <w:noProof/>
            <w:webHidden/>
          </w:rPr>
          <w:instrText xml:space="preserve"> PAGEREF _Toc498006433 \h </w:instrText>
        </w:r>
        <w:r>
          <w:rPr>
            <w:noProof/>
            <w:webHidden/>
          </w:rPr>
        </w:r>
        <w:r>
          <w:rPr>
            <w:noProof/>
            <w:webHidden/>
          </w:rPr>
          <w:fldChar w:fldCharType="separate"/>
        </w:r>
        <w:r w:rsidR="00715FC3">
          <w:rPr>
            <w:noProof/>
            <w:webHidden/>
          </w:rPr>
          <w:t>58</w:t>
        </w:r>
        <w:r>
          <w:rPr>
            <w:noProof/>
            <w:webHidden/>
          </w:rPr>
          <w:fldChar w:fldCharType="end"/>
        </w:r>
      </w:hyperlink>
    </w:p>
    <w:p w:rsidR="00A46DCA" w:rsidRDefault="00715FC3">
      <w:pPr>
        <w:pStyle w:val="TOC9"/>
        <w:rPr>
          <w:rFonts w:eastAsiaTheme="minorEastAsia"/>
          <w:noProof/>
          <w:spacing w:val="0"/>
          <w:lang w:eastAsia="en-AU"/>
        </w:rPr>
      </w:pPr>
      <w:hyperlink w:anchor="_Toc498006434" w:history="1">
        <w:r w:rsidR="00A46DCA" w:rsidRPr="00F55A57">
          <w:rPr>
            <w:rStyle w:val="Hyperlink"/>
            <w:noProof/>
            <w:lang w:val="en-US"/>
          </w:rPr>
          <w:t>4.4.2</w:t>
        </w:r>
        <w:r w:rsidR="00A46DCA">
          <w:rPr>
            <w:rFonts w:eastAsiaTheme="minorEastAsia"/>
            <w:noProof/>
            <w:spacing w:val="0"/>
            <w:lang w:eastAsia="en-AU"/>
          </w:rPr>
          <w:tab/>
        </w:r>
        <w:r w:rsidR="00A46DCA" w:rsidRPr="00F55A57">
          <w:rPr>
            <w:rStyle w:val="Hyperlink"/>
            <w:noProof/>
          </w:rPr>
          <w:t>Depreciation</w:t>
        </w:r>
        <w:r w:rsidR="00A46DCA">
          <w:rPr>
            <w:noProof/>
            <w:webHidden/>
          </w:rPr>
          <w:tab/>
        </w:r>
        <w:r w:rsidR="00A46DCA">
          <w:rPr>
            <w:noProof/>
            <w:webHidden/>
          </w:rPr>
          <w:fldChar w:fldCharType="begin"/>
        </w:r>
        <w:r w:rsidR="00A46DCA">
          <w:rPr>
            <w:noProof/>
            <w:webHidden/>
          </w:rPr>
          <w:instrText xml:space="preserve"> PAGEREF _Toc498006434 \h </w:instrText>
        </w:r>
        <w:r w:rsidR="00A46DCA">
          <w:rPr>
            <w:noProof/>
            <w:webHidden/>
          </w:rPr>
        </w:r>
        <w:r w:rsidR="00A46DCA">
          <w:rPr>
            <w:noProof/>
            <w:webHidden/>
          </w:rPr>
          <w:fldChar w:fldCharType="separate"/>
        </w:r>
        <w:r>
          <w:rPr>
            <w:noProof/>
            <w:webHidden/>
          </w:rPr>
          <w:t>59</w:t>
        </w:r>
        <w:r w:rsidR="00A46DCA">
          <w:rPr>
            <w:noProof/>
            <w:webHidden/>
          </w:rPr>
          <w:fldChar w:fldCharType="end"/>
        </w:r>
      </w:hyperlink>
    </w:p>
    <w:p w:rsidR="00A46DCA" w:rsidRDefault="00715FC3">
      <w:pPr>
        <w:pStyle w:val="TOC9"/>
        <w:rPr>
          <w:rFonts w:eastAsiaTheme="minorEastAsia"/>
          <w:noProof/>
          <w:spacing w:val="0"/>
          <w:lang w:eastAsia="en-AU"/>
        </w:rPr>
      </w:pPr>
      <w:hyperlink w:anchor="_Toc498006435" w:history="1">
        <w:r w:rsidR="00A46DCA" w:rsidRPr="00F55A57">
          <w:rPr>
            <w:rStyle w:val="Hyperlink"/>
            <w:noProof/>
          </w:rPr>
          <w:t>4.4.3</w:t>
        </w:r>
        <w:r w:rsidR="00A46DCA">
          <w:rPr>
            <w:rFonts w:eastAsiaTheme="minorEastAsia"/>
            <w:noProof/>
            <w:spacing w:val="0"/>
            <w:lang w:eastAsia="en-AU"/>
          </w:rPr>
          <w:tab/>
        </w:r>
        <w:r w:rsidR="00A46DCA" w:rsidRPr="00F55A57">
          <w:rPr>
            <w:rStyle w:val="Hyperlink"/>
            <w:noProof/>
          </w:rPr>
          <w:t>Reconciliation of movements in land, buildings, infrastructure,  plant and equipment</w:t>
        </w:r>
        <w:r w:rsidR="00A46DCA">
          <w:rPr>
            <w:noProof/>
            <w:webHidden/>
          </w:rPr>
          <w:tab/>
        </w:r>
        <w:r w:rsidR="00A46DCA">
          <w:rPr>
            <w:noProof/>
            <w:webHidden/>
          </w:rPr>
          <w:fldChar w:fldCharType="begin"/>
        </w:r>
        <w:r w:rsidR="00A46DCA">
          <w:rPr>
            <w:noProof/>
            <w:webHidden/>
          </w:rPr>
          <w:instrText xml:space="preserve"> PAGEREF _Toc498006435 \h </w:instrText>
        </w:r>
        <w:r w:rsidR="00A46DCA">
          <w:rPr>
            <w:noProof/>
            <w:webHidden/>
          </w:rPr>
        </w:r>
        <w:r w:rsidR="00A46DCA">
          <w:rPr>
            <w:noProof/>
            <w:webHidden/>
          </w:rPr>
          <w:fldChar w:fldCharType="separate"/>
        </w:r>
        <w:r>
          <w:rPr>
            <w:noProof/>
            <w:webHidden/>
          </w:rPr>
          <w:t>59</w:t>
        </w:r>
        <w:r w:rsidR="00A46DCA">
          <w:rPr>
            <w:noProof/>
            <w:webHidden/>
          </w:rPr>
          <w:fldChar w:fldCharType="end"/>
        </w:r>
      </w:hyperlink>
    </w:p>
    <w:p w:rsidR="00A46DCA" w:rsidRDefault="00715FC3">
      <w:pPr>
        <w:pStyle w:val="TOC9"/>
        <w:rPr>
          <w:rFonts w:eastAsiaTheme="minorEastAsia"/>
          <w:noProof/>
          <w:spacing w:val="0"/>
          <w:lang w:eastAsia="en-AU"/>
        </w:rPr>
      </w:pPr>
      <w:hyperlink w:anchor="_Toc498006436" w:history="1">
        <w:r w:rsidR="00A46DCA" w:rsidRPr="00F55A57">
          <w:rPr>
            <w:rStyle w:val="Hyperlink"/>
            <w:noProof/>
            <w:lang w:val="en-US"/>
          </w:rPr>
          <w:t>4.4.4</w:t>
        </w:r>
        <w:r w:rsidR="00A46DCA">
          <w:rPr>
            <w:rFonts w:eastAsiaTheme="minorEastAsia"/>
            <w:noProof/>
            <w:spacing w:val="0"/>
            <w:lang w:eastAsia="en-AU"/>
          </w:rPr>
          <w:tab/>
        </w:r>
        <w:r w:rsidR="00A46DCA" w:rsidRPr="00F55A57">
          <w:rPr>
            <w:rStyle w:val="Hyperlink"/>
            <w:noProof/>
          </w:rPr>
          <w:t>Other non-financial assets</w:t>
        </w:r>
        <w:r w:rsidR="00A46DCA">
          <w:rPr>
            <w:noProof/>
            <w:webHidden/>
          </w:rPr>
          <w:tab/>
        </w:r>
        <w:r w:rsidR="00A46DCA">
          <w:rPr>
            <w:noProof/>
            <w:webHidden/>
          </w:rPr>
          <w:fldChar w:fldCharType="begin"/>
        </w:r>
        <w:r w:rsidR="00A46DCA">
          <w:rPr>
            <w:noProof/>
            <w:webHidden/>
          </w:rPr>
          <w:instrText xml:space="preserve"> PAGEREF _Toc498006436 \h </w:instrText>
        </w:r>
        <w:r w:rsidR="00A46DCA">
          <w:rPr>
            <w:noProof/>
            <w:webHidden/>
          </w:rPr>
        </w:r>
        <w:r w:rsidR="00A46DCA">
          <w:rPr>
            <w:noProof/>
            <w:webHidden/>
          </w:rPr>
          <w:fldChar w:fldCharType="separate"/>
        </w:r>
        <w:r>
          <w:rPr>
            <w:noProof/>
            <w:webHidden/>
          </w:rPr>
          <w:t>60</w:t>
        </w:r>
        <w:r w:rsidR="00A46DCA">
          <w:rPr>
            <w:noProof/>
            <w:webHidden/>
          </w:rPr>
          <w:fldChar w:fldCharType="end"/>
        </w:r>
      </w:hyperlink>
    </w:p>
    <w:p w:rsidR="00A46DCA" w:rsidRDefault="00715FC3">
      <w:pPr>
        <w:pStyle w:val="TOC9"/>
        <w:rPr>
          <w:rFonts w:eastAsiaTheme="minorEastAsia"/>
          <w:noProof/>
          <w:spacing w:val="0"/>
          <w:lang w:eastAsia="en-AU"/>
        </w:rPr>
      </w:pPr>
      <w:hyperlink w:anchor="_Toc498006437" w:history="1">
        <w:r w:rsidR="00A46DCA" w:rsidRPr="00F55A57">
          <w:rPr>
            <w:rStyle w:val="Hyperlink"/>
            <w:noProof/>
            <w:lang w:val="en-US"/>
          </w:rPr>
          <w:t>4.4.5</w:t>
        </w:r>
        <w:r w:rsidR="00A46DCA">
          <w:rPr>
            <w:rFonts w:eastAsiaTheme="minorEastAsia"/>
            <w:noProof/>
            <w:spacing w:val="0"/>
            <w:lang w:eastAsia="en-AU"/>
          </w:rPr>
          <w:tab/>
        </w:r>
        <w:r w:rsidR="00A46DCA" w:rsidRPr="00F55A57">
          <w:rPr>
            <w:rStyle w:val="Hyperlink"/>
            <w:noProof/>
          </w:rPr>
          <w:t>Total assets by government purpose classification</w:t>
        </w:r>
        <w:r w:rsidR="00A46DCA">
          <w:rPr>
            <w:noProof/>
            <w:webHidden/>
          </w:rPr>
          <w:tab/>
        </w:r>
        <w:r w:rsidR="00A46DCA">
          <w:rPr>
            <w:noProof/>
            <w:webHidden/>
          </w:rPr>
          <w:fldChar w:fldCharType="begin"/>
        </w:r>
        <w:r w:rsidR="00A46DCA">
          <w:rPr>
            <w:noProof/>
            <w:webHidden/>
          </w:rPr>
          <w:instrText xml:space="preserve"> PAGEREF _Toc498006437 \h </w:instrText>
        </w:r>
        <w:r w:rsidR="00A46DCA">
          <w:rPr>
            <w:noProof/>
            <w:webHidden/>
          </w:rPr>
        </w:r>
        <w:r w:rsidR="00A46DCA">
          <w:rPr>
            <w:noProof/>
            <w:webHidden/>
          </w:rPr>
          <w:fldChar w:fldCharType="separate"/>
        </w:r>
        <w:r>
          <w:rPr>
            <w:noProof/>
            <w:webHidden/>
          </w:rPr>
          <w:t>60</w:t>
        </w:r>
        <w:r w:rsidR="00A46DCA">
          <w:rPr>
            <w:noProof/>
            <w:webHidden/>
          </w:rPr>
          <w:fldChar w:fldCharType="end"/>
        </w:r>
      </w:hyperlink>
    </w:p>
    <w:p w:rsidR="00A46DCA" w:rsidRDefault="00A46DCA" w:rsidP="00A26D04">
      <w:r>
        <w:rPr>
          <w:b/>
          <w:bCs/>
          <w:noProof/>
          <w:lang w:val="en-US"/>
        </w:rPr>
        <w:fldChar w:fldCharType="end"/>
      </w:r>
    </w:p>
    <w:p w:rsidR="00A46DCA" w:rsidRDefault="00A46DCA" w:rsidP="00A26D04">
      <w:pPr>
        <w:sectPr w:rsidR="00A46DCA" w:rsidSect="00A26D04">
          <w:type w:val="continuous"/>
          <w:pgSz w:w="9979" w:h="14175" w:code="9"/>
          <w:pgMar w:top="851" w:right="1134" w:bottom="851" w:left="1134" w:header="624" w:footer="567" w:gutter="0"/>
          <w:cols w:num="2" w:space="567"/>
          <w:docGrid w:linePitch="360"/>
        </w:sectPr>
      </w:pPr>
    </w:p>
    <w:p w:rsidR="00A46DCA" w:rsidRPr="00AC137D" w:rsidRDefault="00A46DCA" w:rsidP="00A26D04">
      <w:pPr>
        <w:pStyle w:val="Heading3"/>
        <w:numPr>
          <w:ilvl w:val="2"/>
          <w:numId w:val="19"/>
        </w:numPr>
        <w:tabs>
          <w:tab w:val="clear" w:pos="9582"/>
          <w:tab w:val="left" w:pos="850"/>
          <w:tab w:val="right" w:pos="7711"/>
        </w:tabs>
        <w:spacing w:after="60"/>
        <w:rPr>
          <w:lang w:val="en-US"/>
        </w:rPr>
      </w:pPr>
      <w:bookmarkStart w:id="39" w:name="_Toc498006433"/>
      <w:bookmarkStart w:id="40" w:name="Section_4"/>
      <w:r>
        <w:lastRenderedPageBreak/>
        <w:t xml:space="preserve">Total land, </w:t>
      </w:r>
      <w:r w:rsidRPr="00833B8D">
        <w:t>buildings, infrastructure</w:t>
      </w:r>
      <w:r>
        <w:t>, plant and equipment</w:t>
      </w:r>
      <w:r>
        <w:tab/>
        <w:t>($ million)</w:t>
      </w:r>
      <w:bookmarkEnd w:id="39"/>
    </w:p>
    <w:tbl>
      <w:tblPr>
        <w:tblStyle w:val="DTFTable"/>
        <w:tblW w:w="7765" w:type="dxa"/>
        <w:tblInd w:w="45" w:type="dxa"/>
        <w:tblLayout w:type="fixed"/>
        <w:tblCellMar>
          <w:left w:w="45" w:type="dxa"/>
          <w:right w:w="45" w:type="dxa"/>
        </w:tblCellMar>
        <w:tblLook w:val="06A0" w:firstRow="1" w:lastRow="0" w:firstColumn="1" w:lastColumn="0" w:noHBand="1" w:noVBand="1"/>
      </w:tblPr>
      <w:tblGrid>
        <w:gridCol w:w="3515"/>
        <w:gridCol w:w="850"/>
        <w:gridCol w:w="850"/>
        <w:gridCol w:w="850"/>
        <w:gridCol w:w="850"/>
        <w:gridCol w:w="850"/>
      </w:tblGrid>
      <w:tr w:rsidR="00A26D04" w:rsidRPr="00AC137D" w:rsidTr="002677DA">
        <w:trPr>
          <w:cnfStyle w:val="100000000000" w:firstRow="1" w:lastRow="0" w:firstColumn="0" w:lastColumn="0" w:oddVBand="0" w:evenVBand="0" w:oddHBand="0" w:evenHBand="0" w:firstRowFirstColumn="0" w:firstRowLastColumn="0" w:lastRowFirstColumn="0" w:lastRowLastColumn="0"/>
          <w:trHeight w:val="70"/>
          <w:tblHeader/>
        </w:trPr>
        <w:tc>
          <w:tcPr>
            <w:cnfStyle w:val="001000000000" w:firstRow="0" w:lastRow="0" w:firstColumn="1" w:lastColumn="0" w:oddVBand="0" w:evenVBand="0" w:oddHBand="0" w:evenHBand="0" w:firstRowFirstColumn="0" w:firstRowLastColumn="0" w:lastRowFirstColumn="0" w:lastRowLastColumn="0"/>
            <w:tcW w:w="3515" w:type="dxa"/>
            <w:tcBorders>
              <w:top w:val="nil"/>
              <w:left w:val="nil"/>
              <w:right w:val="nil"/>
            </w:tcBorders>
            <w:shd w:val="solid" w:color="000000" w:fill="auto"/>
          </w:tcPr>
          <w:p w:rsidR="00A26D04" w:rsidRPr="00AC137D" w:rsidRDefault="00A26D04" w:rsidP="00A26D04">
            <w:pPr>
              <w:autoSpaceDE w:val="0"/>
              <w:autoSpaceDN w:val="0"/>
              <w:adjustRightInd w:val="0"/>
              <w:rPr>
                <w:rFonts w:eastAsiaTheme="minorEastAsia" w:cs="Calibri"/>
                <w:iCs/>
                <w:color w:val="FFFFFF"/>
                <w:lang w:eastAsia="en-AU"/>
              </w:rPr>
            </w:pPr>
            <w:r w:rsidRPr="00AC137D">
              <w:rPr>
                <w:rFonts w:eastAsiaTheme="minorEastAsia" w:cs="Calibri"/>
                <w:iCs/>
                <w:color w:val="FFFFFF"/>
                <w:lang w:eastAsia="en-AU"/>
              </w:rPr>
              <w:t xml:space="preserve">  </w:t>
            </w:r>
          </w:p>
        </w:tc>
        <w:tc>
          <w:tcPr>
            <w:tcW w:w="850" w:type="dxa"/>
            <w:tcBorders>
              <w:top w:val="nil"/>
              <w:left w:val="nil"/>
              <w:right w:val="nil"/>
            </w:tcBorders>
            <w:shd w:val="solid" w:color="000000" w:fill="auto"/>
          </w:tcPr>
          <w:p w:rsidR="00A26D04" w:rsidRPr="00AC137D" w:rsidRDefault="00A26D04" w:rsidP="00A26D0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AC137D">
              <w:rPr>
                <w:rFonts w:eastAsiaTheme="minorEastAsia" w:cs="Calibri"/>
                <w:iCs/>
                <w:color w:val="FFFFFF"/>
                <w:szCs w:val="18"/>
                <w:lang w:eastAsia="en-AU"/>
              </w:rPr>
              <w:t>2018</w:t>
            </w:r>
            <w:r>
              <w:rPr>
                <w:rFonts w:eastAsiaTheme="minorEastAsia" w:cs="Calibri"/>
                <w:iCs/>
                <w:color w:val="FFFFFF"/>
                <w:szCs w:val="18"/>
                <w:lang w:eastAsia="en-AU"/>
              </w:rPr>
              <w:br/>
            </w:r>
            <w:r w:rsidRPr="00AC137D">
              <w:rPr>
                <w:rFonts w:eastAsiaTheme="minorEastAsia" w:cs="Calibri"/>
                <w:iCs/>
                <w:color w:val="FFFFFF"/>
                <w:szCs w:val="18"/>
                <w:lang w:eastAsia="en-AU"/>
              </w:rPr>
              <w:t>budget</w:t>
            </w:r>
          </w:p>
        </w:tc>
        <w:tc>
          <w:tcPr>
            <w:tcW w:w="850" w:type="dxa"/>
            <w:tcBorders>
              <w:top w:val="nil"/>
              <w:left w:val="nil"/>
              <w:right w:val="nil"/>
            </w:tcBorders>
            <w:shd w:val="solid" w:color="000000" w:fill="auto"/>
          </w:tcPr>
          <w:p w:rsidR="00A26D04" w:rsidRPr="00AC137D" w:rsidRDefault="00A26D04" w:rsidP="00A26D0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AC137D">
              <w:rPr>
                <w:rFonts w:eastAsiaTheme="minorEastAsia" w:cs="Calibri"/>
                <w:iCs/>
                <w:color w:val="FFFFFF"/>
                <w:szCs w:val="18"/>
                <w:lang w:eastAsia="en-AU"/>
              </w:rPr>
              <w:t>2018</w:t>
            </w:r>
            <w:r>
              <w:rPr>
                <w:rFonts w:eastAsiaTheme="minorEastAsia" w:cs="Calibri"/>
                <w:iCs/>
                <w:color w:val="FFFFFF"/>
                <w:szCs w:val="18"/>
                <w:lang w:eastAsia="en-AU"/>
              </w:rPr>
              <w:br/>
            </w:r>
            <w:r w:rsidRPr="00AC137D">
              <w:rPr>
                <w:rFonts w:eastAsiaTheme="minorEastAsia" w:cs="Calibri"/>
                <w:iCs/>
                <w:color w:val="FFFFFF"/>
                <w:szCs w:val="18"/>
                <w:lang w:eastAsia="en-AU"/>
              </w:rPr>
              <w:t>revised</w:t>
            </w:r>
          </w:p>
        </w:tc>
        <w:tc>
          <w:tcPr>
            <w:tcW w:w="850" w:type="dxa"/>
            <w:tcBorders>
              <w:top w:val="nil"/>
              <w:left w:val="nil"/>
              <w:right w:val="nil"/>
            </w:tcBorders>
            <w:shd w:val="solid" w:color="000000" w:fill="auto"/>
          </w:tcPr>
          <w:p w:rsidR="00A26D04" w:rsidRPr="00AC137D" w:rsidRDefault="00A26D04" w:rsidP="00A26D0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AC137D">
              <w:rPr>
                <w:rFonts w:eastAsiaTheme="minorEastAsia" w:cs="Calibri"/>
                <w:iCs/>
                <w:color w:val="FFFFFF"/>
                <w:szCs w:val="18"/>
                <w:lang w:eastAsia="en-AU"/>
              </w:rPr>
              <w:t>2019</w:t>
            </w:r>
            <w:r>
              <w:rPr>
                <w:rFonts w:eastAsiaTheme="minorEastAsia" w:cs="Calibri"/>
                <w:iCs/>
                <w:color w:val="FFFFFF"/>
                <w:szCs w:val="18"/>
                <w:lang w:eastAsia="en-AU"/>
              </w:rPr>
              <w:br/>
            </w:r>
            <w:r w:rsidRPr="00AC137D">
              <w:rPr>
                <w:rFonts w:eastAsiaTheme="minorEastAsia" w:cs="Calibri"/>
                <w:iCs/>
                <w:color w:val="FFFFFF"/>
                <w:szCs w:val="18"/>
                <w:lang w:eastAsia="en-AU"/>
              </w:rPr>
              <w:t xml:space="preserve"> estimate</w:t>
            </w:r>
          </w:p>
        </w:tc>
        <w:tc>
          <w:tcPr>
            <w:tcW w:w="850" w:type="dxa"/>
            <w:tcBorders>
              <w:top w:val="nil"/>
              <w:left w:val="nil"/>
              <w:right w:val="nil"/>
            </w:tcBorders>
            <w:shd w:val="solid" w:color="000000" w:fill="auto"/>
          </w:tcPr>
          <w:p w:rsidR="00A26D04" w:rsidRPr="00AC137D" w:rsidRDefault="00A26D04" w:rsidP="00A26D0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AC137D">
              <w:rPr>
                <w:rFonts w:eastAsiaTheme="minorEastAsia" w:cs="Calibri"/>
                <w:iCs/>
                <w:color w:val="FFFFFF"/>
                <w:szCs w:val="18"/>
                <w:lang w:eastAsia="en-AU"/>
              </w:rPr>
              <w:t>2020</w:t>
            </w:r>
            <w:r>
              <w:rPr>
                <w:rFonts w:eastAsiaTheme="minorEastAsia" w:cs="Calibri"/>
                <w:iCs/>
                <w:color w:val="FFFFFF"/>
                <w:szCs w:val="18"/>
                <w:lang w:eastAsia="en-AU"/>
              </w:rPr>
              <w:br/>
            </w:r>
            <w:r w:rsidRPr="00AC137D">
              <w:rPr>
                <w:rFonts w:eastAsiaTheme="minorEastAsia" w:cs="Calibri"/>
                <w:iCs/>
                <w:color w:val="FFFFFF"/>
                <w:szCs w:val="18"/>
                <w:lang w:eastAsia="en-AU"/>
              </w:rPr>
              <w:t>estimate</w:t>
            </w:r>
          </w:p>
        </w:tc>
        <w:tc>
          <w:tcPr>
            <w:tcW w:w="850" w:type="dxa"/>
            <w:tcBorders>
              <w:top w:val="nil"/>
              <w:left w:val="nil"/>
              <w:right w:val="nil"/>
            </w:tcBorders>
            <w:shd w:val="solid" w:color="000000" w:fill="auto"/>
          </w:tcPr>
          <w:p w:rsidR="00A26D04" w:rsidRPr="00AC137D" w:rsidRDefault="00A26D04" w:rsidP="00A26D0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AC137D">
              <w:rPr>
                <w:rFonts w:eastAsiaTheme="minorEastAsia" w:cs="Calibri"/>
                <w:iCs/>
                <w:color w:val="FFFFFF"/>
                <w:szCs w:val="18"/>
                <w:lang w:eastAsia="en-AU"/>
              </w:rPr>
              <w:t>2021</w:t>
            </w:r>
            <w:r>
              <w:rPr>
                <w:rFonts w:eastAsiaTheme="minorEastAsia" w:cs="Calibri"/>
                <w:iCs/>
                <w:color w:val="FFFFFF"/>
                <w:szCs w:val="18"/>
                <w:lang w:eastAsia="en-AU"/>
              </w:rPr>
              <w:br/>
            </w:r>
            <w:r w:rsidRPr="00AC137D">
              <w:rPr>
                <w:rFonts w:eastAsiaTheme="minorEastAsia" w:cs="Calibri"/>
                <w:iCs/>
                <w:color w:val="FFFFFF"/>
                <w:szCs w:val="18"/>
                <w:lang w:eastAsia="en-AU"/>
              </w:rPr>
              <w:t>estimate</w:t>
            </w:r>
          </w:p>
        </w:tc>
      </w:tr>
      <w:tr w:rsidR="00A46DCA" w:rsidRPr="00AC137D" w:rsidTr="00A26D04">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A46DCA" w:rsidRPr="00AC137D" w:rsidRDefault="00A46DCA" w:rsidP="00A26D04">
            <w:pPr>
              <w:keepLines w:val="0"/>
              <w:autoSpaceDE w:val="0"/>
              <w:autoSpaceDN w:val="0"/>
              <w:adjustRightInd w:val="0"/>
              <w:rPr>
                <w:rFonts w:eastAsiaTheme="minorEastAsia" w:cs="Calibri"/>
                <w:color w:val="000000"/>
                <w:szCs w:val="18"/>
                <w:lang w:eastAsia="en-AU"/>
              </w:rPr>
            </w:pPr>
            <w:r w:rsidRPr="00AC137D">
              <w:rPr>
                <w:rFonts w:eastAsiaTheme="minorEastAsia" w:cs="Calibri"/>
                <w:color w:val="000000"/>
                <w:szCs w:val="18"/>
                <w:lang w:eastAsia="en-AU"/>
              </w:rPr>
              <w:t>Buildings</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AC137D">
              <w:rPr>
                <w:rFonts w:eastAsiaTheme="minorEastAsia" w:cs="Calibri"/>
                <w:color w:val="000000"/>
                <w:szCs w:val="18"/>
                <w:lang w:eastAsia="en-AU"/>
              </w:rPr>
              <w:t>28 642</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AC137D">
              <w:rPr>
                <w:rFonts w:eastAsiaTheme="minorEastAsia" w:cs="Calibri"/>
                <w:color w:val="000000"/>
                <w:szCs w:val="18"/>
                <w:lang w:eastAsia="en-AU"/>
              </w:rPr>
              <w:t>28 638</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AC137D">
              <w:rPr>
                <w:rFonts w:eastAsiaTheme="minorEastAsia" w:cs="Calibri"/>
                <w:color w:val="000000"/>
                <w:szCs w:val="18"/>
                <w:lang w:eastAsia="en-AU"/>
              </w:rPr>
              <w:t>29 722</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AC137D">
              <w:rPr>
                <w:rFonts w:eastAsiaTheme="minorEastAsia" w:cs="Calibri"/>
                <w:color w:val="000000"/>
                <w:szCs w:val="18"/>
                <w:lang w:eastAsia="en-AU"/>
              </w:rPr>
              <w:t>30 958</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AC137D">
              <w:rPr>
                <w:rFonts w:eastAsiaTheme="minorEastAsia" w:cs="Calibri"/>
                <w:color w:val="000000"/>
                <w:szCs w:val="18"/>
                <w:lang w:eastAsia="en-AU"/>
              </w:rPr>
              <w:t>31 414</w:t>
            </w:r>
          </w:p>
        </w:tc>
      </w:tr>
      <w:tr w:rsidR="00A46DCA" w:rsidRPr="00AC137D" w:rsidTr="00A26D04">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A46DCA" w:rsidRPr="00AC137D" w:rsidRDefault="00A46DCA" w:rsidP="00A26D04">
            <w:pPr>
              <w:keepLines w:val="0"/>
              <w:autoSpaceDE w:val="0"/>
              <w:autoSpaceDN w:val="0"/>
              <w:adjustRightInd w:val="0"/>
              <w:rPr>
                <w:rFonts w:eastAsiaTheme="minorEastAsia" w:cs="Calibri"/>
                <w:color w:val="000000"/>
                <w:szCs w:val="18"/>
                <w:lang w:eastAsia="en-AU"/>
              </w:rPr>
            </w:pPr>
            <w:r w:rsidRPr="00AC137D">
              <w:rPr>
                <w:rFonts w:eastAsiaTheme="minorEastAsia" w:cs="Calibri"/>
                <w:color w:val="000000"/>
                <w:szCs w:val="18"/>
                <w:lang w:eastAsia="en-AU"/>
              </w:rPr>
              <w:t>Buildings leasehold</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AC137D">
              <w:rPr>
                <w:rFonts w:eastAsiaTheme="minorEastAsia" w:cs="Calibri"/>
                <w:color w:val="000000"/>
                <w:szCs w:val="18"/>
                <w:lang w:eastAsia="en-AU"/>
              </w:rPr>
              <w:t>5 557</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AC137D">
              <w:rPr>
                <w:rFonts w:eastAsiaTheme="minorEastAsia" w:cs="Calibri"/>
                <w:color w:val="000000"/>
                <w:szCs w:val="18"/>
                <w:lang w:eastAsia="en-AU"/>
              </w:rPr>
              <w:t>5 562</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AC137D">
              <w:rPr>
                <w:rFonts w:eastAsiaTheme="minorEastAsia" w:cs="Calibri"/>
                <w:color w:val="000000"/>
                <w:szCs w:val="18"/>
                <w:lang w:eastAsia="en-AU"/>
              </w:rPr>
              <w:t>5 383</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AC137D">
              <w:rPr>
                <w:rFonts w:eastAsiaTheme="minorEastAsia" w:cs="Calibri"/>
                <w:color w:val="000000"/>
                <w:szCs w:val="18"/>
                <w:lang w:eastAsia="en-AU"/>
              </w:rPr>
              <w:t>5 210</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AC137D">
              <w:rPr>
                <w:rFonts w:eastAsiaTheme="minorEastAsia" w:cs="Calibri"/>
                <w:color w:val="000000"/>
                <w:szCs w:val="18"/>
                <w:lang w:eastAsia="en-AU"/>
              </w:rPr>
              <w:t>5 040</w:t>
            </w:r>
          </w:p>
        </w:tc>
      </w:tr>
      <w:tr w:rsidR="00A46DCA" w:rsidRPr="00AC137D" w:rsidTr="00A26D04">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A46DCA" w:rsidRPr="00AC137D" w:rsidRDefault="00A46DCA" w:rsidP="00A26D04">
            <w:pPr>
              <w:keepLines w:val="0"/>
              <w:autoSpaceDE w:val="0"/>
              <w:autoSpaceDN w:val="0"/>
              <w:adjustRightInd w:val="0"/>
              <w:rPr>
                <w:rFonts w:eastAsiaTheme="minorEastAsia" w:cs="Calibri"/>
                <w:color w:val="000000"/>
                <w:szCs w:val="18"/>
                <w:lang w:eastAsia="en-AU"/>
              </w:rPr>
            </w:pPr>
            <w:r w:rsidRPr="00AC137D">
              <w:rPr>
                <w:rFonts w:eastAsiaTheme="minorEastAsia" w:cs="Calibri"/>
                <w:color w:val="000000"/>
                <w:szCs w:val="18"/>
                <w:lang w:eastAsia="en-AU"/>
              </w:rPr>
              <w:t>Land and national parks</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AC137D">
              <w:rPr>
                <w:rFonts w:eastAsiaTheme="minorEastAsia" w:cs="Calibri"/>
                <w:color w:val="000000"/>
                <w:szCs w:val="18"/>
                <w:lang w:eastAsia="en-AU"/>
              </w:rPr>
              <w:t>50 528</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AC137D">
              <w:rPr>
                <w:rFonts w:eastAsiaTheme="minorEastAsia" w:cs="Calibri"/>
                <w:color w:val="000000"/>
                <w:szCs w:val="18"/>
                <w:lang w:eastAsia="en-AU"/>
              </w:rPr>
              <w:t>50 541</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AC137D">
              <w:rPr>
                <w:rFonts w:eastAsiaTheme="minorEastAsia" w:cs="Calibri"/>
                <w:color w:val="000000"/>
                <w:szCs w:val="18"/>
                <w:lang w:eastAsia="en-AU"/>
              </w:rPr>
              <w:t>50 379</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AC137D">
              <w:rPr>
                <w:rFonts w:eastAsiaTheme="minorEastAsia" w:cs="Calibri"/>
                <w:color w:val="000000"/>
                <w:szCs w:val="18"/>
                <w:lang w:eastAsia="en-AU"/>
              </w:rPr>
              <w:t>53 878</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AC137D">
              <w:rPr>
                <w:rFonts w:eastAsiaTheme="minorEastAsia" w:cs="Calibri"/>
                <w:color w:val="000000"/>
                <w:szCs w:val="18"/>
                <w:lang w:eastAsia="en-AU"/>
              </w:rPr>
              <w:t>54 234</w:t>
            </w:r>
          </w:p>
        </w:tc>
      </w:tr>
      <w:tr w:rsidR="00A46DCA" w:rsidRPr="00AC137D" w:rsidTr="00A26D04">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A46DCA" w:rsidRPr="00AC137D" w:rsidRDefault="00A46DCA" w:rsidP="00A26D04">
            <w:pPr>
              <w:keepLines w:val="0"/>
              <w:autoSpaceDE w:val="0"/>
              <w:autoSpaceDN w:val="0"/>
              <w:adjustRightInd w:val="0"/>
              <w:rPr>
                <w:rFonts w:eastAsiaTheme="minorEastAsia" w:cs="Calibri"/>
                <w:color w:val="000000"/>
                <w:szCs w:val="18"/>
                <w:lang w:eastAsia="en-AU"/>
              </w:rPr>
            </w:pPr>
            <w:r w:rsidRPr="00AC137D">
              <w:rPr>
                <w:rFonts w:eastAsiaTheme="minorEastAsia" w:cs="Calibri"/>
                <w:color w:val="000000"/>
                <w:szCs w:val="18"/>
                <w:lang w:eastAsia="en-AU"/>
              </w:rPr>
              <w:t>Infrastructure systems</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AC137D">
              <w:rPr>
                <w:rFonts w:eastAsiaTheme="minorEastAsia" w:cs="Calibri"/>
                <w:color w:val="000000"/>
                <w:szCs w:val="18"/>
                <w:lang w:eastAsia="en-AU"/>
              </w:rPr>
              <w:t>1 335</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AC137D">
              <w:rPr>
                <w:rFonts w:eastAsiaTheme="minorEastAsia" w:cs="Calibri"/>
                <w:color w:val="000000"/>
                <w:szCs w:val="18"/>
                <w:lang w:eastAsia="en-AU"/>
              </w:rPr>
              <w:t>1 339</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AC137D">
              <w:rPr>
                <w:rFonts w:eastAsiaTheme="minorEastAsia" w:cs="Calibri"/>
                <w:color w:val="000000"/>
                <w:szCs w:val="18"/>
                <w:lang w:eastAsia="en-AU"/>
              </w:rPr>
              <w:t>1 330</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AC137D">
              <w:rPr>
                <w:rFonts w:eastAsiaTheme="minorEastAsia" w:cs="Calibri"/>
                <w:color w:val="000000"/>
                <w:szCs w:val="18"/>
                <w:lang w:eastAsia="en-AU"/>
              </w:rPr>
              <w:t>1 319</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AC137D">
              <w:rPr>
                <w:rFonts w:eastAsiaTheme="minorEastAsia" w:cs="Calibri"/>
                <w:color w:val="000000"/>
                <w:szCs w:val="18"/>
                <w:lang w:eastAsia="en-AU"/>
              </w:rPr>
              <w:t>1 297</w:t>
            </w:r>
          </w:p>
        </w:tc>
      </w:tr>
      <w:tr w:rsidR="00A46DCA" w:rsidRPr="00AC137D" w:rsidTr="00A26D04">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A46DCA" w:rsidRPr="00AC137D" w:rsidRDefault="00A46DCA" w:rsidP="00A26D04">
            <w:pPr>
              <w:keepLines w:val="0"/>
              <w:autoSpaceDE w:val="0"/>
              <w:autoSpaceDN w:val="0"/>
              <w:adjustRightInd w:val="0"/>
              <w:rPr>
                <w:rFonts w:eastAsiaTheme="minorEastAsia" w:cs="Calibri"/>
                <w:color w:val="000000"/>
                <w:szCs w:val="18"/>
                <w:lang w:eastAsia="en-AU"/>
              </w:rPr>
            </w:pPr>
            <w:r w:rsidRPr="00AC137D">
              <w:rPr>
                <w:rFonts w:eastAsiaTheme="minorEastAsia" w:cs="Calibri"/>
                <w:color w:val="000000"/>
                <w:szCs w:val="18"/>
                <w:lang w:eastAsia="en-AU"/>
              </w:rPr>
              <w:t>Plant, equipment and vehicles</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AC137D">
              <w:rPr>
                <w:rFonts w:eastAsiaTheme="minorEastAsia" w:cs="Calibri"/>
                <w:color w:val="000000"/>
                <w:szCs w:val="18"/>
                <w:lang w:eastAsia="en-AU"/>
              </w:rPr>
              <w:t>2 343</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AC137D">
              <w:rPr>
                <w:rFonts w:eastAsiaTheme="minorEastAsia" w:cs="Calibri"/>
                <w:color w:val="000000"/>
                <w:szCs w:val="18"/>
                <w:lang w:eastAsia="en-AU"/>
              </w:rPr>
              <w:t>2 466</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AC137D">
              <w:rPr>
                <w:rFonts w:eastAsiaTheme="minorEastAsia" w:cs="Calibri"/>
                <w:color w:val="000000"/>
                <w:szCs w:val="18"/>
                <w:lang w:eastAsia="en-AU"/>
              </w:rPr>
              <w:t>2 323</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AC137D">
              <w:rPr>
                <w:rFonts w:eastAsiaTheme="minorEastAsia" w:cs="Calibri"/>
                <w:color w:val="000000"/>
                <w:szCs w:val="18"/>
                <w:lang w:eastAsia="en-AU"/>
              </w:rPr>
              <w:t>2 050</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AC137D">
              <w:rPr>
                <w:rFonts w:eastAsiaTheme="minorEastAsia" w:cs="Calibri"/>
                <w:color w:val="000000"/>
                <w:szCs w:val="18"/>
                <w:lang w:eastAsia="en-AU"/>
              </w:rPr>
              <w:t>1 728</w:t>
            </w:r>
          </w:p>
        </w:tc>
      </w:tr>
      <w:tr w:rsidR="00A46DCA" w:rsidRPr="00AC137D" w:rsidTr="00A26D04">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A46DCA" w:rsidRPr="00AC137D" w:rsidRDefault="00A46DCA" w:rsidP="00A26D04">
            <w:pPr>
              <w:keepLines w:val="0"/>
              <w:autoSpaceDE w:val="0"/>
              <w:autoSpaceDN w:val="0"/>
              <w:adjustRightInd w:val="0"/>
              <w:rPr>
                <w:rFonts w:eastAsiaTheme="minorEastAsia" w:cs="Calibri"/>
                <w:color w:val="000000"/>
                <w:szCs w:val="18"/>
                <w:lang w:eastAsia="en-AU"/>
              </w:rPr>
            </w:pPr>
            <w:r w:rsidRPr="00AC137D">
              <w:rPr>
                <w:rFonts w:eastAsiaTheme="minorEastAsia" w:cs="Calibri"/>
                <w:color w:val="000000"/>
                <w:szCs w:val="18"/>
                <w:lang w:eastAsia="en-AU"/>
              </w:rPr>
              <w:t>Leased plant, equipment and vehicles</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168</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168</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153</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137</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121</w:t>
            </w:r>
          </w:p>
        </w:tc>
      </w:tr>
      <w:tr w:rsidR="00A46DCA" w:rsidRPr="00AC137D" w:rsidTr="00A26D04">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A46DCA" w:rsidRPr="00AC137D" w:rsidRDefault="00A46DCA" w:rsidP="00A26D04">
            <w:pPr>
              <w:keepLines w:val="0"/>
              <w:autoSpaceDE w:val="0"/>
              <w:autoSpaceDN w:val="0"/>
              <w:adjustRightInd w:val="0"/>
              <w:rPr>
                <w:rFonts w:eastAsiaTheme="minorEastAsia" w:cs="Calibri"/>
                <w:color w:val="000000"/>
                <w:szCs w:val="18"/>
                <w:lang w:eastAsia="en-AU"/>
              </w:rPr>
            </w:pPr>
            <w:r w:rsidRPr="00AC137D">
              <w:rPr>
                <w:rFonts w:eastAsiaTheme="minorEastAsia" w:cs="Calibri"/>
                <w:color w:val="000000"/>
                <w:szCs w:val="18"/>
                <w:lang w:eastAsia="en-AU"/>
              </w:rPr>
              <w:t>Roads and road infrastructure</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AC137D">
              <w:rPr>
                <w:rFonts w:eastAsiaTheme="minorEastAsia" w:cs="Calibri"/>
                <w:color w:val="000000"/>
                <w:szCs w:val="18"/>
                <w:lang w:eastAsia="en-AU"/>
              </w:rPr>
              <w:t>23 408</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AC137D">
              <w:rPr>
                <w:rFonts w:eastAsiaTheme="minorEastAsia" w:cs="Calibri"/>
                <w:color w:val="000000"/>
                <w:szCs w:val="18"/>
                <w:lang w:eastAsia="en-AU"/>
              </w:rPr>
              <w:t>23 351</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AC137D">
              <w:rPr>
                <w:rFonts w:eastAsiaTheme="minorEastAsia" w:cs="Calibri"/>
                <w:color w:val="000000"/>
                <w:szCs w:val="18"/>
                <w:lang w:eastAsia="en-AU"/>
              </w:rPr>
              <w:t>24 410</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AC137D">
              <w:rPr>
                <w:rFonts w:eastAsiaTheme="minorEastAsia" w:cs="Calibri"/>
                <w:color w:val="000000"/>
                <w:szCs w:val="18"/>
                <w:lang w:eastAsia="en-AU"/>
              </w:rPr>
              <w:t>26 679</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AC137D">
              <w:rPr>
                <w:rFonts w:eastAsiaTheme="minorEastAsia" w:cs="Calibri"/>
                <w:color w:val="000000"/>
                <w:szCs w:val="18"/>
                <w:lang w:eastAsia="en-AU"/>
              </w:rPr>
              <w:t>27 950</w:t>
            </w:r>
          </w:p>
        </w:tc>
      </w:tr>
      <w:tr w:rsidR="00A46DCA" w:rsidRPr="00AC137D" w:rsidTr="00A26D04">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A46DCA" w:rsidRPr="00AC137D" w:rsidRDefault="00A46DCA" w:rsidP="00A26D04">
            <w:pPr>
              <w:keepLines w:val="0"/>
              <w:autoSpaceDE w:val="0"/>
              <w:autoSpaceDN w:val="0"/>
              <w:adjustRightInd w:val="0"/>
              <w:rPr>
                <w:rFonts w:eastAsiaTheme="minorEastAsia" w:cs="Calibri"/>
                <w:color w:val="000000"/>
                <w:szCs w:val="18"/>
                <w:lang w:eastAsia="en-AU"/>
              </w:rPr>
            </w:pPr>
            <w:r w:rsidRPr="00AC137D">
              <w:rPr>
                <w:rFonts w:eastAsiaTheme="minorEastAsia" w:cs="Calibri"/>
                <w:color w:val="000000"/>
                <w:szCs w:val="18"/>
                <w:lang w:eastAsia="en-AU"/>
              </w:rPr>
              <w:t>Leased roads and road infrastructure</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628</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628</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618</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663</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651</w:t>
            </w:r>
          </w:p>
        </w:tc>
      </w:tr>
      <w:tr w:rsidR="00A46DCA" w:rsidRPr="00AC137D" w:rsidTr="00A26D04">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A46DCA" w:rsidRPr="00AC137D" w:rsidRDefault="00A46DCA" w:rsidP="00A26D04">
            <w:pPr>
              <w:keepLines w:val="0"/>
              <w:autoSpaceDE w:val="0"/>
              <w:autoSpaceDN w:val="0"/>
              <w:adjustRightInd w:val="0"/>
              <w:rPr>
                <w:rFonts w:eastAsiaTheme="minorEastAsia" w:cs="Calibri"/>
                <w:color w:val="000000"/>
                <w:szCs w:val="18"/>
                <w:lang w:eastAsia="en-AU"/>
              </w:rPr>
            </w:pPr>
            <w:r w:rsidRPr="00AC137D">
              <w:rPr>
                <w:rFonts w:eastAsiaTheme="minorEastAsia" w:cs="Calibri"/>
                <w:color w:val="000000"/>
                <w:szCs w:val="18"/>
                <w:lang w:eastAsia="en-AU"/>
              </w:rPr>
              <w:t>Earthworks</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AC137D">
              <w:rPr>
                <w:rFonts w:eastAsiaTheme="minorEastAsia" w:cs="Calibri"/>
                <w:color w:val="000000"/>
                <w:szCs w:val="18"/>
                <w:lang w:eastAsia="en-AU"/>
              </w:rPr>
              <w:t>9 229</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AC137D">
              <w:rPr>
                <w:rFonts w:eastAsiaTheme="minorEastAsia" w:cs="Calibri"/>
                <w:color w:val="000000"/>
                <w:szCs w:val="18"/>
                <w:lang w:eastAsia="en-AU"/>
              </w:rPr>
              <w:t>9 229</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AC137D">
              <w:rPr>
                <w:rFonts w:eastAsiaTheme="minorEastAsia" w:cs="Calibri"/>
                <w:color w:val="000000"/>
                <w:szCs w:val="18"/>
                <w:lang w:eastAsia="en-AU"/>
              </w:rPr>
              <w:t>9 480</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AC137D">
              <w:rPr>
                <w:rFonts w:eastAsiaTheme="minorEastAsia" w:cs="Calibri"/>
                <w:color w:val="000000"/>
                <w:szCs w:val="18"/>
                <w:lang w:eastAsia="en-AU"/>
              </w:rPr>
              <w:t>10 568</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AC137D">
              <w:rPr>
                <w:rFonts w:eastAsiaTheme="minorEastAsia" w:cs="Calibri"/>
                <w:color w:val="000000"/>
                <w:szCs w:val="18"/>
                <w:lang w:eastAsia="en-AU"/>
              </w:rPr>
              <w:t>10 715</w:t>
            </w:r>
          </w:p>
        </w:tc>
      </w:tr>
      <w:tr w:rsidR="00A46DCA" w:rsidRPr="00AC137D" w:rsidTr="00A26D04">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A46DCA" w:rsidRPr="00AC137D" w:rsidRDefault="00A46DCA" w:rsidP="00A26D04">
            <w:pPr>
              <w:keepLines w:val="0"/>
              <w:autoSpaceDE w:val="0"/>
              <w:autoSpaceDN w:val="0"/>
              <w:adjustRightInd w:val="0"/>
              <w:rPr>
                <w:rFonts w:eastAsiaTheme="minorEastAsia" w:cs="Calibri"/>
                <w:color w:val="000000"/>
                <w:szCs w:val="18"/>
                <w:lang w:eastAsia="en-AU"/>
              </w:rPr>
            </w:pPr>
            <w:r w:rsidRPr="00AC137D">
              <w:rPr>
                <w:rFonts w:eastAsiaTheme="minorEastAsia" w:cs="Calibri"/>
                <w:color w:val="000000"/>
                <w:szCs w:val="18"/>
                <w:lang w:eastAsia="en-AU"/>
              </w:rPr>
              <w:t>Cultural assets</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AC137D">
              <w:rPr>
                <w:rFonts w:eastAsiaTheme="minorEastAsia" w:cs="Calibri"/>
                <w:color w:val="000000"/>
                <w:szCs w:val="18"/>
                <w:lang w:eastAsia="en-AU"/>
              </w:rPr>
              <w:t>5 610</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AC137D">
              <w:rPr>
                <w:rFonts w:eastAsiaTheme="minorEastAsia" w:cs="Calibri"/>
                <w:color w:val="000000"/>
                <w:szCs w:val="18"/>
                <w:lang w:eastAsia="en-AU"/>
              </w:rPr>
              <w:t>5 613</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AC137D">
              <w:rPr>
                <w:rFonts w:eastAsiaTheme="minorEastAsia" w:cs="Calibri"/>
                <w:color w:val="000000"/>
                <w:szCs w:val="18"/>
                <w:lang w:eastAsia="en-AU"/>
              </w:rPr>
              <w:t>5 604</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AC137D">
              <w:rPr>
                <w:rFonts w:eastAsiaTheme="minorEastAsia" w:cs="Calibri"/>
                <w:color w:val="000000"/>
                <w:szCs w:val="18"/>
                <w:lang w:eastAsia="en-AU"/>
              </w:rPr>
              <w:t>6 367</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AC137D">
              <w:rPr>
                <w:rFonts w:eastAsiaTheme="minorEastAsia" w:cs="Calibri"/>
                <w:color w:val="000000"/>
                <w:szCs w:val="18"/>
                <w:lang w:eastAsia="en-AU"/>
              </w:rPr>
              <w:t>6 637</w:t>
            </w:r>
          </w:p>
        </w:tc>
      </w:tr>
      <w:tr w:rsidR="00A46DCA" w:rsidRPr="00AC137D" w:rsidTr="00A26D04">
        <w:tc>
          <w:tcPr>
            <w:cnfStyle w:val="001000000000" w:firstRow="0" w:lastRow="0" w:firstColumn="1" w:lastColumn="0" w:oddVBand="0" w:evenVBand="0" w:oddHBand="0" w:evenHBand="0" w:firstRowFirstColumn="0" w:firstRowLastColumn="0" w:lastRowFirstColumn="0" w:lastRowLastColumn="0"/>
            <w:tcW w:w="3515" w:type="dxa"/>
            <w:tcBorders>
              <w:top w:val="single" w:sz="6" w:space="0" w:color="000000"/>
              <w:left w:val="nil"/>
              <w:bottom w:val="single" w:sz="12" w:space="0" w:color="000000"/>
              <w:right w:val="nil"/>
            </w:tcBorders>
          </w:tcPr>
          <w:p w:rsidR="00A46DCA" w:rsidRPr="00AC137D" w:rsidRDefault="00A46DCA" w:rsidP="00A26D04">
            <w:pPr>
              <w:keepLines w:val="0"/>
              <w:autoSpaceDE w:val="0"/>
              <w:autoSpaceDN w:val="0"/>
              <w:adjustRightInd w:val="0"/>
              <w:rPr>
                <w:rFonts w:eastAsiaTheme="minorEastAsia" w:cs="Calibri"/>
                <w:b/>
                <w:bCs/>
                <w:color w:val="000000"/>
                <w:szCs w:val="18"/>
                <w:lang w:eastAsia="en-AU"/>
              </w:rPr>
            </w:pPr>
            <w:r w:rsidRPr="00AC137D">
              <w:rPr>
                <w:rFonts w:eastAsiaTheme="minorEastAsia" w:cs="Calibri"/>
                <w:b/>
                <w:bCs/>
                <w:color w:val="000000"/>
                <w:szCs w:val="18"/>
                <w:lang w:eastAsia="en-AU"/>
              </w:rPr>
              <w:t xml:space="preserve">Total land, buildings, infrastructure, plant </w:t>
            </w:r>
            <w:r w:rsidR="002677DA">
              <w:rPr>
                <w:rFonts w:eastAsiaTheme="minorEastAsia" w:cs="Calibri"/>
                <w:b/>
                <w:bCs/>
                <w:color w:val="000000"/>
                <w:szCs w:val="18"/>
                <w:lang w:eastAsia="en-AU"/>
              </w:rPr>
              <w:br/>
            </w:r>
            <w:r w:rsidRPr="00AC137D">
              <w:rPr>
                <w:rFonts w:eastAsiaTheme="minorEastAsia" w:cs="Calibri"/>
                <w:b/>
                <w:bCs/>
                <w:color w:val="000000"/>
                <w:szCs w:val="18"/>
                <w:lang w:eastAsia="en-AU"/>
              </w:rPr>
              <w:t>and equipment</w:t>
            </w:r>
          </w:p>
        </w:tc>
        <w:tc>
          <w:tcPr>
            <w:tcW w:w="850" w:type="dxa"/>
            <w:tcBorders>
              <w:top w:val="single" w:sz="6" w:space="0" w:color="000000"/>
              <w:left w:val="nil"/>
              <w:bottom w:val="single" w:sz="12" w:space="0" w:color="000000"/>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AC137D">
              <w:rPr>
                <w:rFonts w:eastAsiaTheme="minorEastAsia" w:cs="Calibri"/>
                <w:b/>
                <w:bCs/>
                <w:color w:val="000000"/>
                <w:szCs w:val="18"/>
                <w:lang w:eastAsia="en-AU"/>
              </w:rPr>
              <w:t>127 449</w:t>
            </w:r>
          </w:p>
        </w:tc>
        <w:tc>
          <w:tcPr>
            <w:tcW w:w="850" w:type="dxa"/>
            <w:tcBorders>
              <w:top w:val="single" w:sz="6" w:space="0" w:color="000000"/>
              <w:left w:val="nil"/>
              <w:bottom w:val="single" w:sz="12" w:space="0" w:color="000000"/>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AC137D">
              <w:rPr>
                <w:rFonts w:eastAsiaTheme="minorEastAsia" w:cs="Calibri"/>
                <w:b/>
                <w:bCs/>
                <w:color w:val="000000"/>
                <w:szCs w:val="18"/>
                <w:lang w:eastAsia="en-AU"/>
              </w:rPr>
              <w:t>127 535</w:t>
            </w:r>
          </w:p>
        </w:tc>
        <w:tc>
          <w:tcPr>
            <w:tcW w:w="850" w:type="dxa"/>
            <w:tcBorders>
              <w:top w:val="single" w:sz="6" w:space="0" w:color="000000"/>
              <w:left w:val="nil"/>
              <w:bottom w:val="single" w:sz="12" w:space="0" w:color="000000"/>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AC137D">
              <w:rPr>
                <w:rFonts w:eastAsiaTheme="minorEastAsia" w:cs="Calibri"/>
                <w:b/>
                <w:bCs/>
                <w:color w:val="000000"/>
                <w:szCs w:val="18"/>
                <w:lang w:eastAsia="en-AU"/>
              </w:rPr>
              <w:t>129 402</w:t>
            </w:r>
          </w:p>
        </w:tc>
        <w:tc>
          <w:tcPr>
            <w:tcW w:w="850" w:type="dxa"/>
            <w:tcBorders>
              <w:top w:val="single" w:sz="6" w:space="0" w:color="000000"/>
              <w:left w:val="nil"/>
              <w:bottom w:val="single" w:sz="12" w:space="0" w:color="000000"/>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AC137D">
              <w:rPr>
                <w:rFonts w:eastAsiaTheme="minorEastAsia" w:cs="Calibri"/>
                <w:b/>
                <w:bCs/>
                <w:color w:val="000000"/>
                <w:szCs w:val="18"/>
                <w:lang w:eastAsia="en-AU"/>
              </w:rPr>
              <w:t>137 829</w:t>
            </w:r>
          </w:p>
        </w:tc>
        <w:tc>
          <w:tcPr>
            <w:tcW w:w="850" w:type="dxa"/>
            <w:tcBorders>
              <w:top w:val="single" w:sz="6" w:space="0" w:color="000000"/>
              <w:left w:val="nil"/>
              <w:bottom w:val="single" w:sz="12" w:space="0" w:color="000000"/>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AC137D">
              <w:rPr>
                <w:rFonts w:eastAsiaTheme="minorEastAsia" w:cs="Calibri"/>
                <w:b/>
                <w:bCs/>
                <w:color w:val="000000"/>
                <w:szCs w:val="18"/>
                <w:lang w:eastAsia="en-AU"/>
              </w:rPr>
              <w:t>139 788</w:t>
            </w:r>
          </w:p>
        </w:tc>
      </w:tr>
    </w:tbl>
    <w:p w:rsidR="00A46DCA" w:rsidRDefault="00A46DCA" w:rsidP="00A26D04">
      <w:pPr>
        <w:pStyle w:val="Source"/>
      </w:pPr>
      <w:r w:rsidRPr="00D87D22">
        <w:t>Source: Department of Treasury and Finance</w:t>
      </w:r>
    </w:p>
    <w:p w:rsidR="00A46DCA" w:rsidRDefault="00A46DCA" w:rsidP="00A26D04"/>
    <w:p w:rsidR="00A46DCA" w:rsidRPr="00D72444" w:rsidRDefault="00A46DCA" w:rsidP="00A26D04">
      <w:pPr>
        <w:pStyle w:val="Heading10"/>
      </w:pPr>
      <w:r>
        <w:br w:type="page"/>
      </w:r>
    </w:p>
    <w:p w:rsidR="00A46DCA" w:rsidRPr="00AC137D" w:rsidRDefault="00A46DCA" w:rsidP="00A26D04">
      <w:pPr>
        <w:pStyle w:val="Heading3"/>
        <w:numPr>
          <w:ilvl w:val="2"/>
          <w:numId w:val="19"/>
        </w:numPr>
        <w:tabs>
          <w:tab w:val="clear" w:pos="9582"/>
          <w:tab w:val="left" w:pos="850"/>
          <w:tab w:val="right" w:pos="7711"/>
        </w:tabs>
        <w:spacing w:after="60"/>
        <w:rPr>
          <w:lang w:val="en-US"/>
        </w:rPr>
      </w:pPr>
      <w:bookmarkStart w:id="41" w:name="_Toc498006434"/>
      <w:r>
        <w:lastRenderedPageBreak/>
        <w:t>Depreciation</w:t>
      </w:r>
      <w:r>
        <w:tab/>
        <w:t>($ million)</w:t>
      </w:r>
      <w:bookmarkEnd w:id="41"/>
    </w:p>
    <w:tbl>
      <w:tblPr>
        <w:tblStyle w:val="DTFTable"/>
        <w:tblW w:w="7765" w:type="dxa"/>
        <w:tblInd w:w="45" w:type="dxa"/>
        <w:tblLayout w:type="fixed"/>
        <w:tblCellMar>
          <w:left w:w="45" w:type="dxa"/>
          <w:right w:w="45" w:type="dxa"/>
        </w:tblCellMar>
        <w:tblLook w:val="06A0" w:firstRow="1" w:lastRow="0" w:firstColumn="1" w:lastColumn="0" w:noHBand="1" w:noVBand="1"/>
      </w:tblPr>
      <w:tblGrid>
        <w:gridCol w:w="3515"/>
        <w:gridCol w:w="850"/>
        <w:gridCol w:w="850"/>
        <w:gridCol w:w="850"/>
        <w:gridCol w:w="850"/>
        <w:gridCol w:w="850"/>
      </w:tblGrid>
      <w:tr w:rsidR="00A26D04" w:rsidRPr="00AC137D" w:rsidTr="002677DA">
        <w:trPr>
          <w:cnfStyle w:val="100000000000" w:firstRow="1" w:lastRow="0" w:firstColumn="0" w:lastColumn="0" w:oddVBand="0" w:evenVBand="0" w:oddHBand="0" w:evenHBand="0" w:firstRowFirstColumn="0" w:firstRowLastColumn="0" w:lastRowFirstColumn="0" w:lastRowLastColumn="0"/>
          <w:trHeight w:val="70"/>
          <w:tblHeader/>
        </w:trPr>
        <w:tc>
          <w:tcPr>
            <w:cnfStyle w:val="001000000000" w:firstRow="0" w:lastRow="0" w:firstColumn="1" w:lastColumn="0" w:oddVBand="0" w:evenVBand="0" w:oddHBand="0" w:evenHBand="0" w:firstRowFirstColumn="0" w:firstRowLastColumn="0" w:lastRowFirstColumn="0" w:lastRowLastColumn="0"/>
            <w:tcW w:w="3515" w:type="dxa"/>
            <w:tcBorders>
              <w:top w:val="nil"/>
              <w:left w:val="nil"/>
              <w:right w:val="nil"/>
            </w:tcBorders>
            <w:shd w:val="solid" w:color="000000" w:fill="auto"/>
          </w:tcPr>
          <w:p w:rsidR="00A26D04" w:rsidRPr="00AC137D" w:rsidRDefault="00A26D04" w:rsidP="00A26D04">
            <w:pPr>
              <w:autoSpaceDE w:val="0"/>
              <w:autoSpaceDN w:val="0"/>
              <w:adjustRightInd w:val="0"/>
              <w:rPr>
                <w:rFonts w:eastAsiaTheme="minorEastAsia" w:cs="Calibri"/>
                <w:iCs/>
                <w:color w:val="FFFFFF"/>
                <w:lang w:eastAsia="en-AU"/>
              </w:rPr>
            </w:pPr>
            <w:r w:rsidRPr="00AC137D">
              <w:rPr>
                <w:rFonts w:eastAsiaTheme="minorEastAsia" w:cs="Calibri"/>
                <w:iCs/>
                <w:color w:val="FFFFFF"/>
                <w:lang w:eastAsia="en-AU"/>
              </w:rPr>
              <w:t xml:space="preserve">  </w:t>
            </w:r>
          </w:p>
        </w:tc>
        <w:tc>
          <w:tcPr>
            <w:tcW w:w="850" w:type="dxa"/>
            <w:tcBorders>
              <w:top w:val="nil"/>
              <w:left w:val="nil"/>
              <w:right w:val="nil"/>
            </w:tcBorders>
            <w:shd w:val="solid" w:color="000000" w:fill="auto"/>
          </w:tcPr>
          <w:p w:rsidR="00A26D04" w:rsidRPr="00AC137D" w:rsidRDefault="00A26D04" w:rsidP="00A26D0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AC137D">
              <w:rPr>
                <w:rFonts w:eastAsiaTheme="minorEastAsia" w:cs="Calibri"/>
                <w:iCs/>
                <w:color w:val="FFFFFF"/>
                <w:szCs w:val="16"/>
                <w:lang w:eastAsia="en-AU"/>
              </w:rPr>
              <w:t>2017-18</w:t>
            </w:r>
            <w:r>
              <w:rPr>
                <w:rFonts w:eastAsiaTheme="minorEastAsia" w:cs="Calibri"/>
                <w:iCs/>
                <w:color w:val="FFFFFF"/>
                <w:szCs w:val="16"/>
                <w:lang w:eastAsia="en-AU"/>
              </w:rPr>
              <w:br/>
            </w:r>
            <w:r w:rsidRPr="00AC137D">
              <w:rPr>
                <w:rFonts w:eastAsiaTheme="minorEastAsia" w:cs="Calibri"/>
                <w:iCs/>
                <w:color w:val="FFFFFF"/>
                <w:szCs w:val="16"/>
                <w:lang w:eastAsia="en-AU"/>
              </w:rPr>
              <w:t>budget</w:t>
            </w:r>
          </w:p>
        </w:tc>
        <w:tc>
          <w:tcPr>
            <w:tcW w:w="850" w:type="dxa"/>
            <w:tcBorders>
              <w:top w:val="nil"/>
              <w:left w:val="nil"/>
              <w:right w:val="nil"/>
            </w:tcBorders>
            <w:shd w:val="solid" w:color="000000" w:fill="auto"/>
          </w:tcPr>
          <w:p w:rsidR="00A26D04" w:rsidRPr="00AC137D" w:rsidRDefault="00A26D04" w:rsidP="00A26D0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AC137D">
              <w:rPr>
                <w:rFonts w:eastAsiaTheme="minorEastAsia" w:cs="Calibri"/>
                <w:iCs/>
                <w:color w:val="FFFFFF"/>
                <w:szCs w:val="16"/>
                <w:lang w:eastAsia="en-AU"/>
              </w:rPr>
              <w:t>2017-18</w:t>
            </w:r>
            <w:r>
              <w:rPr>
                <w:rFonts w:eastAsiaTheme="minorEastAsia" w:cs="Calibri"/>
                <w:iCs/>
                <w:color w:val="FFFFFF"/>
                <w:szCs w:val="16"/>
                <w:lang w:eastAsia="en-AU"/>
              </w:rPr>
              <w:br/>
            </w:r>
            <w:r w:rsidRPr="00AC137D">
              <w:rPr>
                <w:rFonts w:eastAsiaTheme="minorEastAsia" w:cs="Calibri"/>
                <w:iCs/>
                <w:color w:val="FFFFFF"/>
                <w:szCs w:val="16"/>
                <w:lang w:eastAsia="en-AU"/>
              </w:rPr>
              <w:t>revised</w:t>
            </w:r>
          </w:p>
        </w:tc>
        <w:tc>
          <w:tcPr>
            <w:tcW w:w="850" w:type="dxa"/>
            <w:tcBorders>
              <w:top w:val="nil"/>
              <w:left w:val="nil"/>
              <w:right w:val="nil"/>
            </w:tcBorders>
            <w:shd w:val="solid" w:color="000000" w:fill="auto"/>
          </w:tcPr>
          <w:p w:rsidR="00A26D04" w:rsidRPr="00AC137D" w:rsidRDefault="00A26D04" w:rsidP="00A26D0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AC137D">
              <w:rPr>
                <w:rFonts w:eastAsiaTheme="minorEastAsia" w:cs="Calibri"/>
                <w:iCs/>
                <w:color w:val="FFFFFF"/>
                <w:szCs w:val="16"/>
                <w:lang w:eastAsia="en-AU"/>
              </w:rPr>
              <w:t>2018-19</w:t>
            </w:r>
            <w:r>
              <w:rPr>
                <w:rFonts w:eastAsiaTheme="minorEastAsia" w:cs="Calibri"/>
                <w:iCs/>
                <w:color w:val="FFFFFF"/>
                <w:szCs w:val="16"/>
                <w:lang w:eastAsia="en-AU"/>
              </w:rPr>
              <w:br/>
            </w:r>
            <w:r w:rsidRPr="00AC137D">
              <w:rPr>
                <w:rFonts w:eastAsiaTheme="minorEastAsia" w:cs="Calibri"/>
                <w:iCs/>
                <w:color w:val="FFFFFF"/>
                <w:szCs w:val="16"/>
                <w:lang w:eastAsia="en-AU"/>
              </w:rPr>
              <w:t>estimate</w:t>
            </w:r>
          </w:p>
        </w:tc>
        <w:tc>
          <w:tcPr>
            <w:tcW w:w="850" w:type="dxa"/>
            <w:tcBorders>
              <w:top w:val="nil"/>
              <w:left w:val="nil"/>
              <w:right w:val="nil"/>
            </w:tcBorders>
            <w:shd w:val="solid" w:color="000000" w:fill="auto"/>
          </w:tcPr>
          <w:p w:rsidR="00A26D04" w:rsidRPr="00AC137D" w:rsidRDefault="00A26D04" w:rsidP="00A26D0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AC137D">
              <w:rPr>
                <w:rFonts w:eastAsiaTheme="minorEastAsia" w:cs="Calibri"/>
                <w:iCs/>
                <w:color w:val="FFFFFF"/>
                <w:szCs w:val="16"/>
                <w:lang w:eastAsia="en-AU"/>
              </w:rPr>
              <w:t>2019-20</w:t>
            </w:r>
            <w:r>
              <w:rPr>
                <w:rFonts w:eastAsiaTheme="minorEastAsia" w:cs="Calibri"/>
                <w:iCs/>
                <w:color w:val="FFFFFF"/>
                <w:szCs w:val="16"/>
                <w:lang w:eastAsia="en-AU"/>
              </w:rPr>
              <w:br/>
            </w:r>
            <w:r w:rsidRPr="00AC137D">
              <w:rPr>
                <w:rFonts w:eastAsiaTheme="minorEastAsia" w:cs="Calibri"/>
                <w:iCs/>
                <w:color w:val="FFFFFF"/>
                <w:szCs w:val="16"/>
                <w:lang w:eastAsia="en-AU"/>
              </w:rPr>
              <w:t>estimate</w:t>
            </w:r>
          </w:p>
        </w:tc>
        <w:tc>
          <w:tcPr>
            <w:tcW w:w="850" w:type="dxa"/>
            <w:tcBorders>
              <w:top w:val="nil"/>
              <w:left w:val="nil"/>
              <w:right w:val="nil"/>
            </w:tcBorders>
            <w:shd w:val="solid" w:color="000000" w:fill="auto"/>
          </w:tcPr>
          <w:p w:rsidR="00A26D04" w:rsidRPr="00AC137D" w:rsidRDefault="00A26D04" w:rsidP="00A26D0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AC137D">
              <w:rPr>
                <w:rFonts w:eastAsiaTheme="minorEastAsia" w:cs="Calibri"/>
                <w:iCs/>
                <w:color w:val="FFFFFF"/>
                <w:szCs w:val="16"/>
                <w:lang w:eastAsia="en-AU"/>
              </w:rPr>
              <w:t>2020-21</w:t>
            </w:r>
            <w:r>
              <w:rPr>
                <w:rFonts w:eastAsiaTheme="minorEastAsia" w:cs="Calibri"/>
                <w:iCs/>
                <w:color w:val="FFFFFF"/>
                <w:szCs w:val="16"/>
                <w:lang w:eastAsia="en-AU"/>
              </w:rPr>
              <w:br/>
            </w:r>
            <w:r w:rsidRPr="00AC137D">
              <w:rPr>
                <w:rFonts w:eastAsiaTheme="minorEastAsia" w:cs="Calibri"/>
                <w:iCs/>
                <w:color w:val="FFFFFF"/>
                <w:szCs w:val="16"/>
                <w:lang w:eastAsia="en-AU"/>
              </w:rPr>
              <w:t>estimate</w:t>
            </w:r>
          </w:p>
        </w:tc>
      </w:tr>
      <w:tr w:rsidR="00A46DCA" w:rsidRPr="00AC137D" w:rsidTr="00A26D04">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A46DCA" w:rsidRPr="00AC137D" w:rsidRDefault="00A46DCA" w:rsidP="00A26D04">
            <w:pPr>
              <w:keepLines w:val="0"/>
              <w:autoSpaceDE w:val="0"/>
              <w:autoSpaceDN w:val="0"/>
              <w:adjustRightInd w:val="0"/>
              <w:rPr>
                <w:rFonts w:eastAsiaTheme="minorEastAsia" w:cs="Calibri"/>
                <w:color w:val="000000"/>
                <w:szCs w:val="16"/>
                <w:vertAlign w:val="superscript"/>
                <w:lang w:eastAsia="en-AU"/>
              </w:rPr>
            </w:pPr>
            <w:r w:rsidRPr="00AC137D">
              <w:rPr>
                <w:rFonts w:eastAsiaTheme="minorEastAsia" w:cs="Calibri"/>
                <w:color w:val="000000"/>
                <w:szCs w:val="16"/>
                <w:lang w:eastAsia="en-AU"/>
              </w:rPr>
              <w:t xml:space="preserve">Buildings </w:t>
            </w:r>
            <w:r w:rsidRPr="00AC137D">
              <w:rPr>
                <w:rFonts w:eastAsiaTheme="minorEastAsia" w:cs="Calibri"/>
                <w:color w:val="000000"/>
                <w:szCs w:val="16"/>
                <w:vertAlign w:val="superscript"/>
                <w:lang w:eastAsia="en-AU"/>
              </w:rPr>
              <w:t>(a)</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AC137D">
              <w:rPr>
                <w:rFonts w:eastAsiaTheme="minorEastAsia" w:cs="Arial"/>
                <w:color w:val="000000"/>
                <w:szCs w:val="18"/>
                <w:lang w:eastAsia="en-AU"/>
              </w:rPr>
              <w:t>1 141</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AC137D">
              <w:rPr>
                <w:rFonts w:eastAsiaTheme="minorEastAsia" w:cs="Arial"/>
                <w:color w:val="000000"/>
                <w:szCs w:val="18"/>
                <w:lang w:eastAsia="en-AU"/>
              </w:rPr>
              <w:t>1 108</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AC137D">
              <w:rPr>
                <w:rFonts w:eastAsiaTheme="minorEastAsia" w:cs="Arial"/>
                <w:color w:val="000000"/>
                <w:szCs w:val="18"/>
                <w:lang w:eastAsia="en-AU"/>
              </w:rPr>
              <w:t>1 166</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AC137D">
              <w:rPr>
                <w:rFonts w:eastAsiaTheme="minorEastAsia" w:cs="Arial"/>
                <w:color w:val="000000"/>
                <w:szCs w:val="18"/>
                <w:lang w:eastAsia="en-AU"/>
              </w:rPr>
              <w:t>1 320</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AC137D">
              <w:rPr>
                <w:rFonts w:eastAsiaTheme="minorEastAsia" w:cs="Arial"/>
                <w:color w:val="000000"/>
                <w:szCs w:val="18"/>
                <w:lang w:eastAsia="en-AU"/>
              </w:rPr>
              <w:t>1 444</w:t>
            </w:r>
          </w:p>
        </w:tc>
      </w:tr>
      <w:tr w:rsidR="00A46DCA" w:rsidRPr="00AC137D" w:rsidTr="00A26D04">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A46DCA" w:rsidRPr="00AC137D" w:rsidRDefault="00A46DCA" w:rsidP="00A26D04">
            <w:pPr>
              <w:keepLines w:val="0"/>
              <w:autoSpaceDE w:val="0"/>
              <w:autoSpaceDN w:val="0"/>
              <w:adjustRightInd w:val="0"/>
              <w:rPr>
                <w:rFonts w:eastAsiaTheme="minorEastAsia" w:cs="Calibri"/>
                <w:color w:val="000000"/>
                <w:szCs w:val="16"/>
                <w:lang w:eastAsia="en-AU"/>
              </w:rPr>
            </w:pPr>
            <w:r w:rsidRPr="00AC137D">
              <w:rPr>
                <w:rFonts w:eastAsiaTheme="minorEastAsia" w:cs="Calibri"/>
                <w:color w:val="000000"/>
                <w:szCs w:val="16"/>
                <w:lang w:eastAsia="en-AU"/>
              </w:rPr>
              <w:t>Leasehold buildings</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178</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178</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194</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193</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193</w:t>
            </w:r>
          </w:p>
        </w:tc>
      </w:tr>
      <w:tr w:rsidR="00A46DCA" w:rsidRPr="00AC137D" w:rsidTr="00A26D04">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A46DCA" w:rsidRPr="00AC137D" w:rsidRDefault="00A46DCA" w:rsidP="00A26D04">
            <w:pPr>
              <w:keepLines w:val="0"/>
              <w:autoSpaceDE w:val="0"/>
              <w:autoSpaceDN w:val="0"/>
              <w:adjustRightInd w:val="0"/>
              <w:rPr>
                <w:rFonts w:eastAsiaTheme="minorEastAsia" w:cs="Calibri"/>
                <w:color w:val="000000"/>
                <w:szCs w:val="16"/>
                <w:lang w:eastAsia="en-AU"/>
              </w:rPr>
            </w:pPr>
            <w:r w:rsidRPr="00AC137D">
              <w:rPr>
                <w:rFonts w:eastAsiaTheme="minorEastAsia" w:cs="Calibri"/>
                <w:color w:val="000000"/>
                <w:szCs w:val="16"/>
                <w:lang w:eastAsia="en-AU"/>
              </w:rPr>
              <w:t>Infrastructure systems</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33</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33</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36</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37</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38</w:t>
            </w:r>
          </w:p>
        </w:tc>
      </w:tr>
      <w:tr w:rsidR="00A46DCA" w:rsidRPr="00AC137D" w:rsidTr="00A26D04">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A46DCA" w:rsidRPr="00AC137D" w:rsidRDefault="00A46DCA" w:rsidP="00A26D04">
            <w:pPr>
              <w:keepLines w:val="0"/>
              <w:autoSpaceDE w:val="0"/>
              <w:autoSpaceDN w:val="0"/>
              <w:adjustRightInd w:val="0"/>
              <w:rPr>
                <w:rFonts w:eastAsiaTheme="minorEastAsia" w:cs="Calibri"/>
                <w:color w:val="000000"/>
                <w:szCs w:val="16"/>
                <w:vertAlign w:val="superscript"/>
                <w:lang w:eastAsia="en-AU"/>
              </w:rPr>
            </w:pPr>
            <w:r w:rsidRPr="00AC137D">
              <w:rPr>
                <w:rFonts w:eastAsiaTheme="minorEastAsia" w:cs="Calibri"/>
                <w:color w:val="000000"/>
                <w:szCs w:val="16"/>
                <w:lang w:eastAsia="en-AU"/>
              </w:rPr>
              <w:t xml:space="preserve">Plant, equipment and vehicles </w:t>
            </w:r>
            <w:r w:rsidRPr="00AC137D">
              <w:rPr>
                <w:rFonts w:eastAsiaTheme="minorEastAsia" w:cs="Calibri"/>
                <w:color w:val="000000"/>
                <w:szCs w:val="16"/>
                <w:vertAlign w:val="superscript"/>
                <w:lang w:eastAsia="en-AU"/>
              </w:rPr>
              <w:t>(a)</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595</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594</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622</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623</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650</w:t>
            </w:r>
          </w:p>
        </w:tc>
      </w:tr>
      <w:tr w:rsidR="00A46DCA" w:rsidRPr="00AC137D" w:rsidTr="00A26D04">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A46DCA" w:rsidRPr="00AC137D" w:rsidRDefault="00A46DCA" w:rsidP="00A26D04">
            <w:pPr>
              <w:keepLines w:val="0"/>
              <w:autoSpaceDE w:val="0"/>
              <w:autoSpaceDN w:val="0"/>
              <w:adjustRightInd w:val="0"/>
              <w:rPr>
                <w:rFonts w:eastAsiaTheme="minorEastAsia" w:cs="Calibri"/>
                <w:color w:val="000000"/>
                <w:szCs w:val="16"/>
                <w:lang w:eastAsia="en-AU"/>
              </w:rPr>
            </w:pPr>
            <w:r w:rsidRPr="00AC137D">
              <w:rPr>
                <w:rFonts w:eastAsiaTheme="minorEastAsia" w:cs="Calibri"/>
                <w:color w:val="000000"/>
                <w:szCs w:val="16"/>
                <w:lang w:eastAsia="en-AU"/>
              </w:rPr>
              <w:t>Leased plant, equipment and vehicles</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17</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17</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16</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15</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14</w:t>
            </w:r>
          </w:p>
        </w:tc>
      </w:tr>
      <w:tr w:rsidR="00A46DCA" w:rsidRPr="00AC137D" w:rsidTr="00A26D04">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A46DCA" w:rsidRPr="00AC137D" w:rsidRDefault="00A46DCA" w:rsidP="00A26D04">
            <w:pPr>
              <w:keepLines w:val="0"/>
              <w:autoSpaceDE w:val="0"/>
              <w:autoSpaceDN w:val="0"/>
              <w:adjustRightInd w:val="0"/>
              <w:rPr>
                <w:rFonts w:eastAsiaTheme="minorEastAsia" w:cs="Calibri"/>
                <w:color w:val="000000"/>
                <w:szCs w:val="16"/>
                <w:vertAlign w:val="superscript"/>
                <w:lang w:eastAsia="en-AU"/>
              </w:rPr>
            </w:pPr>
            <w:r w:rsidRPr="00AC137D">
              <w:rPr>
                <w:rFonts w:eastAsiaTheme="minorEastAsia" w:cs="Calibri"/>
                <w:color w:val="000000"/>
                <w:szCs w:val="16"/>
                <w:lang w:eastAsia="en-AU"/>
              </w:rPr>
              <w:t xml:space="preserve">Roads and road networks </w:t>
            </w:r>
            <w:r w:rsidRPr="00AC137D">
              <w:rPr>
                <w:rFonts w:eastAsiaTheme="minorEastAsia" w:cs="Calibri"/>
                <w:color w:val="000000"/>
                <w:szCs w:val="16"/>
                <w:vertAlign w:val="superscript"/>
                <w:lang w:eastAsia="en-AU"/>
              </w:rPr>
              <w:t>(a)</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650</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626</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741</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833</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AC137D">
              <w:rPr>
                <w:rFonts w:eastAsiaTheme="minorEastAsia" w:cs="Arial"/>
                <w:color w:val="000000"/>
                <w:szCs w:val="18"/>
                <w:lang w:eastAsia="en-AU"/>
              </w:rPr>
              <w:t>1 013</w:t>
            </w:r>
          </w:p>
        </w:tc>
      </w:tr>
      <w:tr w:rsidR="00A46DCA" w:rsidRPr="00AC137D" w:rsidTr="00A26D04">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A46DCA" w:rsidRPr="00AC137D" w:rsidRDefault="00A46DCA" w:rsidP="00A26D04">
            <w:pPr>
              <w:keepLines w:val="0"/>
              <w:autoSpaceDE w:val="0"/>
              <w:autoSpaceDN w:val="0"/>
              <w:adjustRightInd w:val="0"/>
              <w:rPr>
                <w:rFonts w:eastAsiaTheme="minorEastAsia" w:cs="Calibri"/>
                <w:color w:val="000000"/>
                <w:szCs w:val="16"/>
                <w:lang w:eastAsia="en-AU"/>
              </w:rPr>
            </w:pPr>
            <w:r w:rsidRPr="00AC137D">
              <w:rPr>
                <w:rFonts w:eastAsiaTheme="minorEastAsia" w:cs="Calibri"/>
                <w:color w:val="000000"/>
                <w:szCs w:val="16"/>
                <w:lang w:eastAsia="en-AU"/>
              </w:rPr>
              <w:t>Leased roads and road infrastructure</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9</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9</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11</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11</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12</w:t>
            </w:r>
          </w:p>
        </w:tc>
      </w:tr>
      <w:tr w:rsidR="00A46DCA" w:rsidRPr="00AC137D" w:rsidTr="00A26D04">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A46DCA" w:rsidRPr="00AC137D" w:rsidRDefault="00A46DCA" w:rsidP="00A26D04">
            <w:pPr>
              <w:keepLines w:val="0"/>
              <w:autoSpaceDE w:val="0"/>
              <w:autoSpaceDN w:val="0"/>
              <w:adjustRightInd w:val="0"/>
              <w:rPr>
                <w:rFonts w:eastAsiaTheme="minorEastAsia" w:cs="Calibri"/>
                <w:color w:val="000000"/>
                <w:szCs w:val="16"/>
                <w:lang w:eastAsia="en-AU"/>
              </w:rPr>
            </w:pPr>
            <w:r w:rsidRPr="00AC137D">
              <w:rPr>
                <w:rFonts w:eastAsiaTheme="minorEastAsia" w:cs="Calibri"/>
                <w:color w:val="000000"/>
                <w:szCs w:val="16"/>
                <w:lang w:eastAsia="en-AU"/>
              </w:rPr>
              <w:t>Cultural assets</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23</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23</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27</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26</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27</w:t>
            </w:r>
          </w:p>
        </w:tc>
      </w:tr>
      <w:tr w:rsidR="00A46DCA" w:rsidRPr="00AC137D" w:rsidTr="00A26D04">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A46DCA" w:rsidRPr="00AC137D" w:rsidRDefault="00A46DCA" w:rsidP="00A26D04">
            <w:pPr>
              <w:keepLines w:val="0"/>
              <w:autoSpaceDE w:val="0"/>
              <w:autoSpaceDN w:val="0"/>
              <w:adjustRightInd w:val="0"/>
              <w:rPr>
                <w:rFonts w:eastAsiaTheme="minorEastAsia" w:cs="Calibri"/>
                <w:color w:val="000000"/>
                <w:szCs w:val="16"/>
                <w:vertAlign w:val="superscript"/>
                <w:lang w:eastAsia="en-AU"/>
              </w:rPr>
            </w:pPr>
            <w:r w:rsidRPr="00AC137D">
              <w:rPr>
                <w:rFonts w:eastAsiaTheme="minorEastAsia" w:cs="Calibri"/>
                <w:color w:val="000000"/>
                <w:szCs w:val="16"/>
                <w:lang w:eastAsia="en-AU"/>
              </w:rPr>
              <w:t xml:space="preserve">Intangible produced assets </w:t>
            </w:r>
            <w:r w:rsidRPr="00AC137D">
              <w:rPr>
                <w:rFonts w:eastAsiaTheme="minorEastAsia" w:cs="Calibri"/>
                <w:color w:val="000000"/>
                <w:szCs w:val="16"/>
                <w:vertAlign w:val="superscript"/>
                <w:lang w:eastAsia="en-AU"/>
              </w:rPr>
              <w:t>(b)</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143</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146</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147</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163</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152</w:t>
            </w:r>
          </w:p>
        </w:tc>
      </w:tr>
      <w:tr w:rsidR="00A46DCA" w:rsidRPr="00AC137D" w:rsidTr="00A26D04">
        <w:tc>
          <w:tcPr>
            <w:cnfStyle w:val="001000000000" w:firstRow="0" w:lastRow="0" w:firstColumn="1" w:lastColumn="0" w:oddVBand="0" w:evenVBand="0" w:oddHBand="0" w:evenHBand="0" w:firstRowFirstColumn="0" w:firstRowLastColumn="0" w:lastRowFirstColumn="0" w:lastRowLastColumn="0"/>
            <w:tcW w:w="3515" w:type="dxa"/>
            <w:tcBorders>
              <w:top w:val="single" w:sz="6" w:space="0" w:color="000000"/>
              <w:left w:val="nil"/>
              <w:bottom w:val="single" w:sz="12" w:space="0" w:color="000000"/>
              <w:right w:val="nil"/>
            </w:tcBorders>
          </w:tcPr>
          <w:p w:rsidR="00A46DCA" w:rsidRPr="00AC137D" w:rsidRDefault="00A46DCA" w:rsidP="00A26D04">
            <w:pPr>
              <w:keepLines w:val="0"/>
              <w:autoSpaceDE w:val="0"/>
              <w:autoSpaceDN w:val="0"/>
              <w:adjustRightInd w:val="0"/>
              <w:rPr>
                <w:rFonts w:eastAsiaTheme="minorEastAsia" w:cs="Calibri"/>
                <w:b/>
                <w:bCs/>
                <w:color w:val="000000"/>
                <w:szCs w:val="16"/>
                <w:lang w:eastAsia="en-AU"/>
              </w:rPr>
            </w:pPr>
            <w:r w:rsidRPr="00AC137D">
              <w:rPr>
                <w:rFonts w:eastAsiaTheme="minorEastAsia" w:cs="Calibri"/>
                <w:b/>
                <w:bCs/>
                <w:color w:val="000000"/>
                <w:szCs w:val="16"/>
                <w:lang w:eastAsia="en-AU"/>
              </w:rPr>
              <w:t>Total depreciation</w:t>
            </w:r>
          </w:p>
        </w:tc>
        <w:tc>
          <w:tcPr>
            <w:tcW w:w="850" w:type="dxa"/>
            <w:tcBorders>
              <w:top w:val="single" w:sz="6" w:space="0" w:color="000000"/>
              <w:left w:val="nil"/>
              <w:bottom w:val="single" w:sz="12" w:space="0" w:color="000000"/>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sidRPr="00AC137D">
              <w:rPr>
                <w:rFonts w:eastAsiaTheme="minorEastAsia" w:cs="Arial"/>
                <w:b/>
                <w:bCs/>
                <w:color w:val="000000"/>
                <w:szCs w:val="18"/>
                <w:lang w:eastAsia="en-AU"/>
              </w:rPr>
              <w:t>2 788</w:t>
            </w:r>
          </w:p>
        </w:tc>
        <w:tc>
          <w:tcPr>
            <w:tcW w:w="850" w:type="dxa"/>
            <w:tcBorders>
              <w:top w:val="single" w:sz="6" w:space="0" w:color="000000"/>
              <w:left w:val="nil"/>
              <w:bottom w:val="single" w:sz="12" w:space="0" w:color="000000"/>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sidRPr="00AC137D">
              <w:rPr>
                <w:rFonts w:eastAsiaTheme="minorEastAsia" w:cs="Arial"/>
                <w:b/>
                <w:bCs/>
                <w:color w:val="000000"/>
                <w:szCs w:val="18"/>
                <w:lang w:eastAsia="en-AU"/>
              </w:rPr>
              <w:t>2 734</w:t>
            </w:r>
          </w:p>
        </w:tc>
        <w:tc>
          <w:tcPr>
            <w:tcW w:w="850" w:type="dxa"/>
            <w:tcBorders>
              <w:top w:val="single" w:sz="6" w:space="0" w:color="000000"/>
              <w:left w:val="nil"/>
              <w:bottom w:val="single" w:sz="12" w:space="0" w:color="000000"/>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sidRPr="00AC137D">
              <w:rPr>
                <w:rFonts w:eastAsiaTheme="minorEastAsia" w:cs="Arial"/>
                <w:b/>
                <w:bCs/>
                <w:color w:val="000000"/>
                <w:szCs w:val="18"/>
                <w:lang w:eastAsia="en-AU"/>
              </w:rPr>
              <w:t>2 960</w:t>
            </w:r>
          </w:p>
        </w:tc>
        <w:tc>
          <w:tcPr>
            <w:tcW w:w="850" w:type="dxa"/>
            <w:tcBorders>
              <w:top w:val="single" w:sz="6" w:space="0" w:color="000000"/>
              <w:left w:val="nil"/>
              <w:bottom w:val="single" w:sz="12" w:space="0" w:color="000000"/>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sidRPr="00AC137D">
              <w:rPr>
                <w:rFonts w:eastAsiaTheme="minorEastAsia" w:cs="Arial"/>
                <w:b/>
                <w:bCs/>
                <w:color w:val="000000"/>
                <w:szCs w:val="18"/>
                <w:lang w:eastAsia="en-AU"/>
              </w:rPr>
              <w:t>3 222</w:t>
            </w:r>
          </w:p>
        </w:tc>
        <w:tc>
          <w:tcPr>
            <w:tcW w:w="850" w:type="dxa"/>
            <w:tcBorders>
              <w:top w:val="single" w:sz="6" w:space="0" w:color="000000"/>
              <w:left w:val="nil"/>
              <w:bottom w:val="single" w:sz="12" w:space="0" w:color="000000"/>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sidRPr="00AC137D">
              <w:rPr>
                <w:rFonts w:eastAsiaTheme="minorEastAsia" w:cs="Arial"/>
                <w:b/>
                <w:bCs/>
                <w:color w:val="000000"/>
                <w:szCs w:val="18"/>
                <w:lang w:eastAsia="en-AU"/>
              </w:rPr>
              <w:t>3 542</w:t>
            </w:r>
          </w:p>
        </w:tc>
      </w:tr>
    </w:tbl>
    <w:p w:rsidR="00A46DCA" w:rsidRDefault="00A46DCA" w:rsidP="00A26D04">
      <w:pPr>
        <w:pStyle w:val="Source"/>
      </w:pPr>
      <w:r w:rsidRPr="006F0BE1">
        <w:t>Source: Department of Treasury and Finance</w:t>
      </w:r>
    </w:p>
    <w:p w:rsidR="00A46DCA" w:rsidRDefault="00A46DCA" w:rsidP="00A26D04">
      <w:pPr>
        <w:pStyle w:val="Note"/>
      </w:pPr>
      <w:r>
        <w:t>Notes:</w:t>
      </w:r>
    </w:p>
    <w:p w:rsidR="00A46DCA" w:rsidRDefault="00A46DCA" w:rsidP="00A26D04">
      <w:pPr>
        <w:pStyle w:val="Note"/>
      </w:pPr>
      <w:r>
        <w:t>(a)</w:t>
      </w:r>
      <w:r>
        <w:tab/>
        <w:t>Includes estimated depreciation on amounts not yet allocated to projects in 2017-18 to 2020-21.</w:t>
      </w:r>
    </w:p>
    <w:p w:rsidR="00A46DCA" w:rsidRDefault="00A46DCA" w:rsidP="00A26D04">
      <w:pPr>
        <w:pStyle w:val="Note"/>
      </w:pPr>
      <w:r>
        <w:t>(b)</w:t>
      </w:r>
      <w:r>
        <w:tab/>
        <w:t>Amortisation of intangible non-produced assets is included under other gains/(losses) from other economic flows.</w:t>
      </w:r>
    </w:p>
    <w:p w:rsidR="00A46DCA" w:rsidRDefault="00A46DCA" w:rsidP="00A26D04"/>
    <w:p w:rsidR="00A46DCA" w:rsidRPr="006D538C" w:rsidRDefault="00A46DCA" w:rsidP="00A26D04"/>
    <w:p w:rsidR="00A46DCA" w:rsidRPr="00AC137D" w:rsidRDefault="00A46DCA" w:rsidP="00A26D04">
      <w:pPr>
        <w:pStyle w:val="Heading3"/>
        <w:numPr>
          <w:ilvl w:val="2"/>
          <w:numId w:val="19"/>
        </w:numPr>
        <w:tabs>
          <w:tab w:val="clear" w:pos="9582"/>
          <w:tab w:val="left" w:pos="850"/>
          <w:tab w:val="right" w:pos="7711"/>
        </w:tabs>
        <w:spacing w:after="60"/>
        <w:rPr>
          <w:lang w:val="en-US"/>
        </w:rPr>
      </w:pPr>
      <w:bookmarkStart w:id="42" w:name="_Toc498006435"/>
      <w:r>
        <w:t xml:space="preserve">Reconciliation of movements in land, buildings, infrastructure, </w:t>
      </w:r>
      <w:r>
        <w:br/>
        <w:t xml:space="preserve">plant and equipment </w:t>
      </w:r>
      <w:r w:rsidRPr="002F552E">
        <w:rPr>
          <w:vertAlign w:val="superscript"/>
        </w:rPr>
        <w:t>(a)</w:t>
      </w:r>
      <w:r>
        <w:tab/>
        <w:t>($ million)</w:t>
      </w:r>
      <w:bookmarkEnd w:id="42"/>
    </w:p>
    <w:tbl>
      <w:tblPr>
        <w:tblStyle w:val="DTFTable"/>
        <w:tblW w:w="7765" w:type="dxa"/>
        <w:tblInd w:w="45" w:type="dxa"/>
        <w:tblLayout w:type="fixed"/>
        <w:tblCellMar>
          <w:left w:w="45" w:type="dxa"/>
          <w:right w:w="45" w:type="dxa"/>
        </w:tblCellMar>
        <w:tblLook w:val="06E0" w:firstRow="1" w:lastRow="1" w:firstColumn="1" w:lastColumn="0" w:noHBand="1" w:noVBand="1"/>
      </w:tblPr>
      <w:tblGrid>
        <w:gridCol w:w="3515"/>
        <w:gridCol w:w="850"/>
        <w:gridCol w:w="850"/>
        <w:gridCol w:w="850"/>
        <w:gridCol w:w="850"/>
        <w:gridCol w:w="850"/>
      </w:tblGrid>
      <w:tr w:rsidR="00A26D04" w:rsidRPr="00AC137D" w:rsidTr="002677DA">
        <w:trPr>
          <w:cnfStyle w:val="100000000000" w:firstRow="1" w:lastRow="0" w:firstColumn="0" w:lastColumn="0" w:oddVBand="0" w:evenVBand="0" w:oddHBand="0" w:evenHBand="0" w:firstRowFirstColumn="0" w:firstRowLastColumn="0" w:lastRowFirstColumn="0" w:lastRowLastColumn="0"/>
          <w:trHeight w:val="70"/>
          <w:tblHeader/>
        </w:trPr>
        <w:tc>
          <w:tcPr>
            <w:cnfStyle w:val="001000000000" w:firstRow="0" w:lastRow="0" w:firstColumn="1" w:lastColumn="0" w:oddVBand="0" w:evenVBand="0" w:oddHBand="0" w:evenHBand="0" w:firstRowFirstColumn="0" w:firstRowLastColumn="0" w:lastRowFirstColumn="0" w:lastRowLastColumn="0"/>
            <w:tcW w:w="3515" w:type="dxa"/>
            <w:tcBorders>
              <w:top w:val="nil"/>
              <w:left w:val="nil"/>
              <w:right w:val="nil"/>
            </w:tcBorders>
            <w:shd w:val="solid" w:color="000000" w:fill="auto"/>
          </w:tcPr>
          <w:p w:rsidR="00A26D04" w:rsidRPr="00AC137D" w:rsidRDefault="00A26D04" w:rsidP="00A26D04">
            <w:pPr>
              <w:autoSpaceDE w:val="0"/>
              <w:autoSpaceDN w:val="0"/>
              <w:adjustRightInd w:val="0"/>
              <w:rPr>
                <w:rFonts w:eastAsiaTheme="minorEastAsia" w:cs="Calibri"/>
                <w:iCs/>
                <w:color w:val="FFFFFF"/>
                <w:lang w:eastAsia="en-AU"/>
              </w:rPr>
            </w:pPr>
            <w:r w:rsidRPr="00AC137D">
              <w:rPr>
                <w:rFonts w:eastAsiaTheme="minorEastAsia" w:cs="Calibri"/>
                <w:iCs/>
                <w:color w:val="FFFFFF"/>
                <w:lang w:eastAsia="en-AU"/>
              </w:rPr>
              <w:t xml:space="preserve">  </w:t>
            </w:r>
          </w:p>
        </w:tc>
        <w:tc>
          <w:tcPr>
            <w:tcW w:w="850" w:type="dxa"/>
            <w:tcBorders>
              <w:top w:val="nil"/>
              <w:left w:val="nil"/>
              <w:right w:val="nil"/>
            </w:tcBorders>
            <w:shd w:val="solid" w:color="000000" w:fill="auto"/>
          </w:tcPr>
          <w:p w:rsidR="00A26D04" w:rsidRPr="00AC137D" w:rsidRDefault="00A26D04" w:rsidP="00A26D0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AC137D">
              <w:rPr>
                <w:rFonts w:eastAsiaTheme="minorEastAsia" w:cs="Calibri"/>
                <w:iCs/>
                <w:color w:val="FFFFFF"/>
                <w:szCs w:val="16"/>
                <w:lang w:eastAsia="en-AU"/>
              </w:rPr>
              <w:t>2017-18</w:t>
            </w:r>
            <w:r>
              <w:rPr>
                <w:rFonts w:eastAsiaTheme="minorEastAsia" w:cs="Calibri"/>
                <w:iCs/>
                <w:color w:val="FFFFFF"/>
                <w:szCs w:val="16"/>
                <w:lang w:eastAsia="en-AU"/>
              </w:rPr>
              <w:br/>
            </w:r>
            <w:r w:rsidRPr="00AC137D">
              <w:rPr>
                <w:rFonts w:eastAsiaTheme="minorEastAsia" w:cs="Calibri"/>
                <w:iCs/>
                <w:color w:val="FFFFFF"/>
                <w:szCs w:val="16"/>
                <w:lang w:eastAsia="en-AU"/>
              </w:rPr>
              <w:t>budget</w:t>
            </w:r>
          </w:p>
        </w:tc>
        <w:tc>
          <w:tcPr>
            <w:tcW w:w="850" w:type="dxa"/>
            <w:tcBorders>
              <w:top w:val="nil"/>
              <w:left w:val="nil"/>
              <w:right w:val="nil"/>
            </w:tcBorders>
            <w:shd w:val="solid" w:color="000000" w:fill="auto"/>
          </w:tcPr>
          <w:p w:rsidR="00A26D04" w:rsidRPr="00AC137D" w:rsidRDefault="00A26D04" w:rsidP="00A26D0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AC137D">
              <w:rPr>
                <w:rFonts w:eastAsiaTheme="minorEastAsia" w:cs="Calibri"/>
                <w:iCs/>
                <w:color w:val="FFFFFF"/>
                <w:szCs w:val="16"/>
                <w:lang w:eastAsia="en-AU"/>
              </w:rPr>
              <w:t>2017-18</w:t>
            </w:r>
            <w:r>
              <w:rPr>
                <w:rFonts w:eastAsiaTheme="minorEastAsia" w:cs="Calibri"/>
                <w:iCs/>
                <w:color w:val="FFFFFF"/>
                <w:szCs w:val="16"/>
                <w:lang w:eastAsia="en-AU"/>
              </w:rPr>
              <w:br/>
            </w:r>
            <w:r w:rsidRPr="00AC137D">
              <w:rPr>
                <w:rFonts w:eastAsiaTheme="minorEastAsia" w:cs="Calibri"/>
                <w:iCs/>
                <w:color w:val="FFFFFF"/>
                <w:szCs w:val="16"/>
                <w:lang w:eastAsia="en-AU"/>
              </w:rPr>
              <w:t>revised</w:t>
            </w:r>
          </w:p>
        </w:tc>
        <w:tc>
          <w:tcPr>
            <w:tcW w:w="850" w:type="dxa"/>
            <w:tcBorders>
              <w:top w:val="nil"/>
              <w:left w:val="nil"/>
              <w:right w:val="nil"/>
            </w:tcBorders>
            <w:shd w:val="solid" w:color="000000" w:fill="auto"/>
          </w:tcPr>
          <w:p w:rsidR="00A26D04" w:rsidRPr="00AC137D" w:rsidRDefault="00A26D04" w:rsidP="00A26D0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AC137D">
              <w:rPr>
                <w:rFonts w:eastAsiaTheme="minorEastAsia" w:cs="Calibri"/>
                <w:iCs/>
                <w:color w:val="FFFFFF"/>
                <w:szCs w:val="16"/>
                <w:lang w:eastAsia="en-AU"/>
              </w:rPr>
              <w:t>2018-19</w:t>
            </w:r>
            <w:r>
              <w:rPr>
                <w:rFonts w:eastAsiaTheme="minorEastAsia" w:cs="Calibri"/>
                <w:iCs/>
                <w:color w:val="FFFFFF"/>
                <w:szCs w:val="16"/>
                <w:lang w:eastAsia="en-AU"/>
              </w:rPr>
              <w:br/>
            </w:r>
            <w:r w:rsidRPr="00AC137D">
              <w:rPr>
                <w:rFonts w:eastAsiaTheme="minorEastAsia" w:cs="Calibri"/>
                <w:iCs/>
                <w:color w:val="FFFFFF"/>
                <w:szCs w:val="16"/>
                <w:lang w:eastAsia="en-AU"/>
              </w:rPr>
              <w:t>estimates</w:t>
            </w:r>
          </w:p>
        </w:tc>
        <w:tc>
          <w:tcPr>
            <w:tcW w:w="850" w:type="dxa"/>
            <w:tcBorders>
              <w:top w:val="nil"/>
              <w:left w:val="nil"/>
              <w:right w:val="nil"/>
            </w:tcBorders>
            <w:shd w:val="solid" w:color="000000" w:fill="auto"/>
          </w:tcPr>
          <w:p w:rsidR="00A26D04" w:rsidRPr="00AC137D" w:rsidRDefault="00A26D04" w:rsidP="00A26D0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AC137D">
              <w:rPr>
                <w:rFonts w:eastAsiaTheme="minorEastAsia" w:cs="Calibri"/>
                <w:iCs/>
                <w:color w:val="FFFFFF"/>
                <w:szCs w:val="16"/>
                <w:lang w:eastAsia="en-AU"/>
              </w:rPr>
              <w:t>2019-20</w:t>
            </w:r>
            <w:r>
              <w:rPr>
                <w:rFonts w:eastAsiaTheme="minorEastAsia" w:cs="Calibri"/>
                <w:iCs/>
                <w:color w:val="FFFFFF"/>
                <w:szCs w:val="16"/>
                <w:lang w:eastAsia="en-AU"/>
              </w:rPr>
              <w:br/>
            </w:r>
            <w:r w:rsidRPr="00AC137D">
              <w:rPr>
                <w:rFonts w:eastAsiaTheme="minorEastAsia" w:cs="Calibri"/>
                <w:iCs/>
                <w:color w:val="FFFFFF"/>
                <w:szCs w:val="16"/>
                <w:lang w:eastAsia="en-AU"/>
              </w:rPr>
              <w:t>estimates</w:t>
            </w:r>
          </w:p>
        </w:tc>
        <w:tc>
          <w:tcPr>
            <w:tcW w:w="850" w:type="dxa"/>
            <w:tcBorders>
              <w:top w:val="nil"/>
              <w:left w:val="nil"/>
              <w:right w:val="nil"/>
            </w:tcBorders>
            <w:shd w:val="solid" w:color="000000" w:fill="auto"/>
          </w:tcPr>
          <w:p w:rsidR="00A26D04" w:rsidRPr="00AC137D" w:rsidRDefault="00A26D04" w:rsidP="00A26D0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AC137D">
              <w:rPr>
                <w:rFonts w:eastAsiaTheme="minorEastAsia" w:cs="Calibri"/>
                <w:iCs/>
                <w:color w:val="FFFFFF"/>
                <w:szCs w:val="16"/>
                <w:lang w:eastAsia="en-AU"/>
              </w:rPr>
              <w:t>2020-21</w:t>
            </w:r>
            <w:r>
              <w:rPr>
                <w:rFonts w:eastAsiaTheme="minorEastAsia" w:cs="Calibri"/>
                <w:iCs/>
                <w:color w:val="FFFFFF"/>
                <w:szCs w:val="16"/>
                <w:lang w:eastAsia="en-AU"/>
              </w:rPr>
              <w:br/>
            </w:r>
            <w:r w:rsidRPr="00AC137D">
              <w:rPr>
                <w:rFonts w:eastAsiaTheme="minorEastAsia" w:cs="Calibri"/>
                <w:iCs/>
                <w:color w:val="FFFFFF"/>
                <w:szCs w:val="16"/>
                <w:lang w:eastAsia="en-AU"/>
              </w:rPr>
              <w:t>estimates</w:t>
            </w:r>
          </w:p>
        </w:tc>
      </w:tr>
      <w:tr w:rsidR="00A46DCA" w:rsidRPr="00AC137D" w:rsidTr="00A26D04">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A46DCA" w:rsidRPr="00AC137D" w:rsidRDefault="00A46DCA" w:rsidP="00A26D04">
            <w:pPr>
              <w:keepLines w:val="0"/>
              <w:autoSpaceDE w:val="0"/>
              <w:autoSpaceDN w:val="0"/>
              <w:adjustRightInd w:val="0"/>
              <w:rPr>
                <w:rFonts w:eastAsiaTheme="minorEastAsia" w:cs="Calibri"/>
                <w:color w:val="000000"/>
                <w:szCs w:val="16"/>
                <w:lang w:eastAsia="en-AU"/>
              </w:rPr>
            </w:pPr>
            <w:r w:rsidRPr="00AC137D">
              <w:rPr>
                <w:rFonts w:eastAsiaTheme="minorEastAsia" w:cs="Calibri"/>
                <w:color w:val="000000"/>
                <w:szCs w:val="16"/>
                <w:lang w:eastAsia="en-AU"/>
              </w:rPr>
              <w:t>Carrying amount at the start of the year</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AC137D">
              <w:rPr>
                <w:rFonts w:eastAsiaTheme="minorEastAsia" w:cs="Calibri"/>
                <w:color w:val="000000"/>
                <w:szCs w:val="16"/>
                <w:lang w:eastAsia="en-AU"/>
              </w:rPr>
              <w:t>121 776</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AC137D">
              <w:rPr>
                <w:rFonts w:eastAsiaTheme="minorEastAsia" w:cs="Calibri"/>
                <w:color w:val="000000"/>
                <w:szCs w:val="16"/>
                <w:lang w:eastAsia="en-AU"/>
              </w:rPr>
              <w:t>121 776</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AC137D">
              <w:rPr>
                <w:rFonts w:eastAsiaTheme="minorEastAsia" w:cs="Calibri"/>
                <w:color w:val="000000"/>
                <w:szCs w:val="16"/>
                <w:lang w:eastAsia="en-AU"/>
              </w:rPr>
              <w:t>127 535</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AC137D">
              <w:rPr>
                <w:rFonts w:eastAsiaTheme="minorEastAsia" w:cs="Calibri"/>
                <w:color w:val="000000"/>
                <w:szCs w:val="16"/>
                <w:lang w:eastAsia="en-AU"/>
              </w:rPr>
              <w:t>129 402</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AC137D">
              <w:rPr>
                <w:rFonts w:eastAsiaTheme="minorEastAsia" w:cs="Calibri"/>
                <w:color w:val="000000"/>
                <w:szCs w:val="16"/>
                <w:lang w:eastAsia="en-AU"/>
              </w:rPr>
              <w:t>137 829</w:t>
            </w:r>
          </w:p>
        </w:tc>
      </w:tr>
      <w:tr w:rsidR="00A46DCA" w:rsidRPr="00AC137D" w:rsidTr="00A26D04">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A46DCA" w:rsidRPr="00AC137D" w:rsidRDefault="00A46DCA" w:rsidP="00A26D04">
            <w:pPr>
              <w:keepLines w:val="0"/>
              <w:autoSpaceDE w:val="0"/>
              <w:autoSpaceDN w:val="0"/>
              <w:adjustRightInd w:val="0"/>
              <w:rPr>
                <w:rFonts w:eastAsiaTheme="minorEastAsia" w:cs="Calibri"/>
                <w:color w:val="000000"/>
                <w:szCs w:val="16"/>
                <w:vertAlign w:val="superscript"/>
                <w:lang w:eastAsia="en-AU"/>
              </w:rPr>
            </w:pPr>
            <w:r w:rsidRPr="00AC137D">
              <w:rPr>
                <w:rFonts w:eastAsiaTheme="minorEastAsia" w:cs="Calibri"/>
                <w:color w:val="000000"/>
                <w:szCs w:val="16"/>
                <w:lang w:eastAsia="en-AU"/>
              </w:rPr>
              <w:t xml:space="preserve">Additions </w:t>
            </w:r>
            <w:r w:rsidRPr="00AC137D">
              <w:rPr>
                <w:rFonts w:eastAsiaTheme="minorEastAsia" w:cs="Calibri"/>
                <w:color w:val="000000"/>
                <w:szCs w:val="16"/>
                <w:vertAlign w:val="superscript"/>
                <w:lang w:eastAsia="en-AU"/>
              </w:rPr>
              <w:t>(b)</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AC137D">
              <w:rPr>
                <w:rFonts w:eastAsiaTheme="minorEastAsia" w:cs="Calibri"/>
                <w:color w:val="000000"/>
                <w:szCs w:val="16"/>
                <w:lang w:eastAsia="en-AU"/>
              </w:rPr>
              <w:t>9 314</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AC137D">
              <w:rPr>
                <w:rFonts w:eastAsiaTheme="minorEastAsia" w:cs="Calibri"/>
                <w:color w:val="000000"/>
                <w:szCs w:val="16"/>
                <w:lang w:eastAsia="en-AU"/>
              </w:rPr>
              <w:t>9 840</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AC137D">
              <w:rPr>
                <w:rFonts w:eastAsiaTheme="minorEastAsia" w:cs="Calibri"/>
                <w:color w:val="000000"/>
                <w:szCs w:val="16"/>
                <w:lang w:eastAsia="en-AU"/>
              </w:rPr>
              <w:t>9 114</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AC137D">
              <w:rPr>
                <w:rFonts w:eastAsiaTheme="minorEastAsia" w:cs="Calibri"/>
                <w:color w:val="000000"/>
                <w:szCs w:val="16"/>
                <w:lang w:eastAsia="en-AU"/>
              </w:rPr>
              <w:t>7 413</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AC137D">
              <w:rPr>
                <w:rFonts w:eastAsiaTheme="minorEastAsia" w:cs="Calibri"/>
                <w:color w:val="000000"/>
                <w:szCs w:val="16"/>
                <w:lang w:eastAsia="en-AU"/>
              </w:rPr>
              <w:t>8 248</w:t>
            </w:r>
          </w:p>
        </w:tc>
      </w:tr>
      <w:tr w:rsidR="00A46DCA" w:rsidRPr="00AC137D" w:rsidTr="00A26D04">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A46DCA" w:rsidRPr="00AC137D" w:rsidRDefault="00A46DCA" w:rsidP="00A26D04">
            <w:pPr>
              <w:keepLines w:val="0"/>
              <w:autoSpaceDE w:val="0"/>
              <w:autoSpaceDN w:val="0"/>
              <w:adjustRightInd w:val="0"/>
              <w:rPr>
                <w:rFonts w:eastAsiaTheme="minorEastAsia" w:cs="Calibri"/>
                <w:color w:val="000000"/>
                <w:szCs w:val="16"/>
                <w:lang w:eastAsia="en-AU"/>
              </w:rPr>
            </w:pPr>
            <w:r w:rsidRPr="00AC137D">
              <w:rPr>
                <w:rFonts w:eastAsiaTheme="minorEastAsia" w:cs="Calibri"/>
                <w:color w:val="000000"/>
                <w:szCs w:val="16"/>
                <w:lang w:eastAsia="en-AU"/>
              </w:rPr>
              <w:t>Disposals at written down value</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(371)</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(389)</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(527)</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(391)</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(404)</w:t>
            </w:r>
          </w:p>
        </w:tc>
      </w:tr>
      <w:tr w:rsidR="00A46DCA" w:rsidRPr="00AC137D" w:rsidTr="00A26D04">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A46DCA" w:rsidRPr="00AC137D" w:rsidRDefault="00A46DCA" w:rsidP="00A26D04">
            <w:pPr>
              <w:keepLines w:val="0"/>
              <w:autoSpaceDE w:val="0"/>
              <w:autoSpaceDN w:val="0"/>
              <w:adjustRightInd w:val="0"/>
              <w:rPr>
                <w:rFonts w:eastAsiaTheme="minorEastAsia" w:cs="Calibri"/>
                <w:color w:val="000000"/>
                <w:szCs w:val="16"/>
                <w:lang w:eastAsia="en-AU"/>
              </w:rPr>
            </w:pPr>
            <w:r w:rsidRPr="00AC137D">
              <w:rPr>
                <w:rFonts w:eastAsiaTheme="minorEastAsia" w:cs="Calibri"/>
                <w:color w:val="000000"/>
                <w:szCs w:val="16"/>
                <w:lang w:eastAsia="en-AU"/>
              </w:rPr>
              <w:t>Revaluations</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AC137D">
              <w:rPr>
                <w:rFonts w:eastAsiaTheme="minorEastAsia" w:cs="Calibri"/>
                <w:color w:val="000000"/>
                <w:szCs w:val="16"/>
                <w:lang w:eastAsia="en-AU"/>
              </w:rPr>
              <w:t>3 659</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AC137D">
              <w:rPr>
                <w:rFonts w:eastAsiaTheme="minorEastAsia" w:cs="Calibri"/>
                <w:color w:val="000000"/>
                <w:szCs w:val="16"/>
                <w:lang w:eastAsia="en-AU"/>
              </w:rPr>
              <w:t>3 661</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649</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AC137D">
              <w:rPr>
                <w:rFonts w:eastAsiaTheme="minorEastAsia" w:cs="Calibri"/>
                <w:color w:val="000000"/>
                <w:szCs w:val="16"/>
                <w:lang w:eastAsia="en-AU"/>
              </w:rPr>
              <w:t>7 844</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AC137D">
              <w:rPr>
                <w:rFonts w:eastAsiaTheme="minorEastAsia" w:cs="Calibri"/>
                <w:color w:val="000000"/>
                <w:szCs w:val="16"/>
                <w:lang w:eastAsia="en-AU"/>
              </w:rPr>
              <w:t>1 507</w:t>
            </w:r>
          </w:p>
        </w:tc>
      </w:tr>
      <w:tr w:rsidR="00A46DCA" w:rsidRPr="00AC137D" w:rsidTr="00A26D04">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A46DCA" w:rsidRPr="00AC137D" w:rsidRDefault="00A46DCA" w:rsidP="00A26D04">
            <w:pPr>
              <w:keepLines w:val="0"/>
              <w:autoSpaceDE w:val="0"/>
              <w:autoSpaceDN w:val="0"/>
              <w:adjustRightInd w:val="0"/>
              <w:rPr>
                <w:rFonts w:eastAsiaTheme="minorEastAsia" w:cs="Calibri"/>
                <w:color w:val="000000"/>
                <w:szCs w:val="16"/>
                <w:vertAlign w:val="superscript"/>
                <w:lang w:eastAsia="en-AU"/>
              </w:rPr>
            </w:pPr>
            <w:r w:rsidRPr="00AC137D">
              <w:rPr>
                <w:rFonts w:eastAsiaTheme="minorEastAsia" w:cs="Calibri"/>
                <w:color w:val="000000"/>
                <w:szCs w:val="16"/>
                <w:lang w:eastAsia="en-AU"/>
              </w:rPr>
              <w:t xml:space="preserve">Asset transfers </w:t>
            </w:r>
            <w:r w:rsidRPr="00AC137D">
              <w:rPr>
                <w:rFonts w:eastAsiaTheme="minorEastAsia" w:cs="Calibri"/>
                <w:color w:val="000000"/>
                <w:szCs w:val="16"/>
                <w:vertAlign w:val="superscript"/>
                <w:lang w:eastAsia="en-AU"/>
              </w:rPr>
              <w:t>(c)</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(4 284)</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(4 766)</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(4 556)</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(3 379)</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(4 003)</w:t>
            </w:r>
          </w:p>
        </w:tc>
      </w:tr>
      <w:tr w:rsidR="00A46DCA" w:rsidRPr="00AC137D" w:rsidTr="00A26D04">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A46DCA" w:rsidRPr="00AC137D" w:rsidRDefault="00A46DCA" w:rsidP="00A26D04">
            <w:pPr>
              <w:keepLines w:val="0"/>
              <w:autoSpaceDE w:val="0"/>
              <w:autoSpaceDN w:val="0"/>
              <w:adjustRightInd w:val="0"/>
              <w:rPr>
                <w:rFonts w:eastAsiaTheme="minorEastAsia" w:cs="Calibri"/>
                <w:color w:val="000000"/>
                <w:szCs w:val="16"/>
                <w:lang w:eastAsia="en-AU"/>
              </w:rPr>
            </w:pPr>
            <w:r w:rsidRPr="00AC137D">
              <w:rPr>
                <w:rFonts w:eastAsiaTheme="minorEastAsia" w:cs="Calibri"/>
                <w:color w:val="000000"/>
                <w:szCs w:val="16"/>
                <w:lang w:eastAsia="en-AU"/>
              </w:rPr>
              <w:t>Depreciation expense</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(2 645)</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(2 588)</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(2 813)</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(3 059)</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(3 390)</w:t>
            </w:r>
          </w:p>
        </w:tc>
      </w:tr>
      <w:tr w:rsidR="00A46DCA" w:rsidRPr="00AC137D" w:rsidTr="00A26D04">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5" w:type="dxa"/>
            <w:tcBorders>
              <w:top w:val="single" w:sz="6" w:space="0" w:color="000000"/>
              <w:bottom w:val="single" w:sz="12" w:space="0" w:color="000000"/>
            </w:tcBorders>
          </w:tcPr>
          <w:p w:rsidR="00A46DCA" w:rsidRPr="00AC137D" w:rsidRDefault="00A46DCA" w:rsidP="00A26D04">
            <w:pPr>
              <w:keepLines w:val="0"/>
              <w:autoSpaceDE w:val="0"/>
              <w:autoSpaceDN w:val="0"/>
              <w:adjustRightInd w:val="0"/>
              <w:rPr>
                <w:rFonts w:eastAsiaTheme="minorEastAsia" w:cs="Calibri"/>
                <w:bCs/>
                <w:color w:val="000000"/>
                <w:szCs w:val="16"/>
                <w:lang w:eastAsia="en-AU"/>
              </w:rPr>
            </w:pPr>
            <w:r w:rsidRPr="00AC137D">
              <w:rPr>
                <w:rFonts w:eastAsiaTheme="minorEastAsia" w:cs="Calibri"/>
                <w:bCs/>
                <w:color w:val="000000"/>
                <w:szCs w:val="16"/>
                <w:lang w:eastAsia="en-AU"/>
              </w:rPr>
              <w:t>Carrying amount at the end of the year</w:t>
            </w:r>
          </w:p>
        </w:tc>
        <w:tc>
          <w:tcPr>
            <w:tcW w:w="850" w:type="dxa"/>
            <w:tcBorders>
              <w:top w:val="single" w:sz="6" w:space="0" w:color="000000"/>
              <w:bottom w:val="single" w:sz="12" w:space="0" w:color="000000"/>
            </w:tcBorders>
          </w:tcPr>
          <w:p w:rsidR="00A46DCA" w:rsidRPr="00AC137D" w:rsidRDefault="00A46DCA" w:rsidP="00A26D0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6"/>
                <w:lang w:eastAsia="en-AU"/>
              </w:rPr>
            </w:pPr>
            <w:r w:rsidRPr="00AC137D">
              <w:rPr>
                <w:rFonts w:eastAsiaTheme="minorEastAsia" w:cs="Calibri"/>
                <w:bCs/>
                <w:color w:val="000000"/>
                <w:szCs w:val="16"/>
                <w:lang w:eastAsia="en-AU"/>
              </w:rPr>
              <w:t>127 449</w:t>
            </w:r>
          </w:p>
        </w:tc>
        <w:tc>
          <w:tcPr>
            <w:tcW w:w="850" w:type="dxa"/>
            <w:tcBorders>
              <w:top w:val="single" w:sz="6" w:space="0" w:color="000000"/>
              <w:bottom w:val="single" w:sz="12" w:space="0" w:color="000000"/>
            </w:tcBorders>
          </w:tcPr>
          <w:p w:rsidR="00A46DCA" w:rsidRPr="00AC137D" w:rsidRDefault="00A46DCA" w:rsidP="00A26D0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6"/>
                <w:lang w:eastAsia="en-AU"/>
              </w:rPr>
            </w:pPr>
            <w:r w:rsidRPr="00AC137D">
              <w:rPr>
                <w:rFonts w:eastAsiaTheme="minorEastAsia" w:cs="Calibri"/>
                <w:bCs/>
                <w:color w:val="000000"/>
                <w:szCs w:val="16"/>
                <w:lang w:eastAsia="en-AU"/>
              </w:rPr>
              <w:t>127 535</w:t>
            </w:r>
          </w:p>
        </w:tc>
        <w:tc>
          <w:tcPr>
            <w:tcW w:w="850" w:type="dxa"/>
            <w:tcBorders>
              <w:top w:val="single" w:sz="6" w:space="0" w:color="000000"/>
              <w:bottom w:val="single" w:sz="12" w:space="0" w:color="000000"/>
            </w:tcBorders>
          </w:tcPr>
          <w:p w:rsidR="00A46DCA" w:rsidRPr="00AC137D" w:rsidRDefault="00A46DCA" w:rsidP="00A26D0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6"/>
                <w:lang w:eastAsia="en-AU"/>
              </w:rPr>
            </w:pPr>
            <w:r w:rsidRPr="00AC137D">
              <w:rPr>
                <w:rFonts w:eastAsiaTheme="minorEastAsia" w:cs="Calibri"/>
                <w:bCs/>
                <w:color w:val="000000"/>
                <w:szCs w:val="16"/>
                <w:lang w:eastAsia="en-AU"/>
              </w:rPr>
              <w:t>129 402</w:t>
            </w:r>
          </w:p>
        </w:tc>
        <w:tc>
          <w:tcPr>
            <w:tcW w:w="850" w:type="dxa"/>
            <w:tcBorders>
              <w:top w:val="single" w:sz="6" w:space="0" w:color="000000"/>
              <w:bottom w:val="single" w:sz="12" w:space="0" w:color="000000"/>
            </w:tcBorders>
          </w:tcPr>
          <w:p w:rsidR="00A46DCA" w:rsidRPr="00AC137D" w:rsidRDefault="00A46DCA" w:rsidP="00A26D0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6"/>
                <w:lang w:eastAsia="en-AU"/>
              </w:rPr>
            </w:pPr>
            <w:r w:rsidRPr="00AC137D">
              <w:rPr>
                <w:rFonts w:eastAsiaTheme="minorEastAsia" w:cs="Calibri"/>
                <w:bCs/>
                <w:color w:val="000000"/>
                <w:szCs w:val="16"/>
                <w:lang w:eastAsia="en-AU"/>
              </w:rPr>
              <w:t>137 829</w:t>
            </w:r>
          </w:p>
        </w:tc>
        <w:tc>
          <w:tcPr>
            <w:tcW w:w="850" w:type="dxa"/>
            <w:tcBorders>
              <w:top w:val="single" w:sz="6" w:space="0" w:color="000000"/>
              <w:bottom w:val="single" w:sz="12" w:space="0" w:color="000000"/>
            </w:tcBorders>
          </w:tcPr>
          <w:p w:rsidR="00A46DCA" w:rsidRPr="00AC137D" w:rsidRDefault="00A46DCA" w:rsidP="00A26D0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6"/>
                <w:lang w:eastAsia="en-AU"/>
              </w:rPr>
            </w:pPr>
            <w:r w:rsidRPr="00AC137D">
              <w:rPr>
                <w:rFonts w:eastAsiaTheme="minorEastAsia" w:cs="Calibri"/>
                <w:bCs/>
                <w:color w:val="000000"/>
                <w:szCs w:val="16"/>
                <w:lang w:eastAsia="en-AU"/>
              </w:rPr>
              <w:t>139 788</w:t>
            </w:r>
          </w:p>
        </w:tc>
      </w:tr>
    </w:tbl>
    <w:p w:rsidR="00A46DCA" w:rsidRDefault="00A46DCA" w:rsidP="00A26D04">
      <w:pPr>
        <w:pStyle w:val="Source"/>
      </w:pPr>
      <w:r w:rsidRPr="00D87D22">
        <w:t>Source: Department of Treasury and Finance</w:t>
      </w:r>
    </w:p>
    <w:p w:rsidR="00A46DCA" w:rsidRDefault="00A46DCA" w:rsidP="00A26D04">
      <w:pPr>
        <w:pStyle w:val="Note"/>
      </w:pPr>
      <w:r>
        <w:t>Notes:</w:t>
      </w:r>
    </w:p>
    <w:p w:rsidR="00A46DCA" w:rsidRDefault="00A46DCA" w:rsidP="00A26D04">
      <w:pPr>
        <w:pStyle w:val="Note"/>
      </w:pPr>
      <w:r w:rsidRPr="002F552E">
        <w:t>(a</w:t>
      </w:r>
      <w:r>
        <w:t>)</w:t>
      </w:r>
      <w:r>
        <w:tab/>
        <w:t>The reconciliation of movements  comprises land and buildings, infrastructure systems, plant, equipment, vehicles, roads, roads infrastructure and cultural assets and excludes intangible assets, investment properties and other non-financial assets.</w:t>
      </w:r>
    </w:p>
    <w:p w:rsidR="00A46DCA" w:rsidRDefault="00A46DCA" w:rsidP="00A26D04">
      <w:pPr>
        <w:pStyle w:val="Note"/>
      </w:pPr>
      <w:r>
        <w:t>(b)</w:t>
      </w:r>
      <w:r>
        <w:tab/>
        <w:t>Includes assets acquired under finance lease arrangements.</w:t>
      </w:r>
    </w:p>
    <w:p w:rsidR="00A46DCA" w:rsidRDefault="00A46DCA" w:rsidP="00A26D04">
      <w:pPr>
        <w:pStyle w:val="Note"/>
      </w:pPr>
      <w:r>
        <w:t>(c)</w:t>
      </w:r>
      <w:r>
        <w:tab/>
        <w:t xml:space="preserve">Represents the transfer of assets to the public non-financial corporations sector. </w:t>
      </w:r>
    </w:p>
    <w:p w:rsidR="00A46DCA" w:rsidRPr="009E1E6A" w:rsidRDefault="00A46DCA" w:rsidP="00A26D04">
      <w:pPr>
        <w:keepLines w:val="0"/>
      </w:pPr>
      <w:r>
        <w:br w:type="page"/>
      </w:r>
    </w:p>
    <w:p w:rsidR="00A46DCA" w:rsidRPr="00AC137D" w:rsidRDefault="00A46DCA" w:rsidP="00A26D04">
      <w:pPr>
        <w:pStyle w:val="Heading3"/>
        <w:numPr>
          <w:ilvl w:val="2"/>
          <w:numId w:val="19"/>
        </w:numPr>
        <w:tabs>
          <w:tab w:val="clear" w:pos="9582"/>
          <w:tab w:val="left" w:pos="850"/>
          <w:tab w:val="right" w:pos="7711"/>
        </w:tabs>
        <w:spacing w:after="60"/>
        <w:rPr>
          <w:lang w:val="en-US"/>
        </w:rPr>
      </w:pPr>
      <w:bookmarkStart w:id="43" w:name="_Toc498006436"/>
      <w:r>
        <w:lastRenderedPageBreak/>
        <w:t>Other non-financial assets</w:t>
      </w:r>
      <w:r>
        <w:tab/>
        <w:t>($ million)</w:t>
      </w:r>
      <w:bookmarkEnd w:id="43"/>
    </w:p>
    <w:tbl>
      <w:tblPr>
        <w:tblStyle w:val="DTFTable"/>
        <w:tblW w:w="7765" w:type="dxa"/>
        <w:tblInd w:w="45" w:type="dxa"/>
        <w:tblLayout w:type="fixed"/>
        <w:tblCellMar>
          <w:left w:w="45" w:type="dxa"/>
          <w:right w:w="45" w:type="dxa"/>
        </w:tblCellMar>
        <w:tblLook w:val="06A0" w:firstRow="1" w:lastRow="0" w:firstColumn="1" w:lastColumn="0" w:noHBand="1" w:noVBand="1"/>
      </w:tblPr>
      <w:tblGrid>
        <w:gridCol w:w="3515"/>
        <w:gridCol w:w="850"/>
        <w:gridCol w:w="850"/>
        <w:gridCol w:w="850"/>
        <w:gridCol w:w="850"/>
        <w:gridCol w:w="850"/>
      </w:tblGrid>
      <w:tr w:rsidR="00A26D04" w:rsidRPr="00AC137D" w:rsidTr="002677DA">
        <w:trPr>
          <w:cnfStyle w:val="100000000000" w:firstRow="1" w:lastRow="0" w:firstColumn="0" w:lastColumn="0" w:oddVBand="0" w:evenVBand="0" w:oddHBand="0" w:evenHBand="0" w:firstRowFirstColumn="0" w:firstRowLastColumn="0" w:lastRowFirstColumn="0" w:lastRowLastColumn="0"/>
          <w:trHeight w:val="70"/>
          <w:tblHeader/>
        </w:trPr>
        <w:tc>
          <w:tcPr>
            <w:cnfStyle w:val="001000000000" w:firstRow="0" w:lastRow="0" w:firstColumn="1" w:lastColumn="0" w:oddVBand="0" w:evenVBand="0" w:oddHBand="0" w:evenHBand="0" w:firstRowFirstColumn="0" w:firstRowLastColumn="0" w:lastRowFirstColumn="0" w:lastRowLastColumn="0"/>
            <w:tcW w:w="3515" w:type="dxa"/>
            <w:tcBorders>
              <w:top w:val="nil"/>
              <w:left w:val="nil"/>
              <w:right w:val="nil"/>
            </w:tcBorders>
            <w:shd w:val="solid" w:color="000000" w:fill="auto"/>
          </w:tcPr>
          <w:p w:rsidR="00A26D04" w:rsidRPr="00AC137D" w:rsidRDefault="00A26D04" w:rsidP="00A26D04">
            <w:pPr>
              <w:autoSpaceDE w:val="0"/>
              <w:autoSpaceDN w:val="0"/>
              <w:adjustRightInd w:val="0"/>
              <w:rPr>
                <w:rFonts w:eastAsiaTheme="minorEastAsia" w:cs="Calibri"/>
                <w:iCs/>
                <w:color w:val="FFFFFF"/>
                <w:lang w:eastAsia="en-AU"/>
              </w:rPr>
            </w:pPr>
            <w:r w:rsidRPr="00AC137D">
              <w:rPr>
                <w:rFonts w:eastAsiaTheme="minorEastAsia" w:cs="Calibri"/>
                <w:iCs/>
                <w:color w:val="FFFFFF"/>
                <w:lang w:eastAsia="en-AU"/>
              </w:rPr>
              <w:t xml:space="preserve">  </w:t>
            </w:r>
          </w:p>
        </w:tc>
        <w:tc>
          <w:tcPr>
            <w:tcW w:w="850" w:type="dxa"/>
            <w:tcBorders>
              <w:top w:val="nil"/>
              <w:left w:val="nil"/>
              <w:right w:val="nil"/>
            </w:tcBorders>
            <w:shd w:val="solid" w:color="000000" w:fill="auto"/>
          </w:tcPr>
          <w:p w:rsidR="00A26D04" w:rsidRPr="00AC137D" w:rsidRDefault="00A26D04" w:rsidP="00A26D0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AC137D">
              <w:rPr>
                <w:rFonts w:eastAsiaTheme="minorEastAsia" w:cs="Calibri"/>
                <w:iCs/>
                <w:color w:val="FFFFFF"/>
                <w:szCs w:val="18"/>
                <w:lang w:eastAsia="en-AU"/>
              </w:rPr>
              <w:t>2018</w:t>
            </w:r>
            <w:r>
              <w:rPr>
                <w:rFonts w:eastAsiaTheme="minorEastAsia" w:cs="Calibri"/>
                <w:iCs/>
                <w:color w:val="FFFFFF"/>
                <w:szCs w:val="18"/>
                <w:lang w:eastAsia="en-AU"/>
              </w:rPr>
              <w:br/>
            </w:r>
            <w:r w:rsidRPr="00AC137D">
              <w:rPr>
                <w:rFonts w:eastAsiaTheme="minorEastAsia" w:cs="Calibri"/>
                <w:iCs/>
                <w:color w:val="FFFFFF"/>
                <w:szCs w:val="18"/>
                <w:lang w:eastAsia="en-AU"/>
              </w:rPr>
              <w:t>budget</w:t>
            </w:r>
          </w:p>
        </w:tc>
        <w:tc>
          <w:tcPr>
            <w:tcW w:w="850" w:type="dxa"/>
            <w:tcBorders>
              <w:top w:val="nil"/>
              <w:left w:val="nil"/>
              <w:right w:val="nil"/>
            </w:tcBorders>
            <w:shd w:val="solid" w:color="000000" w:fill="auto"/>
          </w:tcPr>
          <w:p w:rsidR="00A26D04" w:rsidRPr="00AC137D" w:rsidRDefault="00A26D04" w:rsidP="00A26D0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AC137D">
              <w:rPr>
                <w:rFonts w:eastAsiaTheme="minorEastAsia" w:cs="Calibri"/>
                <w:iCs/>
                <w:color w:val="FFFFFF"/>
                <w:szCs w:val="18"/>
                <w:lang w:eastAsia="en-AU"/>
              </w:rPr>
              <w:t>2018</w:t>
            </w:r>
            <w:r>
              <w:rPr>
                <w:rFonts w:eastAsiaTheme="minorEastAsia" w:cs="Calibri"/>
                <w:iCs/>
                <w:color w:val="FFFFFF"/>
                <w:szCs w:val="18"/>
                <w:lang w:eastAsia="en-AU"/>
              </w:rPr>
              <w:br/>
            </w:r>
            <w:r w:rsidRPr="00AC137D">
              <w:rPr>
                <w:rFonts w:eastAsiaTheme="minorEastAsia" w:cs="Calibri"/>
                <w:iCs/>
                <w:color w:val="FFFFFF"/>
                <w:szCs w:val="18"/>
                <w:lang w:eastAsia="en-AU"/>
              </w:rPr>
              <w:t>revised</w:t>
            </w:r>
          </w:p>
        </w:tc>
        <w:tc>
          <w:tcPr>
            <w:tcW w:w="850" w:type="dxa"/>
            <w:tcBorders>
              <w:top w:val="nil"/>
              <w:left w:val="nil"/>
              <w:right w:val="nil"/>
            </w:tcBorders>
            <w:shd w:val="solid" w:color="000000" w:fill="auto"/>
          </w:tcPr>
          <w:p w:rsidR="00A26D04" w:rsidRPr="00AC137D" w:rsidRDefault="00A26D04" w:rsidP="00A26D0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AC137D">
              <w:rPr>
                <w:rFonts w:eastAsiaTheme="minorEastAsia" w:cs="Calibri"/>
                <w:iCs/>
                <w:color w:val="FFFFFF"/>
                <w:szCs w:val="18"/>
                <w:lang w:eastAsia="en-AU"/>
              </w:rPr>
              <w:t>2019</w:t>
            </w:r>
            <w:r>
              <w:rPr>
                <w:rFonts w:eastAsiaTheme="minorEastAsia" w:cs="Calibri"/>
                <w:iCs/>
                <w:color w:val="FFFFFF"/>
                <w:szCs w:val="18"/>
                <w:lang w:eastAsia="en-AU"/>
              </w:rPr>
              <w:br/>
            </w:r>
            <w:r w:rsidRPr="00AC137D">
              <w:rPr>
                <w:rFonts w:eastAsiaTheme="minorEastAsia" w:cs="Calibri"/>
                <w:iCs/>
                <w:color w:val="FFFFFF"/>
                <w:szCs w:val="18"/>
                <w:lang w:eastAsia="en-AU"/>
              </w:rPr>
              <w:t xml:space="preserve"> estimate</w:t>
            </w:r>
          </w:p>
        </w:tc>
        <w:tc>
          <w:tcPr>
            <w:tcW w:w="850" w:type="dxa"/>
            <w:tcBorders>
              <w:top w:val="nil"/>
              <w:left w:val="nil"/>
              <w:right w:val="nil"/>
            </w:tcBorders>
            <w:shd w:val="solid" w:color="000000" w:fill="auto"/>
          </w:tcPr>
          <w:p w:rsidR="00A26D04" w:rsidRPr="00AC137D" w:rsidRDefault="00A26D04" w:rsidP="00A26D0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AC137D">
              <w:rPr>
                <w:rFonts w:eastAsiaTheme="minorEastAsia" w:cs="Calibri"/>
                <w:iCs/>
                <w:color w:val="FFFFFF"/>
                <w:szCs w:val="18"/>
                <w:lang w:eastAsia="en-AU"/>
              </w:rPr>
              <w:t>2020</w:t>
            </w:r>
            <w:r>
              <w:rPr>
                <w:rFonts w:eastAsiaTheme="minorEastAsia" w:cs="Calibri"/>
                <w:iCs/>
                <w:color w:val="FFFFFF"/>
                <w:szCs w:val="18"/>
                <w:lang w:eastAsia="en-AU"/>
              </w:rPr>
              <w:br/>
            </w:r>
            <w:r w:rsidRPr="00AC137D">
              <w:rPr>
                <w:rFonts w:eastAsiaTheme="minorEastAsia" w:cs="Calibri"/>
                <w:iCs/>
                <w:color w:val="FFFFFF"/>
                <w:szCs w:val="18"/>
                <w:lang w:eastAsia="en-AU"/>
              </w:rPr>
              <w:t>estimate</w:t>
            </w:r>
          </w:p>
        </w:tc>
        <w:tc>
          <w:tcPr>
            <w:tcW w:w="850" w:type="dxa"/>
            <w:tcBorders>
              <w:top w:val="nil"/>
              <w:left w:val="nil"/>
              <w:right w:val="nil"/>
            </w:tcBorders>
            <w:shd w:val="solid" w:color="000000" w:fill="auto"/>
          </w:tcPr>
          <w:p w:rsidR="00A26D04" w:rsidRPr="00AC137D" w:rsidRDefault="00A26D04" w:rsidP="00A26D0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AC137D">
              <w:rPr>
                <w:rFonts w:eastAsiaTheme="minorEastAsia" w:cs="Calibri"/>
                <w:iCs/>
                <w:color w:val="FFFFFF"/>
                <w:szCs w:val="18"/>
                <w:lang w:eastAsia="en-AU"/>
              </w:rPr>
              <w:t>2021</w:t>
            </w:r>
            <w:r>
              <w:rPr>
                <w:rFonts w:eastAsiaTheme="minorEastAsia" w:cs="Calibri"/>
                <w:iCs/>
                <w:color w:val="FFFFFF"/>
                <w:szCs w:val="18"/>
                <w:lang w:eastAsia="en-AU"/>
              </w:rPr>
              <w:br/>
            </w:r>
            <w:r w:rsidRPr="00AC137D">
              <w:rPr>
                <w:rFonts w:eastAsiaTheme="minorEastAsia" w:cs="Calibri"/>
                <w:iCs/>
                <w:color w:val="FFFFFF"/>
                <w:szCs w:val="18"/>
                <w:lang w:eastAsia="en-AU"/>
              </w:rPr>
              <w:t>estimate</w:t>
            </w:r>
          </w:p>
        </w:tc>
      </w:tr>
      <w:tr w:rsidR="00A46DCA" w:rsidRPr="00AC137D" w:rsidTr="00A26D04">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A46DCA" w:rsidRPr="00AC137D" w:rsidRDefault="00A46DCA" w:rsidP="00A26D04">
            <w:pPr>
              <w:keepLines w:val="0"/>
              <w:autoSpaceDE w:val="0"/>
              <w:autoSpaceDN w:val="0"/>
              <w:adjustRightInd w:val="0"/>
              <w:rPr>
                <w:rFonts w:eastAsiaTheme="minorEastAsia" w:cs="Calibri"/>
                <w:color w:val="000000"/>
                <w:szCs w:val="18"/>
                <w:lang w:eastAsia="en-AU"/>
              </w:rPr>
            </w:pPr>
            <w:r w:rsidRPr="00AC137D">
              <w:rPr>
                <w:rFonts w:eastAsiaTheme="minorEastAsia" w:cs="Calibri"/>
                <w:color w:val="000000"/>
                <w:szCs w:val="18"/>
                <w:lang w:eastAsia="en-AU"/>
              </w:rPr>
              <w:t xml:space="preserve">Intangible produced assets </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AC137D">
              <w:rPr>
                <w:rFonts w:eastAsiaTheme="minorEastAsia" w:cs="Calibri"/>
                <w:color w:val="000000"/>
                <w:szCs w:val="18"/>
                <w:lang w:eastAsia="en-AU"/>
              </w:rPr>
              <w:t>1 748</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AC137D">
              <w:rPr>
                <w:rFonts w:eastAsiaTheme="minorEastAsia" w:cs="Calibri"/>
                <w:color w:val="000000"/>
                <w:szCs w:val="18"/>
                <w:lang w:eastAsia="en-AU"/>
              </w:rPr>
              <w:t>1 723</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AC137D">
              <w:rPr>
                <w:rFonts w:eastAsiaTheme="minorEastAsia" w:cs="Calibri"/>
                <w:color w:val="000000"/>
                <w:szCs w:val="18"/>
                <w:lang w:eastAsia="en-AU"/>
              </w:rPr>
              <w:t>1 738</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AC137D">
              <w:rPr>
                <w:rFonts w:eastAsiaTheme="minorEastAsia" w:cs="Calibri"/>
                <w:color w:val="000000"/>
                <w:szCs w:val="18"/>
                <w:lang w:eastAsia="en-AU"/>
              </w:rPr>
              <w:t>1 718</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AC137D">
              <w:rPr>
                <w:rFonts w:eastAsiaTheme="minorEastAsia" w:cs="Calibri"/>
                <w:color w:val="000000"/>
                <w:szCs w:val="18"/>
                <w:lang w:eastAsia="en-AU"/>
              </w:rPr>
              <w:t>1 728</w:t>
            </w:r>
          </w:p>
        </w:tc>
      </w:tr>
      <w:tr w:rsidR="00A46DCA" w:rsidRPr="00AC137D" w:rsidTr="00A26D04">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A46DCA" w:rsidRPr="00AC137D" w:rsidRDefault="00A46DCA" w:rsidP="00A26D04">
            <w:pPr>
              <w:keepLines w:val="0"/>
              <w:autoSpaceDE w:val="0"/>
              <w:autoSpaceDN w:val="0"/>
              <w:adjustRightInd w:val="0"/>
              <w:rPr>
                <w:rFonts w:eastAsiaTheme="minorEastAsia" w:cs="Calibri"/>
                <w:color w:val="000000"/>
                <w:szCs w:val="18"/>
                <w:lang w:eastAsia="en-AU"/>
              </w:rPr>
            </w:pPr>
            <w:r w:rsidRPr="00AC137D">
              <w:rPr>
                <w:rFonts w:eastAsiaTheme="minorEastAsia" w:cs="Calibri"/>
                <w:color w:val="000000"/>
                <w:szCs w:val="18"/>
                <w:lang w:eastAsia="en-AU"/>
              </w:rPr>
              <w:t>Accumulated depreciation</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(985)</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(975)</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(1 097)</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(1 241)</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(1 371)</w:t>
            </w:r>
          </w:p>
        </w:tc>
      </w:tr>
      <w:tr w:rsidR="00A46DCA" w:rsidRPr="00AC137D" w:rsidTr="00A26D04">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A46DCA" w:rsidRPr="00AC137D" w:rsidRDefault="00A46DCA" w:rsidP="00A26D04">
            <w:pPr>
              <w:keepLines w:val="0"/>
              <w:autoSpaceDE w:val="0"/>
              <w:autoSpaceDN w:val="0"/>
              <w:adjustRightInd w:val="0"/>
              <w:rPr>
                <w:rFonts w:eastAsiaTheme="minorEastAsia" w:cs="Calibri"/>
                <w:color w:val="000000"/>
                <w:szCs w:val="18"/>
                <w:lang w:eastAsia="en-AU"/>
              </w:rPr>
            </w:pPr>
            <w:r w:rsidRPr="00AC137D">
              <w:rPr>
                <w:rFonts w:eastAsiaTheme="minorEastAsia" w:cs="Calibri"/>
                <w:color w:val="000000"/>
                <w:szCs w:val="18"/>
                <w:lang w:eastAsia="en-AU"/>
              </w:rPr>
              <w:t xml:space="preserve">Intangible non-produced assets </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105</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130</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131</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131</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131</w:t>
            </w:r>
          </w:p>
        </w:tc>
      </w:tr>
      <w:tr w:rsidR="00A46DCA" w:rsidRPr="00AC137D" w:rsidTr="00A26D04">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single" w:sz="6" w:space="0" w:color="000000"/>
              <w:right w:val="nil"/>
            </w:tcBorders>
          </w:tcPr>
          <w:p w:rsidR="00A46DCA" w:rsidRPr="00AC137D" w:rsidRDefault="00A46DCA" w:rsidP="00A26D04">
            <w:pPr>
              <w:keepLines w:val="0"/>
              <w:autoSpaceDE w:val="0"/>
              <w:autoSpaceDN w:val="0"/>
              <w:adjustRightInd w:val="0"/>
              <w:rPr>
                <w:rFonts w:eastAsiaTheme="minorEastAsia" w:cs="Calibri"/>
                <w:color w:val="000000"/>
                <w:szCs w:val="18"/>
                <w:lang w:eastAsia="en-AU"/>
              </w:rPr>
            </w:pPr>
            <w:r w:rsidRPr="00AC137D">
              <w:rPr>
                <w:rFonts w:eastAsiaTheme="minorEastAsia" w:cs="Calibri"/>
                <w:color w:val="000000"/>
                <w:szCs w:val="18"/>
                <w:lang w:eastAsia="en-AU"/>
              </w:rPr>
              <w:t>Accumulated amortisation</w:t>
            </w:r>
          </w:p>
        </w:tc>
        <w:tc>
          <w:tcPr>
            <w:tcW w:w="850" w:type="dxa"/>
            <w:tcBorders>
              <w:top w:val="nil"/>
              <w:left w:val="nil"/>
              <w:bottom w:val="single" w:sz="6" w:space="0" w:color="000000"/>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(44)</w:t>
            </w:r>
          </w:p>
        </w:tc>
        <w:tc>
          <w:tcPr>
            <w:tcW w:w="850" w:type="dxa"/>
            <w:tcBorders>
              <w:top w:val="nil"/>
              <w:left w:val="nil"/>
              <w:bottom w:val="single" w:sz="6" w:space="0" w:color="000000"/>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(44)</w:t>
            </w:r>
          </w:p>
        </w:tc>
        <w:tc>
          <w:tcPr>
            <w:tcW w:w="850" w:type="dxa"/>
            <w:tcBorders>
              <w:top w:val="nil"/>
              <w:left w:val="nil"/>
              <w:bottom w:val="single" w:sz="6" w:space="0" w:color="000000"/>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(47)</w:t>
            </w:r>
          </w:p>
        </w:tc>
        <w:tc>
          <w:tcPr>
            <w:tcW w:w="850" w:type="dxa"/>
            <w:tcBorders>
              <w:top w:val="nil"/>
              <w:left w:val="nil"/>
              <w:bottom w:val="single" w:sz="6" w:space="0" w:color="000000"/>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(50)</w:t>
            </w:r>
          </w:p>
        </w:tc>
        <w:tc>
          <w:tcPr>
            <w:tcW w:w="850" w:type="dxa"/>
            <w:tcBorders>
              <w:top w:val="nil"/>
              <w:left w:val="nil"/>
              <w:bottom w:val="single" w:sz="6" w:space="0" w:color="000000"/>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(52)</w:t>
            </w:r>
          </w:p>
        </w:tc>
      </w:tr>
      <w:tr w:rsidR="00A46DCA" w:rsidRPr="00AC137D" w:rsidTr="00A26D04">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A46DCA" w:rsidRPr="00AC137D" w:rsidRDefault="00A46DCA" w:rsidP="00A26D04">
            <w:pPr>
              <w:keepLines w:val="0"/>
              <w:autoSpaceDE w:val="0"/>
              <w:autoSpaceDN w:val="0"/>
              <w:adjustRightInd w:val="0"/>
              <w:rPr>
                <w:rFonts w:eastAsiaTheme="minorEastAsia" w:cs="Calibri"/>
                <w:b/>
                <w:bCs/>
                <w:color w:val="000000"/>
                <w:szCs w:val="18"/>
                <w:lang w:eastAsia="en-AU"/>
              </w:rPr>
            </w:pPr>
            <w:r w:rsidRPr="00AC137D">
              <w:rPr>
                <w:rFonts w:eastAsiaTheme="minorEastAsia" w:cs="Calibri"/>
                <w:b/>
                <w:bCs/>
                <w:color w:val="000000"/>
                <w:szCs w:val="18"/>
                <w:lang w:eastAsia="en-AU"/>
              </w:rPr>
              <w:t xml:space="preserve">Total intangibles </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823</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833</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724</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558</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436</w:t>
            </w:r>
          </w:p>
        </w:tc>
      </w:tr>
      <w:tr w:rsidR="00A46DCA" w:rsidRPr="00AC137D" w:rsidTr="00A26D04">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A46DCA" w:rsidRPr="00AC137D" w:rsidRDefault="00A46DCA" w:rsidP="00A26D04">
            <w:pPr>
              <w:keepLines w:val="0"/>
              <w:autoSpaceDE w:val="0"/>
              <w:autoSpaceDN w:val="0"/>
              <w:adjustRightInd w:val="0"/>
              <w:rPr>
                <w:rFonts w:eastAsiaTheme="minorEastAsia" w:cs="Calibri"/>
                <w:color w:val="000000"/>
                <w:szCs w:val="18"/>
                <w:lang w:eastAsia="en-AU"/>
              </w:rPr>
            </w:pPr>
            <w:r w:rsidRPr="00AC137D">
              <w:rPr>
                <w:rFonts w:eastAsiaTheme="minorEastAsia" w:cs="Calibri"/>
                <w:color w:val="000000"/>
                <w:szCs w:val="18"/>
                <w:lang w:eastAsia="en-AU"/>
              </w:rPr>
              <w:t>Investment properties</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183</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166</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166</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158</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160</w:t>
            </w:r>
          </w:p>
        </w:tc>
      </w:tr>
      <w:tr w:rsidR="00A46DCA" w:rsidRPr="00AC137D" w:rsidTr="00A26D04">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A46DCA" w:rsidRPr="00AC137D" w:rsidRDefault="00A46DCA" w:rsidP="00A26D04">
            <w:pPr>
              <w:keepLines w:val="0"/>
              <w:autoSpaceDE w:val="0"/>
              <w:autoSpaceDN w:val="0"/>
              <w:adjustRightInd w:val="0"/>
              <w:rPr>
                <w:rFonts w:eastAsiaTheme="minorEastAsia" w:cs="Calibri"/>
                <w:color w:val="000000"/>
                <w:szCs w:val="18"/>
                <w:lang w:eastAsia="en-AU"/>
              </w:rPr>
            </w:pPr>
            <w:r w:rsidRPr="00AC137D">
              <w:rPr>
                <w:rFonts w:eastAsiaTheme="minorEastAsia" w:cs="Calibri"/>
                <w:color w:val="000000"/>
                <w:szCs w:val="18"/>
                <w:lang w:eastAsia="en-AU"/>
              </w:rPr>
              <w:t>Biological assets</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6</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7</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9</w:t>
            </w:r>
          </w:p>
        </w:tc>
      </w:tr>
      <w:tr w:rsidR="00A46DCA" w:rsidRPr="00AC137D" w:rsidTr="00A26D04">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A46DCA" w:rsidRPr="00AC137D" w:rsidRDefault="00A46DCA" w:rsidP="00A26D04">
            <w:pPr>
              <w:keepLines w:val="0"/>
              <w:autoSpaceDE w:val="0"/>
              <w:autoSpaceDN w:val="0"/>
              <w:adjustRightInd w:val="0"/>
              <w:rPr>
                <w:rFonts w:eastAsiaTheme="minorEastAsia" w:cs="Calibri"/>
                <w:color w:val="000000"/>
                <w:szCs w:val="18"/>
                <w:lang w:eastAsia="en-AU"/>
              </w:rPr>
            </w:pPr>
            <w:r w:rsidRPr="00AC137D">
              <w:rPr>
                <w:rFonts w:eastAsiaTheme="minorEastAsia" w:cs="Calibri"/>
                <w:color w:val="000000"/>
                <w:szCs w:val="18"/>
                <w:lang w:eastAsia="en-AU"/>
              </w:rPr>
              <w:t>Other assets</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484</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483</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785</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AC137D">
              <w:rPr>
                <w:rFonts w:eastAsiaTheme="minorEastAsia" w:cs="Calibri"/>
                <w:color w:val="000000"/>
                <w:szCs w:val="18"/>
                <w:lang w:eastAsia="en-AU"/>
              </w:rPr>
              <w:t>1 592</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AC137D">
              <w:rPr>
                <w:rFonts w:eastAsiaTheme="minorEastAsia" w:cs="Calibri"/>
                <w:color w:val="000000"/>
                <w:szCs w:val="18"/>
                <w:lang w:eastAsia="en-AU"/>
              </w:rPr>
              <w:t>2 152</w:t>
            </w:r>
          </w:p>
        </w:tc>
      </w:tr>
      <w:tr w:rsidR="00A46DCA" w:rsidRPr="00AC137D" w:rsidTr="00A26D04">
        <w:tc>
          <w:tcPr>
            <w:cnfStyle w:val="001000000000" w:firstRow="0" w:lastRow="0" w:firstColumn="1" w:lastColumn="0" w:oddVBand="0" w:evenVBand="0" w:oddHBand="0" w:evenHBand="0" w:firstRowFirstColumn="0" w:firstRowLastColumn="0" w:lastRowFirstColumn="0" w:lastRowLastColumn="0"/>
            <w:tcW w:w="3515" w:type="dxa"/>
            <w:tcBorders>
              <w:top w:val="single" w:sz="6" w:space="0" w:color="000000"/>
              <w:left w:val="nil"/>
              <w:bottom w:val="single" w:sz="12" w:space="0" w:color="000000"/>
              <w:right w:val="nil"/>
            </w:tcBorders>
          </w:tcPr>
          <w:p w:rsidR="00A46DCA" w:rsidRPr="00AC137D" w:rsidRDefault="00A46DCA" w:rsidP="00A26D04">
            <w:pPr>
              <w:keepLines w:val="0"/>
              <w:autoSpaceDE w:val="0"/>
              <w:autoSpaceDN w:val="0"/>
              <w:adjustRightInd w:val="0"/>
              <w:rPr>
                <w:rFonts w:eastAsiaTheme="minorEastAsia" w:cs="Calibri"/>
                <w:b/>
                <w:bCs/>
                <w:color w:val="000000"/>
                <w:szCs w:val="18"/>
                <w:lang w:eastAsia="en-AU"/>
              </w:rPr>
            </w:pPr>
            <w:r w:rsidRPr="00AC137D">
              <w:rPr>
                <w:rFonts w:eastAsiaTheme="minorEastAsia" w:cs="Calibri"/>
                <w:b/>
                <w:bCs/>
                <w:color w:val="000000"/>
                <w:szCs w:val="18"/>
                <w:lang w:eastAsia="en-AU"/>
              </w:rPr>
              <w:t>Total other non-financial assets</w:t>
            </w:r>
          </w:p>
        </w:tc>
        <w:tc>
          <w:tcPr>
            <w:tcW w:w="850" w:type="dxa"/>
            <w:tcBorders>
              <w:top w:val="single" w:sz="6" w:space="0" w:color="000000"/>
              <w:left w:val="nil"/>
              <w:bottom w:val="single" w:sz="12" w:space="0" w:color="000000"/>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AC137D">
              <w:rPr>
                <w:rFonts w:eastAsiaTheme="minorEastAsia" w:cs="Calibri"/>
                <w:b/>
                <w:bCs/>
                <w:color w:val="000000"/>
                <w:szCs w:val="18"/>
                <w:lang w:eastAsia="en-AU"/>
              </w:rPr>
              <w:t>1 495</w:t>
            </w:r>
          </w:p>
        </w:tc>
        <w:tc>
          <w:tcPr>
            <w:tcW w:w="850" w:type="dxa"/>
            <w:tcBorders>
              <w:top w:val="single" w:sz="6" w:space="0" w:color="000000"/>
              <w:left w:val="nil"/>
              <w:bottom w:val="single" w:sz="12" w:space="0" w:color="000000"/>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AC137D">
              <w:rPr>
                <w:rFonts w:eastAsiaTheme="minorEastAsia" w:cs="Calibri"/>
                <w:b/>
                <w:bCs/>
                <w:color w:val="000000"/>
                <w:szCs w:val="18"/>
                <w:lang w:eastAsia="en-AU"/>
              </w:rPr>
              <w:t>1 487</w:t>
            </w:r>
          </w:p>
        </w:tc>
        <w:tc>
          <w:tcPr>
            <w:tcW w:w="850" w:type="dxa"/>
            <w:tcBorders>
              <w:top w:val="single" w:sz="6" w:space="0" w:color="000000"/>
              <w:left w:val="nil"/>
              <w:bottom w:val="single" w:sz="12" w:space="0" w:color="000000"/>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AC137D">
              <w:rPr>
                <w:rFonts w:eastAsiaTheme="minorEastAsia" w:cs="Calibri"/>
                <w:b/>
                <w:bCs/>
                <w:color w:val="000000"/>
                <w:szCs w:val="18"/>
                <w:lang w:eastAsia="en-AU"/>
              </w:rPr>
              <w:t>1 681</w:t>
            </w:r>
          </w:p>
        </w:tc>
        <w:tc>
          <w:tcPr>
            <w:tcW w:w="850" w:type="dxa"/>
            <w:tcBorders>
              <w:top w:val="single" w:sz="6" w:space="0" w:color="000000"/>
              <w:left w:val="nil"/>
              <w:bottom w:val="single" w:sz="12" w:space="0" w:color="000000"/>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AC137D">
              <w:rPr>
                <w:rFonts w:eastAsiaTheme="minorEastAsia" w:cs="Calibri"/>
                <w:b/>
                <w:bCs/>
                <w:color w:val="000000"/>
                <w:szCs w:val="18"/>
                <w:lang w:eastAsia="en-AU"/>
              </w:rPr>
              <w:t>2 315</w:t>
            </w:r>
          </w:p>
        </w:tc>
        <w:tc>
          <w:tcPr>
            <w:tcW w:w="850" w:type="dxa"/>
            <w:tcBorders>
              <w:top w:val="single" w:sz="6" w:space="0" w:color="000000"/>
              <w:left w:val="nil"/>
              <w:bottom w:val="single" w:sz="12" w:space="0" w:color="000000"/>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AC137D">
              <w:rPr>
                <w:rFonts w:eastAsiaTheme="minorEastAsia" w:cs="Calibri"/>
                <w:b/>
                <w:bCs/>
                <w:color w:val="000000"/>
                <w:szCs w:val="18"/>
                <w:lang w:eastAsia="en-AU"/>
              </w:rPr>
              <w:t>2 757</w:t>
            </w:r>
          </w:p>
        </w:tc>
      </w:tr>
    </w:tbl>
    <w:p w:rsidR="00A46DCA" w:rsidRDefault="00A46DCA" w:rsidP="00A26D04">
      <w:pPr>
        <w:pStyle w:val="Source"/>
      </w:pPr>
      <w:r w:rsidRPr="00D87D22">
        <w:t>Source: Department of Treasury and Finance</w:t>
      </w:r>
    </w:p>
    <w:p w:rsidR="00A46DCA" w:rsidRDefault="00A46DCA" w:rsidP="00A26D04"/>
    <w:p w:rsidR="00A46DCA" w:rsidRDefault="00A46DCA" w:rsidP="00A26D04"/>
    <w:p w:rsidR="00A46DCA" w:rsidRPr="00AC137D" w:rsidRDefault="00A46DCA" w:rsidP="00A26D04">
      <w:pPr>
        <w:pStyle w:val="Heading3"/>
        <w:numPr>
          <w:ilvl w:val="2"/>
          <w:numId w:val="19"/>
        </w:numPr>
        <w:tabs>
          <w:tab w:val="clear" w:pos="9582"/>
          <w:tab w:val="left" w:pos="850"/>
          <w:tab w:val="right" w:pos="7711"/>
        </w:tabs>
        <w:spacing w:after="60"/>
        <w:rPr>
          <w:lang w:val="en-US"/>
        </w:rPr>
      </w:pPr>
      <w:bookmarkStart w:id="44" w:name="_Toc498006437"/>
      <w:r>
        <w:t xml:space="preserve">Total assets by government purpose classification </w:t>
      </w:r>
      <w:r w:rsidRPr="002F552E">
        <w:rPr>
          <w:vertAlign w:val="superscript"/>
        </w:rPr>
        <w:t>(a)</w:t>
      </w:r>
      <w:r>
        <w:tab/>
        <w:t>($ million)</w:t>
      </w:r>
      <w:bookmarkEnd w:id="44"/>
    </w:p>
    <w:tbl>
      <w:tblPr>
        <w:tblStyle w:val="DTFTable"/>
        <w:tblW w:w="7765" w:type="dxa"/>
        <w:tblInd w:w="45" w:type="dxa"/>
        <w:tblLayout w:type="fixed"/>
        <w:tblCellMar>
          <w:left w:w="45" w:type="dxa"/>
          <w:right w:w="45" w:type="dxa"/>
        </w:tblCellMar>
        <w:tblLook w:val="06A0" w:firstRow="1" w:lastRow="0" w:firstColumn="1" w:lastColumn="0" w:noHBand="1" w:noVBand="1"/>
      </w:tblPr>
      <w:tblGrid>
        <w:gridCol w:w="3515"/>
        <w:gridCol w:w="850"/>
        <w:gridCol w:w="850"/>
        <w:gridCol w:w="850"/>
        <w:gridCol w:w="850"/>
        <w:gridCol w:w="850"/>
      </w:tblGrid>
      <w:tr w:rsidR="00A26D04" w:rsidRPr="00AC137D" w:rsidTr="002677DA">
        <w:trPr>
          <w:cnfStyle w:val="100000000000" w:firstRow="1" w:lastRow="0" w:firstColumn="0" w:lastColumn="0" w:oddVBand="0" w:evenVBand="0" w:oddHBand="0" w:evenHBand="0" w:firstRowFirstColumn="0" w:firstRowLastColumn="0" w:lastRowFirstColumn="0" w:lastRowLastColumn="0"/>
          <w:trHeight w:val="55"/>
          <w:tblHeader/>
        </w:trPr>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shd w:val="solid" w:color="000000" w:fill="auto"/>
          </w:tcPr>
          <w:p w:rsidR="00A26D04" w:rsidRPr="00AC137D" w:rsidRDefault="00A26D04" w:rsidP="00A26D04">
            <w:pPr>
              <w:autoSpaceDE w:val="0"/>
              <w:autoSpaceDN w:val="0"/>
              <w:adjustRightInd w:val="0"/>
              <w:rPr>
                <w:rFonts w:eastAsiaTheme="minorEastAsia" w:cs="Calibri"/>
                <w:color w:val="FFFFFF"/>
                <w:szCs w:val="20"/>
                <w:lang w:eastAsia="en-AU"/>
              </w:rPr>
            </w:pPr>
            <w:r w:rsidRPr="00AC137D">
              <w:rPr>
                <w:rFonts w:eastAsiaTheme="minorEastAsia" w:cs="Calibri"/>
                <w:color w:val="FFFFFF"/>
                <w:szCs w:val="20"/>
                <w:lang w:eastAsia="en-AU"/>
              </w:rPr>
              <w:t xml:space="preserve">  </w:t>
            </w:r>
          </w:p>
        </w:tc>
        <w:tc>
          <w:tcPr>
            <w:tcW w:w="850" w:type="dxa"/>
            <w:tcBorders>
              <w:top w:val="nil"/>
              <w:left w:val="nil"/>
              <w:bottom w:val="nil"/>
              <w:right w:val="nil"/>
            </w:tcBorders>
            <w:shd w:val="solid" w:color="000000" w:fill="auto"/>
          </w:tcPr>
          <w:p w:rsidR="00A26D04" w:rsidRPr="00AC137D" w:rsidRDefault="00A26D04" w:rsidP="00A26D0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20"/>
                <w:lang w:eastAsia="en-AU"/>
              </w:rPr>
            </w:pPr>
            <w:r w:rsidRPr="00AC137D">
              <w:rPr>
                <w:rFonts w:eastAsiaTheme="minorEastAsia" w:cs="Calibri"/>
                <w:iCs/>
                <w:color w:val="FFFFFF"/>
                <w:szCs w:val="20"/>
                <w:lang w:eastAsia="en-AU"/>
              </w:rPr>
              <w:t>2018</w:t>
            </w:r>
            <w:r>
              <w:rPr>
                <w:rFonts w:eastAsiaTheme="minorEastAsia" w:cs="Calibri"/>
                <w:iCs/>
                <w:color w:val="FFFFFF"/>
                <w:szCs w:val="20"/>
                <w:lang w:eastAsia="en-AU"/>
              </w:rPr>
              <w:br/>
            </w:r>
            <w:r w:rsidRPr="00AC137D">
              <w:rPr>
                <w:rFonts w:eastAsiaTheme="minorEastAsia" w:cs="Calibri"/>
                <w:iCs/>
                <w:color w:val="FFFFFF"/>
                <w:szCs w:val="20"/>
                <w:lang w:eastAsia="en-AU"/>
              </w:rPr>
              <w:t>budget</w:t>
            </w:r>
          </w:p>
        </w:tc>
        <w:tc>
          <w:tcPr>
            <w:tcW w:w="850" w:type="dxa"/>
            <w:tcBorders>
              <w:top w:val="nil"/>
              <w:left w:val="nil"/>
              <w:bottom w:val="nil"/>
              <w:right w:val="nil"/>
            </w:tcBorders>
            <w:shd w:val="solid" w:color="000000" w:fill="auto"/>
          </w:tcPr>
          <w:p w:rsidR="00A26D04" w:rsidRPr="00AC137D" w:rsidRDefault="00A26D04" w:rsidP="00A26D0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20"/>
                <w:lang w:eastAsia="en-AU"/>
              </w:rPr>
            </w:pPr>
            <w:r w:rsidRPr="00AC137D">
              <w:rPr>
                <w:rFonts w:eastAsiaTheme="minorEastAsia" w:cs="Calibri"/>
                <w:iCs/>
                <w:color w:val="FFFFFF"/>
                <w:szCs w:val="20"/>
                <w:lang w:eastAsia="en-AU"/>
              </w:rPr>
              <w:t>2018</w:t>
            </w:r>
            <w:r>
              <w:rPr>
                <w:rFonts w:eastAsiaTheme="minorEastAsia" w:cs="Calibri"/>
                <w:iCs/>
                <w:color w:val="FFFFFF"/>
                <w:szCs w:val="20"/>
                <w:lang w:eastAsia="en-AU"/>
              </w:rPr>
              <w:br/>
            </w:r>
            <w:r w:rsidRPr="00AC137D">
              <w:rPr>
                <w:rFonts w:eastAsiaTheme="minorEastAsia" w:cs="Calibri"/>
                <w:iCs/>
                <w:color w:val="FFFFFF"/>
                <w:szCs w:val="20"/>
                <w:lang w:eastAsia="en-AU"/>
              </w:rPr>
              <w:t>revised</w:t>
            </w:r>
          </w:p>
        </w:tc>
        <w:tc>
          <w:tcPr>
            <w:tcW w:w="850" w:type="dxa"/>
            <w:tcBorders>
              <w:top w:val="nil"/>
              <w:left w:val="nil"/>
              <w:bottom w:val="nil"/>
              <w:right w:val="nil"/>
            </w:tcBorders>
            <w:shd w:val="solid" w:color="000000" w:fill="auto"/>
          </w:tcPr>
          <w:p w:rsidR="00A26D04" w:rsidRPr="00AC137D" w:rsidRDefault="00A26D04" w:rsidP="00A26D0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20"/>
                <w:lang w:eastAsia="en-AU"/>
              </w:rPr>
            </w:pPr>
            <w:r w:rsidRPr="00AC137D">
              <w:rPr>
                <w:rFonts w:eastAsiaTheme="minorEastAsia" w:cs="Calibri"/>
                <w:iCs/>
                <w:color w:val="FFFFFF"/>
                <w:szCs w:val="20"/>
                <w:lang w:eastAsia="en-AU"/>
              </w:rPr>
              <w:t>2019</w:t>
            </w:r>
            <w:r>
              <w:rPr>
                <w:rFonts w:eastAsiaTheme="minorEastAsia" w:cs="Calibri"/>
                <w:iCs/>
                <w:color w:val="FFFFFF"/>
                <w:szCs w:val="20"/>
                <w:lang w:eastAsia="en-AU"/>
              </w:rPr>
              <w:br/>
            </w:r>
            <w:r w:rsidRPr="00AC137D">
              <w:rPr>
                <w:rFonts w:eastAsiaTheme="minorEastAsia" w:cs="Calibri"/>
                <w:iCs/>
                <w:color w:val="FFFFFF"/>
                <w:szCs w:val="20"/>
                <w:lang w:eastAsia="en-AU"/>
              </w:rPr>
              <w:t>estimate</w:t>
            </w:r>
          </w:p>
        </w:tc>
        <w:tc>
          <w:tcPr>
            <w:tcW w:w="850" w:type="dxa"/>
            <w:tcBorders>
              <w:top w:val="nil"/>
              <w:left w:val="nil"/>
              <w:bottom w:val="nil"/>
              <w:right w:val="nil"/>
            </w:tcBorders>
            <w:shd w:val="solid" w:color="000000" w:fill="auto"/>
          </w:tcPr>
          <w:p w:rsidR="00A26D04" w:rsidRPr="00AC137D" w:rsidRDefault="00A26D04" w:rsidP="00A26D0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20"/>
                <w:lang w:eastAsia="en-AU"/>
              </w:rPr>
            </w:pPr>
            <w:r w:rsidRPr="00AC137D">
              <w:rPr>
                <w:rFonts w:eastAsiaTheme="minorEastAsia" w:cs="Calibri"/>
                <w:iCs/>
                <w:color w:val="FFFFFF"/>
                <w:szCs w:val="20"/>
                <w:lang w:eastAsia="en-AU"/>
              </w:rPr>
              <w:t>2020</w:t>
            </w:r>
            <w:r>
              <w:rPr>
                <w:rFonts w:eastAsiaTheme="minorEastAsia" w:cs="Calibri"/>
                <w:iCs/>
                <w:color w:val="FFFFFF"/>
                <w:szCs w:val="20"/>
                <w:lang w:eastAsia="en-AU"/>
              </w:rPr>
              <w:br/>
            </w:r>
            <w:r w:rsidRPr="00AC137D">
              <w:rPr>
                <w:rFonts w:eastAsiaTheme="minorEastAsia" w:cs="Calibri"/>
                <w:iCs/>
                <w:color w:val="FFFFFF"/>
                <w:szCs w:val="20"/>
                <w:lang w:eastAsia="en-AU"/>
              </w:rPr>
              <w:t>estimate</w:t>
            </w:r>
          </w:p>
        </w:tc>
        <w:tc>
          <w:tcPr>
            <w:tcW w:w="850" w:type="dxa"/>
            <w:tcBorders>
              <w:top w:val="nil"/>
              <w:left w:val="nil"/>
              <w:bottom w:val="nil"/>
              <w:right w:val="nil"/>
            </w:tcBorders>
            <w:shd w:val="solid" w:color="000000" w:fill="auto"/>
          </w:tcPr>
          <w:p w:rsidR="00A26D04" w:rsidRPr="00AC137D" w:rsidRDefault="00A26D04" w:rsidP="00A26D0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20"/>
                <w:lang w:eastAsia="en-AU"/>
              </w:rPr>
            </w:pPr>
            <w:r w:rsidRPr="00AC137D">
              <w:rPr>
                <w:rFonts w:eastAsiaTheme="minorEastAsia" w:cs="Calibri"/>
                <w:iCs/>
                <w:color w:val="FFFFFF"/>
                <w:szCs w:val="20"/>
                <w:lang w:eastAsia="en-AU"/>
              </w:rPr>
              <w:t>2021</w:t>
            </w:r>
            <w:r>
              <w:rPr>
                <w:rFonts w:eastAsiaTheme="minorEastAsia" w:cs="Calibri"/>
                <w:iCs/>
                <w:color w:val="FFFFFF"/>
                <w:szCs w:val="20"/>
                <w:lang w:eastAsia="en-AU"/>
              </w:rPr>
              <w:br/>
            </w:r>
            <w:r w:rsidRPr="00AC137D">
              <w:rPr>
                <w:rFonts w:eastAsiaTheme="minorEastAsia" w:cs="Calibri"/>
                <w:iCs/>
                <w:color w:val="FFFFFF"/>
                <w:szCs w:val="20"/>
                <w:lang w:eastAsia="en-AU"/>
              </w:rPr>
              <w:t>estimate</w:t>
            </w:r>
          </w:p>
        </w:tc>
      </w:tr>
      <w:tr w:rsidR="00A46DCA" w:rsidRPr="00AC137D" w:rsidTr="002677DA">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A46DCA" w:rsidRPr="00AC137D" w:rsidRDefault="00A46DCA" w:rsidP="00A26D04">
            <w:pPr>
              <w:keepLines w:val="0"/>
              <w:autoSpaceDE w:val="0"/>
              <w:autoSpaceDN w:val="0"/>
              <w:adjustRightInd w:val="0"/>
              <w:rPr>
                <w:rFonts w:eastAsiaTheme="minorEastAsia" w:cs="Calibri"/>
                <w:color w:val="000000"/>
                <w:szCs w:val="20"/>
                <w:lang w:eastAsia="en-AU"/>
              </w:rPr>
            </w:pPr>
            <w:r w:rsidRPr="00AC137D">
              <w:rPr>
                <w:rFonts w:eastAsiaTheme="minorEastAsia" w:cs="Calibri"/>
                <w:color w:val="000000"/>
                <w:szCs w:val="20"/>
                <w:lang w:eastAsia="en-AU"/>
              </w:rPr>
              <w:t>General public services</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AC137D">
              <w:rPr>
                <w:rFonts w:eastAsiaTheme="minorEastAsia" w:cs="Calibri"/>
                <w:color w:val="000000"/>
                <w:szCs w:val="20"/>
                <w:lang w:eastAsia="en-AU"/>
              </w:rPr>
              <w:t>2 032</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AC137D">
              <w:rPr>
                <w:rFonts w:eastAsiaTheme="minorEastAsia" w:cs="Calibri"/>
                <w:color w:val="000000"/>
                <w:szCs w:val="20"/>
                <w:lang w:eastAsia="en-AU"/>
              </w:rPr>
              <w:t>2 122</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AC137D">
              <w:rPr>
                <w:rFonts w:eastAsiaTheme="minorEastAsia" w:cs="Calibri"/>
                <w:color w:val="000000"/>
                <w:szCs w:val="20"/>
                <w:lang w:eastAsia="en-AU"/>
              </w:rPr>
              <w:t>2 043</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AC137D">
              <w:rPr>
                <w:rFonts w:eastAsiaTheme="minorEastAsia" w:cs="Calibri"/>
                <w:color w:val="000000"/>
                <w:szCs w:val="20"/>
                <w:lang w:eastAsia="en-AU"/>
              </w:rPr>
              <w:t>1 926</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AC137D">
              <w:rPr>
                <w:rFonts w:eastAsiaTheme="minorEastAsia" w:cs="Calibri"/>
                <w:color w:val="000000"/>
                <w:szCs w:val="20"/>
                <w:lang w:eastAsia="en-AU"/>
              </w:rPr>
              <w:t>1 834</w:t>
            </w:r>
          </w:p>
        </w:tc>
      </w:tr>
      <w:tr w:rsidR="00A46DCA" w:rsidRPr="00AC137D" w:rsidTr="00A26D04">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A46DCA" w:rsidRPr="00AC137D" w:rsidRDefault="00A46DCA" w:rsidP="00A26D04">
            <w:pPr>
              <w:keepLines w:val="0"/>
              <w:autoSpaceDE w:val="0"/>
              <w:autoSpaceDN w:val="0"/>
              <w:adjustRightInd w:val="0"/>
              <w:rPr>
                <w:rFonts w:eastAsiaTheme="minorEastAsia" w:cs="Calibri"/>
                <w:color w:val="000000"/>
                <w:szCs w:val="20"/>
                <w:lang w:eastAsia="en-AU"/>
              </w:rPr>
            </w:pPr>
            <w:r w:rsidRPr="00AC137D">
              <w:rPr>
                <w:rFonts w:eastAsiaTheme="minorEastAsia" w:cs="Calibri"/>
                <w:color w:val="000000"/>
                <w:szCs w:val="20"/>
                <w:lang w:eastAsia="en-AU"/>
              </w:rPr>
              <w:t>Public order and safety</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AC137D">
              <w:rPr>
                <w:rFonts w:eastAsiaTheme="minorEastAsia" w:cs="Calibri"/>
                <w:color w:val="000000"/>
                <w:szCs w:val="20"/>
                <w:lang w:eastAsia="en-AU"/>
              </w:rPr>
              <w:t>9 684</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AC137D">
              <w:rPr>
                <w:rFonts w:eastAsiaTheme="minorEastAsia" w:cs="Calibri"/>
                <w:color w:val="000000"/>
                <w:szCs w:val="20"/>
                <w:lang w:eastAsia="en-AU"/>
              </w:rPr>
              <w:t>9 780</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AC137D">
              <w:rPr>
                <w:rFonts w:eastAsiaTheme="minorEastAsia" w:cs="Calibri"/>
                <w:color w:val="000000"/>
                <w:szCs w:val="20"/>
                <w:lang w:eastAsia="en-AU"/>
              </w:rPr>
              <w:t>10 103</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AC137D">
              <w:rPr>
                <w:rFonts w:eastAsiaTheme="minorEastAsia" w:cs="Calibri"/>
                <w:color w:val="000000"/>
                <w:szCs w:val="20"/>
                <w:lang w:eastAsia="en-AU"/>
              </w:rPr>
              <w:t>10 637</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AC137D">
              <w:rPr>
                <w:rFonts w:eastAsiaTheme="minorEastAsia" w:cs="Calibri"/>
                <w:color w:val="000000"/>
                <w:szCs w:val="20"/>
                <w:lang w:eastAsia="en-AU"/>
              </w:rPr>
              <w:t>10 670</w:t>
            </w:r>
          </w:p>
        </w:tc>
      </w:tr>
      <w:tr w:rsidR="00A46DCA" w:rsidRPr="00AC137D" w:rsidTr="00A26D04">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A46DCA" w:rsidRPr="00AC137D" w:rsidRDefault="00A46DCA" w:rsidP="00A26D04">
            <w:pPr>
              <w:keepLines w:val="0"/>
              <w:autoSpaceDE w:val="0"/>
              <w:autoSpaceDN w:val="0"/>
              <w:adjustRightInd w:val="0"/>
              <w:rPr>
                <w:rFonts w:eastAsiaTheme="minorEastAsia" w:cs="Calibri"/>
                <w:color w:val="000000"/>
                <w:szCs w:val="20"/>
                <w:lang w:eastAsia="en-AU"/>
              </w:rPr>
            </w:pPr>
            <w:r w:rsidRPr="00AC137D">
              <w:rPr>
                <w:rFonts w:eastAsiaTheme="minorEastAsia" w:cs="Calibri"/>
                <w:color w:val="000000"/>
                <w:szCs w:val="20"/>
                <w:lang w:eastAsia="en-AU"/>
              </w:rPr>
              <w:t>Education</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AC137D">
              <w:rPr>
                <w:rFonts w:eastAsiaTheme="minorEastAsia" w:cs="Calibri"/>
                <w:color w:val="000000"/>
                <w:szCs w:val="20"/>
                <w:lang w:eastAsia="en-AU"/>
              </w:rPr>
              <w:t>23 460</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AC137D">
              <w:rPr>
                <w:rFonts w:eastAsiaTheme="minorEastAsia" w:cs="Calibri"/>
                <w:color w:val="000000"/>
                <w:szCs w:val="20"/>
                <w:lang w:eastAsia="en-AU"/>
              </w:rPr>
              <w:t>23 592</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AC137D">
              <w:rPr>
                <w:rFonts w:eastAsiaTheme="minorEastAsia" w:cs="Calibri"/>
                <w:color w:val="000000"/>
                <w:szCs w:val="20"/>
                <w:lang w:eastAsia="en-AU"/>
              </w:rPr>
              <w:t>23 864</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AC137D">
              <w:rPr>
                <w:rFonts w:eastAsiaTheme="minorEastAsia" w:cs="Calibri"/>
                <w:color w:val="000000"/>
                <w:szCs w:val="20"/>
                <w:lang w:eastAsia="en-AU"/>
              </w:rPr>
              <w:t>24 810</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AC137D">
              <w:rPr>
                <w:rFonts w:eastAsiaTheme="minorEastAsia" w:cs="Calibri"/>
                <w:color w:val="000000"/>
                <w:szCs w:val="20"/>
                <w:lang w:eastAsia="en-AU"/>
              </w:rPr>
              <w:t>24 860</w:t>
            </w:r>
          </w:p>
        </w:tc>
      </w:tr>
      <w:tr w:rsidR="00A46DCA" w:rsidRPr="00AC137D" w:rsidTr="00A26D04">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A46DCA" w:rsidRPr="00AC137D" w:rsidRDefault="00A46DCA" w:rsidP="00A26D04">
            <w:pPr>
              <w:keepLines w:val="0"/>
              <w:autoSpaceDE w:val="0"/>
              <w:autoSpaceDN w:val="0"/>
              <w:adjustRightInd w:val="0"/>
              <w:rPr>
                <w:rFonts w:eastAsiaTheme="minorEastAsia" w:cs="Calibri"/>
                <w:color w:val="000000"/>
                <w:szCs w:val="20"/>
                <w:lang w:eastAsia="en-AU"/>
              </w:rPr>
            </w:pPr>
            <w:r w:rsidRPr="00AC137D">
              <w:rPr>
                <w:rFonts w:eastAsiaTheme="minorEastAsia" w:cs="Calibri"/>
                <w:color w:val="000000"/>
                <w:szCs w:val="20"/>
                <w:lang w:eastAsia="en-AU"/>
              </w:rPr>
              <w:t>Health</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AC137D">
              <w:rPr>
                <w:rFonts w:eastAsiaTheme="minorEastAsia" w:cs="Calibri"/>
                <w:color w:val="000000"/>
                <w:szCs w:val="20"/>
                <w:lang w:eastAsia="en-AU"/>
              </w:rPr>
              <w:t>14 804</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AC137D">
              <w:rPr>
                <w:rFonts w:eastAsiaTheme="minorEastAsia" w:cs="Calibri"/>
                <w:color w:val="000000"/>
                <w:szCs w:val="20"/>
                <w:lang w:eastAsia="en-AU"/>
              </w:rPr>
              <w:t>14 787</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AC137D">
              <w:rPr>
                <w:rFonts w:eastAsiaTheme="minorEastAsia" w:cs="Calibri"/>
                <w:color w:val="000000"/>
                <w:szCs w:val="20"/>
                <w:lang w:eastAsia="en-AU"/>
              </w:rPr>
              <w:t>14 536</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AC137D">
              <w:rPr>
                <w:rFonts w:eastAsiaTheme="minorEastAsia" w:cs="Calibri"/>
                <w:color w:val="000000"/>
                <w:szCs w:val="20"/>
                <w:lang w:eastAsia="en-AU"/>
              </w:rPr>
              <w:t>13 903</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AC137D">
              <w:rPr>
                <w:rFonts w:eastAsiaTheme="minorEastAsia" w:cs="Calibri"/>
                <w:color w:val="000000"/>
                <w:szCs w:val="20"/>
                <w:lang w:eastAsia="en-AU"/>
              </w:rPr>
              <w:t>13 285</w:t>
            </w:r>
          </w:p>
        </w:tc>
      </w:tr>
      <w:tr w:rsidR="00A46DCA" w:rsidRPr="00AC137D" w:rsidTr="00A26D04">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A46DCA" w:rsidRPr="00AC137D" w:rsidRDefault="00A46DCA" w:rsidP="00A26D04">
            <w:pPr>
              <w:keepLines w:val="0"/>
              <w:autoSpaceDE w:val="0"/>
              <w:autoSpaceDN w:val="0"/>
              <w:adjustRightInd w:val="0"/>
              <w:rPr>
                <w:rFonts w:eastAsiaTheme="minorEastAsia" w:cs="Calibri"/>
                <w:color w:val="000000"/>
                <w:szCs w:val="20"/>
                <w:lang w:eastAsia="en-AU"/>
              </w:rPr>
            </w:pPr>
            <w:r w:rsidRPr="00AC137D">
              <w:rPr>
                <w:rFonts w:eastAsiaTheme="minorEastAsia" w:cs="Calibri"/>
                <w:color w:val="000000"/>
                <w:szCs w:val="20"/>
                <w:lang w:eastAsia="en-AU"/>
              </w:rPr>
              <w:t>Social security and welfare</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AC137D">
              <w:rPr>
                <w:rFonts w:eastAsiaTheme="minorEastAsia" w:cs="Calibri"/>
                <w:color w:val="000000"/>
                <w:szCs w:val="20"/>
                <w:lang w:eastAsia="en-AU"/>
              </w:rPr>
              <w:t>2 183</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AC137D">
              <w:rPr>
                <w:rFonts w:eastAsiaTheme="minorEastAsia" w:cs="Calibri"/>
                <w:color w:val="000000"/>
                <w:szCs w:val="20"/>
                <w:lang w:eastAsia="en-AU"/>
              </w:rPr>
              <w:t>2 224</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AC137D">
              <w:rPr>
                <w:rFonts w:eastAsiaTheme="minorEastAsia" w:cs="Calibri"/>
                <w:color w:val="000000"/>
                <w:szCs w:val="20"/>
                <w:lang w:eastAsia="en-AU"/>
              </w:rPr>
              <w:t>2 255</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AC137D">
              <w:rPr>
                <w:rFonts w:eastAsiaTheme="minorEastAsia" w:cs="Calibri"/>
                <w:color w:val="000000"/>
                <w:szCs w:val="20"/>
                <w:lang w:eastAsia="en-AU"/>
              </w:rPr>
              <w:t>2 285</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AC137D">
              <w:rPr>
                <w:rFonts w:eastAsiaTheme="minorEastAsia" w:cs="Calibri"/>
                <w:color w:val="000000"/>
                <w:szCs w:val="20"/>
                <w:lang w:eastAsia="en-AU"/>
              </w:rPr>
              <w:t>2 313</w:t>
            </w:r>
          </w:p>
        </w:tc>
      </w:tr>
      <w:tr w:rsidR="00A46DCA" w:rsidRPr="00AC137D" w:rsidTr="00A26D04">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A46DCA" w:rsidRPr="00AC137D" w:rsidRDefault="00A46DCA" w:rsidP="00A26D04">
            <w:pPr>
              <w:keepLines w:val="0"/>
              <w:autoSpaceDE w:val="0"/>
              <w:autoSpaceDN w:val="0"/>
              <w:adjustRightInd w:val="0"/>
              <w:rPr>
                <w:rFonts w:eastAsiaTheme="minorEastAsia" w:cs="Calibri"/>
                <w:color w:val="000000"/>
                <w:szCs w:val="20"/>
                <w:lang w:eastAsia="en-AU"/>
              </w:rPr>
            </w:pPr>
            <w:r w:rsidRPr="00AC137D">
              <w:rPr>
                <w:rFonts w:eastAsiaTheme="minorEastAsia" w:cs="Calibri"/>
                <w:color w:val="000000"/>
                <w:szCs w:val="20"/>
                <w:lang w:eastAsia="en-AU"/>
              </w:rPr>
              <w:t>Housing and community amenities</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AC137D">
              <w:rPr>
                <w:rFonts w:eastAsiaTheme="minorEastAsia" w:cs="Calibri"/>
                <w:color w:val="000000"/>
                <w:szCs w:val="20"/>
                <w:lang w:eastAsia="en-AU"/>
              </w:rPr>
              <w:t>9 897</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AC137D">
              <w:rPr>
                <w:rFonts w:eastAsiaTheme="minorEastAsia" w:cs="Calibri"/>
                <w:color w:val="000000"/>
                <w:szCs w:val="20"/>
                <w:lang w:eastAsia="en-AU"/>
              </w:rPr>
              <w:t>9 902</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AC137D">
              <w:rPr>
                <w:rFonts w:eastAsiaTheme="minorEastAsia" w:cs="Calibri"/>
                <w:color w:val="000000"/>
                <w:szCs w:val="20"/>
                <w:lang w:eastAsia="en-AU"/>
              </w:rPr>
              <w:t>10 528</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AC137D">
              <w:rPr>
                <w:rFonts w:eastAsiaTheme="minorEastAsia" w:cs="Calibri"/>
                <w:color w:val="000000"/>
                <w:szCs w:val="20"/>
                <w:lang w:eastAsia="en-AU"/>
              </w:rPr>
              <w:t>12 178</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AC137D">
              <w:rPr>
                <w:rFonts w:eastAsiaTheme="minorEastAsia" w:cs="Calibri"/>
                <w:color w:val="000000"/>
                <w:szCs w:val="20"/>
                <w:lang w:eastAsia="en-AU"/>
              </w:rPr>
              <w:t>12 680</w:t>
            </w:r>
          </w:p>
        </w:tc>
      </w:tr>
      <w:tr w:rsidR="00A46DCA" w:rsidRPr="00AC137D" w:rsidTr="00A26D04">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A46DCA" w:rsidRPr="00AC137D" w:rsidRDefault="00A46DCA" w:rsidP="00A26D04">
            <w:pPr>
              <w:keepLines w:val="0"/>
              <w:autoSpaceDE w:val="0"/>
              <w:autoSpaceDN w:val="0"/>
              <w:adjustRightInd w:val="0"/>
              <w:rPr>
                <w:rFonts w:eastAsiaTheme="minorEastAsia" w:cs="Calibri"/>
                <w:color w:val="000000"/>
                <w:szCs w:val="20"/>
                <w:lang w:eastAsia="en-AU"/>
              </w:rPr>
            </w:pPr>
            <w:r w:rsidRPr="00AC137D">
              <w:rPr>
                <w:rFonts w:eastAsiaTheme="minorEastAsia" w:cs="Calibri"/>
                <w:color w:val="000000"/>
                <w:szCs w:val="20"/>
                <w:lang w:eastAsia="en-AU"/>
              </w:rPr>
              <w:t>Recreation and culture</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AC137D">
              <w:rPr>
                <w:rFonts w:eastAsiaTheme="minorEastAsia" w:cs="Calibri"/>
                <w:color w:val="000000"/>
                <w:szCs w:val="20"/>
                <w:lang w:eastAsia="en-AU"/>
              </w:rPr>
              <w:t>9 545</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AC137D">
              <w:rPr>
                <w:rFonts w:eastAsiaTheme="minorEastAsia" w:cs="Calibri"/>
                <w:color w:val="000000"/>
                <w:szCs w:val="20"/>
                <w:lang w:eastAsia="en-AU"/>
              </w:rPr>
              <w:t>9 543</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AC137D">
              <w:rPr>
                <w:rFonts w:eastAsiaTheme="minorEastAsia" w:cs="Calibri"/>
                <w:color w:val="000000"/>
                <w:szCs w:val="20"/>
                <w:lang w:eastAsia="en-AU"/>
              </w:rPr>
              <w:t>9 542</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AC137D">
              <w:rPr>
                <w:rFonts w:eastAsiaTheme="minorEastAsia" w:cs="Calibri"/>
                <w:color w:val="000000"/>
                <w:szCs w:val="20"/>
                <w:lang w:eastAsia="en-AU"/>
              </w:rPr>
              <w:t>9 491</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AC137D">
              <w:rPr>
                <w:rFonts w:eastAsiaTheme="minorEastAsia" w:cs="Calibri"/>
                <w:color w:val="000000"/>
                <w:szCs w:val="20"/>
                <w:lang w:eastAsia="en-AU"/>
              </w:rPr>
              <w:t>9 432</w:t>
            </w:r>
          </w:p>
        </w:tc>
      </w:tr>
      <w:tr w:rsidR="00A46DCA" w:rsidRPr="00AC137D" w:rsidTr="00A26D04">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A46DCA" w:rsidRPr="00AC137D" w:rsidRDefault="00A46DCA" w:rsidP="00A26D04">
            <w:pPr>
              <w:keepLines w:val="0"/>
              <w:autoSpaceDE w:val="0"/>
              <w:autoSpaceDN w:val="0"/>
              <w:adjustRightInd w:val="0"/>
              <w:rPr>
                <w:rFonts w:eastAsiaTheme="minorEastAsia" w:cs="Calibri"/>
                <w:color w:val="000000"/>
                <w:szCs w:val="20"/>
                <w:lang w:eastAsia="en-AU"/>
              </w:rPr>
            </w:pPr>
            <w:r w:rsidRPr="00AC137D">
              <w:rPr>
                <w:rFonts w:eastAsiaTheme="minorEastAsia" w:cs="Calibri"/>
                <w:color w:val="000000"/>
                <w:szCs w:val="20"/>
                <w:lang w:eastAsia="en-AU"/>
              </w:rPr>
              <w:t>Fuel and energy</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Pr>
                <w:rFonts w:eastAsiaTheme="minorEastAsia" w:cs="Calibri"/>
                <w:color w:val="000000"/>
                <w:szCs w:val="20"/>
                <w:lang w:eastAsia="en-AU"/>
              </w:rPr>
              <w:t>25</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Pr>
                <w:rFonts w:eastAsiaTheme="minorEastAsia" w:cs="Calibri"/>
                <w:color w:val="000000"/>
                <w:szCs w:val="20"/>
                <w:lang w:eastAsia="en-AU"/>
              </w:rPr>
              <w:t>25</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Pr>
                <w:rFonts w:eastAsiaTheme="minorEastAsia" w:cs="Calibri"/>
                <w:color w:val="000000"/>
                <w:szCs w:val="20"/>
                <w:lang w:eastAsia="en-AU"/>
              </w:rPr>
              <w:t>26</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Pr>
                <w:rFonts w:eastAsiaTheme="minorEastAsia" w:cs="Calibri"/>
                <w:color w:val="000000"/>
                <w:szCs w:val="20"/>
                <w:lang w:eastAsia="en-AU"/>
              </w:rPr>
              <w:t>26</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Pr>
                <w:rFonts w:eastAsiaTheme="minorEastAsia" w:cs="Calibri"/>
                <w:color w:val="000000"/>
                <w:szCs w:val="20"/>
                <w:lang w:eastAsia="en-AU"/>
              </w:rPr>
              <w:t>25</w:t>
            </w:r>
          </w:p>
        </w:tc>
      </w:tr>
      <w:tr w:rsidR="00A46DCA" w:rsidRPr="00AC137D" w:rsidTr="00A26D04">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A46DCA" w:rsidRPr="00AC137D" w:rsidRDefault="00A46DCA" w:rsidP="00A26D04">
            <w:pPr>
              <w:keepLines w:val="0"/>
              <w:autoSpaceDE w:val="0"/>
              <w:autoSpaceDN w:val="0"/>
              <w:adjustRightInd w:val="0"/>
              <w:rPr>
                <w:rFonts w:eastAsiaTheme="minorEastAsia" w:cs="Calibri"/>
                <w:color w:val="000000"/>
                <w:szCs w:val="20"/>
                <w:lang w:eastAsia="en-AU"/>
              </w:rPr>
            </w:pPr>
            <w:r w:rsidRPr="00AC137D">
              <w:rPr>
                <w:rFonts w:eastAsiaTheme="minorEastAsia" w:cs="Calibri"/>
                <w:color w:val="000000"/>
                <w:szCs w:val="20"/>
                <w:lang w:eastAsia="en-AU"/>
              </w:rPr>
              <w:t>Agriculture, forestry, fishing, and hunting</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Pr>
                <w:rFonts w:eastAsiaTheme="minorEastAsia" w:cs="Calibri"/>
                <w:color w:val="000000"/>
                <w:szCs w:val="20"/>
                <w:lang w:eastAsia="en-AU"/>
              </w:rPr>
              <w:t>504</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Pr>
                <w:rFonts w:eastAsiaTheme="minorEastAsia" w:cs="Calibri"/>
                <w:color w:val="000000"/>
                <w:szCs w:val="20"/>
                <w:lang w:eastAsia="en-AU"/>
              </w:rPr>
              <w:t>522</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Pr>
                <w:rFonts w:eastAsiaTheme="minorEastAsia" w:cs="Calibri"/>
                <w:color w:val="000000"/>
                <w:szCs w:val="20"/>
                <w:lang w:eastAsia="en-AU"/>
              </w:rPr>
              <w:t>496</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Pr>
                <w:rFonts w:eastAsiaTheme="minorEastAsia" w:cs="Calibri"/>
                <w:color w:val="000000"/>
                <w:szCs w:val="20"/>
                <w:lang w:eastAsia="en-AU"/>
              </w:rPr>
              <w:t>469</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Pr>
                <w:rFonts w:eastAsiaTheme="minorEastAsia" w:cs="Calibri"/>
                <w:color w:val="000000"/>
                <w:szCs w:val="20"/>
                <w:lang w:eastAsia="en-AU"/>
              </w:rPr>
              <w:t>442</w:t>
            </w:r>
          </w:p>
        </w:tc>
      </w:tr>
      <w:tr w:rsidR="00A46DCA" w:rsidRPr="00AC137D" w:rsidTr="00A26D04">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A46DCA" w:rsidRPr="00AC137D" w:rsidRDefault="00A46DCA" w:rsidP="00A26D04">
            <w:pPr>
              <w:keepLines w:val="0"/>
              <w:autoSpaceDE w:val="0"/>
              <w:autoSpaceDN w:val="0"/>
              <w:adjustRightInd w:val="0"/>
              <w:rPr>
                <w:rFonts w:eastAsiaTheme="minorEastAsia" w:cs="Calibri"/>
                <w:color w:val="000000"/>
                <w:szCs w:val="20"/>
                <w:lang w:eastAsia="en-AU"/>
              </w:rPr>
            </w:pPr>
            <w:r w:rsidRPr="00AC137D">
              <w:rPr>
                <w:rFonts w:eastAsiaTheme="minorEastAsia" w:cs="Calibri"/>
                <w:color w:val="000000"/>
                <w:szCs w:val="20"/>
                <w:lang w:eastAsia="en-AU"/>
              </w:rPr>
              <w:t>Transport and communications</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AC137D">
              <w:rPr>
                <w:rFonts w:eastAsiaTheme="minorEastAsia" w:cs="Calibri"/>
                <w:color w:val="000000"/>
                <w:szCs w:val="20"/>
                <w:lang w:eastAsia="en-AU"/>
              </w:rPr>
              <w:t>58 327</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AC137D">
              <w:rPr>
                <w:rFonts w:eastAsiaTheme="minorEastAsia" w:cs="Calibri"/>
                <w:color w:val="000000"/>
                <w:szCs w:val="20"/>
                <w:lang w:eastAsia="en-AU"/>
              </w:rPr>
              <w:t>58 320</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AC137D">
              <w:rPr>
                <w:rFonts w:eastAsiaTheme="minorEastAsia" w:cs="Calibri"/>
                <w:color w:val="000000"/>
                <w:szCs w:val="20"/>
                <w:lang w:eastAsia="en-AU"/>
              </w:rPr>
              <w:t>59 873</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AC137D">
              <w:rPr>
                <w:rFonts w:eastAsiaTheme="minorEastAsia" w:cs="Calibri"/>
                <w:color w:val="000000"/>
                <w:szCs w:val="20"/>
                <w:lang w:eastAsia="en-AU"/>
              </w:rPr>
              <w:t>66 915</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AC137D">
              <w:rPr>
                <w:rFonts w:eastAsiaTheme="minorEastAsia" w:cs="Calibri"/>
                <w:color w:val="000000"/>
                <w:szCs w:val="20"/>
                <w:lang w:eastAsia="en-AU"/>
              </w:rPr>
              <w:t>68 232</w:t>
            </w:r>
          </w:p>
        </w:tc>
      </w:tr>
      <w:tr w:rsidR="00A46DCA" w:rsidRPr="00AC137D" w:rsidTr="00A26D04">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A46DCA" w:rsidRPr="00AC137D" w:rsidRDefault="00A46DCA" w:rsidP="00A26D04">
            <w:pPr>
              <w:keepLines w:val="0"/>
              <w:autoSpaceDE w:val="0"/>
              <w:autoSpaceDN w:val="0"/>
              <w:adjustRightInd w:val="0"/>
              <w:rPr>
                <w:rFonts w:eastAsiaTheme="minorEastAsia" w:cs="Calibri"/>
                <w:color w:val="000000"/>
                <w:szCs w:val="20"/>
                <w:lang w:eastAsia="en-AU"/>
              </w:rPr>
            </w:pPr>
            <w:r w:rsidRPr="00AC137D">
              <w:rPr>
                <w:rFonts w:eastAsiaTheme="minorEastAsia" w:cs="Calibri"/>
                <w:color w:val="000000"/>
                <w:szCs w:val="20"/>
                <w:lang w:eastAsia="en-AU"/>
              </w:rPr>
              <w:t>Other economic affairs</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Pr>
                <w:rFonts w:eastAsiaTheme="minorEastAsia" w:cs="Calibri"/>
                <w:color w:val="000000"/>
                <w:szCs w:val="20"/>
                <w:lang w:eastAsia="en-AU"/>
              </w:rPr>
              <w:t>532</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Pr>
                <w:rFonts w:eastAsiaTheme="minorEastAsia" w:cs="Calibri"/>
                <w:color w:val="000000"/>
                <w:szCs w:val="20"/>
                <w:lang w:eastAsia="en-AU"/>
              </w:rPr>
              <w:t>558</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Pr>
                <w:rFonts w:eastAsiaTheme="minorEastAsia" w:cs="Calibri"/>
                <w:color w:val="000000"/>
                <w:szCs w:val="20"/>
                <w:lang w:eastAsia="en-AU"/>
              </w:rPr>
              <w:t>383</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Pr>
                <w:rFonts w:eastAsiaTheme="minorEastAsia" w:cs="Calibri"/>
                <w:color w:val="000000"/>
                <w:szCs w:val="20"/>
                <w:lang w:eastAsia="en-AU"/>
              </w:rPr>
              <w:t>391</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Pr>
                <w:rFonts w:eastAsiaTheme="minorEastAsia" w:cs="Calibri"/>
                <w:color w:val="000000"/>
                <w:szCs w:val="20"/>
                <w:lang w:eastAsia="en-AU"/>
              </w:rPr>
              <w:t>390</w:t>
            </w:r>
          </w:p>
        </w:tc>
      </w:tr>
      <w:tr w:rsidR="00A46DCA" w:rsidRPr="00AC137D" w:rsidTr="00A26D04">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A46DCA" w:rsidRPr="00AC137D" w:rsidRDefault="00A46DCA" w:rsidP="00A26D04">
            <w:pPr>
              <w:keepLines w:val="0"/>
              <w:autoSpaceDE w:val="0"/>
              <w:autoSpaceDN w:val="0"/>
              <w:adjustRightInd w:val="0"/>
              <w:rPr>
                <w:rFonts w:eastAsiaTheme="minorEastAsia" w:cs="Calibri"/>
                <w:color w:val="000000"/>
                <w:szCs w:val="20"/>
                <w:lang w:eastAsia="en-AU"/>
              </w:rPr>
            </w:pPr>
            <w:r w:rsidRPr="00AC137D">
              <w:rPr>
                <w:rFonts w:eastAsiaTheme="minorEastAsia" w:cs="Calibri"/>
                <w:color w:val="000000"/>
                <w:szCs w:val="20"/>
                <w:lang w:eastAsia="en-AU"/>
              </w:rPr>
              <w:t xml:space="preserve">Other purposes </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Pr>
                <w:rFonts w:eastAsiaTheme="minorEastAsia" w:cs="Calibri"/>
                <w:color w:val="000000"/>
                <w:szCs w:val="20"/>
                <w:lang w:eastAsia="en-AU"/>
              </w:rPr>
              <w:t>6</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Pr>
                <w:rFonts w:eastAsiaTheme="minorEastAsia" w:cs="Calibri"/>
                <w:color w:val="000000"/>
                <w:szCs w:val="20"/>
                <w:lang w:eastAsia="en-AU"/>
              </w:rPr>
              <w:t>6</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Pr>
                <w:rFonts w:eastAsiaTheme="minorEastAsia" w:cs="Calibri"/>
                <w:color w:val="000000"/>
                <w:szCs w:val="20"/>
                <w:lang w:eastAsia="en-AU"/>
              </w:rPr>
              <w:t>6</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Pr>
                <w:rFonts w:eastAsiaTheme="minorEastAsia" w:cs="Calibri"/>
                <w:color w:val="000000"/>
                <w:szCs w:val="20"/>
                <w:lang w:eastAsia="en-AU"/>
              </w:rPr>
              <w:t>6</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Pr>
                <w:rFonts w:eastAsiaTheme="minorEastAsia" w:cs="Calibri"/>
                <w:color w:val="000000"/>
                <w:szCs w:val="20"/>
                <w:lang w:eastAsia="en-AU"/>
              </w:rPr>
              <w:t>6</w:t>
            </w:r>
          </w:p>
        </w:tc>
      </w:tr>
      <w:tr w:rsidR="00A46DCA" w:rsidRPr="00AC137D" w:rsidTr="00A26D04">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single" w:sz="6" w:space="0" w:color="auto"/>
              <w:right w:val="nil"/>
            </w:tcBorders>
          </w:tcPr>
          <w:p w:rsidR="00A46DCA" w:rsidRPr="00AC137D" w:rsidRDefault="00A46DCA" w:rsidP="00A26D04">
            <w:pPr>
              <w:keepLines w:val="0"/>
              <w:autoSpaceDE w:val="0"/>
              <w:autoSpaceDN w:val="0"/>
              <w:adjustRightInd w:val="0"/>
              <w:rPr>
                <w:rFonts w:eastAsiaTheme="minorEastAsia" w:cs="Calibri"/>
                <w:color w:val="000000"/>
                <w:szCs w:val="20"/>
                <w:vertAlign w:val="superscript"/>
                <w:lang w:eastAsia="en-AU"/>
              </w:rPr>
            </w:pPr>
            <w:r w:rsidRPr="00AC137D">
              <w:rPr>
                <w:rFonts w:eastAsiaTheme="minorEastAsia" w:cs="Calibri"/>
                <w:color w:val="000000"/>
                <w:szCs w:val="20"/>
                <w:lang w:eastAsia="en-AU"/>
              </w:rPr>
              <w:t>Not allocated by purpose</w:t>
            </w:r>
            <w:r w:rsidR="002677DA">
              <w:rPr>
                <w:rFonts w:eastAsiaTheme="minorEastAsia" w:cs="Calibri"/>
                <w:color w:val="000000"/>
                <w:szCs w:val="20"/>
                <w:lang w:eastAsia="en-AU"/>
              </w:rPr>
              <w:t xml:space="preserve"> </w:t>
            </w:r>
            <w:r w:rsidRPr="00AC137D">
              <w:rPr>
                <w:rFonts w:eastAsiaTheme="minorEastAsia" w:cs="Calibri"/>
                <w:color w:val="000000"/>
                <w:szCs w:val="20"/>
                <w:vertAlign w:val="superscript"/>
                <w:lang w:eastAsia="en-AU"/>
              </w:rPr>
              <w:t>(b)</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AC137D">
              <w:rPr>
                <w:rFonts w:eastAsiaTheme="minorEastAsia" w:cs="Calibri"/>
                <w:color w:val="000000"/>
                <w:szCs w:val="20"/>
                <w:lang w:eastAsia="en-AU"/>
              </w:rPr>
              <w:t>119 854</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AC137D">
              <w:rPr>
                <w:rFonts w:eastAsiaTheme="minorEastAsia" w:cs="Calibri"/>
                <w:color w:val="000000"/>
                <w:szCs w:val="20"/>
                <w:lang w:eastAsia="en-AU"/>
              </w:rPr>
              <w:t>119 450</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AC137D">
              <w:rPr>
                <w:rFonts w:eastAsiaTheme="minorEastAsia" w:cs="Calibri"/>
                <w:color w:val="000000"/>
                <w:szCs w:val="20"/>
                <w:lang w:eastAsia="en-AU"/>
              </w:rPr>
              <w:t>123 244</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AC137D">
              <w:rPr>
                <w:rFonts w:eastAsiaTheme="minorEastAsia" w:cs="Calibri"/>
                <w:color w:val="000000"/>
                <w:szCs w:val="20"/>
                <w:lang w:eastAsia="en-AU"/>
              </w:rPr>
              <w:t>126 077</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AC137D">
              <w:rPr>
                <w:rFonts w:eastAsiaTheme="minorEastAsia" w:cs="Calibri"/>
                <w:color w:val="000000"/>
                <w:szCs w:val="20"/>
                <w:lang w:eastAsia="en-AU"/>
              </w:rPr>
              <w:t>129 854</w:t>
            </w:r>
          </w:p>
        </w:tc>
      </w:tr>
      <w:tr w:rsidR="00A46DCA" w:rsidRPr="00AC137D" w:rsidTr="00A26D04">
        <w:tc>
          <w:tcPr>
            <w:cnfStyle w:val="001000000000" w:firstRow="0" w:lastRow="0" w:firstColumn="1" w:lastColumn="0" w:oddVBand="0" w:evenVBand="0" w:oddHBand="0" w:evenHBand="0" w:firstRowFirstColumn="0" w:firstRowLastColumn="0" w:lastRowFirstColumn="0" w:lastRowLastColumn="0"/>
            <w:tcW w:w="3515" w:type="dxa"/>
            <w:tcBorders>
              <w:top w:val="single" w:sz="6" w:space="0" w:color="auto"/>
              <w:left w:val="nil"/>
              <w:bottom w:val="single" w:sz="12" w:space="0" w:color="auto"/>
              <w:right w:val="nil"/>
            </w:tcBorders>
          </w:tcPr>
          <w:p w:rsidR="00A46DCA" w:rsidRPr="00AC137D" w:rsidRDefault="00A46DCA" w:rsidP="00A26D04">
            <w:pPr>
              <w:keepLines w:val="0"/>
              <w:autoSpaceDE w:val="0"/>
              <w:autoSpaceDN w:val="0"/>
              <w:adjustRightInd w:val="0"/>
              <w:rPr>
                <w:rFonts w:eastAsiaTheme="minorEastAsia" w:cs="Calibri"/>
                <w:b/>
                <w:bCs/>
                <w:color w:val="000000"/>
                <w:szCs w:val="20"/>
                <w:lang w:eastAsia="en-AU"/>
              </w:rPr>
            </w:pPr>
            <w:r w:rsidRPr="00AC137D">
              <w:rPr>
                <w:rFonts w:eastAsiaTheme="minorEastAsia" w:cs="Calibri"/>
                <w:b/>
                <w:bCs/>
                <w:color w:val="000000"/>
                <w:szCs w:val="20"/>
                <w:lang w:eastAsia="en-AU"/>
              </w:rPr>
              <w:t>Total assets</w:t>
            </w:r>
          </w:p>
        </w:tc>
        <w:tc>
          <w:tcPr>
            <w:tcW w:w="850" w:type="dxa"/>
            <w:tcBorders>
              <w:top w:val="single" w:sz="6" w:space="0" w:color="auto"/>
              <w:left w:val="nil"/>
              <w:bottom w:val="single" w:sz="12" w:space="0" w:color="auto"/>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0"/>
                <w:lang w:eastAsia="en-AU"/>
              </w:rPr>
            </w:pPr>
            <w:r w:rsidRPr="00AC137D">
              <w:rPr>
                <w:rFonts w:eastAsiaTheme="minorEastAsia" w:cs="Calibri"/>
                <w:b/>
                <w:bCs/>
                <w:color w:val="000000"/>
                <w:szCs w:val="20"/>
                <w:lang w:eastAsia="en-AU"/>
              </w:rPr>
              <w:t>250 854</w:t>
            </w:r>
          </w:p>
        </w:tc>
        <w:tc>
          <w:tcPr>
            <w:tcW w:w="850" w:type="dxa"/>
            <w:tcBorders>
              <w:top w:val="single" w:sz="6" w:space="0" w:color="auto"/>
              <w:left w:val="nil"/>
              <w:bottom w:val="single" w:sz="12" w:space="0" w:color="auto"/>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0"/>
                <w:lang w:eastAsia="en-AU"/>
              </w:rPr>
            </w:pPr>
            <w:r w:rsidRPr="00AC137D">
              <w:rPr>
                <w:rFonts w:eastAsiaTheme="minorEastAsia" w:cs="Calibri"/>
                <w:b/>
                <w:bCs/>
                <w:color w:val="000000"/>
                <w:szCs w:val="20"/>
                <w:lang w:eastAsia="en-AU"/>
              </w:rPr>
              <w:t>250 832</w:t>
            </w:r>
          </w:p>
        </w:tc>
        <w:tc>
          <w:tcPr>
            <w:tcW w:w="850" w:type="dxa"/>
            <w:tcBorders>
              <w:top w:val="single" w:sz="6" w:space="0" w:color="auto"/>
              <w:left w:val="nil"/>
              <w:bottom w:val="single" w:sz="12" w:space="0" w:color="auto"/>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0"/>
                <w:lang w:eastAsia="en-AU"/>
              </w:rPr>
            </w:pPr>
            <w:r w:rsidRPr="00AC137D">
              <w:rPr>
                <w:rFonts w:eastAsiaTheme="minorEastAsia" w:cs="Calibri"/>
                <w:b/>
                <w:bCs/>
                <w:color w:val="000000"/>
                <w:szCs w:val="20"/>
                <w:lang w:eastAsia="en-AU"/>
              </w:rPr>
              <w:t>256 900</w:t>
            </w:r>
          </w:p>
        </w:tc>
        <w:tc>
          <w:tcPr>
            <w:tcW w:w="850" w:type="dxa"/>
            <w:tcBorders>
              <w:top w:val="single" w:sz="6" w:space="0" w:color="auto"/>
              <w:left w:val="nil"/>
              <w:bottom w:val="single" w:sz="12" w:space="0" w:color="auto"/>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0"/>
                <w:lang w:eastAsia="en-AU"/>
              </w:rPr>
            </w:pPr>
            <w:r w:rsidRPr="00AC137D">
              <w:rPr>
                <w:rFonts w:eastAsiaTheme="minorEastAsia" w:cs="Calibri"/>
                <w:b/>
                <w:bCs/>
                <w:color w:val="000000"/>
                <w:szCs w:val="20"/>
                <w:lang w:eastAsia="en-AU"/>
              </w:rPr>
              <w:t>269 115</w:t>
            </w:r>
          </w:p>
        </w:tc>
        <w:tc>
          <w:tcPr>
            <w:tcW w:w="850" w:type="dxa"/>
            <w:tcBorders>
              <w:top w:val="single" w:sz="6" w:space="0" w:color="auto"/>
              <w:left w:val="nil"/>
              <w:bottom w:val="single" w:sz="12" w:space="0" w:color="auto"/>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0"/>
                <w:lang w:eastAsia="en-AU"/>
              </w:rPr>
            </w:pPr>
            <w:r w:rsidRPr="00AC137D">
              <w:rPr>
                <w:rFonts w:eastAsiaTheme="minorEastAsia" w:cs="Calibri"/>
                <w:b/>
                <w:bCs/>
                <w:color w:val="000000"/>
                <w:szCs w:val="20"/>
                <w:lang w:eastAsia="en-AU"/>
              </w:rPr>
              <w:t>274 024</w:t>
            </w:r>
          </w:p>
        </w:tc>
      </w:tr>
    </w:tbl>
    <w:p w:rsidR="00A46DCA" w:rsidRDefault="00A46DCA" w:rsidP="00A26D04">
      <w:pPr>
        <w:pStyle w:val="Source"/>
      </w:pPr>
      <w:r w:rsidRPr="00D87D22">
        <w:t>Source: Department of Treasury and Finance</w:t>
      </w:r>
    </w:p>
    <w:p w:rsidR="00A46DCA" w:rsidRDefault="00A46DCA" w:rsidP="00A26D04">
      <w:pPr>
        <w:pStyle w:val="Note"/>
      </w:pPr>
      <w:r>
        <w:t>Notes:</w:t>
      </w:r>
    </w:p>
    <w:p w:rsidR="00A46DCA" w:rsidRDefault="00A46DCA" w:rsidP="00A26D04">
      <w:pPr>
        <w:pStyle w:val="Note"/>
      </w:pPr>
      <w:r>
        <w:t>(a)</w:t>
      </w:r>
      <w:r>
        <w:tab/>
        <w:t xml:space="preserve">Note 3.6 of the </w:t>
      </w:r>
      <w:r w:rsidRPr="00FB75AD">
        <w:rPr>
          <w:i w:val="0"/>
        </w:rPr>
        <w:t>201</w:t>
      </w:r>
      <w:r>
        <w:rPr>
          <w:i w:val="0"/>
        </w:rPr>
        <w:t>6-17</w:t>
      </w:r>
      <w:r w:rsidRPr="00FB75AD">
        <w:rPr>
          <w:i w:val="0"/>
        </w:rPr>
        <w:t xml:space="preserve"> Financial Report</w:t>
      </w:r>
      <w:r>
        <w:t xml:space="preserve"> for the State of Victoria provides definitions and descriptions of government purpose classifications.</w:t>
      </w:r>
    </w:p>
    <w:p w:rsidR="00A46DCA" w:rsidRPr="002F552E" w:rsidRDefault="00A46DCA" w:rsidP="00A26D04">
      <w:pPr>
        <w:pStyle w:val="Note"/>
      </w:pPr>
      <w:r>
        <w:t>(b)</w:t>
      </w:r>
      <w:r>
        <w:tab/>
        <w:t>Represents financial assets which are not able to be allocated by purpose. This mainly includes balances relating to the general government sector’s investment in other sector entities.</w:t>
      </w:r>
    </w:p>
    <w:bookmarkEnd w:id="40"/>
    <w:p w:rsidR="00A46DCA" w:rsidRDefault="00A46DCA" w:rsidP="00A26D04">
      <w:pPr>
        <w:pStyle w:val="Heading2"/>
        <w:pageBreakBefore/>
        <w:numPr>
          <w:ilvl w:val="1"/>
          <w:numId w:val="19"/>
        </w:numPr>
      </w:pPr>
      <w:r>
        <w:lastRenderedPageBreak/>
        <w:t>FINANCING STATE OPERATIONS</w:t>
      </w:r>
    </w:p>
    <w:p w:rsidR="00A46DCA" w:rsidRDefault="00A46DCA" w:rsidP="00A26D04">
      <w:pPr>
        <w:pStyle w:val="Heading20"/>
        <w:sectPr w:rsidR="00A46DCA" w:rsidSect="00A26D04">
          <w:type w:val="continuous"/>
          <w:pgSz w:w="9979" w:h="14175" w:code="9"/>
          <w:pgMar w:top="850" w:right="1134" w:bottom="850" w:left="1134" w:header="624" w:footer="567" w:gutter="0"/>
          <w:cols w:sep="1" w:space="567"/>
          <w:docGrid w:linePitch="360"/>
        </w:sectPr>
      </w:pPr>
    </w:p>
    <w:p w:rsidR="00A46DCA" w:rsidRDefault="00A46DCA" w:rsidP="00A26D04">
      <w:pPr>
        <w:pStyle w:val="Heading30"/>
        <w:pBdr>
          <w:bottom w:val="single" w:sz="4" w:space="1" w:color="auto"/>
        </w:pBdr>
      </w:pPr>
      <w:r>
        <w:lastRenderedPageBreak/>
        <w:t>Introduction</w:t>
      </w:r>
    </w:p>
    <w:p w:rsidR="00A46DCA" w:rsidRDefault="00A46DCA" w:rsidP="00A26D04">
      <w:r>
        <w:t xml:space="preserve">State operations are financed through a variety of means. Recurrent operations are generally financed from cash flows from operating activities (see consolidated cash flow statement). Asset investment operations are generally financed from a combination of surplus cash flows from operating activities, asset sales, advances and borrowings. </w:t>
      </w:r>
    </w:p>
    <w:p w:rsidR="00A46DCA" w:rsidRDefault="00A46DCA" w:rsidP="00A26D04">
      <w:r>
        <w:t>This section provides information on the balances related to the financing of the general government sector’s operations.</w:t>
      </w:r>
    </w:p>
    <w:p w:rsidR="00A46DCA" w:rsidRDefault="00A46DCA" w:rsidP="00A26D04"/>
    <w:p w:rsidR="00A46DCA" w:rsidRDefault="00A46DCA" w:rsidP="00A26D04">
      <w:pPr>
        <w:pStyle w:val="Heading30"/>
        <w:pBdr>
          <w:bottom w:val="single" w:sz="4" w:space="1" w:color="auto"/>
        </w:pBdr>
      </w:pPr>
      <w:r>
        <w:br w:type="column"/>
      </w:r>
      <w:r>
        <w:lastRenderedPageBreak/>
        <w:t>Structure</w:t>
      </w:r>
    </w:p>
    <w:p w:rsidR="00A46DCA" w:rsidRDefault="00A46DCA">
      <w:pPr>
        <w:pStyle w:val="TOC9"/>
        <w:rPr>
          <w:rFonts w:eastAsiaTheme="minorEastAsia"/>
          <w:noProof/>
          <w:spacing w:val="0"/>
          <w:lang w:eastAsia="en-AU"/>
        </w:rPr>
      </w:pPr>
      <w:r>
        <w:fldChar w:fldCharType="begin"/>
      </w:r>
      <w:r>
        <w:instrText xml:space="preserve"> TOC \h \z \t "Heading 3 (#),9" \b Section_5 \* MERGEFORMAT </w:instrText>
      </w:r>
      <w:r>
        <w:fldChar w:fldCharType="separate"/>
      </w:r>
      <w:hyperlink w:anchor="_Toc496606633" w:history="1">
        <w:r w:rsidRPr="007F35CA">
          <w:rPr>
            <w:rStyle w:val="Hyperlink"/>
            <w:noProof/>
          </w:rPr>
          <w:t>4.5.1</w:t>
        </w:r>
        <w:r>
          <w:rPr>
            <w:rFonts w:eastAsiaTheme="minorEastAsia"/>
            <w:noProof/>
            <w:spacing w:val="0"/>
            <w:lang w:eastAsia="en-AU"/>
          </w:rPr>
          <w:tab/>
        </w:r>
        <w:r w:rsidRPr="007F35CA">
          <w:rPr>
            <w:rStyle w:val="Hyperlink"/>
            <w:noProof/>
          </w:rPr>
          <w:t>Borrowings</w:t>
        </w:r>
        <w:r>
          <w:rPr>
            <w:noProof/>
            <w:webHidden/>
          </w:rPr>
          <w:tab/>
        </w:r>
        <w:r>
          <w:rPr>
            <w:noProof/>
            <w:webHidden/>
          </w:rPr>
          <w:fldChar w:fldCharType="begin"/>
        </w:r>
        <w:r>
          <w:rPr>
            <w:noProof/>
            <w:webHidden/>
          </w:rPr>
          <w:instrText xml:space="preserve"> PAGEREF _Toc496606633 \h </w:instrText>
        </w:r>
        <w:r>
          <w:rPr>
            <w:noProof/>
            <w:webHidden/>
          </w:rPr>
        </w:r>
        <w:r>
          <w:rPr>
            <w:noProof/>
            <w:webHidden/>
          </w:rPr>
          <w:fldChar w:fldCharType="separate"/>
        </w:r>
        <w:r w:rsidR="00715FC3">
          <w:rPr>
            <w:noProof/>
            <w:webHidden/>
          </w:rPr>
          <w:t>61</w:t>
        </w:r>
        <w:r>
          <w:rPr>
            <w:noProof/>
            <w:webHidden/>
          </w:rPr>
          <w:fldChar w:fldCharType="end"/>
        </w:r>
      </w:hyperlink>
    </w:p>
    <w:p w:rsidR="00A46DCA" w:rsidRDefault="00715FC3">
      <w:pPr>
        <w:pStyle w:val="TOC9"/>
        <w:rPr>
          <w:rFonts w:eastAsiaTheme="minorEastAsia"/>
          <w:noProof/>
          <w:spacing w:val="0"/>
          <w:lang w:eastAsia="en-AU"/>
        </w:rPr>
      </w:pPr>
      <w:hyperlink w:anchor="_Toc496606634" w:history="1">
        <w:r w:rsidR="00A46DCA" w:rsidRPr="007F35CA">
          <w:rPr>
            <w:rStyle w:val="Hyperlink"/>
            <w:noProof/>
          </w:rPr>
          <w:t>4.5.2</w:t>
        </w:r>
        <w:r w:rsidR="00A46DCA">
          <w:rPr>
            <w:rFonts w:eastAsiaTheme="minorEastAsia"/>
            <w:noProof/>
            <w:spacing w:val="0"/>
            <w:lang w:eastAsia="en-AU"/>
          </w:rPr>
          <w:tab/>
        </w:r>
        <w:r w:rsidR="00A46DCA" w:rsidRPr="007F35CA">
          <w:rPr>
            <w:rStyle w:val="Hyperlink"/>
            <w:noProof/>
          </w:rPr>
          <w:t>Advances paid and investments, loans and placements</w:t>
        </w:r>
        <w:r w:rsidR="00A46DCA">
          <w:rPr>
            <w:noProof/>
            <w:webHidden/>
          </w:rPr>
          <w:tab/>
        </w:r>
        <w:r w:rsidR="00A46DCA">
          <w:rPr>
            <w:noProof/>
            <w:webHidden/>
          </w:rPr>
          <w:fldChar w:fldCharType="begin"/>
        </w:r>
        <w:r w:rsidR="00A46DCA">
          <w:rPr>
            <w:noProof/>
            <w:webHidden/>
          </w:rPr>
          <w:instrText xml:space="preserve"> PAGEREF _Toc496606634 \h </w:instrText>
        </w:r>
        <w:r w:rsidR="00A46DCA">
          <w:rPr>
            <w:noProof/>
            <w:webHidden/>
          </w:rPr>
        </w:r>
        <w:r w:rsidR="00A46DCA">
          <w:rPr>
            <w:noProof/>
            <w:webHidden/>
          </w:rPr>
          <w:fldChar w:fldCharType="separate"/>
        </w:r>
        <w:r>
          <w:rPr>
            <w:noProof/>
            <w:webHidden/>
          </w:rPr>
          <w:t>62</w:t>
        </w:r>
        <w:r w:rsidR="00A46DCA">
          <w:rPr>
            <w:noProof/>
            <w:webHidden/>
          </w:rPr>
          <w:fldChar w:fldCharType="end"/>
        </w:r>
      </w:hyperlink>
    </w:p>
    <w:p w:rsidR="00A46DCA" w:rsidRDefault="00715FC3">
      <w:pPr>
        <w:pStyle w:val="TOC9"/>
        <w:rPr>
          <w:rFonts w:eastAsiaTheme="minorEastAsia"/>
          <w:noProof/>
          <w:spacing w:val="0"/>
          <w:lang w:eastAsia="en-AU"/>
        </w:rPr>
      </w:pPr>
      <w:hyperlink w:anchor="_Toc496606635" w:history="1">
        <w:r w:rsidR="00A46DCA" w:rsidRPr="007F35CA">
          <w:rPr>
            <w:rStyle w:val="Hyperlink"/>
            <w:noProof/>
          </w:rPr>
          <w:t>4.5.3</w:t>
        </w:r>
        <w:r w:rsidR="00A46DCA">
          <w:rPr>
            <w:rFonts w:eastAsiaTheme="minorEastAsia"/>
            <w:noProof/>
            <w:spacing w:val="0"/>
            <w:lang w:eastAsia="en-AU"/>
          </w:rPr>
          <w:tab/>
        </w:r>
        <w:r w:rsidR="00A46DCA" w:rsidRPr="007F35CA">
          <w:rPr>
            <w:rStyle w:val="Hyperlink"/>
            <w:noProof/>
          </w:rPr>
          <w:t>Interest expense</w:t>
        </w:r>
        <w:r w:rsidR="00A46DCA">
          <w:rPr>
            <w:noProof/>
            <w:webHidden/>
          </w:rPr>
          <w:tab/>
        </w:r>
        <w:r w:rsidR="00A46DCA">
          <w:rPr>
            <w:noProof/>
            <w:webHidden/>
          </w:rPr>
          <w:fldChar w:fldCharType="begin"/>
        </w:r>
        <w:r w:rsidR="00A46DCA">
          <w:rPr>
            <w:noProof/>
            <w:webHidden/>
          </w:rPr>
          <w:instrText xml:space="preserve"> PAGEREF _Toc496606635 \h </w:instrText>
        </w:r>
        <w:r w:rsidR="00A46DCA">
          <w:rPr>
            <w:noProof/>
            <w:webHidden/>
          </w:rPr>
        </w:r>
        <w:r w:rsidR="00A46DCA">
          <w:rPr>
            <w:noProof/>
            <w:webHidden/>
          </w:rPr>
          <w:fldChar w:fldCharType="separate"/>
        </w:r>
        <w:r>
          <w:rPr>
            <w:noProof/>
            <w:webHidden/>
          </w:rPr>
          <w:t>62</w:t>
        </w:r>
        <w:r w:rsidR="00A46DCA">
          <w:rPr>
            <w:noProof/>
            <w:webHidden/>
          </w:rPr>
          <w:fldChar w:fldCharType="end"/>
        </w:r>
      </w:hyperlink>
    </w:p>
    <w:p w:rsidR="00A46DCA" w:rsidRDefault="00A46DCA" w:rsidP="00A26D04">
      <w:r>
        <w:rPr>
          <w:b/>
          <w:bCs/>
          <w:noProof/>
          <w:lang w:val="en-US"/>
        </w:rPr>
        <w:fldChar w:fldCharType="end"/>
      </w:r>
    </w:p>
    <w:p w:rsidR="00A46DCA" w:rsidRDefault="00A46DCA" w:rsidP="00A26D04">
      <w:pPr>
        <w:pStyle w:val="Heading3"/>
        <w:numPr>
          <w:ilvl w:val="2"/>
          <w:numId w:val="19"/>
        </w:numPr>
        <w:tabs>
          <w:tab w:val="clear" w:pos="9582"/>
          <w:tab w:val="left" w:pos="850"/>
          <w:tab w:val="right" w:pos="7711"/>
        </w:tabs>
        <w:spacing w:after="60"/>
        <w:sectPr w:rsidR="00A46DCA" w:rsidSect="00A26D04">
          <w:type w:val="continuous"/>
          <w:pgSz w:w="9979" w:h="14175" w:code="9"/>
          <w:pgMar w:top="850" w:right="1134" w:bottom="850" w:left="1134" w:header="624" w:footer="567" w:gutter="0"/>
          <w:cols w:num="2" w:space="567"/>
          <w:docGrid w:linePitch="360"/>
        </w:sectPr>
      </w:pPr>
    </w:p>
    <w:p w:rsidR="00A46DCA" w:rsidRPr="00AC137D" w:rsidRDefault="00A46DCA" w:rsidP="00A26D04">
      <w:pPr>
        <w:pStyle w:val="Heading3"/>
        <w:numPr>
          <w:ilvl w:val="2"/>
          <w:numId w:val="19"/>
        </w:numPr>
        <w:tabs>
          <w:tab w:val="clear" w:pos="9582"/>
          <w:tab w:val="left" w:pos="850"/>
          <w:tab w:val="right" w:pos="7711"/>
        </w:tabs>
        <w:spacing w:after="60"/>
        <w:rPr>
          <w:lang w:val="en-US"/>
        </w:rPr>
      </w:pPr>
      <w:bookmarkStart w:id="45" w:name="_Toc496606633"/>
      <w:bookmarkStart w:id="46" w:name="Section_5"/>
      <w:r>
        <w:lastRenderedPageBreak/>
        <w:t>Borrowings</w:t>
      </w:r>
      <w:r>
        <w:tab/>
        <w:t>($ million)</w:t>
      </w:r>
      <w:bookmarkEnd w:id="45"/>
    </w:p>
    <w:tbl>
      <w:tblPr>
        <w:tblStyle w:val="DTFTable"/>
        <w:tblW w:w="7765" w:type="dxa"/>
        <w:tblInd w:w="45" w:type="dxa"/>
        <w:tblLayout w:type="fixed"/>
        <w:tblCellMar>
          <w:left w:w="45" w:type="dxa"/>
          <w:right w:w="45" w:type="dxa"/>
        </w:tblCellMar>
        <w:tblLook w:val="06A0" w:firstRow="1" w:lastRow="0" w:firstColumn="1" w:lastColumn="0" w:noHBand="1" w:noVBand="1"/>
      </w:tblPr>
      <w:tblGrid>
        <w:gridCol w:w="3515"/>
        <w:gridCol w:w="850"/>
        <w:gridCol w:w="850"/>
        <w:gridCol w:w="850"/>
        <w:gridCol w:w="850"/>
        <w:gridCol w:w="850"/>
      </w:tblGrid>
      <w:tr w:rsidR="00A26D04" w:rsidRPr="00AC137D" w:rsidTr="002677DA">
        <w:trPr>
          <w:cnfStyle w:val="100000000000" w:firstRow="1" w:lastRow="0" w:firstColumn="0" w:lastColumn="0" w:oddVBand="0" w:evenVBand="0" w:oddHBand="0" w:evenHBand="0" w:firstRowFirstColumn="0" w:firstRowLastColumn="0" w:lastRowFirstColumn="0" w:lastRowLastColumn="0"/>
          <w:trHeight w:val="70"/>
          <w:tblHeader/>
        </w:trPr>
        <w:tc>
          <w:tcPr>
            <w:cnfStyle w:val="001000000000" w:firstRow="0" w:lastRow="0" w:firstColumn="1" w:lastColumn="0" w:oddVBand="0" w:evenVBand="0" w:oddHBand="0" w:evenHBand="0" w:firstRowFirstColumn="0" w:firstRowLastColumn="0" w:lastRowFirstColumn="0" w:lastRowLastColumn="0"/>
            <w:tcW w:w="3515" w:type="dxa"/>
            <w:tcBorders>
              <w:top w:val="nil"/>
              <w:left w:val="nil"/>
              <w:right w:val="nil"/>
            </w:tcBorders>
            <w:shd w:val="solid" w:color="000000" w:fill="auto"/>
          </w:tcPr>
          <w:p w:rsidR="00A26D04" w:rsidRPr="00AC137D" w:rsidRDefault="00A26D04" w:rsidP="00A26D04">
            <w:pPr>
              <w:autoSpaceDE w:val="0"/>
              <w:autoSpaceDN w:val="0"/>
              <w:adjustRightInd w:val="0"/>
              <w:rPr>
                <w:rFonts w:eastAsiaTheme="minorEastAsia" w:cs="Calibri"/>
                <w:iCs/>
                <w:color w:val="FFFFFF"/>
                <w:lang w:eastAsia="en-AU"/>
              </w:rPr>
            </w:pPr>
            <w:r w:rsidRPr="00AC137D">
              <w:rPr>
                <w:rFonts w:eastAsiaTheme="minorEastAsia" w:cs="Calibri"/>
                <w:iCs/>
                <w:color w:val="FFFFFF"/>
                <w:lang w:eastAsia="en-AU"/>
              </w:rPr>
              <w:t xml:space="preserve">  </w:t>
            </w:r>
          </w:p>
        </w:tc>
        <w:tc>
          <w:tcPr>
            <w:tcW w:w="850" w:type="dxa"/>
            <w:tcBorders>
              <w:top w:val="nil"/>
              <w:left w:val="nil"/>
              <w:right w:val="nil"/>
            </w:tcBorders>
            <w:shd w:val="solid" w:color="000000" w:fill="auto"/>
          </w:tcPr>
          <w:p w:rsidR="00A26D04" w:rsidRPr="00AC137D" w:rsidRDefault="00A26D04" w:rsidP="00A26D0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AC137D">
              <w:rPr>
                <w:rFonts w:eastAsiaTheme="minorEastAsia" w:cs="Calibri"/>
                <w:iCs/>
                <w:color w:val="FFFFFF"/>
                <w:szCs w:val="18"/>
                <w:lang w:eastAsia="en-AU"/>
              </w:rPr>
              <w:t>2018</w:t>
            </w:r>
            <w:r>
              <w:rPr>
                <w:rFonts w:eastAsiaTheme="minorEastAsia" w:cs="Calibri"/>
                <w:iCs/>
                <w:color w:val="FFFFFF"/>
                <w:szCs w:val="18"/>
                <w:lang w:eastAsia="en-AU"/>
              </w:rPr>
              <w:br/>
            </w:r>
            <w:r w:rsidRPr="00AC137D">
              <w:rPr>
                <w:rFonts w:eastAsiaTheme="minorEastAsia" w:cs="Calibri"/>
                <w:iCs/>
                <w:color w:val="FFFFFF"/>
                <w:szCs w:val="18"/>
                <w:lang w:eastAsia="en-AU"/>
              </w:rPr>
              <w:t>budget</w:t>
            </w:r>
          </w:p>
        </w:tc>
        <w:tc>
          <w:tcPr>
            <w:tcW w:w="850" w:type="dxa"/>
            <w:tcBorders>
              <w:top w:val="nil"/>
              <w:left w:val="nil"/>
              <w:right w:val="nil"/>
            </w:tcBorders>
            <w:shd w:val="solid" w:color="000000" w:fill="auto"/>
          </w:tcPr>
          <w:p w:rsidR="00A26D04" w:rsidRPr="00AC137D" w:rsidRDefault="00A26D04" w:rsidP="00A26D0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AC137D">
              <w:rPr>
                <w:rFonts w:eastAsiaTheme="minorEastAsia" w:cs="Calibri"/>
                <w:iCs/>
                <w:color w:val="FFFFFF"/>
                <w:szCs w:val="18"/>
                <w:lang w:eastAsia="en-AU"/>
              </w:rPr>
              <w:t>2018</w:t>
            </w:r>
            <w:r>
              <w:rPr>
                <w:rFonts w:eastAsiaTheme="minorEastAsia" w:cs="Calibri"/>
                <w:iCs/>
                <w:color w:val="FFFFFF"/>
                <w:szCs w:val="18"/>
                <w:lang w:eastAsia="en-AU"/>
              </w:rPr>
              <w:br/>
            </w:r>
            <w:r w:rsidRPr="00AC137D">
              <w:rPr>
                <w:rFonts w:eastAsiaTheme="minorEastAsia" w:cs="Calibri"/>
                <w:iCs/>
                <w:color w:val="FFFFFF"/>
                <w:szCs w:val="18"/>
                <w:lang w:eastAsia="en-AU"/>
              </w:rPr>
              <w:t>revised</w:t>
            </w:r>
          </w:p>
        </w:tc>
        <w:tc>
          <w:tcPr>
            <w:tcW w:w="850" w:type="dxa"/>
            <w:tcBorders>
              <w:top w:val="nil"/>
              <w:left w:val="nil"/>
              <w:right w:val="nil"/>
            </w:tcBorders>
            <w:shd w:val="solid" w:color="000000" w:fill="auto"/>
          </w:tcPr>
          <w:p w:rsidR="00A26D04" w:rsidRPr="00AC137D" w:rsidRDefault="00A26D04" w:rsidP="00A26D0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AC137D">
              <w:rPr>
                <w:rFonts w:eastAsiaTheme="minorEastAsia" w:cs="Calibri"/>
                <w:iCs/>
                <w:color w:val="FFFFFF"/>
                <w:szCs w:val="18"/>
                <w:lang w:eastAsia="en-AU"/>
              </w:rPr>
              <w:t>2019</w:t>
            </w:r>
            <w:r>
              <w:rPr>
                <w:rFonts w:eastAsiaTheme="minorEastAsia" w:cs="Calibri"/>
                <w:iCs/>
                <w:color w:val="FFFFFF"/>
                <w:szCs w:val="18"/>
                <w:lang w:eastAsia="en-AU"/>
              </w:rPr>
              <w:br/>
            </w:r>
            <w:r w:rsidRPr="00AC137D">
              <w:rPr>
                <w:rFonts w:eastAsiaTheme="minorEastAsia" w:cs="Calibri"/>
                <w:iCs/>
                <w:color w:val="FFFFFF"/>
                <w:szCs w:val="18"/>
                <w:lang w:eastAsia="en-AU"/>
              </w:rPr>
              <w:t>estimate</w:t>
            </w:r>
          </w:p>
        </w:tc>
        <w:tc>
          <w:tcPr>
            <w:tcW w:w="850" w:type="dxa"/>
            <w:tcBorders>
              <w:top w:val="nil"/>
              <w:left w:val="nil"/>
              <w:right w:val="nil"/>
            </w:tcBorders>
            <w:shd w:val="solid" w:color="000000" w:fill="auto"/>
          </w:tcPr>
          <w:p w:rsidR="00A26D04" w:rsidRPr="00AC137D" w:rsidRDefault="00A26D04" w:rsidP="00A26D0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AC137D">
              <w:rPr>
                <w:rFonts w:eastAsiaTheme="minorEastAsia" w:cs="Calibri"/>
                <w:iCs/>
                <w:color w:val="FFFFFF"/>
                <w:szCs w:val="18"/>
                <w:lang w:eastAsia="en-AU"/>
              </w:rPr>
              <w:t>2020</w:t>
            </w:r>
            <w:r>
              <w:rPr>
                <w:rFonts w:eastAsiaTheme="minorEastAsia" w:cs="Calibri"/>
                <w:iCs/>
                <w:color w:val="FFFFFF"/>
                <w:szCs w:val="18"/>
                <w:lang w:eastAsia="en-AU"/>
              </w:rPr>
              <w:br/>
            </w:r>
            <w:r w:rsidRPr="00AC137D">
              <w:rPr>
                <w:rFonts w:eastAsiaTheme="minorEastAsia" w:cs="Calibri"/>
                <w:iCs/>
                <w:color w:val="FFFFFF"/>
                <w:szCs w:val="18"/>
                <w:lang w:eastAsia="en-AU"/>
              </w:rPr>
              <w:t>estimate</w:t>
            </w:r>
          </w:p>
        </w:tc>
        <w:tc>
          <w:tcPr>
            <w:tcW w:w="850" w:type="dxa"/>
            <w:tcBorders>
              <w:top w:val="nil"/>
              <w:left w:val="nil"/>
              <w:right w:val="nil"/>
            </w:tcBorders>
            <w:shd w:val="solid" w:color="000000" w:fill="auto"/>
          </w:tcPr>
          <w:p w:rsidR="00A26D04" w:rsidRPr="00AC137D" w:rsidRDefault="00A26D04" w:rsidP="00A26D0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AC137D">
              <w:rPr>
                <w:rFonts w:eastAsiaTheme="minorEastAsia" w:cs="Calibri"/>
                <w:iCs/>
                <w:color w:val="FFFFFF"/>
                <w:szCs w:val="18"/>
                <w:lang w:eastAsia="en-AU"/>
              </w:rPr>
              <w:t>2021</w:t>
            </w:r>
            <w:r>
              <w:rPr>
                <w:rFonts w:eastAsiaTheme="minorEastAsia" w:cs="Calibri"/>
                <w:iCs/>
                <w:color w:val="FFFFFF"/>
                <w:szCs w:val="18"/>
                <w:lang w:eastAsia="en-AU"/>
              </w:rPr>
              <w:br/>
            </w:r>
            <w:r w:rsidRPr="00AC137D">
              <w:rPr>
                <w:rFonts w:eastAsiaTheme="minorEastAsia" w:cs="Calibri"/>
                <w:iCs/>
                <w:color w:val="FFFFFF"/>
                <w:szCs w:val="18"/>
                <w:lang w:eastAsia="en-AU"/>
              </w:rPr>
              <w:t xml:space="preserve"> estimate</w:t>
            </w:r>
          </w:p>
        </w:tc>
      </w:tr>
      <w:tr w:rsidR="00A46DCA" w:rsidRPr="00AC137D" w:rsidTr="00A26D04">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A46DCA" w:rsidRPr="00AC137D" w:rsidRDefault="00A46DCA" w:rsidP="00A26D04">
            <w:pPr>
              <w:keepLines w:val="0"/>
              <w:autoSpaceDE w:val="0"/>
              <w:autoSpaceDN w:val="0"/>
              <w:adjustRightInd w:val="0"/>
              <w:rPr>
                <w:rFonts w:eastAsiaTheme="minorEastAsia" w:cs="Calibri"/>
                <w:b/>
                <w:bCs/>
                <w:color w:val="000000"/>
                <w:szCs w:val="18"/>
                <w:lang w:eastAsia="en-AU"/>
              </w:rPr>
            </w:pPr>
            <w:r w:rsidRPr="00AC137D">
              <w:rPr>
                <w:rFonts w:eastAsiaTheme="minorEastAsia" w:cs="Calibri"/>
                <w:b/>
                <w:bCs/>
                <w:color w:val="000000"/>
                <w:szCs w:val="18"/>
                <w:lang w:eastAsia="en-AU"/>
              </w:rPr>
              <w:t>Current borrowings</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AC137D">
              <w:rPr>
                <w:rFonts w:eastAsiaTheme="minorEastAsia" w:cs="Calibri"/>
                <w:b/>
                <w:bCs/>
                <w:color w:val="000000"/>
                <w:lang w:eastAsia="en-AU"/>
              </w:rPr>
              <w:t xml:space="preserve"> </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AC137D">
              <w:rPr>
                <w:rFonts w:eastAsiaTheme="minorEastAsia" w:cs="Calibri"/>
                <w:b/>
                <w:bCs/>
                <w:color w:val="000000"/>
                <w:lang w:eastAsia="en-AU"/>
              </w:rPr>
              <w:t xml:space="preserve"> </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AC137D">
              <w:rPr>
                <w:rFonts w:eastAsiaTheme="minorEastAsia" w:cs="Calibri"/>
                <w:b/>
                <w:bCs/>
                <w:color w:val="000000"/>
                <w:lang w:eastAsia="en-AU"/>
              </w:rPr>
              <w:t xml:space="preserve"> </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AC137D">
              <w:rPr>
                <w:rFonts w:eastAsiaTheme="minorEastAsia" w:cs="Calibri"/>
                <w:b/>
                <w:bCs/>
                <w:color w:val="000000"/>
                <w:lang w:eastAsia="en-AU"/>
              </w:rPr>
              <w:t xml:space="preserve"> </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AC137D">
              <w:rPr>
                <w:rFonts w:eastAsiaTheme="minorEastAsia" w:cs="Calibri"/>
                <w:b/>
                <w:bCs/>
                <w:color w:val="000000"/>
                <w:lang w:eastAsia="en-AU"/>
              </w:rPr>
              <w:t xml:space="preserve"> </w:t>
            </w:r>
          </w:p>
        </w:tc>
      </w:tr>
      <w:tr w:rsidR="00A46DCA" w:rsidRPr="00AC137D" w:rsidTr="00A26D04">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A46DCA" w:rsidRPr="00AC137D" w:rsidRDefault="00A46DCA" w:rsidP="00A26D04">
            <w:pPr>
              <w:keepLines w:val="0"/>
              <w:autoSpaceDE w:val="0"/>
              <w:autoSpaceDN w:val="0"/>
              <w:adjustRightInd w:val="0"/>
              <w:rPr>
                <w:rFonts w:eastAsiaTheme="minorEastAsia" w:cs="Calibri"/>
                <w:color w:val="000000"/>
                <w:szCs w:val="18"/>
                <w:lang w:eastAsia="en-AU"/>
              </w:rPr>
            </w:pPr>
            <w:r w:rsidRPr="00AC137D">
              <w:rPr>
                <w:rFonts w:eastAsiaTheme="minorEastAsia" w:cs="Calibri"/>
                <w:color w:val="000000"/>
                <w:szCs w:val="18"/>
                <w:lang w:eastAsia="en-AU"/>
              </w:rPr>
              <w:t>Domestic borrowings</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752</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752</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759</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761</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761</w:t>
            </w:r>
          </w:p>
        </w:tc>
      </w:tr>
      <w:tr w:rsidR="00A46DCA" w:rsidRPr="00AC137D" w:rsidTr="00A26D04">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A46DCA" w:rsidRPr="00AC137D" w:rsidRDefault="00A46DCA" w:rsidP="00A26D04">
            <w:pPr>
              <w:keepLines w:val="0"/>
              <w:autoSpaceDE w:val="0"/>
              <w:autoSpaceDN w:val="0"/>
              <w:adjustRightInd w:val="0"/>
              <w:rPr>
                <w:rFonts w:eastAsiaTheme="minorEastAsia" w:cs="Calibri"/>
                <w:color w:val="000000"/>
                <w:szCs w:val="18"/>
                <w:vertAlign w:val="superscript"/>
                <w:lang w:eastAsia="en-AU"/>
              </w:rPr>
            </w:pPr>
            <w:r w:rsidRPr="00AC137D">
              <w:rPr>
                <w:rFonts w:eastAsiaTheme="minorEastAsia" w:cs="Calibri"/>
                <w:color w:val="000000"/>
                <w:szCs w:val="18"/>
                <w:lang w:eastAsia="en-AU"/>
              </w:rPr>
              <w:t xml:space="preserve">Finance lease liabilities </w:t>
            </w:r>
            <w:r w:rsidRPr="00AC137D">
              <w:rPr>
                <w:rFonts w:eastAsiaTheme="minorEastAsia" w:cs="Calibri"/>
                <w:color w:val="000000"/>
                <w:szCs w:val="18"/>
                <w:vertAlign w:val="superscript"/>
                <w:lang w:eastAsia="en-AU"/>
              </w:rPr>
              <w:t>(a)</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234</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217</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197</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150</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152</w:t>
            </w:r>
          </w:p>
        </w:tc>
      </w:tr>
      <w:tr w:rsidR="00A46DCA" w:rsidRPr="00AC137D" w:rsidTr="00A26D04">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single" w:sz="6" w:space="0" w:color="000000"/>
              <w:right w:val="nil"/>
            </w:tcBorders>
          </w:tcPr>
          <w:p w:rsidR="00A46DCA" w:rsidRPr="00AC137D" w:rsidRDefault="00A46DCA" w:rsidP="00A26D04">
            <w:pPr>
              <w:keepLines w:val="0"/>
              <w:autoSpaceDE w:val="0"/>
              <w:autoSpaceDN w:val="0"/>
              <w:adjustRightInd w:val="0"/>
              <w:rPr>
                <w:rFonts w:eastAsiaTheme="minorEastAsia" w:cs="Calibri"/>
                <w:color w:val="000000"/>
                <w:szCs w:val="18"/>
                <w:lang w:eastAsia="en-AU"/>
              </w:rPr>
            </w:pPr>
            <w:r w:rsidRPr="00AC137D">
              <w:rPr>
                <w:rFonts w:eastAsiaTheme="minorEastAsia" w:cs="Calibri"/>
                <w:color w:val="000000"/>
                <w:szCs w:val="18"/>
                <w:lang w:eastAsia="en-AU"/>
              </w:rPr>
              <w:t>Derivative financial instruments</w:t>
            </w:r>
          </w:p>
        </w:tc>
        <w:tc>
          <w:tcPr>
            <w:tcW w:w="850" w:type="dxa"/>
            <w:tcBorders>
              <w:top w:val="nil"/>
              <w:left w:val="nil"/>
              <w:bottom w:val="single" w:sz="6" w:space="0" w:color="000000"/>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w:t>
            </w:r>
          </w:p>
        </w:tc>
        <w:tc>
          <w:tcPr>
            <w:tcW w:w="850" w:type="dxa"/>
            <w:tcBorders>
              <w:top w:val="nil"/>
              <w:left w:val="nil"/>
              <w:bottom w:val="single" w:sz="6" w:space="0" w:color="000000"/>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w:t>
            </w:r>
          </w:p>
        </w:tc>
        <w:tc>
          <w:tcPr>
            <w:tcW w:w="850" w:type="dxa"/>
            <w:tcBorders>
              <w:top w:val="nil"/>
              <w:left w:val="nil"/>
              <w:bottom w:val="single" w:sz="6" w:space="0" w:color="000000"/>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w:t>
            </w:r>
          </w:p>
        </w:tc>
        <w:tc>
          <w:tcPr>
            <w:tcW w:w="850" w:type="dxa"/>
            <w:tcBorders>
              <w:top w:val="nil"/>
              <w:left w:val="nil"/>
              <w:bottom w:val="single" w:sz="6" w:space="0" w:color="000000"/>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w:t>
            </w:r>
          </w:p>
        </w:tc>
        <w:tc>
          <w:tcPr>
            <w:tcW w:w="850" w:type="dxa"/>
            <w:tcBorders>
              <w:top w:val="nil"/>
              <w:left w:val="nil"/>
              <w:bottom w:val="single" w:sz="6" w:space="0" w:color="000000"/>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w:t>
            </w:r>
          </w:p>
        </w:tc>
      </w:tr>
      <w:tr w:rsidR="00A46DCA" w:rsidRPr="00AC137D" w:rsidTr="00A26D04">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A46DCA" w:rsidRPr="00AC137D" w:rsidRDefault="00A46DCA" w:rsidP="00A26D04">
            <w:pPr>
              <w:keepLines w:val="0"/>
              <w:autoSpaceDE w:val="0"/>
              <w:autoSpaceDN w:val="0"/>
              <w:adjustRightInd w:val="0"/>
              <w:rPr>
                <w:rFonts w:eastAsiaTheme="minorEastAsia" w:cs="Calibri"/>
                <w:b/>
                <w:bCs/>
                <w:color w:val="000000"/>
                <w:szCs w:val="18"/>
                <w:lang w:eastAsia="en-AU"/>
              </w:rPr>
            </w:pPr>
            <w:r w:rsidRPr="00AC137D">
              <w:rPr>
                <w:rFonts w:eastAsiaTheme="minorEastAsia" w:cs="Calibri"/>
                <w:b/>
                <w:bCs/>
                <w:color w:val="000000"/>
                <w:szCs w:val="18"/>
                <w:lang w:eastAsia="en-AU"/>
              </w:rPr>
              <w:t>Total current borrowings</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992</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975</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961</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916</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918</w:t>
            </w:r>
          </w:p>
        </w:tc>
      </w:tr>
      <w:tr w:rsidR="00A46DCA" w:rsidRPr="00AC137D" w:rsidTr="00A26D04">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A46DCA" w:rsidRPr="00AC137D" w:rsidRDefault="00A46DCA" w:rsidP="00A26D04">
            <w:pPr>
              <w:keepLines w:val="0"/>
              <w:autoSpaceDE w:val="0"/>
              <w:autoSpaceDN w:val="0"/>
              <w:adjustRightInd w:val="0"/>
              <w:rPr>
                <w:rFonts w:eastAsiaTheme="minorEastAsia" w:cs="Calibri"/>
                <w:b/>
                <w:bCs/>
                <w:color w:val="000000"/>
                <w:szCs w:val="18"/>
                <w:lang w:eastAsia="en-AU"/>
              </w:rPr>
            </w:pPr>
            <w:r w:rsidRPr="00AC137D">
              <w:rPr>
                <w:rFonts w:eastAsiaTheme="minorEastAsia" w:cs="Calibri"/>
                <w:b/>
                <w:bCs/>
                <w:color w:val="000000"/>
                <w:szCs w:val="18"/>
                <w:lang w:eastAsia="en-AU"/>
              </w:rPr>
              <w:t>Non-current borrowings</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AC137D">
              <w:rPr>
                <w:rFonts w:eastAsiaTheme="minorEastAsia" w:cs="Calibri"/>
                <w:b/>
                <w:bCs/>
                <w:color w:val="000000"/>
                <w:lang w:eastAsia="en-AU"/>
              </w:rPr>
              <w:t xml:space="preserve"> </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AC137D">
              <w:rPr>
                <w:rFonts w:eastAsiaTheme="minorEastAsia" w:cs="Calibri"/>
                <w:b/>
                <w:bCs/>
                <w:color w:val="000000"/>
                <w:lang w:eastAsia="en-AU"/>
              </w:rPr>
              <w:t xml:space="preserve"> </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AC137D">
              <w:rPr>
                <w:rFonts w:eastAsiaTheme="minorEastAsia" w:cs="Calibri"/>
                <w:b/>
                <w:bCs/>
                <w:color w:val="000000"/>
                <w:lang w:eastAsia="en-AU"/>
              </w:rPr>
              <w:t xml:space="preserve"> </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AC137D">
              <w:rPr>
                <w:rFonts w:eastAsiaTheme="minorEastAsia" w:cs="Calibri"/>
                <w:b/>
                <w:bCs/>
                <w:color w:val="000000"/>
                <w:lang w:eastAsia="en-AU"/>
              </w:rPr>
              <w:t xml:space="preserve"> </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AC137D">
              <w:rPr>
                <w:rFonts w:eastAsiaTheme="minorEastAsia" w:cs="Calibri"/>
                <w:b/>
                <w:bCs/>
                <w:color w:val="000000"/>
                <w:lang w:eastAsia="en-AU"/>
              </w:rPr>
              <w:t xml:space="preserve"> </w:t>
            </w:r>
          </w:p>
        </w:tc>
      </w:tr>
      <w:tr w:rsidR="00A46DCA" w:rsidRPr="00AC137D" w:rsidTr="00A26D04">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A46DCA" w:rsidRPr="00AC137D" w:rsidRDefault="00A46DCA" w:rsidP="00A26D04">
            <w:pPr>
              <w:keepLines w:val="0"/>
              <w:autoSpaceDE w:val="0"/>
              <w:autoSpaceDN w:val="0"/>
              <w:adjustRightInd w:val="0"/>
              <w:rPr>
                <w:rFonts w:eastAsiaTheme="minorEastAsia" w:cs="Calibri"/>
                <w:color w:val="000000"/>
                <w:szCs w:val="18"/>
                <w:lang w:eastAsia="en-AU"/>
              </w:rPr>
            </w:pPr>
            <w:r w:rsidRPr="00AC137D">
              <w:rPr>
                <w:rFonts w:eastAsiaTheme="minorEastAsia" w:cs="Calibri"/>
                <w:color w:val="000000"/>
                <w:szCs w:val="18"/>
                <w:lang w:eastAsia="en-AU"/>
              </w:rPr>
              <w:t>Domestic borrowings</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AC137D">
              <w:rPr>
                <w:rFonts w:eastAsiaTheme="minorEastAsia" w:cs="Calibri"/>
                <w:color w:val="000000"/>
                <w:szCs w:val="18"/>
                <w:lang w:eastAsia="en-AU"/>
              </w:rPr>
              <w:t>23 340</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AC137D">
              <w:rPr>
                <w:rFonts w:eastAsiaTheme="minorEastAsia" w:cs="Calibri"/>
                <w:color w:val="000000"/>
                <w:szCs w:val="18"/>
                <w:lang w:eastAsia="en-AU"/>
              </w:rPr>
              <w:t>22 937</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AC137D">
              <w:rPr>
                <w:rFonts w:eastAsiaTheme="minorEastAsia" w:cs="Calibri"/>
                <w:color w:val="000000"/>
                <w:szCs w:val="18"/>
                <w:lang w:eastAsia="en-AU"/>
              </w:rPr>
              <w:t>24 968</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AC137D">
              <w:rPr>
                <w:rFonts w:eastAsiaTheme="minorEastAsia" w:cs="Calibri"/>
                <w:color w:val="000000"/>
                <w:szCs w:val="18"/>
                <w:lang w:eastAsia="en-AU"/>
              </w:rPr>
              <w:t>27 793</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AC137D">
              <w:rPr>
                <w:rFonts w:eastAsiaTheme="minorEastAsia" w:cs="Calibri"/>
                <w:color w:val="000000"/>
                <w:szCs w:val="18"/>
                <w:lang w:eastAsia="en-AU"/>
              </w:rPr>
              <w:t>29 450</w:t>
            </w:r>
          </w:p>
        </w:tc>
      </w:tr>
      <w:tr w:rsidR="00A46DCA" w:rsidRPr="00AC137D" w:rsidTr="00A26D04">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A46DCA" w:rsidRPr="00AC137D" w:rsidRDefault="00A46DCA" w:rsidP="00A26D04">
            <w:pPr>
              <w:keepLines w:val="0"/>
              <w:autoSpaceDE w:val="0"/>
              <w:autoSpaceDN w:val="0"/>
              <w:adjustRightInd w:val="0"/>
              <w:rPr>
                <w:rFonts w:eastAsiaTheme="minorEastAsia" w:cs="Calibri"/>
                <w:color w:val="000000"/>
                <w:szCs w:val="18"/>
                <w:lang w:eastAsia="en-AU"/>
              </w:rPr>
            </w:pPr>
            <w:r w:rsidRPr="00AC137D">
              <w:rPr>
                <w:rFonts w:eastAsiaTheme="minorEastAsia" w:cs="Calibri"/>
                <w:color w:val="000000"/>
                <w:szCs w:val="18"/>
                <w:lang w:eastAsia="en-AU"/>
              </w:rPr>
              <w:t>Finance lease liabilities</w:t>
            </w:r>
            <w:r>
              <w:rPr>
                <w:rFonts w:eastAsiaTheme="minorEastAsia" w:cs="Calibri"/>
                <w:color w:val="000000"/>
                <w:szCs w:val="18"/>
                <w:lang w:eastAsia="en-AU"/>
              </w:rPr>
              <w:t xml:space="preserve"> </w:t>
            </w:r>
            <w:r w:rsidRPr="00881BBE">
              <w:rPr>
                <w:rFonts w:eastAsiaTheme="minorEastAsia" w:cs="Calibri"/>
                <w:color w:val="000000"/>
                <w:szCs w:val="18"/>
                <w:vertAlign w:val="superscript"/>
                <w:lang w:eastAsia="en-AU"/>
              </w:rPr>
              <w:t>(a)</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AC137D">
              <w:rPr>
                <w:rFonts w:eastAsiaTheme="minorEastAsia" w:cs="Calibri"/>
                <w:color w:val="000000"/>
                <w:szCs w:val="18"/>
                <w:lang w:eastAsia="en-AU"/>
              </w:rPr>
              <w:t>9 622</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AC137D">
              <w:rPr>
                <w:rFonts w:eastAsiaTheme="minorEastAsia" w:cs="Calibri"/>
                <w:color w:val="000000"/>
                <w:szCs w:val="18"/>
                <w:lang w:eastAsia="en-AU"/>
              </w:rPr>
              <w:t>9 578</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AC137D">
              <w:rPr>
                <w:rFonts w:eastAsiaTheme="minorEastAsia" w:cs="Calibri"/>
                <w:color w:val="000000"/>
                <w:szCs w:val="18"/>
                <w:lang w:eastAsia="en-AU"/>
              </w:rPr>
              <w:t>9 763</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AC137D">
              <w:rPr>
                <w:rFonts w:eastAsiaTheme="minorEastAsia" w:cs="Calibri"/>
                <w:color w:val="000000"/>
                <w:szCs w:val="18"/>
                <w:lang w:eastAsia="en-AU"/>
              </w:rPr>
              <w:t>9 852</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AC137D">
              <w:rPr>
                <w:rFonts w:eastAsiaTheme="minorEastAsia" w:cs="Calibri"/>
                <w:color w:val="000000"/>
                <w:szCs w:val="18"/>
                <w:lang w:eastAsia="en-AU"/>
              </w:rPr>
              <w:t>10 601</w:t>
            </w:r>
          </w:p>
        </w:tc>
      </w:tr>
      <w:tr w:rsidR="00A46DCA" w:rsidRPr="00AC137D" w:rsidTr="00A26D04">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A46DCA" w:rsidRPr="00AC137D" w:rsidRDefault="00A46DCA" w:rsidP="00A26D04">
            <w:pPr>
              <w:keepLines w:val="0"/>
              <w:autoSpaceDE w:val="0"/>
              <w:autoSpaceDN w:val="0"/>
              <w:adjustRightInd w:val="0"/>
              <w:rPr>
                <w:rFonts w:eastAsiaTheme="minorEastAsia" w:cs="Calibri"/>
                <w:color w:val="000000"/>
                <w:szCs w:val="18"/>
                <w:lang w:eastAsia="en-AU"/>
              </w:rPr>
            </w:pPr>
            <w:r w:rsidRPr="00AC137D">
              <w:rPr>
                <w:rFonts w:eastAsiaTheme="minorEastAsia" w:cs="Calibri"/>
                <w:color w:val="000000"/>
                <w:szCs w:val="18"/>
                <w:lang w:eastAsia="en-AU"/>
              </w:rPr>
              <w:t>Derivative financial instruments</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99</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99</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99</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99</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99</w:t>
            </w:r>
          </w:p>
        </w:tc>
      </w:tr>
      <w:tr w:rsidR="00A46DCA" w:rsidRPr="00AC137D" w:rsidTr="00A26D04">
        <w:tc>
          <w:tcPr>
            <w:cnfStyle w:val="001000000000" w:firstRow="0" w:lastRow="0" w:firstColumn="1" w:lastColumn="0" w:oddVBand="0" w:evenVBand="0" w:oddHBand="0" w:evenHBand="0" w:firstRowFirstColumn="0" w:firstRowLastColumn="0" w:lastRowFirstColumn="0" w:lastRowLastColumn="0"/>
            <w:tcW w:w="3515" w:type="dxa"/>
            <w:tcBorders>
              <w:top w:val="single" w:sz="6" w:space="0" w:color="000000"/>
              <w:left w:val="nil"/>
              <w:bottom w:val="nil"/>
              <w:right w:val="nil"/>
            </w:tcBorders>
          </w:tcPr>
          <w:p w:rsidR="00A46DCA" w:rsidRPr="00AC137D" w:rsidRDefault="00A46DCA" w:rsidP="00A26D04">
            <w:pPr>
              <w:keepLines w:val="0"/>
              <w:autoSpaceDE w:val="0"/>
              <w:autoSpaceDN w:val="0"/>
              <w:adjustRightInd w:val="0"/>
              <w:rPr>
                <w:rFonts w:eastAsiaTheme="minorEastAsia" w:cs="Calibri"/>
                <w:b/>
                <w:bCs/>
                <w:color w:val="000000"/>
                <w:szCs w:val="18"/>
                <w:lang w:eastAsia="en-AU"/>
              </w:rPr>
            </w:pPr>
            <w:r w:rsidRPr="00AC137D">
              <w:rPr>
                <w:rFonts w:eastAsiaTheme="minorEastAsia" w:cs="Calibri"/>
                <w:b/>
                <w:bCs/>
                <w:color w:val="000000"/>
                <w:szCs w:val="18"/>
                <w:lang w:eastAsia="en-AU"/>
              </w:rPr>
              <w:t>Total non-current borrowings</w:t>
            </w:r>
          </w:p>
        </w:tc>
        <w:tc>
          <w:tcPr>
            <w:tcW w:w="850" w:type="dxa"/>
            <w:tcBorders>
              <w:top w:val="single" w:sz="6" w:space="0" w:color="000000"/>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AC137D">
              <w:rPr>
                <w:rFonts w:eastAsiaTheme="minorEastAsia" w:cs="Calibri"/>
                <w:b/>
                <w:bCs/>
                <w:color w:val="000000"/>
                <w:szCs w:val="18"/>
                <w:lang w:eastAsia="en-AU"/>
              </w:rPr>
              <w:t>33 061</w:t>
            </w:r>
          </w:p>
        </w:tc>
        <w:tc>
          <w:tcPr>
            <w:tcW w:w="850" w:type="dxa"/>
            <w:tcBorders>
              <w:top w:val="single" w:sz="6" w:space="0" w:color="000000"/>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AC137D">
              <w:rPr>
                <w:rFonts w:eastAsiaTheme="minorEastAsia" w:cs="Calibri"/>
                <w:b/>
                <w:bCs/>
                <w:color w:val="000000"/>
                <w:szCs w:val="18"/>
                <w:lang w:eastAsia="en-AU"/>
              </w:rPr>
              <w:t>32 614</w:t>
            </w:r>
          </w:p>
        </w:tc>
        <w:tc>
          <w:tcPr>
            <w:tcW w:w="850" w:type="dxa"/>
            <w:tcBorders>
              <w:top w:val="single" w:sz="6" w:space="0" w:color="000000"/>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AC137D">
              <w:rPr>
                <w:rFonts w:eastAsiaTheme="minorEastAsia" w:cs="Calibri"/>
                <w:b/>
                <w:bCs/>
                <w:color w:val="000000"/>
                <w:szCs w:val="18"/>
                <w:lang w:eastAsia="en-AU"/>
              </w:rPr>
              <w:t>34 830</w:t>
            </w:r>
          </w:p>
        </w:tc>
        <w:tc>
          <w:tcPr>
            <w:tcW w:w="850" w:type="dxa"/>
            <w:tcBorders>
              <w:top w:val="single" w:sz="6" w:space="0" w:color="000000"/>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AC137D">
              <w:rPr>
                <w:rFonts w:eastAsiaTheme="minorEastAsia" w:cs="Calibri"/>
                <w:b/>
                <w:bCs/>
                <w:color w:val="000000"/>
                <w:szCs w:val="18"/>
                <w:lang w:eastAsia="en-AU"/>
              </w:rPr>
              <w:t>37 744</w:t>
            </w:r>
          </w:p>
        </w:tc>
        <w:tc>
          <w:tcPr>
            <w:tcW w:w="850" w:type="dxa"/>
            <w:tcBorders>
              <w:top w:val="single" w:sz="6" w:space="0" w:color="000000"/>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AC137D">
              <w:rPr>
                <w:rFonts w:eastAsiaTheme="minorEastAsia" w:cs="Calibri"/>
                <w:b/>
                <w:bCs/>
                <w:color w:val="000000"/>
                <w:szCs w:val="18"/>
                <w:lang w:eastAsia="en-AU"/>
              </w:rPr>
              <w:t>40 150</w:t>
            </w:r>
          </w:p>
        </w:tc>
      </w:tr>
      <w:tr w:rsidR="00A46DCA" w:rsidRPr="00AC137D" w:rsidTr="00A26D04">
        <w:tc>
          <w:tcPr>
            <w:cnfStyle w:val="001000000000" w:firstRow="0" w:lastRow="0" w:firstColumn="1" w:lastColumn="0" w:oddVBand="0" w:evenVBand="0" w:oddHBand="0" w:evenHBand="0" w:firstRowFirstColumn="0" w:firstRowLastColumn="0" w:lastRowFirstColumn="0" w:lastRowLastColumn="0"/>
            <w:tcW w:w="3515" w:type="dxa"/>
            <w:tcBorders>
              <w:top w:val="single" w:sz="6" w:space="0" w:color="000000"/>
              <w:left w:val="nil"/>
              <w:bottom w:val="single" w:sz="12" w:space="0" w:color="000000"/>
              <w:right w:val="nil"/>
            </w:tcBorders>
          </w:tcPr>
          <w:p w:rsidR="00A46DCA" w:rsidRPr="00AC137D" w:rsidRDefault="00A46DCA" w:rsidP="00A26D04">
            <w:pPr>
              <w:keepLines w:val="0"/>
              <w:autoSpaceDE w:val="0"/>
              <w:autoSpaceDN w:val="0"/>
              <w:adjustRightInd w:val="0"/>
              <w:rPr>
                <w:rFonts w:eastAsiaTheme="minorEastAsia" w:cs="Calibri"/>
                <w:b/>
                <w:bCs/>
                <w:color w:val="000000"/>
                <w:szCs w:val="18"/>
                <w:lang w:eastAsia="en-AU"/>
              </w:rPr>
            </w:pPr>
            <w:r w:rsidRPr="00AC137D">
              <w:rPr>
                <w:rFonts w:eastAsiaTheme="minorEastAsia" w:cs="Calibri"/>
                <w:b/>
                <w:bCs/>
                <w:color w:val="000000"/>
                <w:szCs w:val="18"/>
                <w:lang w:eastAsia="en-AU"/>
              </w:rPr>
              <w:t>Total borrowings</w:t>
            </w:r>
          </w:p>
        </w:tc>
        <w:tc>
          <w:tcPr>
            <w:tcW w:w="850" w:type="dxa"/>
            <w:tcBorders>
              <w:top w:val="single" w:sz="6" w:space="0" w:color="000000"/>
              <w:left w:val="nil"/>
              <w:bottom w:val="single" w:sz="12" w:space="0" w:color="000000"/>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AC137D">
              <w:rPr>
                <w:rFonts w:eastAsiaTheme="minorEastAsia" w:cs="Calibri"/>
                <w:b/>
                <w:bCs/>
                <w:color w:val="000000"/>
                <w:szCs w:val="18"/>
                <w:lang w:eastAsia="en-AU"/>
              </w:rPr>
              <w:t>34 052</w:t>
            </w:r>
          </w:p>
        </w:tc>
        <w:tc>
          <w:tcPr>
            <w:tcW w:w="850" w:type="dxa"/>
            <w:tcBorders>
              <w:top w:val="single" w:sz="6" w:space="0" w:color="000000"/>
              <w:left w:val="nil"/>
              <w:bottom w:val="single" w:sz="12" w:space="0" w:color="000000"/>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AC137D">
              <w:rPr>
                <w:rFonts w:eastAsiaTheme="minorEastAsia" w:cs="Calibri"/>
                <w:b/>
                <w:bCs/>
                <w:color w:val="000000"/>
                <w:szCs w:val="18"/>
                <w:lang w:eastAsia="en-AU"/>
              </w:rPr>
              <w:t>33 589</w:t>
            </w:r>
          </w:p>
        </w:tc>
        <w:tc>
          <w:tcPr>
            <w:tcW w:w="850" w:type="dxa"/>
            <w:tcBorders>
              <w:top w:val="single" w:sz="6" w:space="0" w:color="000000"/>
              <w:left w:val="nil"/>
              <w:bottom w:val="single" w:sz="12" w:space="0" w:color="000000"/>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AC137D">
              <w:rPr>
                <w:rFonts w:eastAsiaTheme="minorEastAsia" w:cs="Calibri"/>
                <w:b/>
                <w:bCs/>
                <w:color w:val="000000"/>
                <w:szCs w:val="18"/>
                <w:lang w:eastAsia="en-AU"/>
              </w:rPr>
              <w:t>35 791</w:t>
            </w:r>
          </w:p>
        </w:tc>
        <w:tc>
          <w:tcPr>
            <w:tcW w:w="850" w:type="dxa"/>
            <w:tcBorders>
              <w:top w:val="single" w:sz="6" w:space="0" w:color="000000"/>
              <w:left w:val="nil"/>
              <w:bottom w:val="single" w:sz="12" w:space="0" w:color="000000"/>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AC137D">
              <w:rPr>
                <w:rFonts w:eastAsiaTheme="minorEastAsia" w:cs="Calibri"/>
                <w:b/>
                <w:bCs/>
                <w:color w:val="000000"/>
                <w:szCs w:val="18"/>
                <w:lang w:eastAsia="en-AU"/>
              </w:rPr>
              <w:t>38 660</w:t>
            </w:r>
          </w:p>
        </w:tc>
        <w:tc>
          <w:tcPr>
            <w:tcW w:w="850" w:type="dxa"/>
            <w:tcBorders>
              <w:top w:val="single" w:sz="6" w:space="0" w:color="000000"/>
              <w:left w:val="nil"/>
              <w:bottom w:val="single" w:sz="12" w:space="0" w:color="000000"/>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AC137D">
              <w:rPr>
                <w:rFonts w:eastAsiaTheme="minorEastAsia" w:cs="Calibri"/>
                <w:b/>
                <w:bCs/>
                <w:color w:val="000000"/>
                <w:szCs w:val="18"/>
                <w:lang w:eastAsia="en-AU"/>
              </w:rPr>
              <w:t>41 068</w:t>
            </w:r>
          </w:p>
        </w:tc>
      </w:tr>
    </w:tbl>
    <w:p w:rsidR="00A46DCA" w:rsidRDefault="00A46DCA" w:rsidP="00A26D04">
      <w:pPr>
        <w:pStyle w:val="Source"/>
      </w:pPr>
      <w:r w:rsidRPr="00D87D22">
        <w:t>Source: Department of Treasury and Finance</w:t>
      </w:r>
    </w:p>
    <w:p w:rsidR="00A46DCA" w:rsidRDefault="00A46DCA" w:rsidP="00A26D04">
      <w:pPr>
        <w:pStyle w:val="Note"/>
      </w:pPr>
      <w:r>
        <w:t>Note:</w:t>
      </w:r>
    </w:p>
    <w:p w:rsidR="00A46DCA" w:rsidRDefault="00A46DCA" w:rsidP="00A26D04">
      <w:pPr>
        <w:pStyle w:val="Note"/>
      </w:pPr>
      <w:r>
        <w:t>(a)</w:t>
      </w:r>
      <w:r>
        <w:tab/>
        <w:t xml:space="preserve">Further detailed disclosures on finance lease liabilities can be found in the </w:t>
      </w:r>
      <w:r w:rsidRPr="0020172C">
        <w:rPr>
          <w:i w:val="0"/>
        </w:rPr>
        <w:t>2016-17 Financial Report</w:t>
      </w:r>
      <w:r>
        <w:t xml:space="preserve"> for the State of Victoria.</w:t>
      </w:r>
    </w:p>
    <w:p w:rsidR="00A46DCA" w:rsidRDefault="00A46DCA" w:rsidP="00A26D04"/>
    <w:p w:rsidR="00A46DCA" w:rsidRPr="00B41AC3" w:rsidRDefault="00A46DCA" w:rsidP="00A26D04">
      <w:pPr>
        <w:pStyle w:val="Heading10"/>
      </w:pPr>
      <w:r>
        <w:br w:type="page"/>
      </w:r>
    </w:p>
    <w:p w:rsidR="00A46DCA" w:rsidRPr="00AC137D" w:rsidRDefault="00A46DCA" w:rsidP="00A26D04">
      <w:pPr>
        <w:pStyle w:val="Heading3"/>
        <w:numPr>
          <w:ilvl w:val="2"/>
          <w:numId w:val="19"/>
        </w:numPr>
        <w:tabs>
          <w:tab w:val="clear" w:pos="9582"/>
          <w:tab w:val="left" w:pos="850"/>
          <w:tab w:val="right" w:pos="7711"/>
        </w:tabs>
        <w:spacing w:after="60"/>
        <w:rPr>
          <w:lang w:val="en-US"/>
        </w:rPr>
      </w:pPr>
      <w:bookmarkStart w:id="47" w:name="_Toc496606634"/>
      <w:r>
        <w:lastRenderedPageBreak/>
        <w:t>Advances paid and investments, loans and placements</w:t>
      </w:r>
      <w:r>
        <w:tab/>
        <w:t>($ million)</w:t>
      </w:r>
      <w:bookmarkEnd w:id="47"/>
    </w:p>
    <w:tbl>
      <w:tblPr>
        <w:tblStyle w:val="DTFTable"/>
        <w:tblW w:w="7767" w:type="dxa"/>
        <w:tblInd w:w="45" w:type="dxa"/>
        <w:tblLayout w:type="fixed"/>
        <w:tblCellMar>
          <w:left w:w="45" w:type="dxa"/>
          <w:right w:w="45" w:type="dxa"/>
        </w:tblCellMar>
        <w:tblLook w:val="06A0" w:firstRow="1" w:lastRow="0" w:firstColumn="1" w:lastColumn="0" w:noHBand="1" w:noVBand="1"/>
      </w:tblPr>
      <w:tblGrid>
        <w:gridCol w:w="3515"/>
        <w:gridCol w:w="850"/>
        <w:gridCol w:w="850"/>
        <w:gridCol w:w="850"/>
        <w:gridCol w:w="850"/>
        <w:gridCol w:w="852"/>
      </w:tblGrid>
      <w:tr w:rsidR="00A26D04" w:rsidRPr="00AC137D" w:rsidTr="008110D9">
        <w:trPr>
          <w:cnfStyle w:val="100000000000" w:firstRow="1" w:lastRow="0" w:firstColumn="0" w:lastColumn="0" w:oddVBand="0" w:evenVBand="0" w:oddHBand="0" w:evenHBand="0" w:firstRowFirstColumn="0" w:firstRowLastColumn="0" w:lastRowFirstColumn="0" w:lastRowLastColumn="0"/>
          <w:trHeight w:val="70"/>
          <w:tblHeader/>
        </w:trPr>
        <w:tc>
          <w:tcPr>
            <w:cnfStyle w:val="001000000000" w:firstRow="0" w:lastRow="0" w:firstColumn="1" w:lastColumn="0" w:oddVBand="0" w:evenVBand="0" w:oddHBand="0" w:evenHBand="0" w:firstRowFirstColumn="0" w:firstRowLastColumn="0" w:lastRowFirstColumn="0" w:lastRowLastColumn="0"/>
            <w:tcW w:w="3515" w:type="dxa"/>
            <w:tcBorders>
              <w:top w:val="nil"/>
              <w:left w:val="nil"/>
              <w:right w:val="nil"/>
            </w:tcBorders>
            <w:shd w:val="solid" w:color="000000" w:fill="auto"/>
          </w:tcPr>
          <w:p w:rsidR="00A26D04" w:rsidRPr="00AC137D" w:rsidRDefault="00A26D04" w:rsidP="00A26D04">
            <w:pPr>
              <w:autoSpaceDE w:val="0"/>
              <w:autoSpaceDN w:val="0"/>
              <w:adjustRightInd w:val="0"/>
              <w:rPr>
                <w:rFonts w:eastAsiaTheme="minorEastAsia" w:cs="Calibri"/>
                <w:iCs/>
                <w:color w:val="FFFFFF"/>
                <w:lang w:eastAsia="en-AU"/>
              </w:rPr>
            </w:pPr>
            <w:r w:rsidRPr="00AC137D">
              <w:rPr>
                <w:rFonts w:eastAsiaTheme="minorEastAsia" w:cs="Calibri"/>
                <w:iCs/>
                <w:color w:val="FFFFFF"/>
                <w:lang w:eastAsia="en-AU"/>
              </w:rPr>
              <w:t xml:space="preserve">  </w:t>
            </w:r>
          </w:p>
        </w:tc>
        <w:tc>
          <w:tcPr>
            <w:tcW w:w="850" w:type="dxa"/>
            <w:tcBorders>
              <w:top w:val="nil"/>
              <w:left w:val="nil"/>
              <w:right w:val="nil"/>
            </w:tcBorders>
            <w:shd w:val="solid" w:color="000000" w:fill="auto"/>
          </w:tcPr>
          <w:p w:rsidR="00A26D04" w:rsidRPr="00AC137D" w:rsidRDefault="00A26D04" w:rsidP="00A26D0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AC137D">
              <w:rPr>
                <w:rFonts w:eastAsiaTheme="minorEastAsia" w:cs="Calibri"/>
                <w:iCs/>
                <w:color w:val="FFFFFF"/>
                <w:szCs w:val="18"/>
                <w:lang w:eastAsia="en-AU"/>
              </w:rPr>
              <w:t>2018</w:t>
            </w:r>
            <w:r>
              <w:rPr>
                <w:rFonts w:eastAsiaTheme="minorEastAsia" w:cs="Calibri"/>
                <w:iCs/>
                <w:color w:val="FFFFFF"/>
                <w:szCs w:val="18"/>
                <w:lang w:eastAsia="en-AU"/>
              </w:rPr>
              <w:br/>
            </w:r>
            <w:r w:rsidRPr="00AC137D">
              <w:rPr>
                <w:rFonts w:eastAsiaTheme="minorEastAsia" w:cs="Calibri"/>
                <w:iCs/>
                <w:color w:val="FFFFFF"/>
                <w:szCs w:val="18"/>
                <w:lang w:eastAsia="en-AU"/>
              </w:rPr>
              <w:t>budget</w:t>
            </w:r>
          </w:p>
        </w:tc>
        <w:tc>
          <w:tcPr>
            <w:tcW w:w="850" w:type="dxa"/>
            <w:tcBorders>
              <w:top w:val="nil"/>
              <w:left w:val="nil"/>
              <w:right w:val="nil"/>
            </w:tcBorders>
            <w:shd w:val="solid" w:color="000000" w:fill="auto"/>
          </w:tcPr>
          <w:p w:rsidR="00A26D04" w:rsidRPr="00AC137D" w:rsidRDefault="00A26D04" w:rsidP="00A26D0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AC137D">
              <w:rPr>
                <w:rFonts w:eastAsiaTheme="minorEastAsia" w:cs="Calibri"/>
                <w:iCs/>
                <w:color w:val="FFFFFF"/>
                <w:szCs w:val="18"/>
                <w:lang w:eastAsia="en-AU"/>
              </w:rPr>
              <w:t>2018</w:t>
            </w:r>
            <w:r>
              <w:rPr>
                <w:rFonts w:eastAsiaTheme="minorEastAsia" w:cs="Calibri"/>
                <w:iCs/>
                <w:color w:val="FFFFFF"/>
                <w:szCs w:val="18"/>
                <w:lang w:eastAsia="en-AU"/>
              </w:rPr>
              <w:br/>
            </w:r>
            <w:r w:rsidRPr="00AC137D">
              <w:rPr>
                <w:rFonts w:eastAsiaTheme="minorEastAsia" w:cs="Calibri"/>
                <w:iCs/>
                <w:color w:val="FFFFFF"/>
                <w:szCs w:val="18"/>
                <w:lang w:eastAsia="en-AU"/>
              </w:rPr>
              <w:t>revised</w:t>
            </w:r>
          </w:p>
        </w:tc>
        <w:tc>
          <w:tcPr>
            <w:tcW w:w="850" w:type="dxa"/>
            <w:tcBorders>
              <w:top w:val="nil"/>
              <w:left w:val="nil"/>
              <w:right w:val="nil"/>
            </w:tcBorders>
            <w:shd w:val="solid" w:color="000000" w:fill="auto"/>
          </w:tcPr>
          <w:p w:rsidR="00A26D04" w:rsidRPr="00AC137D" w:rsidRDefault="00A26D04" w:rsidP="00A26D0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AC137D">
              <w:rPr>
                <w:rFonts w:eastAsiaTheme="minorEastAsia" w:cs="Calibri"/>
                <w:iCs/>
                <w:color w:val="FFFFFF"/>
                <w:szCs w:val="18"/>
                <w:lang w:eastAsia="en-AU"/>
              </w:rPr>
              <w:t>2019</w:t>
            </w:r>
            <w:r>
              <w:rPr>
                <w:rFonts w:eastAsiaTheme="minorEastAsia" w:cs="Calibri"/>
                <w:iCs/>
                <w:color w:val="FFFFFF"/>
                <w:szCs w:val="18"/>
                <w:lang w:eastAsia="en-AU"/>
              </w:rPr>
              <w:br/>
            </w:r>
            <w:r w:rsidRPr="00AC137D">
              <w:rPr>
                <w:rFonts w:eastAsiaTheme="minorEastAsia" w:cs="Calibri"/>
                <w:iCs/>
                <w:color w:val="FFFFFF"/>
                <w:szCs w:val="18"/>
                <w:lang w:eastAsia="en-AU"/>
              </w:rPr>
              <w:t>estimate</w:t>
            </w:r>
          </w:p>
        </w:tc>
        <w:tc>
          <w:tcPr>
            <w:tcW w:w="850" w:type="dxa"/>
            <w:tcBorders>
              <w:top w:val="nil"/>
              <w:left w:val="nil"/>
              <w:right w:val="nil"/>
            </w:tcBorders>
            <w:shd w:val="solid" w:color="000000" w:fill="auto"/>
          </w:tcPr>
          <w:p w:rsidR="00A26D04" w:rsidRPr="00AC137D" w:rsidRDefault="00A26D04" w:rsidP="00A26D0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AC137D">
              <w:rPr>
                <w:rFonts w:eastAsiaTheme="minorEastAsia" w:cs="Calibri"/>
                <w:iCs/>
                <w:color w:val="FFFFFF"/>
                <w:szCs w:val="18"/>
                <w:lang w:eastAsia="en-AU"/>
              </w:rPr>
              <w:t>2020</w:t>
            </w:r>
            <w:r>
              <w:rPr>
                <w:rFonts w:eastAsiaTheme="minorEastAsia" w:cs="Calibri"/>
                <w:iCs/>
                <w:color w:val="FFFFFF"/>
                <w:szCs w:val="18"/>
                <w:lang w:eastAsia="en-AU"/>
              </w:rPr>
              <w:br/>
            </w:r>
            <w:r w:rsidRPr="00AC137D">
              <w:rPr>
                <w:rFonts w:eastAsiaTheme="minorEastAsia" w:cs="Calibri"/>
                <w:iCs/>
                <w:color w:val="FFFFFF"/>
                <w:szCs w:val="18"/>
                <w:lang w:eastAsia="en-AU"/>
              </w:rPr>
              <w:t>estimate</w:t>
            </w:r>
          </w:p>
        </w:tc>
        <w:tc>
          <w:tcPr>
            <w:tcW w:w="852" w:type="dxa"/>
            <w:tcBorders>
              <w:top w:val="nil"/>
              <w:left w:val="nil"/>
              <w:right w:val="nil"/>
            </w:tcBorders>
            <w:shd w:val="solid" w:color="000000" w:fill="auto"/>
          </w:tcPr>
          <w:p w:rsidR="00A26D04" w:rsidRPr="00AC137D" w:rsidRDefault="00A26D04" w:rsidP="00A26D0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AC137D">
              <w:rPr>
                <w:rFonts w:eastAsiaTheme="minorEastAsia" w:cs="Calibri"/>
                <w:iCs/>
                <w:color w:val="FFFFFF"/>
                <w:szCs w:val="18"/>
                <w:lang w:eastAsia="en-AU"/>
              </w:rPr>
              <w:t>2021</w:t>
            </w:r>
            <w:r>
              <w:rPr>
                <w:rFonts w:eastAsiaTheme="minorEastAsia" w:cs="Calibri"/>
                <w:iCs/>
                <w:color w:val="FFFFFF"/>
                <w:szCs w:val="18"/>
                <w:lang w:eastAsia="en-AU"/>
              </w:rPr>
              <w:br/>
            </w:r>
            <w:r w:rsidRPr="00AC137D">
              <w:rPr>
                <w:rFonts w:eastAsiaTheme="minorEastAsia" w:cs="Calibri"/>
                <w:iCs/>
                <w:color w:val="FFFFFF"/>
                <w:szCs w:val="18"/>
                <w:lang w:eastAsia="en-AU"/>
              </w:rPr>
              <w:t>estimate</w:t>
            </w:r>
          </w:p>
        </w:tc>
      </w:tr>
      <w:tr w:rsidR="00A46DCA" w:rsidRPr="00AC137D" w:rsidTr="00A26D04">
        <w:tc>
          <w:tcPr>
            <w:cnfStyle w:val="001000000000" w:firstRow="0" w:lastRow="0" w:firstColumn="1" w:lastColumn="0" w:oddVBand="0" w:evenVBand="0" w:oddHBand="0" w:evenHBand="0" w:firstRowFirstColumn="0" w:firstRowLastColumn="0" w:lastRowFirstColumn="0" w:lastRowLastColumn="0"/>
            <w:tcW w:w="7767" w:type="dxa"/>
            <w:gridSpan w:val="6"/>
            <w:tcBorders>
              <w:top w:val="nil"/>
              <w:left w:val="nil"/>
              <w:bottom w:val="nil"/>
              <w:right w:val="nil"/>
            </w:tcBorders>
          </w:tcPr>
          <w:p w:rsidR="00A46DCA" w:rsidRPr="00AC137D" w:rsidRDefault="00A46DCA" w:rsidP="00A26D04">
            <w:pPr>
              <w:keepLines w:val="0"/>
              <w:autoSpaceDE w:val="0"/>
              <w:autoSpaceDN w:val="0"/>
              <w:adjustRightInd w:val="0"/>
              <w:rPr>
                <w:rFonts w:eastAsiaTheme="minorEastAsia" w:cs="Calibri"/>
                <w:b/>
                <w:bCs/>
                <w:color w:val="000000"/>
                <w:lang w:eastAsia="en-AU"/>
              </w:rPr>
            </w:pPr>
            <w:r w:rsidRPr="00AC137D">
              <w:rPr>
                <w:rFonts w:eastAsiaTheme="minorEastAsia" w:cs="Calibri"/>
                <w:b/>
                <w:bCs/>
                <w:color w:val="000000"/>
                <w:szCs w:val="18"/>
                <w:lang w:eastAsia="en-AU"/>
              </w:rPr>
              <w:t>Current advances paid and investments, loans and placements</w:t>
            </w:r>
          </w:p>
        </w:tc>
      </w:tr>
      <w:tr w:rsidR="00A46DCA" w:rsidRPr="00AC137D" w:rsidTr="00A26D04">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A46DCA" w:rsidRPr="00AC137D" w:rsidRDefault="00A46DCA" w:rsidP="00A26D04">
            <w:pPr>
              <w:keepLines w:val="0"/>
              <w:autoSpaceDE w:val="0"/>
              <w:autoSpaceDN w:val="0"/>
              <w:adjustRightInd w:val="0"/>
              <w:rPr>
                <w:rFonts w:eastAsiaTheme="minorEastAsia" w:cs="Calibri"/>
                <w:color w:val="000000"/>
                <w:szCs w:val="18"/>
                <w:lang w:eastAsia="en-AU"/>
              </w:rPr>
            </w:pPr>
            <w:r w:rsidRPr="00AC137D">
              <w:rPr>
                <w:rFonts w:eastAsiaTheme="minorEastAsia" w:cs="Calibri"/>
                <w:color w:val="000000"/>
                <w:szCs w:val="18"/>
                <w:lang w:eastAsia="en-AU"/>
              </w:rPr>
              <w:t>Loans and advances paid</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AC137D">
              <w:rPr>
                <w:rFonts w:eastAsiaTheme="minorEastAsia" w:cs="Calibri"/>
                <w:color w:val="000000"/>
                <w:szCs w:val="18"/>
                <w:lang w:eastAsia="en-AU"/>
              </w:rPr>
              <w:t>1 306</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738</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272</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99</w:t>
            </w:r>
          </w:p>
        </w:tc>
        <w:tc>
          <w:tcPr>
            <w:tcW w:w="852"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51</w:t>
            </w:r>
          </w:p>
        </w:tc>
      </w:tr>
      <w:tr w:rsidR="00A46DCA" w:rsidRPr="00AC137D" w:rsidTr="00A26D04">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A46DCA" w:rsidRPr="00AC137D" w:rsidRDefault="00A46DCA" w:rsidP="00A26D04">
            <w:pPr>
              <w:keepLines w:val="0"/>
              <w:autoSpaceDE w:val="0"/>
              <w:autoSpaceDN w:val="0"/>
              <w:adjustRightInd w:val="0"/>
              <w:rPr>
                <w:rFonts w:eastAsiaTheme="minorEastAsia" w:cs="Calibri"/>
                <w:color w:val="000000"/>
                <w:szCs w:val="18"/>
                <w:lang w:eastAsia="en-AU"/>
              </w:rPr>
            </w:pPr>
            <w:r w:rsidRPr="00AC137D">
              <w:rPr>
                <w:rFonts w:eastAsiaTheme="minorEastAsia" w:cs="Calibri"/>
                <w:color w:val="000000"/>
                <w:szCs w:val="18"/>
                <w:lang w:eastAsia="en-AU"/>
              </w:rPr>
              <w:t xml:space="preserve">Equities and managed investment schemes </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AC137D">
              <w:rPr>
                <w:rFonts w:eastAsiaTheme="minorEastAsia" w:cs="Calibri"/>
                <w:color w:val="000000"/>
                <w:szCs w:val="18"/>
                <w:lang w:eastAsia="en-AU"/>
              </w:rPr>
              <w:t>1 054</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952</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934</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943</w:t>
            </w:r>
          </w:p>
        </w:tc>
        <w:tc>
          <w:tcPr>
            <w:tcW w:w="852"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984</w:t>
            </w:r>
          </w:p>
        </w:tc>
      </w:tr>
      <w:tr w:rsidR="00A46DCA" w:rsidRPr="00AC137D" w:rsidTr="00A26D04">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A46DCA" w:rsidRPr="00AC137D" w:rsidRDefault="00A46DCA" w:rsidP="00A26D04">
            <w:pPr>
              <w:keepLines w:val="0"/>
              <w:autoSpaceDE w:val="0"/>
              <w:autoSpaceDN w:val="0"/>
              <w:adjustRightInd w:val="0"/>
              <w:rPr>
                <w:rFonts w:eastAsiaTheme="minorEastAsia" w:cs="Calibri"/>
                <w:color w:val="000000"/>
                <w:szCs w:val="18"/>
                <w:lang w:eastAsia="en-AU"/>
              </w:rPr>
            </w:pPr>
            <w:r w:rsidRPr="00AC137D">
              <w:rPr>
                <w:rFonts w:eastAsiaTheme="minorEastAsia" w:cs="Calibri"/>
                <w:color w:val="000000"/>
                <w:szCs w:val="18"/>
                <w:lang w:eastAsia="en-AU"/>
              </w:rPr>
              <w:t>Australian dollar term deposits</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543</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AC137D">
              <w:rPr>
                <w:rFonts w:eastAsiaTheme="minorEastAsia" w:cs="Calibri"/>
                <w:color w:val="000000"/>
                <w:szCs w:val="18"/>
                <w:lang w:eastAsia="en-AU"/>
              </w:rPr>
              <w:t>1 344</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AC137D">
              <w:rPr>
                <w:rFonts w:eastAsiaTheme="minorEastAsia" w:cs="Calibri"/>
                <w:color w:val="000000"/>
                <w:szCs w:val="18"/>
                <w:lang w:eastAsia="en-AU"/>
              </w:rPr>
              <w:t>1 269</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AC137D">
              <w:rPr>
                <w:rFonts w:eastAsiaTheme="minorEastAsia" w:cs="Calibri"/>
                <w:color w:val="000000"/>
                <w:szCs w:val="18"/>
                <w:lang w:eastAsia="en-AU"/>
              </w:rPr>
              <w:t>1 216</w:t>
            </w:r>
          </w:p>
        </w:tc>
        <w:tc>
          <w:tcPr>
            <w:tcW w:w="852"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AC137D">
              <w:rPr>
                <w:rFonts w:eastAsiaTheme="minorEastAsia" w:cs="Calibri"/>
                <w:color w:val="000000"/>
                <w:szCs w:val="18"/>
                <w:lang w:eastAsia="en-AU"/>
              </w:rPr>
              <w:t>1 185</w:t>
            </w:r>
          </w:p>
        </w:tc>
      </w:tr>
      <w:tr w:rsidR="00A46DCA" w:rsidRPr="00AC137D" w:rsidTr="00A26D04">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A46DCA" w:rsidRPr="00AC137D" w:rsidRDefault="00A46DCA" w:rsidP="00A26D04">
            <w:pPr>
              <w:keepLines w:val="0"/>
              <w:autoSpaceDE w:val="0"/>
              <w:autoSpaceDN w:val="0"/>
              <w:adjustRightInd w:val="0"/>
              <w:rPr>
                <w:rFonts w:eastAsiaTheme="minorEastAsia" w:cs="Calibri"/>
                <w:color w:val="000000"/>
                <w:szCs w:val="18"/>
                <w:lang w:eastAsia="en-AU"/>
              </w:rPr>
            </w:pPr>
            <w:r w:rsidRPr="00AC137D">
              <w:rPr>
                <w:rFonts w:eastAsiaTheme="minorEastAsia" w:cs="Calibri"/>
                <w:color w:val="000000"/>
                <w:szCs w:val="18"/>
                <w:lang w:eastAsia="en-AU"/>
              </w:rPr>
              <w:t>Debt securities</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w:t>
            </w:r>
          </w:p>
        </w:tc>
        <w:tc>
          <w:tcPr>
            <w:tcW w:w="852"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w:t>
            </w:r>
          </w:p>
        </w:tc>
      </w:tr>
      <w:tr w:rsidR="00A46DCA" w:rsidRPr="00AC137D" w:rsidTr="00A26D04">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single" w:sz="6" w:space="0" w:color="000000"/>
              <w:right w:val="nil"/>
            </w:tcBorders>
          </w:tcPr>
          <w:p w:rsidR="00A46DCA" w:rsidRPr="00AC137D" w:rsidRDefault="00A46DCA" w:rsidP="00A26D04">
            <w:pPr>
              <w:keepLines w:val="0"/>
              <w:autoSpaceDE w:val="0"/>
              <w:autoSpaceDN w:val="0"/>
              <w:adjustRightInd w:val="0"/>
              <w:rPr>
                <w:rFonts w:eastAsiaTheme="minorEastAsia" w:cs="Calibri"/>
                <w:color w:val="000000"/>
                <w:szCs w:val="18"/>
                <w:lang w:eastAsia="en-AU"/>
              </w:rPr>
            </w:pPr>
            <w:r w:rsidRPr="00AC137D">
              <w:rPr>
                <w:rFonts w:eastAsiaTheme="minorEastAsia" w:cs="Calibri"/>
                <w:color w:val="000000"/>
                <w:szCs w:val="18"/>
                <w:lang w:eastAsia="en-AU"/>
              </w:rPr>
              <w:t>Derivative financial instruments</w:t>
            </w:r>
          </w:p>
        </w:tc>
        <w:tc>
          <w:tcPr>
            <w:tcW w:w="850" w:type="dxa"/>
            <w:tcBorders>
              <w:top w:val="nil"/>
              <w:left w:val="nil"/>
              <w:bottom w:val="single" w:sz="6" w:space="0" w:color="000000"/>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w:t>
            </w:r>
          </w:p>
        </w:tc>
        <w:tc>
          <w:tcPr>
            <w:tcW w:w="850" w:type="dxa"/>
            <w:tcBorders>
              <w:top w:val="nil"/>
              <w:left w:val="nil"/>
              <w:bottom w:val="single" w:sz="6" w:space="0" w:color="000000"/>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w:t>
            </w:r>
          </w:p>
        </w:tc>
        <w:tc>
          <w:tcPr>
            <w:tcW w:w="850" w:type="dxa"/>
            <w:tcBorders>
              <w:top w:val="nil"/>
              <w:left w:val="nil"/>
              <w:bottom w:val="single" w:sz="6" w:space="0" w:color="000000"/>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w:t>
            </w:r>
          </w:p>
        </w:tc>
        <w:tc>
          <w:tcPr>
            <w:tcW w:w="850" w:type="dxa"/>
            <w:tcBorders>
              <w:top w:val="nil"/>
              <w:left w:val="nil"/>
              <w:bottom w:val="single" w:sz="6" w:space="0" w:color="000000"/>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38</w:t>
            </w:r>
          </w:p>
        </w:tc>
        <w:tc>
          <w:tcPr>
            <w:tcW w:w="852" w:type="dxa"/>
            <w:tcBorders>
              <w:top w:val="nil"/>
              <w:left w:val="nil"/>
              <w:bottom w:val="single" w:sz="6" w:space="0" w:color="000000"/>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58</w:t>
            </w:r>
          </w:p>
        </w:tc>
      </w:tr>
      <w:tr w:rsidR="00A46DCA" w:rsidRPr="00AC137D" w:rsidTr="00A26D04">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A46DCA" w:rsidRPr="00AC137D" w:rsidRDefault="00A46DCA" w:rsidP="00A26D04">
            <w:pPr>
              <w:keepLines w:val="0"/>
              <w:autoSpaceDE w:val="0"/>
              <w:autoSpaceDN w:val="0"/>
              <w:adjustRightInd w:val="0"/>
              <w:rPr>
                <w:rFonts w:eastAsiaTheme="minorEastAsia" w:cs="Calibri"/>
                <w:b/>
                <w:bCs/>
                <w:color w:val="000000"/>
                <w:szCs w:val="18"/>
                <w:lang w:eastAsia="en-AU"/>
              </w:rPr>
            </w:pPr>
            <w:r w:rsidRPr="00AC137D">
              <w:rPr>
                <w:rFonts w:eastAsiaTheme="minorEastAsia" w:cs="Calibri"/>
                <w:b/>
                <w:bCs/>
                <w:color w:val="000000"/>
                <w:szCs w:val="18"/>
                <w:lang w:eastAsia="en-AU"/>
              </w:rPr>
              <w:t>Total current advances paid and investments, loans and placements</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AC137D">
              <w:rPr>
                <w:rFonts w:eastAsiaTheme="minorEastAsia" w:cs="Calibri"/>
                <w:b/>
                <w:bCs/>
                <w:color w:val="000000"/>
                <w:szCs w:val="18"/>
                <w:lang w:eastAsia="en-AU"/>
              </w:rPr>
              <w:t>2 909</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AC137D">
              <w:rPr>
                <w:rFonts w:eastAsiaTheme="minorEastAsia" w:cs="Calibri"/>
                <w:b/>
                <w:bCs/>
                <w:color w:val="000000"/>
                <w:szCs w:val="18"/>
                <w:lang w:eastAsia="en-AU"/>
              </w:rPr>
              <w:t>3 041</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AC137D">
              <w:rPr>
                <w:rFonts w:eastAsiaTheme="minorEastAsia" w:cs="Calibri"/>
                <w:b/>
                <w:bCs/>
                <w:color w:val="000000"/>
                <w:szCs w:val="18"/>
                <w:lang w:eastAsia="en-AU"/>
              </w:rPr>
              <w:t>2 482</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AC137D">
              <w:rPr>
                <w:rFonts w:eastAsiaTheme="minorEastAsia" w:cs="Calibri"/>
                <w:b/>
                <w:bCs/>
                <w:color w:val="000000"/>
                <w:szCs w:val="18"/>
                <w:lang w:eastAsia="en-AU"/>
              </w:rPr>
              <w:t>2 298</w:t>
            </w:r>
          </w:p>
        </w:tc>
        <w:tc>
          <w:tcPr>
            <w:tcW w:w="852"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AC137D">
              <w:rPr>
                <w:rFonts w:eastAsiaTheme="minorEastAsia" w:cs="Calibri"/>
                <w:b/>
                <w:bCs/>
                <w:color w:val="000000"/>
                <w:szCs w:val="18"/>
                <w:lang w:eastAsia="en-AU"/>
              </w:rPr>
              <w:t>2 279</w:t>
            </w:r>
          </w:p>
        </w:tc>
      </w:tr>
      <w:tr w:rsidR="00A46DCA" w:rsidRPr="00AC137D" w:rsidTr="00A26D04">
        <w:tc>
          <w:tcPr>
            <w:cnfStyle w:val="001000000000" w:firstRow="0" w:lastRow="0" w:firstColumn="1" w:lastColumn="0" w:oddVBand="0" w:evenVBand="0" w:oddHBand="0" w:evenHBand="0" w:firstRowFirstColumn="0" w:firstRowLastColumn="0" w:lastRowFirstColumn="0" w:lastRowLastColumn="0"/>
            <w:tcW w:w="7767" w:type="dxa"/>
            <w:gridSpan w:val="6"/>
            <w:tcBorders>
              <w:top w:val="nil"/>
              <w:left w:val="nil"/>
              <w:bottom w:val="nil"/>
              <w:right w:val="nil"/>
            </w:tcBorders>
          </w:tcPr>
          <w:p w:rsidR="00A46DCA" w:rsidRPr="00AC137D" w:rsidRDefault="00A46DCA" w:rsidP="00A26D04">
            <w:pPr>
              <w:keepLines w:val="0"/>
              <w:autoSpaceDE w:val="0"/>
              <w:autoSpaceDN w:val="0"/>
              <w:adjustRightInd w:val="0"/>
              <w:rPr>
                <w:rFonts w:eastAsiaTheme="minorEastAsia" w:cs="Calibri"/>
                <w:b/>
                <w:bCs/>
                <w:color w:val="000000"/>
                <w:lang w:eastAsia="en-AU"/>
              </w:rPr>
            </w:pPr>
            <w:r w:rsidRPr="00AC137D">
              <w:rPr>
                <w:rFonts w:eastAsiaTheme="minorEastAsia" w:cs="Calibri"/>
                <w:b/>
                <w:bCs/>
                <w:color w:val="000000"/>
                <w:szCs w:val="18"/>
                <w:lang w:eastAsia="en-AU"/>
              </w:rPr>
              <w:t>Non-current advances paid and investments, loans and placements</w:t>
            </w:r>
          </w:p>
        </w:tc>
      </w:tr>
      <w:tr w:rsidR="00A46DCA" w:rsidRPr="00AC137D" w:rsidTr="00A26D04">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A46DCA" w:rsidRPr="00AC137D" w:rsidRDefault="00A46DCA" w:rsidP="00A26D04">
            <w:pPr>
              <w:keepLines w:val="0"/>
              <w:autoSpaceDE w:val="0"/>
              <w:autoSpaceDN w:val="0"/>
              <w:adjustRightInd w:val="0"/>
              <w:rPr>
                <w:rFonts w:eastAsiaTheme="minorEastAsia" w:cs="Calibri"/>
                <w:color w:val="000000"/>
                <w:szCs w:val="18"/>
                <w:lang w:eastAsia="en-AU"/>
              </w:rPr>
            </w:pPr>
            <w:r w:rsidRPr="00AC137D">
              <w:rPr>
                <w:rFonts w:eastAsiaTheme="minorEastAsia" w:cs="Calibri"/>
                <w:color w:val="000000"/>
                <w:szCs w:val="18"/>
                <w:lang w:eastAsia="en-AU"/>
              </w:rPr>
              <w:t>Loans and advances paid</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AC137D">
              <w:rPr>
                <w:rFonts w:eastAsiaTheme="minorEastAsia" w:cs="Calibri"/>
                <w:color w:val="000000"/>
                <w:szCs w:val="18"/>
                <w:lang w:eastAsia="en-AU"/>
              </w:rPr>
              <w:t>8 924</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AC137D">
              <w:rPr>
                <w:rFonts w:eastAsiaTheme="minorEastAsia" w:cs="Calibri"/>
                <w:color w:val="000000"/>
                <w:szCs w:val="18"/>
                <w:lang w:eastAsia="en-AU"/>
              </w:rPr>
              <w:t>9 236</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AC137D">
              <w:rPr>
                <w:rFonts w:eastAsiaTheme="minorEastAsia" w:cs="Calibri"/>
                <w:color w:val="000000"/>
                <w:szCs w:val="18"/>
                <w:lang w:eastAsia="en-AU"/>
              </w:rPr>
              <w:t>7 986</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AC137D">
              <w:rPr>
                <w:rFonts w:eastAsiaTheme="minorEastAsia" w:cs="Calibri"/>
                <w:color w:val="000000"/>
                <w:szCs w:val="18"/>
                <w:lang w:eastAsia="en-AU"/>
              </w:rPr>
              <w:t>6 558</w:t>
            </w:r>
          </w:p>
        </w:tc>
        <w:tc>
          <w:tcPr>
            <w:tcW w:w="852"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AC137D">
              <w:rPr>
                <w:rFonts w:eastAsiaTheme="minorEastAsia" w:cs="Calibri"/>
                <w:color w:val="000000"/>
                <w:szCs w:val="18"/>
                <w:lang w:eastAsia="en-AU"/>
              </w:rPr>
              <w:t>4 954</w:t>
            </w:r>
          </w:p>
        </w:tc>
      </w:tr>
      <w:tr w:rsidR="00A46DCA" w:rsidRPr="00AC137D" w:rsidTr="00A26D04">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A46DCA" w:rsidRPr="00AC137D" w:rsidRDefault="00A46DCA" w:rsidP="00A26D04">
            <w:pPr>
              <w:keepLines w:val="0"/>
              <w:autoSpaceDE w:val="0"/>
              <w:autoSpaceDN w:val="0"/>
              <w:adjustRightInd w:val="0"/>
              <w:rPr>
                <w:rFonts w:eastAsiaTheme="minorEastAsia" w:cs="Calibri"/>
                <w:color w:val="000000"/>
                <w:szCs w:val="18"/>
                <w:lang w:eastAsia="en-AU"/>
              </w:rPr>
            </w:pPr>
            <w:r w:rsidRPr="00AC137D">
              <w:rPr>
                <w:rFonts w:eastAsiaTheme="minorEastAsia" w:cs="Calibri"/>
                <w:color w:val="000000"/>
                <w:szCs w:val="18"/>
                <w:lang w:eastAsia="en-AU"/>
              </w:rPr>
              <w:t xml:space="preserve">Equities and managed investment schemes </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368</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372</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357</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354</w:t>
            </w:r>
          </w:p>
        </w:tc>
        <w:tc>
          <w:tcPr>
            <w:tcW w:w="852"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363</w:t>
            </w:r>
          </w:p>
        </w:tc>
      </w:tr>
      <w:tr w:rsidR="00A46DCA" w:rsidRPr="00AC137D" w:rsidTr="00A26D04">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A46DCA" w:rsidRPr="00AC137D" w:rsidRDefault="00A46DCA" w:rsidP="00A26D04">
            <w:pPr>
              <w:keepLines w:val="0"/>
              <w:autoSpaceDE w:val="0"/>
              <w:autoSpaceDN w:val="0"/>
              <w:adjustRightInd w:val="0"/>
              <w:rPr>
                <w:rFonts w:eastAsiaTheme="minorEastAsia" w:cs="Calibri"/>
                <w:color w:val="000000"/>
                <w:szCs w:val="18"/>
                <w:lang w:eastAsia="en-AU"/>
              </w:rPr>
            </w:pPr>
            <w:r w:rsidRPr="00AC137D">
              <w:rPr>
                <w:rFonts w:eastAsiaTheme="minorEastAsia" w:cs="Calibri"/>
                <w:color w:val="000000"/>
                <w:szCs w:val="18"/>
                <w:lang w:eastAsia="en-AU"/>
              </w:rPr>
              <w:t>Australian dollar term deposits</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882</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675</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623</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596</w:t>
            </w:r>
          </w:p>
        </w:tc>
        <w:tc>
          <w:tcPr>
            <w:tcW w:w="852"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605</w:t>
            </w:r>
          </w:p>
        </w:tc>
      </w:tr>
      <w:tr w:rsidR="00A46DCA" w:rsidRPr="00AC137D" w:rsidTr="00A26D04">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A46DCA" w:rsidRPr="00AC137D" w:rsidRDefault="00A46DCA" w:rsidP="00A26D04">
            <w:pPr>
              <w:keepLines w:val="0"/>
              <w:autoSpaceDE w:val="0"/>
              <w:autoSpaceDN w:val="0"/>
              <w:adjustRightInd w:val="0"/>
              <w:rPr>
                <w:rFonts w:eastAsiaTheme="minorEastAsia" w:cs="Calibri"/>
                <w:color w:val="000000"/>
                <w:szCs w:val="18"/>
                <w:lang w:eastAsia="en-AU"/>
              </w:rPr>
            </w:pPr>
            <w:r w:rsidRPr="00AC137D">
              <w:rPr>
                <w:rFonts w:eastAsiaTheme="minorEastAsia" w:cs="Calibri"/>
                <w:color w:val="000000"/>
                <w:szCs w:val="18"/>
                <w:lang w:eastAsia="en-AU"/>
              </w:rPr>
              <w:t>Debt securities</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24</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24</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24</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24</w:t>
            </w:r>
          </w:p>
        </w:tc>
        <w:tc>
          <w:tcPr>
            <w:tcW w:w="852"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24</w:t>
            </w:r>
          </w:p>
        </w:tc>
      </w:tr>
      <w:tr w:rsidR="00A46DCA" w:rsidRPr="00AC137D" w:rsidTr="00A26D04">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A46DCA" w:rsidRPr="00AC137D" w:rsidRDefault="00A46DCA" w:rsidP="00A26D04">
            <w:pPr>
              <w:keepLines w:val="0"/>
              <w:autoSpaceDE w:val="0"/>
              <w:autoSpaceDN w:val="0"/>
              <w:adjustRightInd w:val="0"/>
              <w:rPr>
                <w:rFonts w:eastAsiaTheme="minorEastAsia" w:cs="Calibri"/>
                <w:color w:val="000000"/>
                <w:szCs w:val="18"/>
                <w:lang w:eastAsia="en-AU"/>
              </w:rPr>
            </w:pPr>
            <w:r w:rsidRPr="00AC137D">
              <w:rPr>
                <w:rFonts w:eastAsiaTheme="minorEastAsia" w:cs="Calibri"/>
                <w:color w:val="000000"/>
                <w:szCs w:val="18"/>
                <w:lang w:eastAsia="en-AU"/>
              </w:rPr>
              <w:t>Derivative financial instruments</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11</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11</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11</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11</w:t>
            </w:r>
          </w:p>
        </w:tc>
        <w:tc>
          <w:tcPr>
            <w:tcW w:w="852"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11</w:t>
            </w:r>
          </w:p>
        </w:tc>
      </w:tr>
      <w:tr w:rsidR="00A46DCA" w:rsidRPr="00AC137D" w:rsidTr="00A26D04">
        <w:tc>
          <w:tcPr>
            <w:cnfStyle w:val="001000000000" w:firstRow="0" w:lastRow="0" w:firstColumn="1" w:lastColumn="0" w:oddVBand="0" w:evenVBand="0" w:oddHBand="0" w:evenHBand="0" w:firstRowFirstColumn="0" w:firstRowLastColumn="0" w:lastRowFirstColumn="0" w:lastRowLastColumn="0"/>
            <w:tcW w:w="3515" w:type="dxa"/>
            <w:tcBorders>
              <w:top w:val="single" w:sz="6" w:space="0" w:color="000000"/>
              <w:left w:val="nil"/>
              <w:bottom w:val="nil"/>
              <w:right w:val="nil"/>
            </w:tcBorders>
          </w:tcPr>
          <w:p w:rsidR="00A46DCA" w:rsidRPr="00AC137D" w:rsidRDefault="00A46DCA" w:rsidP="00A26D04">
            <w:pPr>
              <w:keepLines w:val="0"/>
              <w:autoSpaceDE w:val="0"/>
              <w:autoSpaceDN w:val="0"/>
              <w:adjustRightInd w:val="0"/>
              <w:rPr>
                <w:rFonts w:eastAsiaTheme="minorEastAsia" w:cs="Calibri"/>
                <w:b/>
                <w:bCs/>
                <w:color w:val="000000"/>
                <w:szCs w:val="18"/>
                <w:lang w:eastAsia="en-AU"/>
              </w:rPr>
            </w:pPr>
            <w:r w:rsidRPr="00AC137D">
              <w:rPr>
                <w:rFonts w:eastAsiaTheme="minorEastAsia" w:cs="Calibri"/>
                <w:b/>
                <w:bCs/>
                <w:color w:val="000000"/>
                <w:szCs w:val="18"/>
                <w:lang w:eastAsia="en-AU"/>
              </w:rPr>
              <w:t>Total non-current advances paid and investments, loans and placements</w:t>
            </w:r>
          </w:p>
        </w:tc>
        <w:tc>
          <w:tcPr>
            <w:tcW w:w="850" w:type="dxa"/>
            <w:tcBorders>
              <w:top w:val="single" w:sz="6" w:space="0" w:color="000000"/>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AC137D">
              <w:rPr>
                <w:rFonts w:eastAsiaTheme="minorEastAsia" w:cs="Calibri"/>
                <w:b/>
                <w:bCs/>
                <w:color w:val="000000"/>
                <w:szCs w:val="18"/>
                <w:lang w:eastAsia="en-AU"/>
              </w:rPr>
              <w:t>10 210</w:t>
            </w:r>
          </w:p>
        </w:tc>
        <w:tc>
          <w:tcPr>
            <w:tcW w:w="850" w:type="dxa"/>
            <w:tcBorders>
              <w:top w:val="single" w:sz="6" w:space="0" w:color="000000"/>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AC137D">
              <w:rPr>
                <w:rFonts w:eastAsiaTheme="minorEastAsia" w:cs="Calibri"/>
                <w:b/>
                <w:bCs/>
                <w:color w:val="000000"/>
                <w:szCs w:val="18"/>
                <w:lang w:eastAsia="en-AU"/>
              </w:rPr>
              <w:t>10 319</w:t>
            </w:r>
          </w:p>
        </w:tc>
        <w:tc>
          <w:tcPr>
            <w:tcW w:w="850" w:type="dxa"/>
            <w:tcBorders>
              <w:top w:val="single" w:sz="6" w:space="0" w:color="000000"/>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AC137D">
              <w:rPr>
                <w:rFonts w:eastAsiaTheme="minorEastAsia" w:cs="Calibri"/>
                <w:b/>
                <w:bCs/>
                <w:color w:val="000000"/>
                <w:szCs w:val="18"/>
                <w:lang w:eastAsia="en-AU"/>
              </w:rPr>
              <w:t>9 001</w:t>
            </w:r>
          </w:p>
        </w:tc>
        <w:tc>
          <w:tcPr>
            <w:tcW w:w="850" w:type="dxa"/>
            <w:tcBorders>
              <w:top w:val="single" w:sz="6" w:space="0" w:color="000000"/>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AC137D">
              <w:rPr>
                <w:rFonts w:eastAsiaTheme="minorEastAsia" w:cs="Calibri"/>
                <w:b/>
                <w:bCs/>
                <w:color w:val="000000"/>
                <w:szCs w:val="18"/>
                <w:lang w:eastAsia="en-AU"/>
              </w:rPr>
              <w:t>7 544</w:t>
            </w:r>
          </w:p>
        </w:tc>
        <w:tc>
          <w:tcPr>
            <w:tcW w:w="852" w:type="dxa"/>
            <w:tcBorders>
              <w:top w:val="single" w:sz="6" w:space="0" w:color="000000"/>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AC137D">
              <w:rPr>
                <w:rFonts w:eastAsiaTheme="minorEastAsia" w:cs="Calibri"/>
                <w:b/>
                <w:bCs/>
                <w:color w:val="000000"/>
                <w:szCs w:val="18"/>
                <w:lang w:eastAsia="en-AU"/>
              </w:rPr>
              <w:t>5 958</w:t>
            </w:r>
          </w:p>
        </w:tc>
      </w:tr>
      <w:tr w:rsidR="00A46DCA" w:rsidRPr="00AC137D" w:rsidTr="00A26D04">
        <w:tc>
          <w:tcPr>
            <w:cnfStyle w:val="001000000000" w:firstRow="0" w:lastRow="0" w:firstColumn="1" w:lastColumn="0" w:oddVBand="0" w:evenVBand="0" w:oddHBand="0" w:evenHBand="0" w:firstRowFirstColumn="0" w:firstRowLastColumn="0" w:lastRowFirstColumn="0" w:lastRowLastColumn="0"/>
            <w:tcW w:w="3515" w:type="dxa"/>
            <w:tcBorders>
              <w:top w:val="single" w:sz="6" w:space="0" w:color="000000"/>
              <w:left w:val="nil"/>
              <w:bottom w:val="single" w:sz="12" w:space="0" w:color="000000"/>
              <w:right w:val="nil"/>
            </w:tcBorders>
          </w:tcPr>
          <w:p w:rsidR="00A46DCA" w:rsidRPr="00AC137D" w:rsidRDefault="00A46DCA" w:rsidP="00A26D04">
            <w:pPr>
              <w:keepLines w:val="0"/>
              <w:autoSpaceDE w:val="0"/>
              <w:autoSpaceDN w:val="0"/>
              <w:adjustRightInd w:val="0"/>
              <w:rPr>
                <w:rFonts w:eastAsiaTheme="minorEastAsia" w:cs="Calibri"/>
                <w:b/>
                <w:bCs/>
                <w:color w:val="000000"/>
                <w:szCs w:val="18"/>
                <w:lang w:eastAsia="en-AU"/>
              </w:rPr>
            </w:pPr>
            <w:r w:rsidRPr="00AC137D">
              <w:rPr>
                <w:rFonts w:eastAsiaTheme="minorEastAsia" w:cs="Calibri"/>
                <w:b/>
                <w:bCs/>
                <w:color w:val="000000"/>
                <w:szCs w:val="18"/>
                <w:lang w:eastAsia="en-AU"/>
              </w:rPr>
              <w:t xml:space="preserve">Total advances paid and investments, loans </w:t>
            </w:r>
            <w:r w:rsidR="008110D9">
              <w:rPr>
                <w:rFonts w:eastAsiaTheme="minorEastAsia" w:cs="Calibri"/>
                <w:b/>
                <w:bCs/>
                <w:color w:val="000000"/>
                <w:szCs w:val="18"/>
                <w:lang w:eastAsia="en-AU"/>
              </w:rPr>
              <w:br/>
            </w:r>
            <w:r w:rsidRPr="00AC137D">
              <w:rPr>
                <w:rFonts w:eastAsiaTheme="minorEastAsia" w:cs="Calibri"/>
                <w:b/>
                <w:bCs/>
                <w:color w:val="000000"/>
                <w:szCs w:val="18"/>
                <w:lang w:eastAsia="en-AU"/>
              </w:rPr>
              <w:t>and placements</w:t>
            </w:r>
          </w:p>
        </w:tc>
        <w:tc>
          <w:tcPr>
            <w:tcW w:w="850" w:type="dxa"/>
            <w:tcBorders>
              <w:top w:val="single" w:sz="6" w:space="0" w:color="000000"/>
              <w:left w:val="nil"/>
              <w:bottom w:val="single" w:sz="12" w:space="0" w:color="000000"/>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AC137D">
              <w:rPr>
                <w:rFonts w:eastAsiaTheme="minorEastAsia" w:cs="Calibri"/>
                <w:b/>
                <w:bCs/>
                <w:color w:val="000000"/>
                <w:szCs w:val="18"/>
                <w:lang w:eastAsia="en-AU"/>
              </w:rPr>
              <w:t>13 119</w:t>
            </w:r>
          </w:p>
        </w:tc>
        <w:tc>
          <w:tcPr>
            <w:tcW w:w="850" w:type="dxa"/>
            <w:tcBorders>
              <w:top w:val="single" w:sz="6" w:space="0" w:color="000000"/>
              <w:left w:val="nil"/>
              <w:bottom w:val="single" w:sz="12" w:space="0" w:color="000000"/>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AC137D">
              <w:rPr>
                <w:rFonts w:eastAsiaTheme="minorEastAsia" w:cs="Calibri"/>
                <w:b/>
                <w:bCs/>
                <w:color w:val="000000"/>
                <w:szCs w:val="18"/>
                <w:lang w:eastAsia="en-AU"/>
              </w:rPr>
              <w:t>13 359</w:t>
            </w:r>
          </w:p>
        </w:tc>
        <w:tc>
          <w:tcPr>
            <w:tcW w:w="850" w:type="dxa"/>
            <w:tcBorders>
              <w:top w:val="single" w:sz="6" w:space="0" w:color="000000"/>
              <w:left w:val="nil"/>
              <w:bottom w:val="single" w:sz="12" w:space="0" w:color="000000"/>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AC137D">
              <w:rPr>
                <w:rFonts w:eastAsiaTheme="minorEastAsia" w:cs="Calibri"/>
                <w:b/>
                <w:bCs/>
                <w:color w:val="000000"/>
                <w:szCs w:val="18"/>
                <w:lang w:eastAsia="en-AU"/>
              </w:rPr>
              <w:t>11 483</w:t>
            </w:r>
          </w:p>
        </w:tc>
        <w:tc>
          <w:tcPr>
            <w:tcW w:w="850" w:type="dxa"/>
            <w:tcBorders>
              <w:top w:val="single" w:sz="6" w:space="0" w:color="000000"/>
              <w:left w:val="nil"/>
              <w:bottom w:val="single" w:sz="12" w:space="0" w:color="000000"/>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AC137D">
              <w:rPr>
                <w:rFonts w:eastAsiaTheme="minorEastAsia" w:cs="Calibri"/>
                <w:b/>
                <w:bCs/>
                <w:color w:val="000000"/>
                <w:szCs w:val="18"/>
                <w:lang w:eastAsia="en-AU"/>
              </w:rPr>
              <w:t>9 842</w:t>
            </w:r>
          </w:p>
        </w:tc>
        <w:tc>
          <w:tcPr>
            <w:tcW w:w="852" w:type="dxa"/>
            <w:tcBorders>
              <w:top w:val="single" w:sz="6" w:space="0" w:color="000000"/>
              <w:left w:val="nil"/>
              <w:bottom w:val="single" w:sz="12" w:space="0" w:color="000000"/>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AC137D">
              <w:rPr>
                <w:rFonts w:eastAsiaTheme="minorEastAsia" w:cs="Calibri"/>
                <w:b/>
                <w:bCs/>
                <w:color w:val="000000"/>
                <w:szCs w:val="18"/>
                <w:lang w:eastAsia="en-AU"/>
              </w:rPr>
              <w:t>8 237</w:t>
            </w:r>
          </w:p>
        </w:tc>
      </w:tr>
      <w:tr w:rsidR="00A46DCA" w:rsidRPr="00AC137D" w:rsidTr="00A26D04">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A46DCA" w:rsidRPr="00AC137D" w:rsidRDefault="00A46DCA" w:rsidP="00A26D04">
            <w:pPr>
              <w:keepLines w:val="0"/>
              <w:autoSpaceDE w:val="0"/>
              <w:autoSpaceDN w:val="0"/>
              <w:adjustRightInd w:val="0"/>
              <w:rPr>
                <w:rFonts w:eastAsiaTheme="minorEastAsia" w:cs="Calibri"/>
                <w:b/>
                <w:bCs/>
                <w:color w:val="000000"/>
                <w:szCs w:val="18"/>
                <w:lang w:eastAsia="en-AU"/>
              </w:rPr>
            </w:pPr>
            <w:r w:rsidRPr="00AC137D">
              <w:rPr>
                <w:rFonts w:eastAsiaTheme="minorEastAsia" w:cs="Calibri"/>
                <w:b/>
                <w:bCs/>
                <w:color w:val="000000"/>
                <w:szCs w:val="18"/>
                <w:lang w:eastAsia="en-AU"/>
              </w:rPr>
              <w:t>Represented by:</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AC137D">
              <w:rPr>
                <w:rFonts w:eastAsiaTheme="minorEastAsia" w:cs="Calibri"/>
                <w:b/>
                <w:bCs/>
                <w:color w:val="000000"/>
                <w:lang w:eastAsia="en-AU"/>
              </w:rPr>
              <w:t xml:space="preserve"> </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AC137D">
              <w:rPr>
                <w:rFonts w:eastAsiaTheme="minorEastAsia" w:cs="Calibri"/>
                <w:b/>
                <w:bCs/>
                <w:color w:val="000000"/>
                <w:lang w:eastAsia="en-AU"/>
              </w:rPr>
              <w:t xml:space="preserve"> </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AC137D">
              <w:rPr>
                <w:rFonts w:eastAsiaTheme="minorEastAsia" w:cs="Calibri"/>
                <w:b/>
                <w:bCs/>
                <w:color w:val="000000"/>
                <w:lang w:eastAsia="en-AU"/>
              </w:rPr>
              <w:t xml:space="preserve"> </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AC137D">
              <w:rPr>
                <w:rFonts w:eastAsiaTheme="minorEastAsia" w:cs="Calibri"/>
                <w:b/>
                <w:bCs/>
                <w:color w:val="000000"/>
                <w:lang w:eastAsia="en-AU"/>
              </w:rPr>
              <w:t xml:space="preserve"> </w:t>
            </w:r>
          </w:p>
        </w:tc>
        <w:tc>
          <w:tcPr>
            <w:tcW w:w="852"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AC137D">
              <w:rPr>
                <w:rFonts w:eastAsiaTheme="minorEastAsia" w:cs="Calibri"/>
                <w:b/>
                <w:bCs/>
                <w:color w:val="000000"/>
                <w:lang w:eastAsia="en-AU"/>
              </w:rPr>
              <w:t xml:space="preserve"> </w:t>
            </w:r>
          </w:p>
        </w:tc>
      </w:tr>
      <w:tr w:rsidR="00A46DCA" w:rsidRPr="00AC137D" w:rsidTr="00A26D04">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A46DCA" w:rsidRPr="00AC137D" w:rsidRDefault="00A46DCA" w:rsidP="00A26D04">
            <w:pPr>
              <w:keepLines w:val="0"/>
              <w:autoSpaceDE w:val="0"/>
              <w:autoSpaceDN w:val="0"/>
              <w:adjustRightInd w:val="0"/>
              <w:rPr>
                <w:rFonts w:eastAsiaTheme="minorEastAsia" w:cs="Calibri"/>
                <w:color w:val="000000"/>
                <w:szCs w:val="18"/>
                <w:lang w:eastAsia="en-AU"/>
              </w:rPr>
            </w:pPr>
            <w:r w:rsidRPr="00AC137D">
              <w:rPr>
                <w:rFonts w:eastAsiaTheme="minorEastAsia" w:cs="Calibri"/>
                <w:color w:val="000000"/>
                <w:szCs w:val="18"/>
                <w:lang w:eastAsia="en-AU"/>
              </w:rPr>
              <w:t>Advances paid</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AC137D">
              <w:rPr>
                <w:rFonts w:eastAsiaTheme="minorEastAsia" w:cs="Calibri"/>
                <w:color w:val="000000"/>
                <w:szCs w:val="18"/>
                <w:lang w:eastAsia="en-AU"/>
              </w:rPr>
              <w:t>10 230</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AC137D">
              <w:rPr>
                <w:rFonts w:eastAsiaTheme="minorEastAsia" w:cs="Calibri"/>
                <w:color w:val="000000"/>
                <w:szCs w:val="18"/>
                <w:lang w:eastAsia="en-AU"/>
              </w:rPr>
              <w:t>9 974</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AC137D">
              <w:rPr>
                <w:rFonts w:eastAsiaTheme="minorEastAsia" w:cs="Calibri"/>
                <w:color w:val="000000"/>
                <w:szCs w:val="18"/>
                <w:lang w:eastAsia="en-AU"/>
              </w:rPr>
              <w:t>8 258</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AC137D">
              <w:rPr>
                <w:rFonts w:eastAsiaTheme="minorEastAsia" w:cs="Calibri"/>
                <w:color w:val="000000"/>
                <w:szCs w:val="18"/>
                <w:lang w:eastAsia="en-AU"/>
              </w:rPr>
              <w:t>6 657</w:t>
            </w:r>
          </w:p>
        </w:tc>
        <w:tc>
          <w:tcPr>
            <w:tcW w:w="852"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AC137D">
              <w:rPr>
                <w:rFonts w:eastAsiaTheme="minorEastAsia" w:cs="Calibri"/>
                <w:color w:val="000000"/>
                <w:szCs w:val="18"/>
                <w:lang w:eastAsia="en-AU"/>
              </w:rPr>
              <w:t>5 005</w:t>
            </w:r>
          </w:p>
        </w:tc>
      </w:tr>
      <w:tr w:rsidR="00A46DCA" w:rsidRPr="00AC137D" w:rsidTr="00A26D04">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single" w:sz="12" w:space="0" w:color="000000"/>
              <w:right w:val="nil"/>
            </w:tcBorders>
          </w:tcPr>
          <w:p w:rsidR="00A46DCA" w:rsidRPr="00AC137D" w:rsidRDefault="00A46DCA" w:rsidP="00A26D04">
            <w:pPr>
              <w:keepLines w:val="0"/>
              <w:autoSpaceDE w:val="0"/>
              <w:autoSpaceDN w:val="0"/>
              <w:adjustRightInd w:val="0"/>
              <w:rPr>
                <w:rFonts w:eastAsiaTheme="minorEastAsia" w:cs="Calibri"/>
                <w:color w:val="000000"/>
                <w:szCs w:val="18"/>
                <w:lang w:eastAsia="en-AU"/>
              </w:rPr>
            </w:pPr>
            <w:r w:rsidRPr="00AC137D">
              <w:rPr>
                <w:rFonts w:eastAsiaTheme="minorEastAsia" w:cs="Calibri"/>
                <w:color w:val="000000"/>
                <w:szCs w:val="18"/>
                <w:lang w:eastAsia="en-AU"/>
              </w:rPr>
              <w:t>Investments, loans and placements</w:t>
            </w:r>
          </w:p>
        </w:tc>
        <w:tc>
          <w:tcPr>
            <w:tcW w:w="850" w:type="dxa"/>
            <w:tcBorders>
              <w:top w:val="nil"/>
              <w:left w:val="nil"/>
              <w:bottom w:val="single" w:sz="12" w:space="0" w:color="000000"/>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AC137D">
              <w:rPr>
                <w:rFonts w:eastAsiaTheme="minorEastAsia" w:cs="Calibri"/>
                <w:color w:val="000000"/>
                <w:szCs w:val="18"/>
                <w:lang w:eastAsia="en-AU"/>
              </w:rPr>
              <w:t>2 889</w:t>
            </w:r>
          </w:p>
        </w:tc>
        <w:tc>
          <w:tcPr>
            <w:tcW w:w="850" w:type="dxa"/>
            <w:tcBorders>
              <w:top w:val="nil"/>
              <w:left w:val="nil"/>
              <w:bottom w:val="single" w:sz="12" w:space="0" w:color="000000"/>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AC137D">
              <w:rPr>
                <w:rFonts w:eastAsiaTheme="minorEastAsia" w:cs="Calibri"/>
                <w:color w:val="000000"/>
                <w:szCs w:val="18"/>
                <w:lang w:eastAsia="en-AU"/>
              </w:rPr>
              <w:t>3 386</w:t>
            </w:r>
          </w:p>
        </w:tc>
        <w:tc>
          <w:tcPr>
            <w:tcW w:w="850" w:type="dxa"/>
            <w:tcBorders>
              <w:top w:val="nil"/>
              <w:left w:val="nil"/>
              <w:bottom w:val="single" w:sz="12" w:space="0" w:color="000000"/>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AC137D">
              <w:rPr>
                <w:rFonts w:eastAsiaTheme="minorEastAsia" w:cs="Calibri"/>
                <w:color w:val="000000"/>
                <w:szCs w:val="18"/>
                <w:lang w:eastAsia="en-AU"/>
              </w:rPr>
              <w:t>3 225</w:t>
            </w:r>
          </w:p>
        </w:tc>
        <w:tc>
          <w:tcPr>
            <w:tcW w:w="850" w:type="dxa"/>
            <w:tcBorders>
              <w:top w:val="nil"/>
              <w:left w:val="nil"/>
              <w:bottom w:val="single" w:sz="12" w:space="0" w:color="000000"/>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AC137D">
              <w:rPr>
                <w:rFonts w:eastAsiaTheme="minorEastAsia" w:cs="Calibri"/>
                <w:color w:val="000000"/>
                <w:szCs w:val="18"/>
                <w:lang w:eastAsia="en-AU"/>
              </w:rPr>
              <w:t>3 185</w:t>
            </w:r>
          </w:p>
        </w:tc>
        <w:tc>
          <w:tcPr>
            <w:tcW w:w="852" w:type="dxa"/>
            <w:tcBorders>
              <w:top w:val="nil"/>
              <w:left w:val="nil"/>
              <w:bottom w:val="single" w:sz="12" w:space="0" w:color="000000"/>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AC137D">
              <w:rPr>
                <w:rFonts w:eastAsiaTheme="minorEastAsia" w:cs="Calibri"/>
                <w:color w:val="000000"/>
                <w:szCs w:val="18"/>
                <w:lang w:eastAsia="en-AU"/>
              </w:rPr>
              <w:t>3 232</w:t>
            </w:r>
          </w:p>
        </w:tc>
      </w:tr>
    </w:tbl>
    <w:p w:rsidR="00A46DCA" w:rsidRDefault="00A46DCA" w:rsidP="00A26D04">
      <w:pPr>
        <w:pStyle w:val="Source"/>
      </w:pPr>
      <w:r w:rsidRPr="00D87D22">
        <w:t>Source: Department of Treasury and Finance</w:t>
      </w:r>
    </w:p>
    <w:p w:rsidR="00A46DCA" w:rsidRDefault="00A46DCA" w:rsidP="00A26D04"/>
    <w:p w:rsidR="00A46DCA" w:rsidRPr="00B41AC3" w:rsidRDefault="00A46DCA" w:rsidP="00A26D04"/>
    <w:p w:rsidR="00A46DCA" w:rsidRPr="00AC137D" w:rsidRDefault="00A46DCA" w:rsidP="00A26D04">
      <w:pPr>
        <w:pStyle w:val="Heading3"/>
        <w:numPr>
          <w:ilvl w:val="2"/>
          <w:numId w:val="19"/>
        </w:numPr>
        <w:tabs>
          <w:tab w:val="clear" w:pos="9582"/>
          <w:tab w:val="left" w:pos="850"/>
          <w:tab w:val="right" w:pos="7711"/>
        </w:tabs>
        <w:spacing w:after="60"/>
        <w:rPr>
          <w:lang w:val="en-US"/>
        </w:rPr>
      </w:pPr>
      <w:bookmarkStart w:id="48" w:name="_Toc496606635"/>
      <w:r>
        <w:t>Interest expense</w:t>
      </w:r>
      <w:r>
        <w:tab/>
        <w:t>($ million)</w:t>
      </w:r>
      <w:bookmarkEnd w:id="48"/>
    </w:p>
    <w:tbl>
      <w:tblPr>
        <w:tblStyle w:val="DTFTable"/>
        <w:tblW w:w="7780" w:type="dxa"/>
        <w:tblInd w:w="45" w:type="dxa"/>
        <w:tblLayout w:type="fixed"/>
        <w:tblCellMar>
          <w:left w:w="45" w:type="dxa"/>
          <w:right w:w="45" w:type="dxa"/>
        </w:tblCellMar>
        <w:tblLook w:val="06A0" w:firstRow="1" w:lastRow="0" w:firstColumn="1" w:lastColumn="0" w:noHBand="1" w:noVBand="1"/>
      </w:tblPr>
      <w:tblGrid>
        <w:gridCol w:w="3725"/>
        <w:gridCol w:w="811"/>
        <w:gridCol w:w="811"/>
        <w:gridCol w:w="811"/>
        <w:gridCol w:w="811"/>
        <w:gridCol w:w="811"/>
      </w:tblGrid>
      <w:tr w:rsidR="00A26D04" w:rsidRPr="00AC137D" w:rsidTr="008110D9">
        <w:trPr>
          <w:cnfStyle w:val="100000000000" w:firstRow="1" w:lastRow="0" w:firstColumn="0" w:lastColumn="0" w:oddVBand="0" w:evenVBand="0" w:oddHBand="0" w:evenHBand="0" w:firstRowFirstColumn="0" w:firstRowLastColumn="0" w:lastRowFirstColumn="0" w:lastRowLastColumn="0"/>
          <w:trHeight w:val="70"/>
          <w:tblHeader/>
        </w:trPr>
        <w:tc>
          <w:tcPr>
            <w:cnfStyle w:val="001000000000" w:firstRow="0" w:lastRow="0" w:firstColumn="1" w:lastColumn="0" w:oddVBand="0" w:evenVBand="0" w:oddHBand="0" w:evenHBand="0" w:firstRowFirstColumn="0" w:firstRowLastColumn="0" w:lastRowFirstColumn="0" w:lastRowLastColumn="0"/>
            <w:tcW w:w="3725" w:type="dxa"/>
            <w:tcBorders>
              <w:top w:val="nil"/>
              <w:left w:val="nil"/>
              <w:right w:val="nil"/>
            </w:tcBorders>
            <w:shd w:val="solid" w:color="000000" w:fill="auto"/>
          </w:tcPr>
          <w:p w:rsidR="00A26D04" w:rsidRPr="00AC137D" w:rsidRDefault="00A26D04" w:rsidP="00A26D04">
            <w:pPr>
              <w:autoSpaceDE w:val="0"/>
              <w:autoSpaceDN w:val="0"/>
              <w:adjustRightInd w:val="0"/>
              <w:rPr>
                <w:rFonts w:eastAsiaTheme="minorEastAsia" w:cs="Calibri"/>
                <w:iCs/>
                <w:color w:val="FFFFFF"/>
                <w:lang w:eastAsia="en-AU"/>
              </w:rPr>
            </w:pPr>
            <w:r w:rsidRPr="00AC137D">
              <w:rPr>
                <w:rFonts w:eastAsiaTheme="minorEastAsia" w:cs="Calibri"/>
                <w:iCs/>
                <w:color w:val="FFFFFF"/>
                <w:lang w:eastAsia="en-AU"/>
              </w:rPr>
              <w:t xml:space="preserve">  </w:t>
            </w:r>
          </w:p>
        </w:tc>
        <w:tc>
          <w:tcPr>
            <w:tcW w:w="811" w:type="dxa"/>
            <w:tcBorders>
              <w:top w:val="nil"/>
              <w:left w:val="nil"/>
              <w:right w:val="nil"/>
            </w:tcBorders>
            <w:shd w:val="solid" w:color="000000" w:fill="auto"/>
          </w:tcPr>
          <w:p w:rsidR="00A26D04" w:rsidRPr="00AC137D" w:rsidRDefault="00A26D04" w:rsidP="00A26D0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AC137D">
              <w:rPr>
                <w:rFonts w:eastAsiaTheme="minorEastAsia" w:cs="Calibri"/>
                <w:iCs/>
                <w:color w:val="FFFFFF"/>
                <w:szCs w:val="16"/>
                <w:lang w:eastAsia="en-AU"/>
              </w:rPr>
              <w:t>2017-18</w:t>
            </w:r>
            <w:r>
              <w:rPr>
                <w:rFonts w:eastAsiaTheme="minorEastAsia" w:cs="Calibri"/>
                <w:iCs/>
                <w:color w:val="FFFFFF"/>
                <w:szCs w:val="16"/>
                <w:lang w:eastAsia="en-AU"/>
              </w:rPr>
              <w:br/>
            </w:r>
            <w:r w:rsidRPr="00AC137D">
              <w:rPr>
                <w:rFonts w:eastAsiaTheme="minorEastAsia" w:cs="Calibri"/>
                <w:iCs/>
                <w:color w:val="FFFFFF"/>
                <w:szCs w:val="16"/>
                <w:lang w:eastAsia="en-AU"/>
              </w:rPr>
              <w:t>budget</w:t>
            </w:r>
          </w:p>
        </w:tc>
        <w:tc>
          <w:tcPr>
            <w:tcW w:w="811" w:type="dxa"/>
            <w:tcBorders>
              <w:top w:val="nil"/>
              <w:left w:val="nil"/>
              <w:right w:val="nil"/>
            </w:tcBorders>
            <w:shd w:val="solid" w:color="000000" w:fill="auto"/>
          </w:tcPr>
          <w:p w:rsidR="00A26D04" w:rsidRPr="00AC137D" w:rsidRDefault="00A26D04" w:rsidP="00A26D0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AC137D">
              <w:rPr>
                <w:rFonts w:eastAsiaTheme="minorEastAsia" w:cs="Calibri"/>
                <w:iCs/>
                <w:color w:val="FFFFFF"/>
                <w:szCs w:val="16"/>
                <w:lang w:eastAsia="en-AU"/>
              </w:rPr>
              <w:t>2017-18</w:t>
            </w:r>
            <w:r>
              <w:rPr>
                <w:rFonts w:eastAsiaTheme="minorEastAsia" w:cs="Calibri"/>
                <w:iCs/>
                <w:color w:val="FFFFFF"/>
                <w:szCs w:val="16"/>
                <w:lang w:eastAsia="en-AU"/>
              </w:rPr>
              <w:br/>
            </w:r>
            <w:r w:rsidRPr="00AC137D">
              <w:rPr>
                <w:rFonts w:eastAsiaTheme="minorEastAsia" w:cs="Calibri"/>
                <w:iCs/>
                <w:color w:val="FFFFFF"/>
                <w:szCs w:val="16"/>
                <w:lang w:eastAsia="en-AU"/>
              </w:rPr>
              <w:t>revised</w:t>
            </w:r>
          </w:p>
        </w:tc>
        <w:tc>
          <w:tcPr>
            <w:tcW w:w="811" w:type="dxa"/>
            <w:tcBorders>
              <w:top w:val="nil"/>
              <w:left w:val="nil"/>
              <w:right w:val="nil"/>
            </w:tcBorders>
            <w:shd w:val="solid" w:color="000000" w:fill="auto"/>
          </w:tcPr>
          <w:p w:rsidR="00A26D04" w:rsidRPr="00AC137D" w:rsidRDefault="00A26D04" w:rsidP="00A26D0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AC137D">
              <w:rPr>
                <w:rFonts w:eastAsiaTheme="minorEastAsia" w:cs="Calibri"/>
                <w:iCs/>
                <w:color w:val="FFFFFF"/>
                <w:szCs w:val="16"/>
                <w:lang w:eastAsia="en-AU"/>
              </w:rPr>
              <w:t>2018-19</w:t>
            </w:r>
            <w:r>
              <w:rPr>
                <w:rFonts w:eastAsiaTheme="minorEastAsia" w:cs="Calibri"/>
                <w:iCs/>
                <w:color w:val="FFFFFF"/>
                <w:szCs w:val="16"/>
                <w:lang w:eastAsia="en-AU"/>
              </w:rPr>
              <w:br/>
            </w:r>
            <w:r w:rsidRPr="00AC137D">
              <w:rPr>
                <w:rFonts w:eastAsiaTheme="minorEastAsia" w:cs="Calibri"/>
                <w:iCs/>
                <w:color w:val="FFFFFF"/>
                <w:szCs w:val="16"/>
                <w:lang w:eastAsia="en-AU"/>
              </w:rPr>
              <w:t>estimate</w:t>
            </w:r>
          </w:p>
        </w:tc>
        <w:tc>
          <w:tcPr>
            <w:tcW w:w="811" w:type="dxa"/>
            <w:tcBorders>
              <w:top w:val="nil"/>
              <w:left w:val="nil"/>
              <w:right w:val="nil"/>
            </w:tcBorders>
            <w:shd w:val="solid" w:color="000000" w:fill="auto"/>
          </w:tcPr>
          <w:p w:rsidR="00A26D04" w:rsidRPr="00AC137D" w:rsidRDefault="00A26D04" w:rsidP="00A26D0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AC137D">
              <w:rPr>
                <w:rFonts w:eastAsiaTheme="minorEastAsia" w:cs="Calibri"/>
                <w:iCs/>
                <w:color w:val="FFFFFF"/>
                <w:szCs w:val="16"/>
                <w:lang w:eastAsia="en-AU"/>
              </w:rPr>
              <w:t>2019-20</w:t>
            </w:r>
            <w:r>
              <w:rPr>
                <w:rFonts w:eastAsiaTheme="minorEastAsia" w:cs="Calibri"/>
                <w:iCs/>
                <w:color w:val="FFFFFF"/>
                <w:szCs w:val="16"/>
                <w:lang w:eastAsia="en-AU"/>
              </w:rPr>
              <w:br/>
            </w:r>
            <w:r w:rsidRPr="00AC137D">
              <w:rPr>
                <w:rFonts w:eastAsiaTheme="minorEastAsia" w:cs="Calibri"/>
                <w:iCs/>
                <w:color w:val="FFFFFF"/>
                <w:szCs w:val="16"/>
                <w:lang w:eastAsia="en-AU"/>
              </w:rPr>
              <w:t>estimate</w:t>
            </w:r>
          </w:p>
        </w:tc>
        <w:tc>
          <w:tcPr>
            <w:tcW w:w="811" w:type="dxa"/>
            <w:tcBorders>
              <w:top w:val="nil"/>
              <w:left w:val="nil"/>
              <w:right w:val="nil"/>
            </w:tcBorders>
            <w:shd w:val="solid" w:color="000000" w:fill="auto"/>
          </w:tcPr>
          <w:p w:rsidR="00A26D04" w:rsidRPr="00AC137D" w:rsidRDefault="00A26D04" w:rsidP="00A26D0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AC137D">
              <w:rPr>
                <w:rFonts w:eastAsiaTheme="minorEastAsia" w:cs="Calibri"/>
                <w:iCs/>
                <w:color w:val="FFFFFF"/>
                <w:szCs w:val="16"/>
                <w:lang w:eastAsia="en-AU"/>
              </w:rPr>
              <w:t>2020-21</w:t>
            </w:r>
            <w:r>
              <w:rPr>
                <w:rFonts w:eastAsiaTheme="minorEastAsia" w:cs="Calibri"/>
                <w:iCs/>
                <w:color w:val="FFFFFF"/>
                <w:szCs w:val="16"/>
                <w:lang w:eastAsia="en-AU"/>
              </w:rPr>
              <w:br/>
            </w:r>
            <w:r w:rsidRPr="00AC137D">
              <w:rPr>
                <w:rFonts w:eastAsiaTheme="minorEastAsia" w:cs="Calibri"/>
                <w:iCs/>
                <w:color w:val="FFFFFF"/>
                <w:szCs w:val="16"/>
                <w:lang w:eastAsia="en-AU"/>
              </w:rPr>
              <w:t>estimate</w:t>
            </w:r>
          </w:p>
        </w:tc>
      </w:tr>
      <w:tr w:rsidR="00A46DCA" w:rsidRPr="00AC137D" w:rsidTr="00A26D04">
        <w:tc>
          <w:tcPr>
            <w:cnfStyle w:val="001000000000" w:firstRow="0" w:lastRow="0" w:firstColumn="1" w:lastColumn="0" w:oddVBand="0" w:evenVBand="0" w:oddHBand="0" w:evenHBand="0" w:firstRowFirstColumn="0" w:firstRowLastColumn="0" w:lastRowFirstColumn="0" w:lastRowLastColumn="0"/>
            <w:tcW w:w="3725" w:type="dxa"/>
            <w:tcBorders>
              <w:top w:val="nil"/>
              <w:left w:val="nil"/>
              <w:bottom w:val="nil"/>
              <w:right w:val="nil"/>
            </w:tcBorders>
          </w:tcPr>
          <w:p w:rsidR="00A46DCA" w:rsidRPr="00AC137D" w:rsidRDefault="00A46DCA" w:rsidP="00A26D04">
            <w:pPr>
              <w:keepLines w:val="0"/>
              <w:autoSpaceDE w:val="0"/>
              <w:autoSpaceDN w:val="0"/>
              <w:adjustRightInd w:val="0"/>
              <w:rPr>
                <w:rFonts w:eastAsiaTheme="minorEastAsia" w:cs="Calibri"/>
                <w:color w:val="000000"/>
                <w:szCs w:val="16"/>
                <w:lang w:eastAsia="en-AU"/>
              </w:rPr>
            </w:pPr>
            <w:r w:rsidRPr="00AC137D">
              <w:rPr>
                <w:rFonts w:eastAsiaTheme="minorEastAsia" w:cs="Calibri"/>
                <w:color w:val="000000"/>
                <w:szCs w:val="16"/>
                <w:lang w:eastAsia="en-AU"/>
              </w:rPr>
              <w:t>Interest on interest-bearing liabilities</w:t>
            </w:r>
          </w:p>
        </w:tc>
        <w:tc>
          <w:tcPr>
            <w:tcW w:w="811"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AC137D">
              <w:rPr>
                <w:rFonts w:eastAsiaTheme="minorEastAsia" w:cs="Arial"/>
                <w:color w:val="000000"/>
                <w:szCs w:val="18"/>
                <w:lang w:eastAsia="en-AU"/>
              </w:rPr>
              <w:t>1 253</w:t>
            </w:r>
          </w:p>
        </w:tc>
        <w:tc>
          <w:tcPr>
            <w:tcW w:w="811"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AC137D">
              <w:rPr>
                <w:rFonts w:eastAsiaTheme="minorEastAsia" w:cs="Arial"/>
                <w:color w:val="000000"/>
                <w:szCs w:val="18"/>
                <w:lang w:eastAsia="en-AU"/>
              </w:rPr>
              <w:t>1 262</w:t>
            </w:r>
          </w:p>
        </w:tc>
        <w:tc>
          <w:tcPr>
            <w:tcW w:w="811"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AC137D">
              <w:rPr>
                <w:rFonts w:eastAsiaTheme="minorEastAsia" w:cs="Arial"/>
                <w:color w:val="000000"/>
                <w:szCs w:val="18"/>
                <w:lang w:eastAsia="en-AU"/>
              </w:rPr>
              <w:t>1 275</w:t>
            </w:r>
          </w:p>
        </w:tc>
        <w:tc>
          <w:tcPr>
            <w:tcW w:w="811"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AC137D">
              <w:rPr>
                <w:rFonts w:eastAsiaTheme="minorEastAsia" w:cs="Arial"/>
                <w:color w:val="000000"/>
                <w:szCs w:val="18"/>
                <w:lang w:eastAsia="en-AU"/>
              </w:rPr>
              <w:t>1 294</w:t>
            </w:r>
          </w:p>
        </w:tc>
        <w:tc>
          <w:tcPr>
            <w:tcW w:w="811"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AC137D">
              <w:rPr>
                <w:rFonts w:eastAsiaTheme="minorEastAsia" w:cs="Arial"/>
                <w:color w:val="000000"/>
                <w:szCs w:val="18"/>
                <w:lang w:eastAsia="en-AU"/>
              </w:rPr>
              <w:t>1 379</w:t>
            </w:r>
          </w:p>
        </w:tc>
      </w:tr>
      <w:tr w:rsidR="00A46DCA" w:rsidRPr="00AC137D" w:rsidTr="00A26D04">
        <w:tc>
          <w:tcPr>
            <w:cnfStyle w:val="001000000000" w:firstRow="0" w:lastRow="0" w:firstColumn="1" w:lastColumn="0" w:oddVBand="0" w:evenVBand="0" w:oddHBand="0" w:evenHBand="0" w:firstRowFirstColumn="0" w:firstRowLastColumn="0" w:lastRowFirstColumn="0" w:lastRowLastColumn="0"/>
            <w:tcW w:w="3725" w:type="dxa"/>
            <w:tcBorders>
              <w:top w:val="nil"/>
              <w:left w:val="nil"/>
              <w:bottom w:val="nil"/>
              <w:right w:val="nil"/>
            </w:tcBorders>
          </w:tcPr>
          <w:p w:rsidR="00A46DCA" w:rsidRPr="00AC137D" w:rsidRDefault="00A46DCA" w:rsidP="00A26D04">
            <w:pPr>
              <w:keepLines w:val="0"/>
              <w:autoSpaceDE w:val="0"/>
              <w:autoSpaceDN w:val="0"/>
              <w:adjustRightInd w:val="0"/>
              <w:rPr>
                <w:rFonts w:eastAsiaTheme="minorEastAsia" w:cs="Calibri"/>
                <w:color w:val="000000"/>
                <w:szCs w:val="16"/>
                <w:lang w:eastAsia="en-AU"/>
              </w:rPr>
            </w:pPr>
            <w:r w:rsidRPr="00AC137D">
              <w:rPr>
                <w:rFonts w:eastAsiaTheme="minorEastAsia" w:cs="Calibri"/>
                <w:color w:val="000000"/>
                <w:szCs w:val="16"/>
                <w:lang w:eastAsia="en-AU"/>
              </w:rPr>
              <w:t>Finance charges on finance leases</w:t>
            </w:r>
          </w:p>
        </w:tc>
        <w:tc>
          <w:tcPr>
            <w:tcW w:w="811"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891</w:t>
            </w:r>
          </w:p>
        </w:tc>
        <w:tc>
          <w:tcPr>
            <w:tcW w:w="811"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987</w:t>
            </w:r>
          </w:p>
        </w:tc>
        <w:tc>
          <w:tcPr>
            <w:tcW w:w="811"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971</w:t>
            </w:r>
          </w:p>
        </w:tc>
        <w:tc>
          <w:tcPr>
            <w:tcW w:w="811"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974</w:t>
            </w:r>
          </w:p>
        </w:tc>
        <w:tc>
          <w:tcPr>
            <w:tcW w:w="811"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952</w:t>
            </w:r>
          </w:p>
        </w:tc>
      </w:tr>
      <w:tr w:rsidR="00A46DCA" w:rsidRPr="00AC137D" w:rsidTr="00A26D04">
        <w:tc>
          <w:tcPr>
            <w:cnfStyle w:val="001000000000" w:firstRow="0" w:lastRow="0" w:firstColumn="1" w:lastColumn="0" w:oddVBand="0" w:evenVBand="0" w:oddHBand="0" w:evenHBand="0" w:firstRowFirstColumn="0" w:firstRowLastColumn="0" w:lastRowFirstColumn="0" w:lastRowLastColumn="0"/>
            <w:tcW w:w="3725" w:type="dxa"/>
            <w:tcBorders>
              <w:top w:val="nil"/>
              <w:left w:val="nil"/>
              <w:bottom w:val="nil"/>
              <w:right w:val="nil"/>
            </w:tcBorders>
          </w:tcPr>
          <w:p w:rsidR="00A46DCA" w:rsidRPr="00AC137D" w:rsidRDefault="00A46DCA" w:rsidP="00A26D04">
            <w:pPr>
              <w:keepLines w:val="0"/>
              <w:autoSpaceDE w:val="0"/>
              <w:autoSpaceDN w:val="0"/>
              <w:adjustRightInd w:val="0"/>
              <w:rPr>
                <w:rFonts w:eastAsiaTheme="minorEastAsia" w:cs="Calibri"/>
                <w:color w:val="000000"/>
                <w:szCs w:val="16"/>
                <w:lang w:eastAsia="en-AU"/>
              </w:rPr>
            </w:pPr>
            <w:r w:rsidRPr="00AC137D">
              <w:rPr>
                <w:rFonts w:eastAsiaTheme="minorEastAsia" w:cs="Calibri"/>
                <w:color w:val="000000"/>
                <w:szCs w:val="16"/>
                <w:lang w:eastAsia="en-AU"/>
              </w:rPr>
              <w:t>Discount interest on payables</w:t>
            </w:r>
          </w:p>
        </w:tc>
        <w:tc>
          <w:tcPr>
            <w:tcW w:w="811"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37</w:t>
            </w:r>
          </w:p>
        </w:tc>
        <w:tc>
          <w:tcPr>
            <w:tcW w:w="811"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37</w:t>
            </w:r>
          </w:p>
        </w:tc>
        <w:tc>
          <w:tcPr>
            <w:tcW w:w="811"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37</w:t>
            </w:r>
          </w:p>
        </w:tc>
        <w:tc>
          <w:tcPr>
            <w:tcW w:w="811"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37</w:t>
            </w:r>
          </w:p>
        </w:tc>
        <w:tc>
          <w:tcPr>
            <w:tcW w:w="811"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42</w:t>
            </w:r>
          </w:p>
        </w:tc>
      </w:tr>
      <w:tr w:rsidR="00A46DCA" w:rsidRPr="00AC137D" w:rsidTr="00A26D04">
        <w:tc>
          <w:tcPr>
            <w:cnfStyle w:val="001000000000" w:firstRow="0" w:lastRow="0" w:firstColumn="1" w:lastColumn="0" w:oddVBand="0" w:evenVBand="0" w:oddHBand="0" w:evenHBand="0" w:firstRowFirstColumn="0" w:firstRowLastColumn="0" w:lastRowFirstColumn="0" w:lastRowLastColumn="0"/>
            <w:tcW w:w="3725" w:type="dxa"/>
            <w:tcBorders>
              <w:top w:val="single" w:sz="6" w:space="0" w:color="000000"/>
              <w:left w:val="nil"/>
              <w:bottom w:val="single" w:sz="12" w:space="0" w:color="000000"/>
              <w:right w:val="nil"/>
            </w:tcBorders>
          </w:tcPr>
          <w:p w:rsidR="00A46DCA" w:rsidRPr="00AC137D" w:rsidRDefault="00A46DCA" w:rsidP="00A26D04">
            <w:pPr>
              <w:keepLines w:val="0"/>
              <w:autoSpaceDE w:val="0"/>
              <w:autoSpaceDN w:val="0"/>
              <w:adjustRightInd w:val="0"/>
              <w:rPr>
                <w:rFonts w:eastAsiaTheme="minorEastAsia" w:cs="Calibri"/>
                <w:b/>
                <w:bCs/>
                <w:color w:val="000000"/>
                <w:szCs w:val="16"/>
                <w:lang w:eastAsia="en-AU"/>
              </w:rPr>
            </w:pPr>
            <w:r w:rsidRPr="00AC137D">
              <w:rPr>
                <w:rFonts w:eastAsiaTheme="minorEastAsia" w:cs="Calibri"/>
                <w:b/>
                <w:bCs/>
                <w:color w:val="000000"/>
                <w:szCs w:val="16"/>
                <w:lang w:eastAsia="en-AU"/>
              </w:rPr>
              <w:t>Total interest expense</w:t>
            </w:r>
          </w:p>
        </w:tc>
        <w:tc>
          <w:tcPr>
            <w:tcW w:w="811" w:type="dxa"/>
            <w:tcBorders>
              <w:top w:val="single" w:sz="6" w:space="0" w:color="000000"/>
              <w:left w:val="nil"/>
              <w:bottom w:val="single" w:sz="12" w:space="0" w:color="000000"/>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sidRPr="00AC137D">
              <w:rPr>
                <w:rFonts w:eastAsiaTheme="minorEastAsia" w:cs="Arial"/>
                <w:b/>
                <w:bCs/>
                <w:color w:val="000000"/>
                <w:szCs w:val="18"/>
                <w:lang w:eastAsia="en-AU"/>
              </w:rPr>
              <w:t>2 181</w:t>
            </w:r>
          </w:p>
        </w:tc>
        <w:tc>
          <w:tcPr>
            <w:tcW w:w="811" w:type="dxa"/>
            <w:tcBorders>
              <w:top w:val="single" w:sz="6" w:space="0" w:color="000000"/>
              <w:left w:val="nil"/>
              <w:bottom w:val="single" w:sz="12" w:space="0" w:color="000000"/>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sidRPr="00AC137D">
              <w:rPr>
                <w:rFonts w:eastAsiaTheme="minorEastAsia" w:cs="Arial"/>
                <w:b/>
                <w:bCs/>
                <w:color w:val="000000"/>
                <w:szCs w:val="18"/>
                <w:lang w:eastAsia="en-AU"/>
              </w:rPr>
              <w:t>2 286</w:t>
            </w:r>
          </w:p>
        </w:tc>
        <w:tc>
          <w:tcPr>
            <w:tcW w:w="811" w:type="dxa"/>
            <w:tcBorders>
              <w:top w:val="single" w:sz="6" w:space="0" w:color="000000"/>
              <w:left w:val="nil"/>
              <w:bottom w:val="single" w:sz="12" w:space="0" w:color="000000"/>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sidRPr="00AC137D">
              <w:rPr>
                <w:rFonts w:eastAsiaTheme="minorEastAsia" w:cs="Arial"/>
                <w:b/>
                <w:bCs/>
                <w:color w:val="000000"/>
                <w:szCs w:val="18"/>
                <w:lang w:eastAsia="en-AU"/>
              </w:rPr>
              <w:t>2 282</w:t>
            </w:r>
          </w:p>
        </w:tc>
        <w:tc>
          <w:tcPr>
            <w:tcW w:w="811" w:type="dxa"/>
            <w:tcBorders>
              <w:top w:val="single" w:sz="6" w:space="0" w:color="000000"/>
              <w:left w:val="nil"/>
              <w:bottom w:val="single" w:sz="12" w:space="0" w:color="000000"/>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sidRPr="00AC137D">
              <w:rPr>
                <w:rFonts w:eastAsiaTheme="minorEastAsia" w:cs="Arial"/>
                <w:b/>
                <w:bCs/>
                <w:color w:val="000000"/>
                <w:szCs w:val="18"/>
                <w:lang w:eastAsia="en-AU"/>
              </w:rPr>
              <w:t>2 304</w:t>
            </w:r>
          </w:p>
        </w:tc>
        <w:tc>
          <w:tcPr>
            <w:tcW w:w="811" w:type="dxa"/>
            <w:tcBorders>
              <w:top w:val="single" w:sz="6" w:space="0" w:color="000000"/>
              <w:left w:val="nil"/>
              <w:bottom w:val="single" w:sz="12" w:space="0" w:color="000000"/>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sidRPr="00AC137D">
              <w:rPr>
                <w:rFonts w:eastAsiaTheme="minorEastAsia" w:cs="Arial"/>
                <w:b/>
                <w:bCs/>
                <w:color w:val="000000"/>
                <w:szCs w:val="18"/>
                <w:lang w:eastAsia="en-AU"/>
              </w:rPr>
              <w:t>2 373</w:t>
            </w:r>
          </w:p>
        </w:tc>
      </w:tr>
    </w:tbl>
    <w:p w:rsidR="00A46DCA" w:rsidRDefault="00A46DCA" w:rsidP="00A26D04">
      <w:pPr>
        <w:pStyle w:val="Source"/>
      </w:pPr>
      <w:r w:rsidRPr="00D87D22">
        <w:t>Source: Department of Treasury and Finance</w:t>
      </w:r>
    </w:p>
    <w:p w:rsidR="00A46DCA" w:rsidRDefault="00A46DCA" w:rsidP="00A26D04"/>
    <w:p w:rsidR="00A46DCA" w:rsidRDefault="00A46DCA" w:rsidP="00A26D04"/>
    <w:bookmarkEnd w:id="46"/>
    <w:p w:rsidR="00A46DCA" w:rsidRDefault="00A46DCA" w:rsidP="00A26D04">
      <w:pPr>
        <w:pStyle w:val="Heading2"/>
        <w:pageBreakBefore/>
        <w:numPr>
          <w:ilvl w:val="1"/>
          <w:numId w:val="19"/>
        </w:numPr>
      </w:pPr>
      <w:r>
        <w:lastRenderedPageBreak/>
        <w:t xml:space="preserve">OTHER ASSETS AND LIABILITIES </w:t>
      </w:r>
    </w:p>
    <w:p w:rsidR="00A46DCA" w:rsidRDefault="00A46DCA" w:rsidP="00A26D04">
      <w:pPr>
        <w:pStyle w:val="Heading20"/>
        <w:sectPr w:rsidR="00A46DCA" w:rsidSect="00A26D04">
          <w:type w:val="continuous"/>
          <w:pgSz w:w="9979" w:h="14175" w:code="9"/>
          <w:pgMar w:top="850" w:right="1134" w:bottom="850" w:left="1134" w:header="624" w:footer="567" w:gutter="0"/>
          <w:cols w:sep="1" w:space="567"/>
          <w:docGrid w:linePitch="360"/>
        </w:sectPr>
      </w:pPr>
    </w:p>
    <w:p w:rsidR="00A46DCA" w:rsidRDefault="00A46DCA" w:rsidP="00A26D04">
      <w:pPr>
        <w:pStyle w:val="Heading30"/>
        <w:pBdr>
          <w:bottom w:val="single" w:sz="4" w:space="1" w:color="auto"/>
        </w:pBdr>
      </w:pPr>
      <w:r>
        <w:lastRenderedPageBreak/>
        <w:t>Introduction</w:t>
      </w:r>
    </w:p>
    <w:p w:rsidR="00A46DCA" w:rsidRDefault="00A46DCA" w:rsidP="00A26D04">
      <w:r>
        <w:t>This section sets out other assets and liabilities that arise from the general government’s operations.</w:t>
      </w:r>
    </w:p>
    <w:p w:rsidR="00A46DCA" w:rsidRDefault="00A46DCA" w:rsidP="00A26D04">
      <w:pPr>
        <w:pStyle w:val="Heading30"/>
        <w:pBdr>
          <w:bottom w:val="single" w:sz="4" w:space="1" w:color="auto"/>
        </w:pBdr>
      </w:pPr>
      <w:r>
        <w:br w:type="column"/>
      </w:r>
      <w:r>
        <w:lastRenderedPageBreak/>
        <w:t>Structure</w:t>
      </w:r>
    </w:p>
    <w:p w:rsidR="00A46DCA" w:rsidRDefault="00A46DCA">
      <w:pPr>
        <w:pStyle w:val="TOC9"/>
        <w:rPr>
          <w:rFonts w:eastAsiaTheme="minorEastAsia"/>
          <w:noProof/>
          <w:spacing w:val="0"/>
          <w:lang w:eastAsia="en-AU"/>
        </w:rPr>
      </w:pPr>
      <w:r>
        <w:fldChar w:fldCharType="begin"/>
      </w:r>
      <w:r>
        <w:instrText xml:space="preserve"> TOC \h \z \t "Heading 3 (#),9" \b Section_6 \* MERGEFORMAT </w:instrText>
      </w:r>
      <w:r>
        <w:fldChar w:fldCharType="separate"/>
      </w:r>
      <w:hyperlink w:anchor="_Toc496606659" w:history="1">
        <w:r w:rsidRPr="00414FED">
          <w:rPr>
            <w:rStyle w:val="Hyperlink"/>
            <w:noProof/>
          </w:rPr>
          <w:t>4.6.1</w:t>
        </w:r>
        <w:r>
          <w:rPr>
            <w:rFonts w:eastAsiaTheme="minorEastAsia"/>
            <w:noProof/>
            <w:spacing w:val="0"/>
            <w:lang w:eastAsia="en-AU"/>
          </w:rPr>
          <w:tab/>
        </w:r>
        <w:r w:rsidRPr="00414FED">
          <w:rPr>
            <w:rStyle w:val="Hyperlink"/>
            <w:noProof/>
          </w:rPr>
          <w:t>Investments in other sector entities</w:t>
        </w:r>
        <w:r>
          <w:rPr>
            <w:noProof/>
            <w:webHidden/>
          </w:rPr>
          <w:tab/>
        </w:r>
        <w:r>
          <w:rPr>
            <w:noProof/>
            <w:webHidden/>
          </w:rPr>
          <w:fldChar w:fldCharType="begin"/>
        </w:r>
        <w:r>
          <w:rPr>
            <w:noProof/>
            <w:webHidden/>
          </w:rPr>
          <w:instrText xml:space="preserve"> PAGEREF _Toc496606659 \h </w:instrText>
        </w:r>
        <w:r>
          <w:rPr>
            <w:noProof/>
            <w:webHidden/>
          </w:rPr>
        </w:r>
        <w:r>
          <w:rPr>
            <w:noProof/>
            <w:webHidden/>
          </w:rPr>
          <w:fldChar w:fldCharType="separate"/>
        </w:r>
        <w:r w:rsidR="00715FC3">
          <w:rPr>
            <w:noProof/>
            <w:webHidden/>
          </w:rPr>
          <w:t>63</w:t>
        </w:r>
        <w:r>
          <w:rPr>
            <w:noProof/>
            <w:webHidden/>
          </w:rPr>
          <w:fldChar w:fldCharType="end"/>
        </w:r>
      </w:hyperlink>
    </w:p>
    <w:p w:rsidR="00A46DCA" w:rsidRDefault="00715FC3">
      <w:pPr>
        <w:pStyle w:val="TOC9"/>
        <w:rPr>
          <w:rFonts w:eastAsiaTheme="minorEastAsia"/>
          <w:noProof/>
          <w:spacing w:val="0"/>
          <w:lang w:eastAsia="en-AU"/>
        </w:rPr>
      </w:pPr>
      <w:hyperlink w:anchor="_Toc496606660" w:history="1">
        <w:r w:rsidR="00A46DCA" w:rsidRPr="00414FED">
          <w:rPr>
            <w:rStyle w:val="Hyperlink"/>
            <w:noProof/>
          </w:rPr>
          <w:t>4.6.2</w:t>
        </w:r>
        <w:r w:rsidR="00A46DCA">
          <w:rPr>
            <w:rFonts w:eastAsiaTheme="minorEastAsia"/>
            <w:noProof/>
            <w:spacing w:val="0"/>
            <w:lang w:eastAsia="en-AU"/>
          </w:rPr>
          <w:tab/>
        </w:r>
        <w:r w:rsidR="00A46DCA">
          <w:rPr>
            <w:rStyle w:val="Hyperlink"/>
            <w:noProof/>
          </w:rPr>
          <w:t>Payables</w:t>
        </w:r>
        <w:r w:rsidR="00A46DCA">
          <w:rPr>
            <w:noProof/>
            <w:webHidden/>
          </w:rPr>
          <w:tab/>
        </w:r>
        <w:r w:rsidR="00A46DCA">
          <w:rPr>
            <w:noProof/>
            <w:webHidden/>
          </w:rPr>
          <w:fldChar w:fldCharType="begin"/>
        </w:r>
        <w:r w:rsidR="00A46DCA">
          <w:rPr>
            <w:noProof/>
            <w:webHidden/>
          </w:rPr>
          <w:instrText xml:space="preserve"> PAGEREF _Toc496606660 \h </w:instrText>
        </w:r>
        <w:r w:rsidR="00A46DCA">
          <w:rPr>
            <w:noProof/>
            <w:webHidden/>
          </w:rPr>
        </w:r>
        <w:r w:rsidR="00A46DCA">
          <w:rPr>
            <w:noProof/>
            <w:webHidden/>
          </w:rPr>
          <w:fldChar w:fldCharType="separate"/>
        </w:r>
        <w:r>
          <w:rPr>
            <w:noProof/>
            <w:webHidden/>
          </w:rPr>
          <w:t>63</w:t>
        </w:r>
        <w:r w:rsidR="00A46DCA">
          <w:rPr>
            <w:noProof/>
            <w:webHidden/>
          </w:rPr>
          <w:fldChar w:fldCharType="end"/>
        </w:r>
      </w:hyperlink>
    </w:p>
    <w:p w:rsidR="00A46DCA" w:rsidRDefault="00715FC3">
      <w:pPr>
        <w:pStyle w:val="TOC9"/>
        <w:rPr>
          <w:rFonts w:eastAsiaTheme="minorEastAsia"/>
          <w:noProof/>
          <w:spacing w:val="0"/>
          <w:lang w:eastAsia="en-AU"/>
        </w:rPr>
      </w:pPr>
      <w:hyperlink w:anchor="_Toc496606661" w:history="1">
        <w:r w:rsidR="00A46DCA" w:rsidRPr="00414FED">
          <w:rPr>
            <w:rStyle w:val="Hyperlink"/>
            <w:noProof/>
          </w:rPr>
          <w:t>4.6.3</w:t>
        </w:r>
        <w:r w:rsidR="00A46DCA">
          <w:rPr>
            <w:rFonts w:eastAsiaTheme="minorEastAsia"/>
            <w:noProof/>
            <w:spacing w:val="0"/>
            <w:lang w:eastAsia="en-AU"/>
          </w:rPr>
          <w:tab/>
        </w:r>
        <w:r w:rsidR="00A46DCA" w:rsidRPr="00414FED">
          <w:rPr>
            <w:rStyle w:val="Hyperlink"/>
            <w:noProof/>
          </w:rPr>
          <w:t>Superannuation</w:t>
        </w:r>
        <w:r w:rsidR="00A46DCA">
          <w:rPr>
            <w:noProof/>
            <w:webHidden/>
          </w:rPr>
          <w:tab/>
        </w:r>
        <w:r w:rsidR="00A46DCA">
          <w:rPr>
            <w:noProof/>
            <w:webHidden/>
          </w:rPr>
          <w:fldChar w:fldCharType="begin"/>
        </w:r>
        <w:r w:rsidR="00A46DCA">
          <w:rPr>
            <w:noProof/>
            <w:webHidden/>
          </w:rPr>
          <w:instrText xml:space="preserve"> PAGEREF _Toc496606661 \h </w:instrText>
        </w:r>
        <w:r w:rsidR="00A46DCA">
          <w:rPr>
            <w:noProof/>
            <w:webHidden/>
          </w:rPr>
        </w:r>
        <w:r w:rsidR="00A46DCA">
          <w:rPr>
            <w:noProof/>
            <w:webHidden/>
          </w:rPr>
          <w:fldChar w:fldCharType="separate"/>
        </w:r>
        <w:r>
          <w:rPr>
            <w:noProof/>
            <w:webHidden/>
          </w:rPr>
          <w:t>64</w:t>
        </w:r>
        <w:r w:rsidR="00A46DCA">
          <w:rPr>
            <w:noProof/>
            <w:webHidden/>
          </w:rPr>
          <w:fldChar w:fldCharType="end"/>
        </w:r>
      </w:hyperlink>
    </w:p>
    <w:p w:rsidR="00A46DCA" w:rsidRDefault="00A46DCA" w:rsidP="00A26D04">
      <w:r>
        <w:rPr>
          <w:b/>
          <w:bCs/>
          <w:noProof/>
          <w:lang w:val="en-US"/>
        </w:rPr>
        <w:fldChar w:fldCharType="end"/>
      </w:r>
    </w:p>
    <w:p w:rsidR="00A46DCA" w:rsidRDefault="00A46DCA" w:rsidP="00A26D04">
      <w:pPr>
        <w:sectPr w:rsidR="00A46DCA" w:rsidSect="00A26D04">
          <w:type w:val="continuous"/>
          <w:pgSz w:w="9979" w:h="14175" w:code="9"/>
          <w:pgMar w:top="850" w:right="1134" w:bottom="850" w:left="1134" w:header="624" w:footer="567" w:gutter="0"/>
          <w:cols w:num="2" w:space="567"/>
          <w:docGrid w:linePitch="360"/>
        </w:sectPr>
      </w:pPr>
    </w:p>
    <w:p w:rsidR="00A46DCA" w:rsidRDefault="00A46DCA" w:rsidP="00A26D04"/>
    <w:p w:rsidR="00A46DCA" w:rsidRPr="00AC137D" w:rsidRDefault="00A46DCA" w:rsidP="00A26D04">
      <w:pPr>
        <w:pStyle w:val="Heading3"/>
        <w:numPr>
          <w:ilvl w:val="2"/>
          <w:numId w:val="19"/>
        </w:numPr>
        <w:tabs>
          <w:tab w:val="clear" w:pos="9582"/>
          <w:tab w:val="left" w:pos="850"/>
          <w:tab w:val="right" w:pos="7711"/>
        </w:tabs>
        <w:spacing w:after="60"/>
        <w:rPr>
          <w:lang w:val="en-US"/>
        </w:rPr>
      </w:pPr>
      <w:bookmarkStart w:id="49" w:name="_Toc496606659"/>
      <w:bookmarkStart w:id="50" w:name="Section_6"/>
      <w:r>
        <w:t>Investments in other sector entities</w:t>
      </w:r>
      <w:r>
        <w:tab/>
        <w:t>($ million)</w:t>
      </w:r>
      <w:bookmarkEnd w:id="49"/>
    </w:p>
    <w:tbl>
      <w:tblPr>
        <w:tblStyle w:val="DTFTable"/>
        <w:tblW w:w="7765" w:type="dxa"/>
        <w:tblInd w:w="45" w:type="dxa"/>
        <w:tblLayout w:type="fixed"/>
        <w:tblCellMar>
          <w:left w:w="45" w:type="dxa"/>
          <w:right w:w="45" w:type="dxa"/>
        </w:tblCellMar>
        <w:tblLook w:val="06A0" w:firstRow="1" w:lastRow="0" w:firstColumn="1" w:lastColumn="0" w:noHBand="1" w:noVBand="1"/>
      </w:tblPr>
      <w:tblGrid>
        <w:gridCol w:w="3515"/>
        <w:gridCol w:w="850"/>
        <w:gridCol w:w="850"/>
        <w:gridCol w:w="850"/>
        <w:gridCol w:w="850"/>
        <w:gridCol w:w="850"/>
      </w:tblGrid>
      <w:tr w:rsidR="00A26D04" w:rsidRPr="00AC137D" w:rsidTr="008110D9">
        <w:trPr>
          <w:cnfStyle w:val="100000000000" w:firstRow="1" w:lastRow="0" w:firstColumn="0" w:lastColumn="0" w:oddVBand="0" w:evenVBand="0" w:oddHBand="0" w:evenHBand="0" w:firstRowFirstColumn="0" w:firstRowLastColumn="0" w:lastRowFirstColumn="0" w:lastRowLastColumn="0"/>
          <w:trHeight w:val="70"/>
          <w:tblHeader/>
        </w:trPr>
        <w:tc>
          <w:tcPr>
            <w:cnfStyle w:val="001000000000" w:firstRow="0" w:lastRow="0" w:firstColumn="1" w:lastColumn="0" w:oddVBand="0" w:evenVBand="0" w:oddHBand="0" w:evenHBand="0" w:firstRowFirstColumn="0" w:firstRowLastColumn="0" w:lastRowFirstColumn="0" w:lastRowLastColumn="0"/>
            <w:tcW w:w="3515" w:type="dxa"/>
            <w:tcBorders>
              <w:top w:val="nil"/>
              <w:left w:val="nil"/>
              <w:right w:val="nil"/>
            </w:tcBorders>
            <w:shd w:val="solid" w:color="000000" w:fill="auto"/>
          </w:tcPr>
          <w:p w:rsidR="00A26D04" w:rsidRPr="00AC137D" w:rsidRDefault="00A26D04" w:rsidP="00A26D04">
            <w:pPr>
              <w:autoSpaceDE w:val="0"/>
              <w:autoSpaceDN w:val="0"/>
              <w:adjustRightInd w:val="0"/>
              <w:rPr>
                <w:rFonts w:eastAsiaTheme="minorEastAsia" w:cs="Calibri"/>
                <w:iCs/>
                <w:color w:val="FFFFFF"/>
                <w:lang w:eastAsia="en-AU"/>
              </w:rPr>
            </w:pPr>
            <w:r w:rsidRPr="00AC137D">
              <w:rPr>
                <w:rFonts w:eastAsiaTheme="minorEastAsia" w:cs="Calibri"/>
                <w:iCs/>
                <w:color w:val="FFFFFF"/>
                <w:lang w:eastAsia="en-AU"/>
              </w:rPr>
              <w:t xml:space="preserve">  </w:t>
            </w:r>
          </w:p>
        </w:tc>
        <w:tc>
          <w:tcPr>
            <w:tcW w:w="850" w:type="dxa"/>
            <w:tcBorders>
              <w:top w:val="nil"/>
              <w:left w:val="nil"/>
              <w:right w:val="nil"/>
            </w:tcBorders>
            <w:shd w:val="solid" w:color="000000" w:fill="auto"/>
          </w:tcPr>
          <w:p w:rsidR="00A26D04" w:rsidRPr="00AC137D" w:rsidRDefault="00A26D04" w:rsidP="00A26D0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AC137D">
              <w:rPr>
                <w:rFonts w:eastAsiaTheme="minorEastAsia" w:cs="Calibri"/>
                <w:iCs/>
                <w:color w:val="FFFFFF"/>
                <w:szCs w:val="18"/>
                <w:lang w:eastAsia="en-AU"/>
              </w:rPr>
              <w:t>2017-18</w:t>
            </w:r>
            <w:r>
              <w:rPr>
                <w:rFonts w:eastAsiaTheme="minorEastAsia" w:cs="Calibri"/>
                <w:iCs/>
                <w:color w:val="FFFFFF"/>
                <w:szCs w:val="18"/>
                <w:lang w:eastAsia="en-AU"/>
              </w:rPr>
              <w:br/>
            </w:r>
            <w:r w:rsidRPr="00AC137D">
              <w:rPr>
                <w:rFonts w:eastAsiaTheme="minorEastAsia" w:cs="Calibri"/>
                <w:iCs/>
                <w:color w:val="FFFFFF"/>
                <w:szCs w:val="18"/>
                <w:lang w:eastAsia="en-AU"/>
              </w:rPr>
              <w:t>budget</w:t>
            </w:r>
          </w:p>
        </w:tc>
        <w:tc>
          <w:tcPr>
            <w:tcW w:w="850" w:type="dxa"/>
            <w:tcBorders>
              <w:top w:val="nil"/>
              <w:left w:val="nil"/>
              <w:right w:val="nil"/>
            </w:tcBorders>
            <w:shd w:val="solid" w:color="000000" w:fill="auto"/>
          </w:tcPr>
          <w:p w:rsidR="00A26D04" w:rsidRPr="00AC137D" w:rsidRDefault="00A26D04" w:rsidP="00A26D0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AC137D">
              <w:rPr>
                <w:rFonts w:eastAsiaTheme="minorEastAsia" w:cs="Calibri"/>
                <w:iCs/>
                <w:color w:val="FFFFFF"/>
                <w:szCs w:val="18"/>
                <w:lang w:eastAsia="en-AU"/>
              </w:rPr>
              <w:t>2017-18</w:t>
            </w:r>
            <w:r>
              <w:rPr>
                <w:rFonts w:eastAsiaTheme="minorEastAsia" w:cs="Calibri"/>
                <w:iCs/>
                <w:color w:val="FFFFFF"/>
                <w:szCs w:val="18"/>
                <w:lang w:eastAsia="en-AU"/>
              </w:rPr>
              <w:br/>
            </w:r>
            <w:r w:rsidRPr="00AC137D">
              <w:rPr>
                <w:rFonts w:eastAsiaTheme="minorEastAsia" w:cs="Calibri"/>
                <w:iCs/>
                <w:color w:val="FFFFFF"/>
                <w:szCs w:val="18"/>
                <w:lang w:eastAsia="en-AU"/>
              </w:rPr>
              <w:t>revised</w:t>
            </w:r>
          </w:p>
        </w:tc>
        <w:tc>
          <w:tcPr>
            <w:tcW w:w="850" w:type="dxa"/>
            <w:tcBorders>
              <w:top w:val="nil"/>
              <w:left w:val="nil"/>
              <w:right w:val="nil"/>
            </w:tcBorders>
            <w:shd w:val="solid" w:color="000000" w:fill="auto"/>
          </w:tcPr>
          <w:p w:rsidR="00A26D04" w:rsidRPr="00AC137D" w:rsidRDefault="00A26D04" w:rsidP="00A26D0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AC137D">
              <w:rPr>
                <w:rFonts w:eastAsiaTheme="minorEastAsia" w:cs="Calibri"/>
                <w:iCs/>
                <w:color w:val="FFFFFF"/>
                <w:szCs w:val="18"/>
                <w:lang w:eastAsia="en-AU"/>
              </w:rPr>
              <w:t>2018-19</w:t>
            </w:r>
            <w:r>
              <w:rPr>
                <w:rFonts w:eastAsiaTheme="minorEastAsia" w:cs="Calibri"/>
                <w:iCs/>
                <w:color w:val="FFFFFF"/>
                <w:szCs w:val="18"/>
                <w:lang w:eastAsia="en-AU"/>
              </w:rPr>
              <w:br/>
            </w:r>
            <w:r w:rsidRPr="00AC137D">
              <w:rPr>
                <w:rFonts w:eastAsiaTheme="minorEastAsia" w:cs="Calibri"/>
                <w:iCs/>
                <w:color w:val="FFFFFF"/>
                <w:szCs w:val="18"/>
                <w:lang w:eastAsia="en-AU"/>
              </w:rPr>
              <w:t>estimate</w:t>
            </w:r>
          </w:p>
        </w:tc>
        <w:tc>
          <w:tcPr>
            <w:tcW w:w="850" w:type="dxa"/>
            <w:tcBorders>
              <w:top w:val="nil"/>
              <w:left w:val="nil"/>
              <w:right w:val="nil"/>
            </w:tcBorders>
            <w:shd w:val="solid" w:color="000000" w:fill="auto"/>
          </w:tcPr>
          <w:p w:rsidR="00A26D04" w:rsidRPr="00AC137D" w:rsidRDefault="00A26D04" w:rsidP="00A26D0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AC137D">
              <w:rPr>
                <w:rFonts w:eastAsiaTheme="minorEastAsia" w:cs="Calibri"/>
                <w:iCs/>
                <w:color w:val="FFFFFF"/>
                <w:szCs w:val="18"/>
                <w:lang w:eastAsia="en-AU"/>
              </w:rPr>
              <w:t>2019-20</w:t>
            </w:r>
            <w:r>
              <w:rPr>
                <w:rFonts w:eastAsiaTheme="minorEastAsia" w:cs="Calibri"/>
                <w:iCs/>
                <w:color w:val="FFFFFF"/>
                <w:szCs w:val="18"/>
                <w:lang w:eastAsia="en-AU"/>
              </w:rPr>
              <w:br/>
            </w:r>
            <w:r w:rsidRPr="00AC137D">
              <w:rPr>
                <w:rFonts w:eastAsiaTheme="minorEastAsia" w:cs="Calibri"/>
                <w:iCs/>
                <w:color w:val="FFFFFF"/>
                <w:szCs w:val="18"/>
                <w:lang w:eastAsia="en-AU"/>
              </w:rPr>
              <w:t>estimate</w:t>
            </w:r>
          </w:p>
        </w:tc>
        <w:tc>
          <w:tcPr>
            <w:tcW w:w="850" w:type="dxa"/>
            <w:tcBorders>
              <w:top w:val="nil"/>
              <w:left w:val="nil"/>
              <w:right w:val="nil"/>
            </w:tcBorders>
            <w:shd w:val="solid" w:color="000000" w:fill="auto"/>
          </w:tcPr>
          <w:p w:rsidR="00A26D04" w:rsidRPr="00AC137D" w:rsidRDefault="00A26D04" w:rsidP="00A26D0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AC137D">
              <w:rPr>
                <w:rFonts w:eastAsiaTheme="minorEastAsia" w:cs="Calibri"/>
                <w:iCs/>
                <w:color w:val="FFFFFF"/>
                <w:szCs w:val="18"/>
                <w:lang w:eastAsia="en-AU"/>
              </w:rPr>
              <w:t>2020-21</w:t>
            </w:r>
            <w:r>
              <w:rPr>
                <w:rFonts w:eastAsiaTheme="minorEastAsia" w:cs="Calibri"/>
                <w:iCs/>
                <w:color w:val="FFFFFF"/>
                <w:szCs w:val="18"/>
                <w:lang w:eastAsia="en-AU"/>
              </w:rPr>
              <w:br/>
            </w:r>
            <w:r w:rsidRPr="00AC137D">
              <w:rPr>
                <w:rFonts w:eastAsiaTheme="minorEastAsia" w:cs="Calibri"/>
                <w:iCs/>
                <w:color w:val="FFFFFF"/>
                <w:szCs w:val="18"/>
                <w:lang w:eastAsia="en-AU"/>
              </w:rPr>
              <w:t>estimate</w:t>
            </w:r>
          </w:p>
        </w:tc>
      </w:tr>
      <w:tr w:rsidR="00A46DCA" w:rsidRPr="00AC137D" w:rsidTr="00A26D04">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A46DCA" w:rsidRPr="00AC137D" w:rsidRDefault="00A46DCA" w:rsidP="00A26D04">
            <w:pPr>
              <w:keepLines w:val="0"/>
              <w:autoSpaceDE w:val="0"/>
              <w:autoSpaceDN w:val="0"/>
              <w:adjustRightInd w:val="0"/>
              <w:rPr>
                <w:rFonts w:eastAsiaTheme="minorEastAsia" w:cs="Calibri"/>
                <w:color w:val="000000"/>
                <w:szCs w:val="18"/>
                <w:lang w:eastAsia="en-AU"/>
              </w:rPr>
            </w:pPr>
            <w:r w:rsidRPr="00AC137D">
              <w:rPr>
                <w:rFonts w:eastAsiaTheme="minorEastAsia" w:cs="Calibri"/>
                <w:color w:val="000000"/>
                <w:szCs w:val="18"/>
                <w:lang w:eastAsia="en-AU"/>
              </w:rPr>
              <w:t xml:space="preserve">Balance of investment in PNFC and PFC sectors </w:t>
            </w:r>
            <w:r w:rsidR="008110D9">
              <w:rPr>
                <w:rFonts w:eastAsiaTheme="minorEastAsia" w:cs="Calibri"/>
                <w:color w:val="000000"/>
                <w:szCs w:val="18"/>
                <w:lang w:eastAsia="en-AU"/>
              </w:rPr>
              <w:br/>
            </w:r>
            <w:r w:rsidRPr="00AC137D">
              <w:rPr>
                <w:rFonts w:eastAsiaTheme="minorEastAsia" w:cs="Calibri"/>
                <w:color w:val="000000"/>
                <w:szCs w:val="18"/>
                <w:lang w:eastAsia="en-AU"/>
              </w:rPr>
              <w:t>at beginning of period</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AC137D">
              <w:rPr>
                <w:rFonts w:eastAsiaTheme="minorEastAsia" w:cs="Calibri"/>
                <w:color w:val="000000"/>
                <w:szCs w:val="18"/>
                <w:lang w:eastAsia="en-AU"/>
              </w:rPr>
              <w:t>92 509</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AC137D">
              <w:rPr>
                <w:rFonts w:eastAsiaTheme="minorEastAsia" w:cs="Calibri"/>
                <w:color w:val="000000"/>
                <w:szCs w:val="18"/>
                <w:lang w:eastAsia="en-AU"/>
              </w:rPr>
              <w:t>92 509</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AC137D">
              <w:rPr>
                <w:rFonts w:eastAsiaTheme="minorEastAsia" w:cs="Calibri"/>
                <w:color w:val="000000"/>
                <w:szCs w:val="18"/>
                <w:lang w:eastAsia="en-AU"/>
              </w:rPr>
              <w:t>97 042</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AC137D">
              <w:rPr>
                <w:rFonts w:eastAsiaTheme="minorEastAsia" w:cs="Calibri"/>
                <w:color w:val="000000"/>
                <w:szCs w:val="18"/>
                <w:lang w:eastAsia="en-AU"/>
              </w:rPr>
              <w:t>102 220</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AC137D">
              <w:rPr>
                <w:rFonts w:eastAsiaTheme="minorEastAsia" w:cs="Calibri"/>
                <w:color w:val="000000"/>
                <w:szCs w:val="18"/>
                <w:lang w:eastAsia="en-AU"/>
              </w:rPr>
              <w:t>106 274</w:t>
            </w:r>
          </w:p>
        </w:tc>
      </w:tr>
      <w:tr w:rsidR="00A46DCA" w:rsidRPr="00AC137D" w:rsidTr="00A26D04">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A46DCA" w:rsidRPr="00AC137D" w:rsidRDefault="00A46DCA" w:rsidP="00A26D04">
            <w:pPr>
              <w:keepLines w:val="0"/>
              <w:autoSpaceDE w:val="0"/>
              <w:autoSpaceDN w:val="0"/>
              <w:adjustRightInd w:val="0"/>
              <w:rPr>
                <w:rFonts w:eastAsiaTheme="minorEastAsia" w:cs="Calibri"/>
                <w:color w:val="000000"/>
                <w:szCs w:val="18"/>
                <w:lang w:eastAsia="en-AU"/>
              </w:rPr>
            </w:pPr>
            <w:r w:rsidRPr="00AC137D">
              <w:rPr>
                <w:rFonts w:eastAsiaTheme="minorEastAsia" w:cs="Calibri"/>
                <w:color w:val="000000"/>
                <w:szCs w:val="18"/>
                <w:lang w:eastAsia="en-AU"/>
              </w:rPr>
              <w:t>Net contributions to other sectors by owner</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AC137D">
              <w:rPr>
                <w:rFonts w:eastAsiaTheme="minorEastAsia" w:cs="Calibri"/>
                <w:color w:val="000000"/>
                <w:szCs w:val="18"/>
                <w:lang w:eastAsia="en-AU"/>
              </w:rPr>
              <w:t>4 660</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AC137D">
              <w:rPr>
                <w:rFonts w:eastAsiaTheme="minorEastAsia" w:cs="Calibri"/>
                <w:color w:val="000000"/>
                <w:szCs w:val="18"/>
                <w:lang w:eastAsia="en-AU"/>
              </w:rPr>
              <w:t>5 153</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AC137D">
              <w:rPr>
                <w:rFonts w:eastAsiaTheme="minorEastAsia" w:cs="Calibri"/>
                <w:color w:val="000000"/>
                <w:szCs w:val="18"/>
                <w:lang w:eastAsia="en-AU"/>
              </w:rPr>
              <w:t>4 328</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AC137D">
              <w:rPr>
                <w:rFonts w:eastAsiaTheme="minorEastAsia" w:cs="Calibri"/>
                <w:color w:val="000000"/>
                <w:szCs w:val="18"/>
                <w:lang w:eastAsia="en-AU"/>
              </w:rPr>
              <w:t>2 972</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AC137D">
              <w:rPr>
                <w:rFonts w:eastAsiaTheme="minorEastAsia" w:cs="Calibri"/>
                <w:color w:val="000000"/>
                <w:szCs w:val="18"/>
                <w:lang w:eastAsia="en-AU"/>
              </w:rPr>
              <w:t>2 809</w:t>
            </w:r>
          </w:p>
        </w:tc>
      </w:tr>
      <w:tr w:rsidR="00A46DCA" w:rsidRPr="00AC137D" w:rsidTr="00A26D04">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A46DCA" w:rsidRPr="00AC137D" w:rsidRDefault="00A46DCA" w:rsidP="00A26D04">
            <w:pPr>
              <w:keepLines w:val="0"/>
              <w:autoSpaceDE w:val="0"/>
              <w:autoSpaceDN w:val="0"/>
              <w:adjustRightInd w:val="0"/>
              <w:rPr>
                <w:rFonts w:eastAsiaTheme="minorEastAsia" w:cs="Calibri"/>
                <w:color w:val="000000"/>
                <w:szCs w:val="18"/>
                <w:lang w:eastAsia="en-AU"/>
              </w:rPr>
            </w:pPr>
            <w:r w:rsidRPr="00AC137D">
              <w:rPr>
                <w:rFonts w:eastAsiaTheme="minorEastAsia" w:cs="Calibri"/>
                <w:color w:val="000000"/>
                <w:szCs w:val="18"/>
                <w:lang w:eastAsia="en-AU"/>
              </w:rPr>
              <w:t>Revaluation gain/(loss) for period</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(966)</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(621)</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850</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AC137D">
              <w:rPr>
                <w:rFonts w:eastAsiaTheme="minorEastAsia" w:cs="Calibri"/>
                <w:color w:val="000000"/>
                <w:szCs w:val="18"/>
                <w:lang w:eastAsia="en-AU"/>
              </w:rPr>
              <w:t>1 081</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621</w:t>
            </w:r>
          </w:p>
        </w:tc>
      </w:tr>
      <w:tr w:rsidR="00A46DCA" w:rsidRPr="00AC137D" w:rsidTr="00A26D04">
        <w:tc>
          <w:tcPr>
            <w:cnfStyle w:val="001000000000" w:firstRow="0" w:lastRow="0" w:firstColumn="1" w:lastColumn="0" w:oddVBand="0" w:evenVBand="0" w:oddHBand="0" w:evenHBand="0" w:firstRowFirstColumn="0" w:firstRowLastColumn="0" w:lastRowFirstColumn="0" w:lastRowLastColumn="0"/>
            <w:tcW w:w="3515" w:type="dxa"/>
            <w:tcBorders>
              <w:top w:val="single" w:sz="6" w:space="0" w:color="000000"/>
              <w:left w:val="nil"/>
              <w:bottom w:val="single" w:sz="12" w:space="0" w:color="000000"/>
              <w:right w:val="nil"/>
            </w:tcBorders>
          </w:tcPr>
          <w:p w:rsidR="00A46DCA" w:rsidRPr="00AC137D" w:rsidRDefault="00A46DCA" w:rsidP="00A26D04">
            <w:pPr>
              <w:keepLines w:val="0"/>
              <w:autoSpaceDE w:val="0"/>
              <w:autoSpaceDN w:val="0"/>
              <w:adjustRightInd w:val="0"/>
              <w:rPr>
                <w:rFonts w:eastAsiaTheme="minorEastAsia" w:cs="Calibri"/>
                <w:b/>
                <w:bCs/>
                <w:color w:val="000000"/>
                <w:szCs w:val="18"/>
                <w:lang w:eastAsia="en-AU"/>
              </w:rPr>
            </w:pPr>
            <w:r w:rsidRPr="00AC137D">
              <w:rPr>
                <w:rFonts w:eastAsiaTheme="minorEastAsia" w:cs="Calibri"/>
                <w:b/>
                <w:bCs/>
                <w:color w:val="000000"/>
                <w:szCs w:val="18"/>
                <w:lang w:eastAsia="en-AU"/>
              </w:rPr>
              <w:t xml:space="preserve">Investment in other sector entities </w:t>
            </w:r>
            <w:r w:rsidR="008110D9">
              <w:rPr>
                <w:rFonts w:eastAsiaTheme="minorEastAsia" w:cs="Calibri"/>
                <w:b/>
                <w:bCs/>
                <w:color w:val="000000"/>
                <w:szCs w:val="18"/>
                <w:lang w:eastAsia="en-AU"/>
              </w:rPr>
              <w:br/>
            </w:r>
            <w:r w:rsidRPr="00AC137D">
              <w:rPr>
                <w:rFonts w:eastAsiaTheme="minorEastAsia" w:cs="Calibri"/>
                <w:b/>
                <w:bCs/>
                <w:color w:val="000000"/>
                <w:szCs w:val="18"/>
                <w:lang w:eastAsia="en-AU"/>
              </w:rPr>
              <w:t>at end of period</w:t>
            </w:r>
          </w:p>
        </w:tc>
        <w:tc>
          <w:tcPr>
            <w:tcW w:w="850" w:type="dxa"/>
            <w:tcBorders>
              <w:top w:val="single" w:sz="6" w:space="0" w:color="000000"/>
              <w:left w:val="nil"/>
              <w:bottom w:val="single" w:sz="12" w:space="0" w:color="000000"/>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AC137D">
              <w:rPr>
                <w:rFonts w:eastAsiaTheme="minorEastAsia" w:cs="Calibri"/>
                <w:b/>
                <w:bCs/>
                <w:color w:val="000000"/>
                <w:szCs w:val="18"/>
                <w:lang w:eastAsia="en-AU"/>
              </w:rPr>
              <w:t>96 203</w:t>
            </w:r>
          </w:p>
        </w:tc>
        <w:tc>
          <w:tcPr>
            <w:tcW w:w="850" w:type="dxa"/>
            <w:tcBorders>
              <w:top w:val="single" w:sz="6" w:space="0" w:color="000000"/>
              <w:left w:val="nil"/>
              <w:bottom w:val="single" w:sz="12" w:space="0" w:color="000000"/>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AC137D">
              <w:rPr>
                <w:rFonts w:eastAsiaTheme="minorEastAsia" w:cs="Calibri"/>
                <w:b/>
                <w:bCs/>
                <w:color w:val="000000"/>
                <w:szCs w:val="18"/>
                <w:lang w:eastAsia="en-AU"/>
              </w:rPr>
              <w:t>97 042</w:t>
            </w:r>
          </w:p>
        </w:tc>
        <w:tc>
          <w:tcPr>
            <w:tcW w:w="850" w:type="dxa"/>
            <w:tcBorders>
              <w:top w:val="single" w:sz="6" w:space="0" w:color="000000"/>
              <w:left w:val="nil"/>
              <w:bottom w:val="single" w:sz="12" w:space="0" w:color="000000"/>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AC137D">
              <w:rPr>
                <w:rFonts w:eastAsiaTheme="minorEastAsia" w:cs="Calibri"/>
                <w:b/>
                <w:bCs/>
                <w:color w:val="000000"/>
                <w:szCs w:val="18"/>
                <w:lang w:eastAsia="en-AU"/>
              </w:rPr>
              <w:t>102 220</w:t>
            </w:r>
          </w:p>
        </w:tc>
        <w:tc>
          <w:tcPr>
            <w:tcW w:w="850" w:type="dxa"/>
            <w:tcBorders>
              <w:top w:val="single" w:sz="6" w:space="0" w:color="000000"/>
              <w:left w:val="nil"/>
              <w:bottom w:val="single" w:sz="12" w:space="0" w:color="000000"/>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AC137D">
              <w:rPr>
                <w:rFonts w:eastAsiaTheme="minorEastAsia" w:cs="Calibri"/>
                <w:b/>
                <w:bCs/>
                <w:color w:val="000000"/>
                <w:szCs w:val="18"/>
                <w:lang w:eastAsia="en-AU"/>
              </w:rPr>
              <w:t>106 274</w:t>
            </w:r>
          </w:p>
        </w:tc>
        <w:tc>
          <w:tcPr>
            <w:tcW w:w="850" w:type="dxa"/>
            <w:tcBorders>
              <w:top w:val="single" w:sz="6" w:space="0" w:color="000000"/>
              <w:left w:val="nil"/>
              <w:bottom w:val="single" w:sz="12" w:space="0" w:color="000000"/>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AC137D">
              <w:rPr>
                <w:rFonts w:eastAsiaTheme="minorEastAsia" w:cs="Calibri"/>
                <w:b/>
                <w:bCs/>
                <w:color w:val="000000"/>
                <w:szCs w:val="18"/>
                <w:lang w:eastAsia="en-AU"/>
              </w:rPr>
              <w:t>109 703</w:t>
            </w:r>
          </w:p>
        </w:tc>
      </w:tr>
    </w:tbl>
    <w:p w:rsidR="00A46DCA" w:rsidRDefault="00A46DCA" w:rsidP="00A26D04">
      <w:pPr>
        <w:pStyle w:val="Source"/>
      </w:pPr>
      <w:r w:rsidRPr="00D87D22">
        <w:t>Source: Department of Treasury and Finance</w:t>
      </w:r>
    </w:p>
    <w:p w:rsidR="00A46DCA" w:rsidRDefault="00A46DCA" w:rsidP="00A26D04"/>
    <w:p w:rsidR="00A46DCA" w:rsidRPr="00B41AC3" w:rsidRDefault="00A46DCA" w:rsidP="00A26D04"/>
    <w:p w:rsidR="00A46DCA" w:rsidRPr="00AC137D" w:rsidRDefault="00A46DCA" w:rsidP="00A26D04">
      <w:pPr>
        <w:pStyle w:val="Heading3"/>
        <w:numPr>
          <w:ilvl w:val="2"/>
          <w:numId w:val="19"/>
        </w:numPr>
        <w:tabs>
          <w:tab w:val="clear" w:pos="9582"/>
          <w:tab w:val="left" w:pos="850"/>
          <w:tab w:val="right" w:pos="7711"/>
        </w:tabs>
        <w:spacing w:after="60"/>
        <w:rPr>
          <w:lang w:val="en-US"/>
        </w:rPr>
      </w:pPr>
      <w:bookmarkStart w:id="51" w:name="_Toc496606660"/>
      <w:r>
        <w:t>Payables</w:t>
      </w:r>
      <w:r>
        <w:tab/>
        <w:t>($ million)</w:t>
      </w:r>
      <w:bookmarkEnd w:id="51"/>
    </w:p>
    <w:tbl>
      <w:tblPr>
        <w:tblStyle w:val="DTFTable"/>
        <w:tblW w:w="7765" w:type="dxa"/>
        <w:tblInd w:w="45" w:type="dxa"/>
        <w:tblLayout w:type="fixed"/>
        <w:tblCellMar>
          <w:left w:w="45" w:type="dxa"/>
          <w:right w:w="45" w:type="dxa"/>
        </w:tblCellMar>
        <w:tblLook w:val="06A0" w:firstRow="1" w:lastRow="0" w:firstColumn="1" w:lastColumn="0" w:noHBand="1" w:noVBand="1"/>
      </w:tblPr>
      <w:tblGrid>
        <w:gridCol w:w="3515"/>
        <w:gridCol w:w="850"/>
        <w:gridCol w:w="850"/>
        <w:gridCol w:w="850"/>
        <w:gridCol w:w="850"/>
        <w:gridCol w:w="850"/>
      </w:tblGrid>
      <w:tr w:rsidR="00A26D04" w:rsidRPr="00AC137D" w:rsidTr="008110D9">
        <w:trPr>
          <w:cnfStyle w:val="100000000000" w:firstRow="1" w:lastRow="0" w:firstColumn="0" w:lastColumn="0" w:oddVBand="0" w:evenVBand="0" w:oddHBand="0" w:evenHBand="0" w:firstRowFirstColumn="0" w:firstRowLastColumn="0" w:lastRowFirstColumn="0" w:lastRowLastColumn="0"/>
          <w:trHeight w:val="70"/>
          <w:tblHeader/>
        </w:trPr>
        <w:tc>
          <w:tcPr>
            <w:cnfStyle w:val="001000000000" w:firstRow="0" w:lastRow="0" w:firstColumn="1" w:lastColumn="0" w:oddVBand="0" w:evenVBand="0" w:oddHBand="0" w:evenHBand="0" w:firstRowFirstColumn="0" w:firstRowLastColumn="0" w:lastRowFirstColumn="0" w:lastRowLastColumn="0"/>
            <w:tcW w:w="3515" w:type="dxa"/>
            <w:tcBorders>
              <w:top w:val="nil"/>
              <w:left w:val="nil"/>
              <w:right w:val="nil"/>
            </w:tcBorders>
            <w:shd w:val="solid" w:color="000000" w:fill="auto"/>
          </w:tcPr>
          <w:p w:rsidR="00A26D04" w:rsidRPr="00AC137D" w:rsidRDefault="00A26D04" w:rsidP="00A26D04">
            <w:pPr>
              <w:autoSpaceDE w:val="0"/>
              <w:autoSpaceDN w:val="0"/>
              <w:adjustRightInd w:val="0"/>
              <w:rPr>
                <w:rFonts w:eastAsiaTheme="minorEastAsia" w:cs="Calibri"/>
                <w:iCs/>
                <w:color w:val="FFFFFF"/>
                <w:lang w:eastAsia="en-AU"/>
              </w:rPr>
            </w:pPr>
            <w:r w:rsidRPr="00AC137D">
              <w:rPr>
                <w:rFonts w:eastAsiaTheme="minorEastAsia" w:cs="Calibri"/>
                <w:iCs/>
                <w:color w:val="FFFFFF"/>
                <w:lang w:eastAsia="en-AU"/>
              </w:rPr>
              <w:t xml:space="preserve">  </w:t>
            </w:r>
          </w:p>
        </w:tc>
        <w:tc>
          <w:tcPr>
            <w:tcW w:w="850" w:type="dxa"/>
            <w:tcBorders>
              <w:top w:val="nil"/>
              <w:left w:val="nil"/>
              <w:right w:val="nil"/>
            </w:tcBorders>
            <w:shd w:val="solid" w:color="000000" w:fill="auto"/>
          </w:tcPr>
          <w:p w:rsidR="00A26D04" w:rsidRPr="00AC137D" w:rsidRDefault="00A26D04" w:rsidP="00A26D0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AC137D">
              <w:rPr>
                <w:rFonts w:eastAsiaTheme="minorEastAsia" w:cs="Calibri"/>
                <w:iCs/>
                <w:color w:val="FFFFFF"/>
                <w:szCs w:val="18"/>
                <w:lang w:eastAsia="en-AU"/>
              </w:rPr>
              <w:t>2018</w:t>
            </w:r>
            <w:r>
              <w:rPr>
                <w:rFonts w:eastAsiaTheme="minorEastAsia" w:cs="Calibri"/>
                <w:iCs/>
                <w:color w:val="FFFFFF"/>
                <w:szCs w:val="18"/>
                <w:lang w:eastAsia="en-AU"/>
              </w:rPr>
              <w:br/>
            </w:r>
            <w:r w:rsidRPr="00AC137D">
              <w:rPr>
                <w:rFonts w:eastAsiaTheme="minorEastAsia" w:cs="Calibri"/>
                <w:iCs/>
                <w:color w:val="FFFFFF"/>
                <w:szCs w:val="18"/>
                <w:lang w:eastAsia="en-AU"/>
              </w:rPr>
              <w:t>budget</w:t>
            </w:r>
          </w:p>
        </w:tc>
        <w:tc>
          <w:tcPr>
            <w:tcW w:w="850" w:type="dxa"/>
            <w:tcBorders>
              <w:top w:val="nil"/>
              <w:left w:val="nil"/>
              <w:right w:val="nil"/>
            </w:tcBorders>
            <w:shd w:val="solid" w:color="000000" w:fill="auto"/>
          </w:tcPr>
          <w:p w:rsidR="00A26D04" w:rsidRPr="00AC137D" w:rsidRDefault="00A26D04" w:rsidP="00A26D0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AC137D">
              <w:rPr>
                <w:rFonts w:eastAsiaTheme="minorEastAsia" w:cs="Calibri"/>
                <w:iCs/>
                <w:color w:val="FFFFFF"/>
                <w:szCs w:val="18"/>
                <w:lang w:eastAsia="en-AU"/>
              </w:rPr>
              <w:t>2018</w:t>
            </w:r>
            <w:r>
              <w:rPr>
                <w:rFonts w:eastAsiaTheme="minorEastAsia" w:cs="Calibri"/>
                <w:iCs/>
                <w:color w:val="FFFFFF"/>
                <w:szCs w:val="18"/>
                <w:lang w:eastAsia="en-AU"/>
              </w:rPr>
              <w:br/>
            </w:r>
            <w:r w:rsidRPr="00AC137D">
              <w:rPr>
                <w:rFonts w:eastAsiaTheme="minorEastAsia" w:cs="Calibri"/>
                <w:iCs/>
                <w:color w:val="FFFFFF"/>
                <w:szCs w:val="18"/>
                <w:lang w:eastAsia="en-AU"/>
              </w:rPr>
              <w:t>revised</w:t>
            </w:r>
          </w:p>
        </w:tc>
        <w:tc>
          <w:tcPr>
            <w:tcW w:w="850" w:type="dxa"/>
            <w:tcBorders>
              <w:top w:val="nil"/>
              <w:left w:val="nil"/>
              <w:right w:val="nil"/>
            </w:tcBorders>
            <w:shd w:val="solid" w:color="000000" w:fill="auto"/>
          </w:tcPr>
          <w:p w:rsidR="00A26D04" w:rsidRPr="00AC137D" w:rsidRDefault="00A26D04" w:rsidP="00A26D0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AC137D">
              <w:rPr>
                <w:rFonts w:eastAsiaTheme="minorEastAsia" w:cs="Calibri"/>
                <w:iCs/>
                <w:color w:val="FFFFFF"/>
                <w:szCs w:val="18"/>
                <w:lang w:eastAsia="en-AU"/>
              </w:rPr>
              <w:t>2019</w:t>
            </w:r>
            <w:r>
              <w:rPr>
                <w:rFonts w:eastAsiaTheme="minorEastAsia" w:cs="Calibri"/>
                <w:iCs/>
                <w:color w:val="FFFFFF"/>
                <w:szCs w:val="18"/>
                <w:lang w:eastAsia="en-AU"/>
              </w:rPr>
              <w:br/>
            </w:r>
            <w:r w:rsidRPr="00AC137D">
              <w:rPr>
                <w:rFonts w:eastAsiaTheme="minorEastAsia" w:cs="Calibri"/>
                <w:iCs/>
                <w:color w:val="FFFFFF"/>
                <w:szCs w:val="18"/>
                <w:lang w:eastAsia="en-AU"/>
              </w:rPr>
              <w:t xml:space="preserve"> estimate</w:t>
            </w:r>
          </w:p>
        </w:tc>
        <w:tc>
          <w:tcPr>
            <w:tcW w:w="850" w:type="dxa"/>
            <w:tcBorders>
              <w:top w:val="nil"/>
              <w:left w:val="nil"/>
              <w:right w:val="nil"/>
            </w:tcBorders>
            <w:shd w:val="solid" w:color="000000" w:fill="auto"/>
          </w:tcPr>
          <w:p w:rsidR="00A26D04" w:rsidRPr="00AC137D" w:rsidRDefault="00A26D04" w:rsidP="00A26D0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AC137D">
              <w:rPr>
                <w:rFonts w:eastAsiaTheme="minorEastAsia" w:cs="Calibri"/>
                <w:iCs/>
                <w:color w:val="FFFFFF"/>
                <w:szCs w:val="18"/>
                <w:lang w:eastAsia="en-AU"/>
              </w:rPr>
              <w:t>2020</w:t>
            </w:r>
            <w:r>
              <w:rPr>
                <w:rFonts w:eastAsiaTheme="minorEastAsia" w:cs="Calibri"/>
                <w:iCs/>
                <w:color w:val="FFFFFF"/>
                <w:szCs w:val="18"/>
                <w:lang w:eastAsia="en-AU"/>
              </w:rPr>
              <w:br/>
            </w:r>
            <w:r w:rsidRPr="00AC137D">
              <w:rPr>
                <w:rFonts w:eastAsiaTheme="minorEastAsia" w:cs="Calibri"/>
                <w:iCs/>
                <w:color w:val="FFFFFF"/>
                <w:szCs w:val="18"/>
                <w:lang w:eastAsia="en-AU"/>
              </w:rPr>
              <w:t xml:space="preserve"> estimate</w:t>
            </w:r>
          </w:p>
        </w:tc>
        <w:tc>
          <w:tcPr>
            <w:tcW w:w="850" w:type="dxa"/>
            <w:tcBorders>
              <w:top w:val="nil"/>
              <w:left w:val="nil"/>
              <w:right w:val="nil"/>
            </w:tcBorders>
            <w:shd w:val="solid" w:color="000000" w:fill="auto"/>
          </w:tcPr>
          <w:p w:rsidR="00A26D04" w:rsidRPr="00AC137D" w:rsidRDefault="00A26D04" w:rsidP="00A26D0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AC137D">
              <w:rPr>
                <w:rFonts w:eastAsiaTheme="minorEastAsia" w:cs="Calibri"/>
                <w:iCs/>
                <w:color w:val="FFFFFF"/>
                <w:szCs w:val="18"/>
                <w:lang w:eastAsia="en-AU"/>
              </w:rPr>
              <w:t>2021</w:t>
            </w:r>
            <w:r>
              <w:rPr>
                <w:rFonts w:eastAsiaTheme="minorEastAsia" w:cs="Calibri"/>
                <w:iCs/>
                <w:color w:val="FFFFFF"/>
                <w:szCs w:val="18"/>
                <w:lang w:eastAsia="en-AU"/>
              </w:rPr>
              <w:br/>
            </w:r>
            <w:r w:rsidRPr="00AC137D">
              <w:rPr>
                <w:rFonts w:eastAsiaTheme="minorEastAsia" w:cs="Calibri"/>
                <w:iCs/>
                <w:color w:val="FFFFFF"/>
                <w:szCs w:val="18"/>
                <w:lang w:eastAsia="en-AU"/>
              </w:rPr>
              <w:t>estimate</w:t>
            </w:r>
          </w:p>
        </w:tc>
      </w:tr>
      <w:tr w:rsidR="00A46DCA" w:rsidRPr="00AC137D" w:rsidTr="00A26D04">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A46DCA" w:rsidRPr="00AC137D" w:rsidRDefault="00A46DCA" w:rsidP="00A26D04">
            <w:pPr>
              <w:keepLines w:val="0"/>
              <w:autoSpaceDE w:val="0"/>
              <w:autoSpaceDN w:val="0"/>
              <w:adjustRightInd w:val="0"/>
              <w:rPr>
                <w:rFonts w:eastAsiaTheme="minorEastAsia" w:cs="Calibri"/>
                <w:b/>
                <w:bCs/>
                <w:color w:val="000000"/>
                <w:szCs w:val="18"/>
                <w:lang w:eastAsia="en-AU"/>
              </w:rPr>
            </w:pPr>
            <w:r w:rsidRPr="00AC137D">
              <w:rPr>
                <w:rFonts w:eastAsiaTheme="minorEastAsia" w:cs="Calibri"/>
                <w:b/>
                <w:bCs/>
                <w:color w:val="000000"/>
                <w:szCs w:val="18"/>
                <w:lang w:eastAsia="en-AU"/>
              </w:rPr>
              <w:t>Current payables</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AC137D">
              <w:rPr>
                <w:rFonts w:eastAsiaTheme="minorEastAsia" w:cs="Calibri"/>
                <w:b/>
                <w:bCs/>
                <w:color w:val="000000"/>
                <w:lang w:eastAsia="en-AU"/>
              </w:rPr>
              <w:t xml:space="preserve"> </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AC137D">
              <w:rPr>
                <w:rFonts w:eastAsiaTheme="minorEastAsia" w:cs="Calibri"/>
                <w:b/>
                <w:bCs/>
                <w:color w:val="000000"/>
                <w:lang w:eastAsia="en-AU"/>
              </w:rPr>
              <w:t xml:space="preserve"> </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AC137D">
              <w:rPr>
                <w:rFonts w:eastAsiaTheme="minorEastAsia" w:cs="Calibri"/>
                <w:b/>
                <w:bCs/>
                <w:color w:val="000000"/>
                <w:lang w:eastAsia="en-AU"/>
              </w:rPr>
              <w:t xml:space="preserve"> </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AC137D">
              <w:rPr>
                <w:rFonts w:eastAsiaTheme="minorEastAsia" w:cs="Calibri"/>
                <w:b/>
                <w:bCs/>
                <w:color w:val="000000"/>
                <w:lang w:eastAsia="en-AU"/>
              </w:rPr>
              <w:t xml:space="preserve"> </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AC137D">
              <w:rPr>
                <w:rFonts w:eastAsiaTheme="minorEastAsia" w:cs="Calibri"/>
                <w:b/>
                <w:bCs/>
                <w:color w:val="000000"/>
                <w:lang w:eastAsia="en-AU"/>
              </w:rPr>
              <w:t xml:space="preserve"> </w:t>
            </w:r>
          </w:p>
        </w:tc>
      </w:tr>
      <w:tr w:rsidR="00A46DCA" w:rsidRPr="00AC137D" w:rsidTr="00A26D04">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A46DCA" w:rsidRPr="00AC137D" w:rsidRDefault="00A46DCA" w:rsidP="00A26D04">
            <w:pPr>
              <w:keepLines w:val="0"/>
              <w:autoSpaceDE w:val="0"/>
              <w:autoSpaceDN w:val="0"/>
              <w:adjustRightInd w:val="0"/>
              <w:rPr>
                <w:rFonts w:eastAsiaTheme="minorEastAsia" w:cs="Calibri"/>
                <w:color w:val="000000"/>
                <w:szCs w:val="18"/>
                <w:lang w:eastAsia="en-AU"/>
              </w:rPr>
            </w:pPr>
            <w:r w:rsidRPr="00AC137D">
              <w:rPr>
                <w:rFonts w:eastAsiaTheme="minorEastAsia" w:cs="Calibri"/>
                <w:color w:val="000000"/>
                <w:szCs w:val="18"/>
                <w:lang w:eastAsia="en-AU"/>
              </w:rPr>
              <w:t>Accounts payable and accrued expenses</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AC137D">
              <w:rPr>
                <w:rFonts w:eastAsiaTheme="minorEastAsia" w:cs="Calibri"/>
                <w:color w:val="000000"/>
                <w:szCs w:val="18"/>
                <w:lang w:eastAsia="en-AU"/>
              </w:rPr>
              <w:t>3 450</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AC137D">
              <w:rPr>
                <w:rFonts w:eastAsiaTheme="minorEastAsia" w:cs="Calibri"/>
                <w:color w:val="000000"/>
                <w:szCs w:val="18"/>
                <w:lang w:eastAsia="en-AU"/>
              </w:rPr>
              <w:t>3 449</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AC137D">
              <w:rPr>
                <w:rFonts w:eastAsiaTheme="minorEastAsia" w:cs="Calibri"/>
                <w:color w:val="000000"/>
                <w:szCs w:val="18"/>
                <w:lang w:eastAsia="en-AU"/>
              </w:rPr>
              <w:t>3 402</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AC137D">
              <w:rPr>
                <w:rFonts w:eastAsiaTheme="minorEastAsia" w:cs="Calibri"/>
                <w:color w:val="000000"/>
                <w:szCs w:val="18"/>
                <w:lang w:eastAsia="en-AU"/>
              </w:rPr>
              <w:t>3 351</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AC137D">
              <w:rPr>
                <w:rFonts w:eastAsiaTheme="minorEastAsia" w:cs="Calibri"/>
                <w:color w:val="000000"/>
                <w:szCs w:val="18"/>
                <w:lang w:eastAsia="en-AU"/>
              </w:rPr>
              <w:t>3 109</w:t>
            </w:r>
          </w:p>
        </w:tc>
      </w:tr>
      <w:tr w:rsidR="00A46DCA" w:rsidRPr="00AC137D" w:rsidTr="00A26D04">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A46DCA" w:rsidRPr="00AC137D" w:rsidRDefault="00A46DCA" w:rsidP="00A26D04">
            <w:pPr>
              <w:keepLines w:val="0"/>
              <w:autoSpaceDE w:val="0"/>
              <w:autoSpaceDN w:val="0"/>
              <w:adjustRightInd w:val="0"/>
              <w:rPr>
                <w:rFonts w:eastAsiaTheme="minorEastAsia" w:cs="Calibri"/>
                <w:color w:val="000000"/>
                <w:szCs w:val="18"/>
                <w:lang w:eastAsia="en-AU"/>
              </w:rPr>
            </w:pPr>
            <w:r w:rsidRPr="00AC137D">
              <w:rPr>
                <w:rFonts w:eastAsiaTheme="minorEastAsia" w:cs="Calibri"/>
                <w:color w:val="000000"/>
                <w:szCs w:val="18"/>
                <w:lang w:eastAsia="en-AU"/>
              </w:rPr>
              <w:t>Accrued taxes payable</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44</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44</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45</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46</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46</w:t>
            </w:r>
          </w:p>
        </w:tc>
      </w:tr>
      <w:tr w:rsidR="00A46DCA" w:rsidRPr="00AC137D" w:rsidTr="00A26D04">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single" w:sz="6" w:space="0" w:color="000000"/>
              <w:right w:val="nil"/>
            </w:tcBorders>
          </w:tcPr>
          <w:p w:rsidR="00A46DCA" w:rsidRPr="00AC137D" w:rsidRDefault="00A46DCA" w:rsidP="00A26D04">
            <w:pPr>
              <w:keepLines w:val="0"/>
              <w:autoSpaceDE w:val="0"/>
              <w:autoSpaceDN w:val="0"/>
              <w:adjustRightInd w:val="0"/>
              <w:rPr>
                <w:rFonts w:eastAsiaTheme="minorEastAsia" w:cs="Calibri"/>
                <w:color w:val="000000"/>
                <w:szCs w:val="18"/>
                <w:lang w:eastAsia="en-AU"/>
              </w:rPr>
            </w:pPr>
            <w:r w:rsidRPr="00AC137D">
              <w:rPr>
                <w:rFonts w:eastAsiaTheme="minorEastAsia" w:cs="Calibri"/>
                <w:color w:val="000000"/>
                <w:szCs w:val="18"/>
                <w:lang w:eastAsia="en-AU"/>
              </w:rPr>
              <w:t>Unearned income</w:t>
            </w:r>
          </w:p>
        </w:tc>
        <w:tc>
          <w:tcPr>
            <w:tcW w:w="850" w:type="dxa"/>
            <w:tcBorders>
              <w:top w:val="nil"/>
              <w:left w:val="nil"/>
              <w:bottom w:val="single" w:sz="6" w:space="0" w:color="000000"/>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533</w:t>
            </w:r>
          </w:p>
        </w:tc>
        <w:tc>
          <w:tcPr>
            <w:tcW w:w="850" w:type="dxa"/>
            <w:tcBorders>
              <w:top w:val="nil"/>
              <w:left w:val="nil"/>
              <w:bottom w:val="single" w:sz="6" w:space="0" w:color="000000"/>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534</w:t>
            </w:r>
          </w:p>
        </w:tc>
        <w:tc>
          <w:tcPr>
            <w:tcW w:w="850" w:type="dxa"/>
            <w:tcBorders>
              <w:top w:val="nil"/>
              <w:left w:val="nil"/>
              <w:bottom w:val="single" w:sz="6" w:space="0" w:color="000000"/>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589</w:t>
            </w:r>
          </w:p>
        </w:tc>
        <w:tc>
          <w:tcPr>
            <w:tcW w:w="850" w:type="dxa"/>
            <w:tcBorders>
              <w:top w:val="nil"/>
              <w:left w:val="nil"/>
              <w:bottom w:val="single" w:sz="6" w:space="0" w:color="000000"/>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584</w:t>
            </w:r>
          </w:p>
        </w:tc>
        <w:tc>
          <w:tcPr>
            <w:tcW w:w="850" w:type="dxa"/>
            <w:tcBorders>
              <w:top w:val="nil"/>
              <w:left w:val="nil"/>
              <w:bottom w:val="single" w:sz="6" w:space="0" w:color="000000"/>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578</w:t>
            </w:r>
          </w:p>
        </w:tc>
      </w:tr>
      <w:tr w:rsidR="00A46DCA" w:rsidRPr="00AC137D" w:rsidTr="00A26D04">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A46DCA" w:rsidRPr="00AC137D" w:rsidRDefault="00A46DCA" w:rsidP="00A26D04">
            <w:pPr>
              <w:keepLines w:val="0"/>
              <w:autoSpaceDE w:val="0"/>
              <w:autoSpaceDN w:val="0"/>
              <w:adjustRightInd w:val="0"/>
              <w:rPr>
                <w:rFonts w:eastAsiaTheme="minorEastAsia" w:cs="Calibri"/>
                <w:b/>
                <w:bCs/>
                <w:color w:val="000000"/>
                <w:szCs w:val="18"/>
                <w:lang w:eastAsia="en-AU"/>
              </w:rPr>
            </w:pPr>
            <w:r w:rsidRPr="00AC137D">
              <w:rPr>
                <w:rFonts w:eastAsiaTheme="minorEastAsia" w:cs="Calibri"/>
                <w:b/>
                <w:bCs/>
                <w:color w:val="000000"/>
                <w:szCs w:val="18"/>
                <w:lang w:eastAsia="en-AU"/>
              </w:rPr>
              <w:t>Total current payables</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AC137D">
              <w:rPr>
                <w:rFonts w:eastAsiaTheme="minorEastAsia" w:cs="Calibri"/>
                <w:b/>
                <w:bCs/>
                <w:color w:val="000000"/>
                <w:szCs w:val="18"/>
                <w:lang w:eastAsia="en-AU"/>
              </w:rPr>
              <w:t>4 027</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AC137D">
              <w:rPr>
                <w:rFonts w:eastAsiaTheme="minorEastAsia" w:cs="Calibri"/>
                <w:b/>
                <w:bCs/>
                <w:color w:val="000000"/>
                <w:szCs w:val="18"/>
                <w:lang w:eastAsia="en-AU"/>
              </w:rPr>
              <w:t>4 027</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AC137D">
              <w:rPr>
                <w:rFonts w:eastAsiaTheme="minorEastAsia" w:cs="Calibri"/>
                <w:b/>
                <w:bCs/>
                <w:color w:val="000000"/>
                <w:szCs w:val="18"/>
                <w:lang w:eastAsia="en-AU"/>
              </w:rPr>
              <w:t>4 037</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AC137D">
              <w:rPr>
                <w:rFonts w:eastAsiaTheme="minorEastAsia" w:cs="Calibri"/>
                <w:b/>
                <w:bCs/>
                <w:color w:val="000000"/>
                <w:szCs w:val="18"/>
                <w:lang w:eastAsia="en-AU"/>
              </w:rPr>
              <w:t>3 981</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AC137D">
              <w:rPr>
                <w:rFonts w:eastAsiaTheme="minorEastAsia" w:cs="Calibri"/>
                <w:b/>
                <w:bCs/>
                <w:color w:val="000000"/>
                <w:szCs w:val="18"/>
                <w:lang w:eastAsia="en-AU"/>
              </w:rPr>
              <w:t>3 733</w:t>
            </w:r>
          </w:p>
        </w:tc>
      </w:tr>
      <w:tr w:rsidR="00A46DCA" w:rsidRPr="00AC137D" w:rsidTr="00A26D04">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A46DCA" w:rsidRPr="00AC137D" w:rsidRDefault="00A46DCA" w:rsidP="00A26D04">
            <w:pPr>
              <w:keepLines w:val="0"/>
              <w:autoSpaceDE w:val="0"/>
              <w:autoSpaceDN w:val="0"/>
              <w:adjustRightInd w:val="0"/>
              <w:rPr>
                <w:rFonts w:eastAsiaTheme="minorEastAsia" w:cs="Calibri"/>
                <w:b/>
                <w:bCs/>
                <w:color w:val="000000"/>
                <w:szCs w:val="18"/>
                <w:lang w:eastAsia="en-AU"/>
              </w:rPr>
            </w:pPr>
            <w:r w:rsidRPr="00AC137D">
              <w:rPr>
                <w:rFonts w:eastAsiaTheme="minorEastAsia" w:cs="Calibri"/>
                <w:b/>
                <w:bCs/>
                <w:color w:val="000000"/>
                <w:szCs w:val="18"/>
                <w:lang w:eastAsia="en-AU"/>
              </w:rPr>
              <w:t>Non-current payables</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AC137D">
              <w:rPr>
                <w:rFonts w:eastAsiaTheme="minorEastAsia" w:cs="Calibri"/>
                <w:b/>
                <w:bCs/>
                <w:color w:val="000000"/>
                <w:lang w:eastAsia="en-AU"/>
              </w:rPr>
              <w:t xml:space="preserve"> </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AC137D">
              <w:rPr>
                <w:rFonts w:eastAsiaTheme="minorEastAsia" w:cs="Calibri"/>
                <w:b/>
                <w:bCs/>
                <w:color w:val="000000"/>
                <w:lang w:eastAsia="en-AU"/>
              </w:rPr>
              <w:t xml:space="preserve"> </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AC137D">
              <w:rPr>
                <w:rFonts w:eastAsiaTheme="minorEastAsia" w:cs="Calibri"/>
                <w:b/>
                <w:bCs/>
                <w:color w:val="000000"/>
                <w:lang w:eastAsia="en-AU"/>
              </w:rPr>
              <w:t xml:space="preserve"> </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AC137D">
              <w:rPr>
                <w:rFonts w:eastAsiaTheme="minorEastAsia" w:cs="Calibri"/>
                <w:b/>
                <w:bCs/>
                <w:color w:val="000000"/>
                <w:lang w:eastAsia="en-AU"/>
              </w:rPr>
              <w:t xml:space="preserve"> </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AC137D">
              <w:rPr>
                <w:rFonts w:eastAsiaTheme="minorEastAsia" w:cs="Calibri"/>
                <w:b/>
                <w:bCs/>
                <w:color w:val="000000"/>
                <w:lang w:eastAsia="en-AU"/>
              </w:rPr>
              <w:t xml:space="preserve"> </w:t>
            </w:r>
          </w:p>
        </w:tc>
      </w:tr>
      <w:tr w:rsidR="00A46DCA" w:rsidRPr="00AC137D" w:rsidTr="00A26D04">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A46DCA" w:rsidRPr="00AC137D" w:rsidRDefault="00A46DCA" w:rsidP="00A26D04">
            <w:pPr>
              <w:keepLines w:val="0"/>
              <w:autoSpaceDE w:val="0"/>
              <w:autoSpaceDN w:val="0"/>
              <w:adjustRightInd w:val="0"/>
              <w:rPr>
                <w:rFonts w:eastAsiaTheme="minorEastAsia" w:cs="Calibri"/>
                <w:color w:val="000000"/>
                <w:szCs w:val="18"/>
                <w:lang w:eastAsia="en-AU"/>
              </w:rPr>
            </w:pPr>
            <w:r w:rsidRPr="00AC137D">
              <w:rPr>
                <w:rFonts w:eastAsiaTheme="minorEastAsia" w:cs="Calibri"/>
                <w:color w:val="000000"/>
                <w:szCs w:val="18"/>
                <w:lang w:eastAsia="en-AU"/>
              </w:rPr>
              <w:t>Accounts payable and accrued expenses</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AC137D">
              <w:rPr>
                <w:rFonts w:eastAsiaTheme="minorEastAsia" w:cs="Calibri"/>
                <w:color w:val="000000"/>
                <w:szCs w:val="18"/>
                <w:lang w:eastAsia="en-AU"/>
              </w:rPr>
              <w:t>1 813</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AC137D">
              <w:rPr>
                <w:rFonts w:eastAsiaTheme="minorEastAsia" w:cs="Calibri"/>
                <w:color w:val="000000"/>
                <w:szCs w:val="18"/>
                <w:lang w:eastAsia="en-AU"/>
              </w:rPr>
              <w:t>1 832</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AC137D">
              <w:rPr>
                <w:rFonts w:eastAsiaTheme="minorEastAsia" w:cs="Calibri"/>
                <w:color w:val="000000"/>
                <w:szCs w:val="18"/>
                <w:lang w:eastAsia="en-AU"/>
              </w:rPr>
              <w:t>3 544</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AC137D">
              <w:rPr>
                <w:rFonts w:eastAsiaTheme="minorEastAsia" w:cs="Calibri"/>
                <w:color w:val="000000"/>
                <w:szCs w:val="18"/>
                <w:lang w:eastAsia="en-AU"/>
              </w:rPr>
              <w:t>3 293</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AC137D">
              <w:rPr>
                <w:rFonts w:eastAsiaTheme="minorEastAsia" w:cs="Calibri"/>
                <w:color w:val="000000"/>
                <w:szCs w:val="18"/>
                <w:lang w:eastAsia="en-AU"/>
              </w:rPr>
              <w:t>2 934</w:t>
            </w:r>
          </w:p>
        </w:tc>
      </w:tr>
      <w:tr w:rsidR="00A46DCA" w:rsidRPr="00AC137D" w:rsidTr="00A26D04">
        <w:tc>
          <w:tcPr>
            <w:cnfStyle w:val="001000000000" w:firstRow="0" w:lastRow="0" w:firstColumn="1" w:lastColumn="0" w:oddVBand="0" w:evenVBand="0" w:oddHBand="0" w:evenHBand="0" w:firstRowFirstColumn="0" w:firstRowLastColumn="0" w:lastRowFirstColumn="0" w:lastRowLastColumn="0"/>
            <w:tcW w:w="3515" w:type="dxa"/>
            <w:tcBorders>
              <w:top w:val="single" w:sz="6" w:space="0" w:color="000000"/>
              <w:left w:val="nil"/>
              <w:bottom w:val="nil"/>
              <w:right w:val="nil"/>
            </w:tcBorders>
          </w:tcPr>
          <w:p w:rsidR="00A46DCA" w:rsidRPr="00AC137D" w:rsidRDefault="00A46DCA" w:rsidP="00A26D04">
            <w:pPr>
              <w:keepLines w:val="0"/>
              <w:autoSpaceDE w:val="0"/>
              <w:autoSpaceDN w:val="0"/>
              <w:adjustRightInd w:val="0"/>
              <w:rPr>
                <w:rFonts w:eastAsiaTheme="minorEastAsia" w:cs="Calibri"/>
                <w:b/>
                <w:bCs/>
                <w:color w:val="000000"/>
                <w:szCs w:val="18"/>
                <w:lang w:eastAsia="en-AU"/>
              </w:rPr>
            </w:pPr>
            <w:r w:rsidRPr="00AC137D">
              <w:rPr>
                <w:rFonts w:eastAsiaTheme="minorEastAsia" w:cs="Calibri"/>
                <w:b/>
                <w:bCs/>
                <w:color w:val="000000"/>
                <w:szCs w:val="18"/>
                <w:lang w:eastAsia="en-AU"/>
              </w:rPr>
              <w:t>Total non-current payables</w:t>
            </w:r>
          </w:p>
        </w:tc>
        <w:tc>
          <w:tcPr>
            <w:tcW w:w="850" w:type="dxa"/>
            <w:tcBorders>
              <w:top w:val="single" w:sz="6" w:space="0" w:color="000000"/>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AC137D">
              <w:rPr>
                <w:rFonts w:eastAsiaTheme="minorEastAsia" w:cs="Calibri"/>
                <w:b/>
                <w:bCs/>
                <w:color w:val="000000"/>
                <w:szCs w:val="18"/>
                <w:lang w:eastAsia="en-AU"/>
              </w:rPr>
              <w:t>1 813</w:t>
            </w:r>
          </w:p>
        </w:tc>
        <w:tc>
          <w:tcPr>
            <w:tcW w:w="850" w:type="dxa"/>
            <w:tcBorders>
              <w:top w:val="single" w:sz="6" w:space="0" w:color="000000"/>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AC137D">
              <w:rPr>
                <w:rFonts w:eastAsiaTheme="minorEastAsia" w:cs="Calibri"/>
                <w:b/>
                <w:bCs/>
                <w:color w:val="000000"/>
                <w:szCs w:val="18"/>
                <w:lang w:eastAsia="en-AU"/>
              </w:rPr>
              <w:t>1 832</w:t>
            </w:r>
          </w:p>
        </w:tc>
        <w:tc>
          <w:tcPr>
            <w:tcW w:w="850" w:type="dxa"/>
            <w:tcBorders>
              <w:top w:val="single" w:sz="6" w:space="0" w:color="000000"/>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AC137D">
              <w:rPr>
                <w:rFonts w:eastAsiaTheme="minorEastAsia" w:cs="Calibri"/>
                <w:b/>
                <w:bCs/>
                <w:color w:val="000000"/>
                <w:szCs w:val="18"/>
                <w:lang w:eastAsia="en-AU"/>
              </w:rPr>
              <w:t>3 544</w:t>
            </w:r>
          </w:p>
        </w:tc>
        <w:tc>
          <w:tcPr>
            <w:tcW w:w="850" w:type="dxa"/>
            <w:tcBorders>
              <w:top w:val="single" w:sz="6" w:space="0" w:color="000000"/>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AC137D">
              <w:rPr>
                <w:rFonts w:eastAsiaTheme="minorEastAsia" w:cs="Calibri"/>
                <w:b/>
                <w:bCs/>
                <w:color w:val="000000"/>
                <w:szCs w:val="18"/>
                <w:lang w:eastAsia="en-AU"/>
              </w:rPr>
              <w:t>3 293</w:t>
            </w:r>
          </w:p>
        </w:tc>
        <w:tc>
          <w:tcPr>
            <w:tcW w:w="850" w:type="dxa"/>
            <w:tcBorders>
              <w:top w:val="single" w:sz="6" w:space="0" w:color="000000"/>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AC137D">
              <w:rPr>
                <w:rFonts w:eastAsiaTheme="minorEastAsia" w:cs="Calibri"/>
                <w:b/>
                <w:bCs/>
                <w:color w:val="000000"/>
                <w:szCs w:val="18"/>
                <w:lang w:eastAsia="en-AU"/>
              </w:rPr>
              <w:t>2 934</w:t>
            </w:r>
          </w:p>
        </w:tc>
      </w:tr>
      <w:tr w:rsidR="00A46DCA" w:rsidRPr="00AC137D" w:rsidTr="00A26D04">
        <w:tc>
          <w:tcPr>
            <w:cnfStyle w:val="001000000000" w:firstRow="0" w:lastRow="0" w:firstColumn="1" w:lastColumn="0" w:oddVBand="0" w:evenVBand="0" w:oddHBand="0" w:evenHBand="0" w:firstRowFirstColumn="0" w:firstRowLastColumn="0" w:lastRowFirstColumn="0" w:lastRowLastColumn="0"/>
            <w:tcW w:w="3515" w:type="dxa"/>
            <w:tcBorders>
              <w:top w:val="single" w:sz="6" w:space="0" w:color="000000"/>
              <w:left w:val="nil"/>
              <w:bottom w:val="single" w:sz="12" w:space="0" w:color="000000"/>
              <w:right w:val="nil"/>
            </w:tcBorders>
          </w:tcPr>
          <w:p w:rsidR="00A46DCA" w:rsidRPr="00AC137D" w:rsidRDefault="00A46DCA" w:rsidP="00A26D04">
            <w:pPr>
              <w:keepLines w:val="0"/>
              <w:autoSpaceDE w:val="0"/>
              <w:autoSpaceDN w:val="0"/>
              <w:adjustRightInd w:val="0"/>
              <w:rPr>
                <w:rFonts w:eastAsiaTheme="minorEastAsia" w:cs="Calibri"/>
                <w:b/>
                <w:bCs/>
                <w:color w:val="000000"/>
                <w:szCs w:val="18"/>
                <w:lang w:eastAsia="en-AU"/>
              </w:rPr>
            </w:pPr>
            <w:r w:rsidRPr="00AC137D">
              <w:rPr>
                <w:rFonts w:eastAsiaTheme="minorEastAsia" w:cs="Calibri"/>
                <w:b/>
                <w:bCs/>
                <w:color w:val="000000"/>
                <w:szCs w:val="18"/>
                <w:lang w:eastAsia="en-AU"/>
              </w:rPr>
              <w:t>Total payables</w:t>
            </w:r>
          </w:p>
        </w:tc>
        <w:tc>
          <w:tcPr>
            <w:tcW w:w="850" w:type="dxa"/>
            <w:tcBorders>
              <w:top w:val="single" w:sz="6" w:space="0" w:color="000000"/>
              <w:left w:val="nil"/>
              <w:bottom w:val="single" w:sz="12" w:space="0" w:color="000000"/>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AC137D">
              <w:rPr>
                <w:rFonts w:eastAsiaTheme="minorEastAsia" w:cs="Calibri"/>
                <w:b/>
                <w:bCs/>
                <w:color w:val="000000"/>
                <w:szCs w:val="18"/>
                <w:lang w:eastAsia="en-AU"/>
              </w:rPr>
              <w:t>5 841</w:t>
            </w:r>
          </w:p>
        </w:tc>
        <w:tc>
          <w:tcPr>
            <w:tcW w:w="850" w:type="dxa"/>
            <w:tcBorders>
              <w:top w:val="single" w:sz="6" w:space="0" w:color="000000"/>
              <w:left w:val="nil"/>
              <w:bottom w:val="single" w:sz="12" w:space="0" w:color="000000"/>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AC137D">
              <w:rPr>
                <w:rFonts w:eastAsiaTheme="minorEastAsia" w:cs="Calibri"/>
                <w:b/>
                <w:bCs/>
                <w:color w:val="000000"/>
                <w:szCs w:val="18"/>
                <w:lang w:eastAsia="en-AU"/>
              </w:rPr>
              <w:t>5 860</w:t>
            </w:r>
          </w:p>
        </w:tc>
        <w:tc>
          <w:tcPr>
            <w:tcW w:w="850" w:type="dxa"/>
            <w:tcBorders>
              <w:top w:val="single" w:sz="6" w:space="0" w:color="000000"/>
              <w:left w:val="nil"/>
              <w:bottom w:val="single" w:sz="12" w:space="0" w:color="000000"/>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AC137D">
              <w:rPr>
                <w:rFonts w:eastAsiaTheme="minorEastAsia" w:cs="Calibri"/>
                <w:b/>
                <w:bCs/>
                <w:color w:val="000000"/>
                <w:szCs w:val="18"/>
                <w:lang w:eastAsia="en-AU"/>
              </w:rPr>
              <w:t>7 581</w:t>
            </w:r>
          </w:p>
        </w:tc>
        <w:tc>
          <w:tcPr>
            <w:tcW w:w="850" w:type="dxa"/>
            <w:tcBorders>
              <w:top w:val="single" w:sz="6" w:space="0" w:color="000000"/>
              <w:left w:val="nil"/>
              <w:bottom w:val="single" w:sz="12" w:space="0" w:color="000000"/>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AC137D">
              <w:rPr>
                <w:rFonts w:eastAsiaTheme="minorEastAsia" w:cs="Calibri"/>
                <w:b/>
                <w:bCs/>
                <w:color w:val="000000"/>
                <w:szCs w:val="18"/>
                <w:lang w:eastAsia="en-AU"/>
              </w:rPr>
              <w:t>7 274</w:t>
            </w:r>
          </w:p>
        </w:tc>
        <w:tc>
          <w:tcPr>
            <w:tcW w:w="850" w:type="dxa"/>
            <w:tcBorders>
              <w:top w:val="single" w:sz="6" w:space="0" w:color="000000"/>
              <w:left w:val="nil"/>
              <w:bottom w:val="single" w:sz="12" w:space="0" w:color="000000"/>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AC137D">
              <w:rPr>
                <w:rFonts w:eastAsiaTheme="minorEastAsia" w:cs="Calibri"/>
                <w:b/>
                <w:bCs/>
                <w:color w:val="000000"/>
                <w:szCs w:val="18"/>
                <w:lang w:eastAsia="en-AU"/>
              </w:rPr>
              <w:t>6 667</w:t>
            </w:r>
          </w:p>
        </w:tc>
      </w:tr>
    </w:tbl>
    <w:p w:rsidR="00A46DCA" w:rsidRDefault="00A46DCA" w:rsidP="00A26D04">
      <w:pPr>
        <w:pStyle w:val="Source"/>
      </w:pPr>
      <w:r w:rsidRPr="00D87D22">
        <w:t>Source: Department of Treasury and Finance</w:t>
      </w:r>
    </w:p>
    <w:p w:rsidR="00A46DCA" w:rsidRDefault="00A46DCA" w:rsidP="00A26D04"/>
    <w:p w:rsidR="00A46DCA" w:rsidRPr="00B41AC3" w:rsidRDefault="00A46DCA" w:rsidP="00A26D04">
      <w:pPr>
        <w:pStyle w:val="Heading10"/>
      </w:pPr>
      <w:r>
        <w:br w:type="page"/>
      </w:r>
    </w:p>
    <w:p w:rsidR="00A46DCA" w:rsidRDefault="00A46DCA" w:rsidP="00A26D04">
      <w:pPr>
        <w:pStyle w:val="Heading3"/>
        <w:numPr>
          <w:ilvl w:val="2"/>
          <w:numId w:val="19"/>
        </w:numPr>
        <w:tabs>
          <w:tab w:val="clear" w:pos="9582"/>
          <w:tab w:val="left" w:pos="850"/>
          <w:tab w:val="right" w:pos="7711"/>
        </w:tabs>
        <w:spacing w:after="60"/>
      </w:pPr>
      <w:bookmarkStart w:id="52" w:name="_Toc496606661"/>
      <w:r>
        <w:lastRenderedPageBreak/>
        <w:t>Superannuation</w:t>
      </w:r>
      <w:bookmarkEnd w:id="52"/>
    </w:p>
    <w:p w:rsidR="00A46DCA" w:rsidRPr="00AC137D" w:rsidRDefault="00A46DCA" w:rsidP="00A26D04">
      <w:pPr>
        <w:pStyle w:val="TableHeading"/>
        <w:rPr>
          <w:bCs/>
          <w:lang w:val="en-US"/>
        </w:rPr>
      </w:pPr>
      <w:r>
        <w:t>Reconciliation of the superannuation liabilities</w:t>
      </w:r>
      <w:r>
        <w:tab/>
        <w:t>($ million)</w:t>
      </w:r>
    </w:p>
    <w:tbl>
      <w:tblPr>
        <w:tblStyle w:val="DTFTable"/>
        <w:tblW w:w="7765" w:type="dxa"/>
        <w:tblInd w:w="45" w:type="dxa"/>
        <w:tblLayout w:type="fixed"/>
        <w:tblCellMar>
          <w:left w:w="45" w:type="dxa"/>
          <w:right w:w="45" w:type="dxa"/>
        </w:tblCellMar>
        <w:tblLook w:val="06A0" w:firstRow="1" w:lastRow="0" w:firstColumn="1" w:lastColumn="0" w:noHBand="1" w:noVBand="1"/>
      </w:tblPr>
      <w:tblGrid>
        <w:gridCol w:w="3515"/>
        <w:gridCol w:w="850"/>
        <w:gridCol w:w="850"/>
        <w:gridCol w:w="850"/>
        <w:gridCol w:w="850"/>
        <w:gridCol w:w="850"/>
      </w:tblGrid>
      <w:tr w:rsidR="00A26D04" w:rsidRPr="00AC137D" w:rsidTr="008110D9">
        <w:trPr>
          <w:cnfStyle w:val="100000000000" w:firstRow="1" w:lastRow="0" w:firstColumn="0" w:lastColumn="0" w:oddVBand="0" w:evenVBand="0" w:oddHBand="0" w:evenHBand="0" w:firstRowFirstColumn="0" w:firstRowLastColumn="0" w:lastRowFirstColumn="0" w:lastRowLastColumn="0"/>
          <w:trHeight w:val="55"/>
          <w:tblHeader/>
        </w:trPr>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shd w:val="solid" w:color="000000" w:fill="auto"/>
          </w:tcPr>
          <w:p w:rsidR="00A26D04" w:rsidRPr="00AC137D" w:rsidRDefault="00A26D04" w:rsidP="00A26D04">
            <w:pPr>
              <w:autoSpaceDE w:val="0"/>
              <w:autoSpaceDN w:val="0"/>
              <w:adjustRightInd w:val="0"/>
              <w:rPr>
                <w:rFonts w:eastAsiaTheme="minorEastAsia" w:cs="Calibri"/>
                <w:color w:val="000000"/>
                <w:szCs w:val="20"/>
                <w:lang w:eastAsia="en-AU"/>
              </w:rPr>
            </w:pPr>
            <w:r w:rsidRPr="00AC137D">
              <w:rPr>
                <w:rFonts w:eastAsiaTheme="minorEastAsia" w:cs="Calibri"/>
                <w:color w:val="000000"/>
                <w:szCs w:val="20"/>
                <w:lang w:eastAsia="en-AU"/>
              </w:rPr>
              <w:t xml:space="preserve">  </w:t>
            </w:r>
          </w:p>
        </w:tc>
        <w:tc>
          <w:tcPr>
            <w:tcW w:w="850" w:type="dxa"/>
            <w:tcBorders>
              <w:top w:val="nil"/>
              <w:left w:val="nil"/>
              <w:bottom w:val="nil"/>
              <w:right w:val="nil"/>
            </w:tcBorders>
            <w:shd w:val="solid" w:color="000000" w:fill="auto"/>
          </w:tcPr>
          <w:p w:rsidR="00A26D04" w:rsidRPr="00AC137D" w:rsidRDefault="00A26D04" w:rsidP="00A26D0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20"/>
                <w:lang w:eastAsia="en-AU"/>
              </w:rPr>
            </w:pPr>
            <w:r w:rsidRPr="00AC137D">
              <w:rPr>
                <w:rFonts w:eastAsiaTheme="minorEastAsia" w:cs="Calibri"/>
                <w:iCs/>
                <w:color w:val="FFFFFF"/>
                <w:szCs w:val="20"/>
                <w:lang w:eastAsia="en-AU"/>
              </w:rPr>
              <w:t>2017-18</w:t>
            </w:r>
            <w:r>
              <w:rPr>
                <w:rFonts w:eastAsiaTheme="minorEastAsia" w:cs="Calibri"/>
                <w:iCs/>
                <w:color w:val="FFFFFF"/>
                <w:szCs w:val="20"/>
                <w:lang w:eastAsia="en-AU"/>
              </w:rPr>
              <w:br/>
            </w:r>
            <w:r w:rsidRPr="00AC137D">
              <w:rPr>
                <w:rFonts w:eastAsiaTheme="minorEastAsia" w:cs="Calibri"/>
                <w:iCs/>
                <w:color w:val="FFFFFF"/>
                <w:szCs w:val="20"/>
                <w:lang w:eastAsia="en-AU"/>
              </w:rPr>
              <w:t>budget</w:t>
            </w:r>
          </w:p>
        </w:tc>
        <w:tc>
          <w:tcPr>
            <w:tcW w:w="850" w:type="dxa"/>
            <w:tcBorders>
              <w:top w:val="nil"/>
              <w:left w:val="nil"/>
              <w:bottom w:val="nil"/>
              <w:right w:val="nil"/>
            </w:tcBorders>
            <w:shd w:val="solid" w:color="000000" w:fill="auto"/>
          </w:tcPr>
          <w:p w:rsidR="00A26D04" w:rsidRPr="00AC137D" w:rsidRDefault="00A26D04" w:rsidP="00A26D0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20"/>
                <w:lang w:eastAsia="en-AU"/>
              </w:rPr>
            </w:pPr>
            <w:r w:rsidRPr="00AC137D">
              <w:rPr>
                <w:rFonts w:eastAsiaTheme="minorEastAsia" w:cs="Calibri"/>
                <w:iCs/>
                <w:color w:val="FFFFFF"/>
                <w:szCs w:val="20"/>
                <w:lang w:eastAsia="en-AU"/>
              </w:rPr>
              <w:t>2017-18</w:t>
            </w:r>
            <w:r>
              <w:rPr>
                <w:rFonts w:eastAsiaTheme="minorEastAsia" w:cs="Calibri"/>
                <w:iCs/>
                <w:color w:val="FFFFFF"/>
                <w:szCs w:val="20"/>
                <w:lang w:eastAsia="en-AU"/>
              </w:rPr>
              <w:br/>
            </w:r>
            <w:r w:rsidRPr="00AC137D">
              <w:rPr>
                <w:rFonts w:eastAsiaTheme="minorEastAsia" w:cs="Calibri"/>
                <w:iCs/>
                <w:color w:val="FFFFFF"/>
                <w:szCs w:val="20"/>
                <w:lang w:eastAsia="en-AU"/>
              </w:rPr>
              <w:t>revised</w:t>
            </w:r>
          </w:p>
        </w:tc>
        <w:tc>
          <w:tcPr>
            <w:tcW w:w="850" w:type="dxa"/>
            <w:tcBorders>
              <w:top w:val="nil"/>
              <w:left w:val="nil"/>
              <w:bottom w:val="nil"/>
              <w:right w:val="nil"/>
            </w:tcBorders>
            <w:shd w:val="solid" w:color="000000" w:fill="auto"/>
          </w:tcPr>
          <w:p w:rsidR="00A26D04" w:rsidRPr="00AC137D" w:rsidRDefault="00A26D04" w:rsidP="00A26D0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20"/>
                <w:lang w:eastAsia="en-AU"/>
              </w:rPr>
            </w:pPr>
            <w:r w:rsidRPr="00AC137D">
              <w:rPr>
                <w:rFonts w:eastAsiaTheme="minorEastAsia" w:cs="Calibri"/>
                <w:iCs/>
                <w:color w:val="FFFFFF"/>
                <w:szCs w:val="20"/>
                <w:lang w:eastAsia="en-AU"/>
              </w:rPr>
              <w:t>2018-19</w:t>
            </w:r>
            <w:r>
              <w:rPr>
                <w:rFonts w:eastAsiaTheme="minorEastAsia" w:cs="Calibri"/>
                <w:iCs/>
                <w:color w:val="FFFFFF"/>
                <w:szCs w:val="20"/>
                <w:lang w:eastAsia="en-AU"/>
              </w:rPr>
              <w:br/>
            </w:r>
            <w:r w:rsidRPr="00AC137D">
              <w:rPr>
                <w:rFonts w:eastAsiaTheme="minorEastAsia" w:cs="Calibri"/>
                <w:iCs/>
                <w:color w:val="FFFFFF"/>
                <w:szCs w:val="20"/>
                <w:lang w:eastAsia="en-AU"/>
              </w:rPr>
              <w:t>estimate</w:t>
            </w:r>
          </w:p>
        </w:tc>
        <w:tc>
          <w:tcPr>
            <w:tcW w:w="850" w:type="dxa"/>
            <w:tcBorders>
              <w:top w:val="nil"/>
              <w:left w:val="nil"/>
              <w:bottom w:val="nil"/>
              <w:right w:val="nil"/>
            </w:tcBorders>
            <w:shd w:val="solid" w:color="000000" w:fill="auto"/>
          </w:tcPr>
          <w:p w:rsidR="00A26D04" w:rsidRPr="00AC137D" w:rsidRDefault="00A26D04" w:rsidP="00A26D0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20"/>
                <w:lang w:eastAsia="en-AU"/>
              </w:rPr>
            </w:pPr>
            <w:r w:rsidRPr="00AC137D">
              <w:rPr>
                <w:rFonts w:eastAsiaTheme="minorEastAsia" w:cs="Calibri"/>
                <w:iCs/>
                <w:color w:val="FFFFFF"/>
                <w:szCs w:val="20"/>
                <w:lang w:eastAsia="en-AU"/>
              </w:rPr>
              <w:t>2019-20</w:t>
            </w:r>
            <w:r>
              <w:rPr>
                <w:rFonts w:eastAsiaTheme="minorEastAsia" w:cs="Calibri"/>
                <w:iCs/>
                <w:color w:val="FFFFFF"/>
                <w:szCs w:val="20"/>
                <w:lang w:eastAsia="en-AU"/>
              </w:rPr>
              <w:br/>
            </w:r>
            <w:r w:rsidRPr="00AC137D">
              <w:rPr>
                <w:rFonts w:eastAsiaTheme="minorEastAsia" w:cs="Calibri"/>
                <w:iCs/>
                <w:color w:val="FFFFFF"/>
                <w:szCs w:val="20"/>
                <w:lang w:eastAsia="en-AU"/>
              </w:rPr>
              <w:t>estimate</w:t>
            </w:r>
          </w:p>
        </w:tc>
        <w:tc>
          <w:tcPr>
            <w:tcW w:w="850" w:type="dxa"/>
            <w:tcBorders>
              <w:top w:val="nil"/>
              <w:left w:val="nil"/>
              <w:bottom w:val="nil"/>
              <w:right w:val="nil"/>
            </w:tcBorders>
            <w:shd w:val="solid" w:color="000000" w:fill="auto"/>
          </w:tcPr>
          <w:p w:rsidR="00A26D04" w:rsidRPr="00AC137D" w:rsidRDefault="00A26D04" w:rsidP="00A26D0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20"/>
                <w:lang w:eastAsia="en-AU"/>
              </w:rPr>
            </w:pPr>
            <w:r w:rsidRPr="00AC137D">
              <w:rPr>
                <w:rFonts w:eastAsiaTheme="minorEastAsia" w:cs="Calibri"/>
                <w:iCs/>
                <w:color w:val="FFFFFF"/>
                <w:szCs w:val="20"/>
                <w:lang w:eastAsia="en-AU"/>
              </w:rPr>
              <w:t>2020-21</w:t>
            </w:r>
            <w:r>
              <w:rPr>
                <w:rFonts w:eastAsiaTheme="minorEastAsia" w:cs="Calibri"/>
                <w:iCs/>
                <w:color w:val="FFFFFF"/>
                <w:szCs w:val="20"/>
                <w:lang w:eastAsia="en-AU"/>
              </w:rPr>
              <w:br/>
            </w:r>
            <w:r w:rsidRPr="00AC137D">
              <w:rPr>
                <w:rFonts w:eastAsiaTheme="minorEastAsia" w:cs="Calibri"/>
                <w:iCs/>
                <w:color w:val="FFFFFF"/>
                <w:szCs w:val="20"/>
                <w:lang w:eastAsia="en-AU"/>
              </w:rPr>
              <w:t>estimate</w:t>
            </w:r>
          </w:p>
        </w:tc>
      </w:tr>
      <w:tr w:rsidR="00A46DCA" w:rsidRPr="00AC137D" w:rsidTr="008110D9">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A46DCA" w:rsidRPr="00AC137D" w:rsidRDefault="00A46DCA" w:rsidP="00A26D04">
            <w:pPr>
              <w:keepLines w:val="0"/>
              <w:autoSpaceDE w:val="0"/>
              <w:autoSpaceDN w:val="0"/>
              <w:adjustRightInd w:val="0"/>
              <w:rPr>
                <w:rFonts w:eastAsiaTheme="minorEastAsia" w:cs="Calibri"/>
                <w:b/>
                <w:bCs/>
                <w:color w:val="000000"/>
                <w:szCs w:val="20"/>
                <w:lang w:eastAsia="en-AU"/>
              </w:rPr>
            </w:pPr>
            <w:r w:rsidRPr="00AC137D">
              <w:rPr>
                <w:rFonts w:eastAsiaTheme="minorEastAsia" w:cs="Calibri"/>
                <w:b/>
                <w:bCs/>
                <w:color w:val="000000"/>
                <w:szCs w:val="20"/>
                <w:lang w:eastAsia="en-AU"/>
              </w:rPr>
              <w:t>Emergency Services and State Super</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AC137D">
              <w:rPr>
                <w:rFonts w:eastAsiaTheme="minorEastAsia" w:cs="Calibri"/>
                <w:color w:val="000000"/>
                <w:szCs w:val="20"/>
                <w:lang w:eastAsia="en-AU"/>
              </w:rPr>
              <w:t xml:space="preserve"> </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AC137D">
              <w:rPr>
                <w:rFonts w:eastAsiaTheme="minorEastAsia" w:cs="Calibri"/>
                <w:color w:val="000000"/>
                <w:szCs w:val="20"/>
                <w:lang w:eastAsia="en-AU"/>
              </w:rPr>
              <w:t xml:space="preserve"> </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AC137D">
              <w:rPr>
                <w:rFonts w:eastAsiaTheme="minorEastAsia" w:cs="Calibri"/>
                <w:color w:val="000000"/>
                <w:szCs w:val="20"/>
                <w:lang w:eastAsia="en-AU"/>
              </w:rPr>
              <w:t xml:space="preserve"> </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AC137D">
              <w:rPr>
                <w:rFonts w:eastAsiaTheme="minorEastAsia" w:cs="Calibri"/>
                <w:color w:val="000000"/>
                <w:szCs w:val="20"/>
                <w:lang w:eastAsia="en-AU"/>
              </w:rPr>
              <w:t xml:space="preserve"> </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AC137D">
              <w:rPr>
                <w:rFonts w:eastAsiaTheme="minorEastAsia" w:cs="Calibri"/>
                <w:color w:val="000000"/>
                <w:szCs w:val="20"/>
                <w:lang w:eastAsia="en-AU"/>
              </w:rPr>
              <w:t xml:space="preserve"> </w:t>
            </w:r>
          </w:p>
        </w:tc>
      </w:tr>
      <w:tr w:rsidR="00A46DCA" w:rsidRPr="00AC137D" w:rsidTr="00A26D04">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A46DCA" w:rsidRPr="00AC137D" w:rsidRDefault="00A46DCA" w:rsidP="00A26D04">
            <w:pPr>
              <w:keepLines w:val="0"/>
              <w:autoSpaceDE w:val="0"/>
              <w:autoSpaceDN w:val="0"/>
              <w:adjustRightInd w:val="0"/>
              <w:rPr>
                <w:rFonts w:eastAsiaTheme="minorEastAsia" w:cs="Calibri"/>
                <w:color w:val="000000"/>
                <w:szCs w:val="20"/>
                <w:lang w:eastAsia="en-AU"/>
              </w:rPr>
            </w:pPr>
            <w:r w:rsidRPr="00AC137D">
              <w:rPr>
                <w:rFonts w:eastAsiaTheme="minorEastAsia" w:cs="Calibri"/>
                <w:color w:val="000000"/>
                <w:szCs w:val="20"/>
                <w:lang w:eastAsia="en-AU"/>
              </w:rPr>
              <w:t>Defined benefit obligation</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AC137D">
              <w:rPr>
                <w:rFonts w:eastAsiaTheme="minorEastAsia" w:cs="Calibri"/>
                <w:color w:val="000000"/>
                <w:szCs w:val="20"/>
                <w:lang w:eastAsia="en-AU"/>
              </w:rPr>
              <w:t>41 576</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AC137D">
              <w:rPr>
                <w:rFonts w:eastAsiaTheme="minorEastAsia" w:cs="Calibri"/>
                <w:color w:val="000000"/>
                <w:szCs w:val="20"/>
                <w:lang w:eastAsia="en-AU"/>
              </w:rPr>
              <w:t>40 248</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AC137D">
              <w:rPr>
                <w:rFonts w:eastAsiaTheme="minorEastAsia" w:cs="Calibri"/>
                <w:color w:val="000000"/>
                <w:szCs w:val="20"/>
                <w:lang w:eastAsia="en-AU"/>
              </w:rPr>
              <w:t>39 834</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AC137D">
              <w:rPr>
                <w:rFonts w:eastAsiaTheme="minorEastAsia" w:cs="Calibri"/>
                <w:color w:val="000000"/>
                <w:szCs w:val="20"/>
                <w:lang w:eastAsia="en-AU"/>
              </w:rPr>
              <w:t>39 369</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AC137D">
              <w:rPr>
                <w:rFonts w:eastAsiaTheme="minorEastAsia" w:cs="Calibri"/>
                <w:color w:val="000000"/>
                <w:szCs w:val="20"/>
                <w:lang w:eastAsia="en-AU"/>
              </w:rPr>
              <w:t>38 844</w:t>
            </w:r>
          </w:p>
        </w:tc>
      </w:tr>
      <w:tr w:rsidR="00A46DCA" w:rsidRPr="00AC137D" w:rsidTr="00A26D04">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A46DCA" w:rsidRPr="00AC137D" w:rsidRDefault="00A46DCA" w:rsidP="00A26D04">
            <w:pPr>
              <w:keepLines w:val="0"/>
              <w:autoSpaceDE w:val="0"/>
              <w:autoSpaceDN w:val="0"/>
              <w:adjustRightInd w:val="0"/>
              <w:rPr>
                <w:rFonts w:eastAsiaTheme="minorEastAsia" w:cs="Calibri"/>
                <w:color w:val="000000"/>
                <w:szCs w:val="20"/>
                <w:vertAlign w:val="superscript"/>
                <w:lang w:eastAsia="en-AU"/>
              </w:rPr>
            </w:pPr>
            <w:r w:rsidRPr="00AC137D">
              <w:rPr>
                <w:rFonts w:eastAsiaTheme="minorEastAsia" w:cs="Calibri"/>
                <w:color w:val="000000"/>
                <w:szCs w:val="20"/>
                <w:lang w:eastAsia="en-AU"/>
              </w:rPr>
              <w:t xml:space="preserve">Tax liability </w:t>
            </w:r>
            <w:r w:rsidRPr="00AC137D">
              <w:rPr>
                <w:rFonts w:eastAsiaTheme="minorEastAsia" w:cs="Calibri"/>
                <w:color w:val="000000"/>
                <w:szCs w:val="20"/>
                <w:vertAlign w:val="superscript"/>
                <w:lang w:eastAsia="en-AU"/>
              </w:rPr>
              <w:t>(a)</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AC137D">
              <w:rPr>
                <w:rFonts w:eastAsiaTheme="minorEastAsia" w:cs="Calibri"/>
                <w:color w:val="000000"/>
                <w:szCs w:val="20"/>
                <w:lang w:eastAsia="en-AU"/>
              </w:rPr>
              <w:t>2 533</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AC137D">
              <w:rPr>
                <w:rFonts w:eastAsiaTheme="minorEastAsia" w:cs="Calibri"/>
                <w:color w:val="000000"/>
                <w:szCs w:val="20"/>
                <w:lang w:eastAsia="en-AU"/>
              </w:rPr>
              <w:t>2 544</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AC137D">
              <w:rPr>
                <w:rFonts w:eastAsiaTheme="minorEastAsia" w:cs="Calibri"/>
                <w:color w:val="000000"/>
                <w:szCs w:val="20"/>
                <w:lang w:eastAsia="en-AU"/>
              </w:rPr>
              <w:t>2 444</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AC137D">
              <w:rPr>
                <w:rFonts w:eastAsiaTheme="minorEastAsia" w:cs="Calibri"/>
                <w:color w:val="000000"/>
                <w:szCs w:val="20"/>
                <w:lang w:eastAsia="en-AU"/>
              </w:rPr>
              <w:t>2 341</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AC137D">
              <w:rPr>
                <w:rFonts w:eastAsiaTheme="minorEastAsia" w:cs="Calibri"/>
                <w:color w:val="000000"/>
                <w:szCs w:val="20"/>
                <w:lang w:eastAsia="en-AU"/>
              </w:rPr>
              <w:t>2 237</w:t>
            </w:r>
          </w:p>
        </w:tc>
      </w:tr>
      <w:tr w:rsidR="00A46DCA" w:rsidRPr="00AC137D" w:rsidTr="00A26D04">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A46DCA" w:rsidRPr="00AC137D" w:rsidRDefault="00A46DCA" w:rsidP="00A26D04">
            <w:pPr>
              <w:keepLines w:val="0"/>
              <w:autoSpaceDE w:val="0"/>
              <w:autoSpaceDN w:val="0"/>
              <w:adjustRightInd w:val="0"/>
              <w:rPr>
                <w:rFonts w:eastAsiaTheme="minorEastAsia" w:cs="Calibri"/>
                <w:color w:val="000000"/>
                <w:szCs w:val="20"/>
                <w:lang w:eastAsia="en-AU"/>
              </w:rPr>
            </w:pPr>
            <w:r w:rsidRPr="00AC137D">
              <w:rPr>
                <w:rFonts w:eastAsiaTheme="minorEastAsia" w:cs="Calibri"/>
                <w:color w:val="000000"/>
                <w:szCs w:val="20"/>
                <w:lang w:eastAsia="en-AU"/>
              </w:rPr>
              <w:t>Plan assets</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AC137D">
              <w:rPr>
                <w:rFonts w:eastAsiaTheme="minorEastAsia" w:cs="Calibri"/>
                <w:color w:val="000000"/>
                <w:szCs w:val="20"/>
                <w:lang w:eastAsia="en-AU"/>
              </w:rPr>
              <w:t>(21 139)</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AC137D">
              <w:rPr>
                <w:rFonts w:eastAsiaTheme="minorEastAsia" w:cs="Calibri"/>
                <w:color w:val="000000"/>
                <w:szCs w:val="20"/>
                <w:lang w:eastAsia="en-AU"/>
              </w:rPr>
              <w:t>(20 926)</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AC137D">
              <w:rPr>
                <w:rFonts w:eastAsiaTheme="minorEastAsia" w:cs="Calibri"/>
                <w:color w:val="000000"/>
                <w:szCs w:val="20"/>
                <w:lang w:eastAsia="en-AU"/>
              </w:rPr>
              <w:t>(21 370)</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AC137D">
              <w:rPr>
                <w:rFonts w:eastAsiaTheme="minorEastAsia" w:cs="Calibri"/>
                <w:color w:val="000000"/>
                <w:szCs w:val="20"/>
                <w:lang w:eastAsia="en-AU"/>
              </w:rPr>
              <w:t>(21 804)</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AC137D">
              <w:rPr>
                <w:rFonts w:eastAsiaTheme="minorEastAsia" w:cs="Calibri"/>
                <w:color w:val="000000"/>
                <w:szCs w:val="20"/>
                <w:lang w:eastAsia="en-AU"/>
              </w:rPr>
              <w:t>(22 212)</w:t>
            </w:r>
          </w:p>
        </w:tc>
      </w:tr>
      <w:tr w:rsidR="00A46DCA" w:rsidRPr="00AC137D" w:rsidTr="00A26D04">
        <w:tc>
          <w:tcPr>
            <w:cnfStyle w:val="001000000000" w:firstRow="0" w:lastRow="0" w:firstColumn="1" w:lastColumn="0" w:oddVBand="0" w:evenVBand="0" w:oddHBand="0" w:evenHBand="0" w:firstRowFirstColumn="0" w:firstRowLastColumn="0" w:lastRowFirstColumn="0" w:lastRowLastColumn="0"/>
            <w:tcW w:w="3515" w:type="dxa"/>
            <w:tcBorders>
              <w:top w:val="single" w:sz="6" w:space="0" w:color="auto"/>
              <w:left w:val="nil"/>
              <w:bottom w:val="single" w:sz="6" w:space="0" w:color="auto"/>
              <w:right w:val="nil"/>
            </w:tcBorders>
          </w:tcPr>
          <w:p w:rsidR="00A46DCA" w:rsidRPr="00AC137D" w:rsidRDefault="00A46DCA" w:rsidP="00A26D04">
            <w:pPr>
              <w:keepLines w:val="0"/>
              <w:autoSpaceDE w:val="0"/>
              <w:autoSpaceDN w:val="0"/>
              <w:adjustRightInd w:val="0"/>
              <w:rPr>
                <w:rFonts w:eastAsiaTheme="minorEastAsia" w:cs="Calibri"/>
                <w:b/>
                <w:bCs/>
                <w:color w:val="000000"/>
                <w:szCs w:val="20"/>
                <w:lang w:eastAsia="en-AU"/>
              </w:rPr>
            </w:pPr>
            <w:r w:rsidRPr="00AC137D">
              <w:rPr>
                <w:rFonts w:eastAsiaTheme="minorEastAsia" w:cs="Calibri"/>
                <w:b/>
                <w:bCs/>
                <w:color w:val="000000"/>
                <w:szCs w:val="20"/>
                <w:lang w:eastAsia="en-AU"/>
              </w:rPr>
              <w:t>Net liability/(asset)</w:t>
            </w:r>
          </w:p>
        </w:tc>
        <w:tc>
          <w:tcPr>
            <w:tcW w:w="850" w:type="dxa"/>
            <w:tcBorders>
              <w:top w:val="single" w:sz="6" w:space="0" w:color="auto"/>
              <w:left w:val="nil"/>
              <w:bottom w:val="single" w:sz="6" w:space="0" w:color="auto"/>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0"/>
                <w:lang w:eastAsia="en-AU"/>
              </w:rPr>
            </w:pPr>
            <w:r w:rsidRPr="00AC137D">
              <w:rPr>
                <w:rFonts w:eastAsiaTheme="minorEastAsia" w:cs="Calibri"/>
                <w:b/>
                <w:bCs/>
                <w:color w:val="000000"/>
                <w:szCs w:val="20"/>
                <w:lang w:eastAsia="en-AU"/>
              </w:rPr>
              <w:t>22 971</w:t>
            </w:r>
          </w:p>
        </w:tc>
        <w:tc>
          <w:tcPr>
            <w:tcW w:w="850" w:type="dxa"/>
            <w:tcBorders>
              <w:top w:val="single" w:sz="6" w:space="0" w:color="auto"/>
              <w:left w:val="nil"/>
              <w:bottom w:val="single" w:sz="6" w:space="0" w:color="auto"/>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0"/>
                <w:lang w:eastAsia="en-AU"/>
              </w:rPr>
            </w:pPr>
            <w:r w:rsidRPr="00AC137D">
              <w:rPr>
                <w:rFonts w:eastAsiaTheme="minorEastAsia" w:cs="Calibri"/>
                <w:b/>
                <w:bCs/>
                <w:color w:val="000000"/>
                <w:szCs w:val="20"/>
                <w:lang w:eastAsia="en-AU"/>
              </w:rPr>
              <w:t>21 865</w:t>
            </w:r>
          </w:p>
        </w:tc>
        <w:tc>
          <w:tcPr>
            <w:tcW w:w="850" w:type="dxa"/>
            <w:tcBorders>
              <w:top w:val="single" w:sz="6" w:space="0" w:color="auto"/>
              <w:left w:val="nil"/>
              <w:bottom w:val="single" w:sz="6" w:space="0" w:color="auto"/>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0"/>
                <w:lang w:eastAsia="en-AU"/>
              </w:rPr>
            </w:pPr>
            <w:r w:rsidRPr="00AC137D">
              <w:rPr>
                <w:rFonts w:eastAsiaTheme="minorEastAsia" w:cs="Calibri"/>
                <w:b/>
                <w:bCs/>
                <w:color w:val="000000"/>
                <w:szCs w:val="20"/>
                <w:lang w:eastAsia="en-AU"/>
              </w:rPr>
              <w:t>20 909</w:t>
            </w:r>
          </w:p>
        </w:tc>
        <w:tc>
          <w:tcPr>
            <w:tcW w:w="850" w:type="dxa"/>
            <w:tcBorders>
              <w:top w:val="single" w:sz="6" w:space="0" w:color="auto"/>
              <w:left w:val="nil"/>
              <w:bottom w:val="single" w:sz="6" w:space="0" w:color="auto"/>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0"/>
                <w:lang w:eastAsia="en-AU"/>
              </w:rPr>
            </w:pPr>
            <w:r w:rsidRPr="00AC137D">
              <w:rPr>
                <w:rFonts w:eastAsiaTheme="minorEastAsia" w:cs="Calibri"/>
                <w:b/>
                <w:bCs/>
                <w:color w:val="000000"/>
                <w:szCs w:val="20"/>
                <w:lang w:eastAsia="en-AU"/>
              </w:rPr>
              <w:t>19 906</w:t>
            </w:r>
          </w:p>
        </w:tc>
        <w:tc>
          <w:tcPr>
            <w:tcW w:w="850" w:type="dxa"/>
            <w:tcBorders>
              <w:top w:val="single" w:sz="6" w:space="0" w:color="auto"/>
              <w:left w:val="nil"/>
              <w:bottom w:val="single" w:sz="6" w:space="0" w:color="auto"/>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0"/>
                <w:lang w:eastAsia="en-AU"/>
              </w:rPr>
            </w:pPr>
            <w:r w:rsidRPr="00AC137D">
              <w:rPr>
                <w:rFonts w:eastAsiaTheme="minorEastAsia" w:cs="Calibri"/>
                <w:b/>
                <w:bCs/>
                <w:color w:val="000000"/>
                <w:szCs w:val="20"/>
                <w:lang w:eastAsia="en-AU"/>
              </w:rPr>
              <w:t>18 869</w:t>
            </w:r>
          </w:p>
        </w:tc>
      </w:tr>
      <w:tr w:rsidR="00A46DCA" w:rsidRPr="00AC137D" w:rsidTr="00A26D04">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A46DCA" w:rsidRPr="00AC137D" w:rsidRDefault="00A46DCA" w:rsidP="00A26D04">
            <w:pPr>
              <w:keepLines w:val="0"/>
              <w:autoSpaceDE w:val="0"/>
              <w:autoSpaceDN w:val="0"/>
              <w:adjustRightInd w:val="0"/>
              <w:rPr>
                <w:rFonts w:eastAsiaTheme="minorEastAsia" w:cs="Calibri"/>
                <w:b/>
                <w:bCs/>
                <w:color w:val="000000"/>
                <w:szCs w:val="20"/>
                <w:vertAlign w:val="superscript"/>
                <w:lang w:eastAsia="en-AU"/>
              </w:rPr>
            </w:pPr>
            <w:r w:rsidRPr="00AC137D">
              <w:rPr>
                <w:rFonts w:eastAsiaTheme="minorEastAsia" w:cs="Calibri"/>
                <w:b/>
                <w:bCs/>
                <w:color w:val="000000"/>
                <w:szCs w:val="20"/>
                <w:lang w:eastAsia="en-AU"/>
              </w:rPr>
              <w:t xml:space="preserve">Other funds </w:t>
            </w:r>
            <w:r w:rsidRPr="00AC137D">
              <w:rPr>
                <w:rFonts w:eastAsiaTheme="minorEastAsia" w:cs="Calibri"/>
                <w:b/>
                <w:bCs/>
                <w:color w:val="000000"/>
                <w:szCs w:val="20"/>
                <w:vertAlign w:val="superscript"/>
                <w:lang w:eastAsia="en-AU"/>
              </w:rPr>
              <w:t>(b)</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AC137D">
              <w:rPr>
                <w:rFonts w:eastAsiaTheme="minorEastAsia" w:cs="Calibri"/>
                <w:color w:val="000000"/>
                <w:szCs w:val="20"/>
                <w:lang w:eastAsia="en-AU"/>
              </w:rPr>
              <w:t xml:space="preserve"> </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AC137D">
              <w:rPr>
                <w:rFonts w:eastAsiaTheme="minorEastAsia" w:cs="Calibri"/>
                <w:color w:val="000000"/>
                <w:szCs w:val="20"/>
                <w:lang w:eastAsia="en-AU"/>
              </w:rPr>
              <w:t xml:space="preserve"> </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AC137D">
              <w:rPr>
                <w:rFonts w:eastAsiaTheme="minorEastAsia" w:cs="Calibri"/>
                <w:color w:val="000000"/>
                <w:szCs w:val="20"/>
                <w:lang w:eastAsia="en-AU"/>
              </w:rPr>
              <w:t xml:space="preserve"> </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AC137D">
              <w:rPr>
                <w:rFonts w:eastAsiaTheme="minorEastAsia" w:cs="Calibri"/>
                <w:color w:val="000000"/>
                <w:szCs w:val="20"/>
                <w:lang w:eastAsia="en-AU"/>
              </w:rPr>
              <w:t xml:space="preserve"> </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AC137D">
              <w:rPr>
                <w:rFonts w:eastAsiaTheme="minorEastAsia" w:cs="Calibri"/>
                <w:color w:val="000000"/>
                <w:szCs w:val="20"/>
                <w:lang w:eastAsia="en-AU"/>
              </w:rPr>
              <w:t xml:space="preserve"> </w:t>
            </w:r>
          </w:p>
        </w:tc>
      </w:tr>
      <w:tr w:rsidR="00A46DCA" w:rsidRPr="00AC137D" w:rsidTr="00A26D04">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A46DCA" w:rsidRPr="00AC137D" w:rsidRDefault="00A46DCA" w:rsidP="00A26D04">
            <w:pPr>
              <w:keepLines w:val="0"/>
              <w:autoSpaceDE w:val="0"/>
              <w:autoSpaceDN w:val="0"/>
              <w:adjustRightInd w:val="0"/>
              <w:rPr>
                <w:rFonts w:eastAsiaTheme="minorEastAsia" w:cs="Calibri"/>
                <w:color w:val="000000"/>
                <w:szCs w:val="20"/>
                <w:lang w:eastAsia="en-AU"/>
              </w:rPr>
            </w:pPr>
            <w:r w:rsidRPr="00AC137D">
              <w:rPr>
                <w:rFonts w:eastAsiaTheme="minorEastAsia" w:cs="Calibri"/>
                <w:color w:val="000000"/>
                <w:szCs w:val="20"/>
                <w:lang w:eastAsia="en-AU"/>
              </w:rPr>
              <w:t>Defined benefit obligation</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AC137D">
              <w:rPr>
                <w:rFonts w:eastAsiaTheme="minorEastAsia" w:cs="Calibri"/>
                <w:color w:val="000000"/>
                <w:szCs w:val="20"/>
                <w:lang w:eastAsia="en-AU"/>
              </w:rPr>
              <w:t>1 954</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AC137D">
              <w:rPr>
                <w:rFonts w:eastAsiaTheme="minorEastAsia" w:cs="Calibri"/>
                <w:color w:val="000000"/>
                <w:szCs w:val="20"/>
                <w:lang w:eastAsia="en-AU"/>
              </w:rPr>
              <w:t>2 089</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AC137D">
              <w:rPr>
                <w:rFonts w:eastAsiaTheme="minorEastAsia" w:cs="Calibri"/>
                <w:color w:val="000000"/>
                <w:szCs w:val="20"/>
                <w:lang w:eastAsia="en-AU"/>
              </w:rPr>
              <w:t>2 086</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AC137D">
              <w:rPr>
                <w:rFonts w:eastAsiaTheme="minorEastAsia" w:cs="Calibri"/>
                <w:color w:val="000000"/>
                <w:szCs w:val="20"/>
                <w:lang w:eastAsia="en-AU"/>
              </w:rPr>
              <w:t>2 085</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AC137D">
              <w:rPr>
                <w:rFonts w:eastAsiaTheme="minorEastAsia" w:cs="Calibri"/>
                <w:color w:val="000000"/>
                <w:szCs w:val="20"/>
                <w:lang w:eastAsia="en-AU"/>
              </w:rPr>
              <w:t>2 085</w:t>
            </w:r>
          </w:p>
        </w:tc>
      </w:tr>
      <w:tr w:rsidR="00A46DCA" w:rsidRPr="00AC137D" w:rsidTr="00A26D04">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A46DCA" w:rsidRPr="00AC137D" w:rsidRDefault="00A46DCA" w:rsidP="00A26D04">
            <w:pPr>
              <w:keepLines w:val="0"/>
              <w:autoSpaceDE w:val="0"/>
              <w:autoSpaceDN w:val="0"/>
              <w:adjustRightInd w:val="0"/>
              <w:rPr>
                <w:rFonts w:eastAsiaTheme="minorEastAsia" w:cs="Calibri"/>
                <w:color w:val="000000"/>
                <w:szCs w:val="20"/>
                <w:vertAlign w:val="superscript"/>
                <w:lang w:eastAsia="en-AU"/>
              </w:rPr>
            </w:pPr>
            <w:r w:rsidRPr="00AC137D">
              <w:rPr>
                <w:rFonts w:eastAsiaTheme="minorEastAsia" w:cs="Calibri"/>
                <w:color w:val="000000"/>
                <w:szCs w:val="20"/>
                <w:lang w:eastAsia="en-AU"/>
              </w:rPr>
              <w:t xml:space="preserve">Tax liability </w:t>
            </w:r>
            <w:r w:rsidRPr="00AC137D">
              <w:rPr>
                <w:rFonts w:eastAsiaTheme="minorEastAsia" w:cs="Calibri"/>
                <w:color w:val="000000"/>
                <w:szCs w:val="20"/>
                <w:vertAlign w:val="superscript"/>
                <w:lang w:eastAsia="en-AU"/>
              </w:rPr>
              <w:t>(a)</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AC137D">
              <w:rPr>
                <w:rFonts w:eastAsiaTheme="minorEastAsia" w:cs="Calibri"/>
                <w:color w:val="000000"/>
                <w:szCs w:val="20"/>
                <w:lang w:eastAsia="en-AU"/>
              </w:rPr>
              <w:t>..</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AC137D">
              <w:rPr>
                <w:rFonts w:eastAsiaTheme="minorEastAsia" w:cs="Calibri"/>
                <w:color w:val="000000"/>
                <w:szCs w:val="20"/>
                <w:lang w:eastAsia="en-AU"/>
              </w:rPr>
              <w:t>..</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AC137D">
              <w:rPr>
                <w:rFonts w:eastAsiaTheme="minorEastAsia" w:cs="Calibri"/>
                <w:color w:val="000000"/>
                <w:szCs w:val="20"/>
                <w:lang w:eastAsia="en-AU"/>
              </w:rPr>
              <w:t>..</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AC137D">
              <w:rPr>
                <w:rFonts w:eastAsiaTheme="minorEastAsia" w:cs="Calibri"/>
                <w:color w:val="000000"/>
                <w:szCs w:val="20"/>
                <w:lang w:eastAsia="en-AU"/>
              </w:rPr>
              <w:t>..</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AC137D">
              <w:rPr>
                <w:rFonts w:eastAsiaTheme="minorEastAsia" w:cs="Calibri"/>
                <w:color w:val="000000"/>
                <w:szCs w:val="20"/>
                <w:lang w:eastAsia="en-AU"/>
              </w:rPr>
              <w:t>..</w:t>
            </w:r>
          </w:p>
        </w:tc>
      </w:tr>
      <w:tr w:rsidR="00A46DCA" w:rsidRPr="00AC137D" w:rsidTr="00A26D04">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A46DCA" w:rsidRPr="00AC137D" w:rsidRDefault="00A46DCA" w:rsidP="00A26D04">
            <w:pPr>
              <w:keepLines w:val="0"/>
              <w:autoSpaceDE w:val="0"/>
              <w:autoSpaceDN w:val="0"/>
              <w:adjustRightInd w:val="0"/>
              <w:rPr>
                <w:rFonts w:eastAsiaTheme="minorEastAsia" w:cs="Calibri"/>
                <w:color w:val="000000"/>
                <w:szCs w:val="20"/>
                <w:lang w:eastAsia="en-AU"/>
              </w:rPr>
            </w:pPr>
            <w:r w:rsidRPr="00AC137D">
              <w:rPr>
                <w:rFonts w:eastAsiaTheme="minorEastAsia" w:cs="Calibri"/>
                <w:color w:val="000000"/>
                <w:szCs w:val="20"/>
                <w:lang w:eastAsia="en-AU"/>
              </w:rPr>
              <w:t>Plan assets</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Pr>
                <w:rFonts w:eastAsiaTheme="minorEastAsia" w:cs="Calibri"/>
                <w:color w:val="000000"/>
                <w:szCs w:val="20"/>
                <w:lang w:eastAsia="en-AU"/>
              </w:rPr>
              <w:t>(937)</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Pr>
                <w:rFonts w:eastAsiaTheme="minorEastAsia" w:cs="Calibri"/>
                <w:color w:val="000000"/>
                <w:szCs w:val="20"/>
                <w:lang w:eastAsia="en-AU"/>
              </w:rPr>
              <w:t>(964)</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Pr>
                <w:rFonts w:eastAsiaTheme="minorEastAsia" w:cs="Calibri"/>
                <w:color w:val="000000"/>
                <w:szCs w:val="20"/>
                <w:lang w:eastAsia="en-AU"/>
              </w:rPr>
              <w:t>(937)</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Pr>
                <w:rFonts w:eastAsiaTheme="minorEastAsia" w:cs="Calibri"/>
                <w:color w:val="000000"/>
                <w:szCs w:val="20"/>
                <w:lang w:eastAsia="en-AU"/>
              </w:rPr>
              <w:t>(908)</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Pr>
                <w:rFonts w:eastAsiaTheme="minorEastAsia" w:cs="Calibri"/>
                <w:color w:val="000000"/>
                <w:szCs w:val="20"/>
                <w:lang w:eastAsia="en-AU"/>
              </w:rPr>
              <w:t>(881)</w:t>
            </w:r>
          </w:p>
        </w:tc>
      </w:tr>
      <w:tr w:rsidR="00A46DCA" w:rsidRPr="00AC137D" w:rsidTr="00A26D04">
        <w:tc>
          <w:tcPr>
            <w:cnfStyle w:val="001000000000" w:firstRow="0" w:lastRow="0" w:firstColumn="1" w:lastColumn="0" w:oddVBand="0" w:evenVBand="0" w:oddHBand="0" w:evenHBand="0" w:firstRowFirstColumn="0" w:firstRowLastColumn="0" w:lastRowFirstColumn="0" w:lastRowLastColumn="0"/>
            <w:tcW w:w="3515" w:type="dxa"/>
            <w:tcBorders>
              <w:top w:val="single" w:sz="6" w:space="0" w:color="auto"/>
              <w:left w:val="nil"/>
              <w:bottom w:val="single" w:sz="6" w:space="0" w:color="auto"/>
              <w:right w:val="nil"/>
            </w:tcBorders>
          </w:tcPr>
          <w:p w:rsidR="00A46DCA" w:rsidRPr="00AC137D" w:rsidRDefault="00A46DCA" w:rsidP="00A26D04">
            <w:pPr>
              <w:keepLines w:val="0"/>
              <w:autoSpaceDE w:val="0"/>
              <w:autoSpaceDN w:val="0"/>
              <w:adjustRightInd w:val="0"/>
              <w:rPr>
                <w:rFonts w:eastAsiaTheme="minorEastAsia" w:cs="Calibri"/>
                <w:b/>
                <w:bCs/>
                <w:color w:val="000000"/>
                <w:szCs w:val="20"/>
                <w:lang w:eastAsia="en-AU"/>
              </w:rPr>
            </w:pPr>
            <w:r w:rsidRPr="00AC137D">
              <w:rPr>
                <w:rFonts w:eastAsiaTheme="minorEastAsia" w:cs="Calibri"/>
                <w:b/>
                <w:bCs/>
                <w:color w:val="000000"/>
                <w:szCs w:val="20"/>
                <w:lang w:eastAsia="en-AU"/>
              </w:rPr>
              <w:t>Net liability/(asset)</w:t>
            </w:r>
          </w:p>
        </w:tc>
        <w:tc>
          <w:tcPr>
            <w:tcW w:w="850" w:type="dxa"/>
            <w:tcBorders>
              <w:top w:val="single" w:sz="6" w:space="0" w:color="auto"/>
              <w:left w:val="nil"/>
              <w:bottom w:val="single" w:sz="6" w:space="0" w:color="auto"/>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0"/>
                <w:lang w:eastAsia="en-AU"/>
              </w:rPr>
            </w:pPr>
            <w:r w:rsidRPr="00AC137D">
              <w:rPr>
                <w:rFonts w:eastAsiaTheme="minorEastAsia" w:cs="Calibri"/>
                <w:b/>
                <w:bCs/>
                <w:color w:val="000000"/>
                <w:szCs w:val="20"/>
                <w:lang w:eastAsia="en-AU"/>
              </w:rPr>
              <w:t>1 016</w:t>
            </w:r>
          </w:p>
        </w:tc>
        <w:tc>
          <w:tcPr>
            <w:tcW w:w="850" w:type="dxa"/>
            <w:tcBorders>
              <w:top w:val="single" w:sz="6" w:space="0" w:color="auto"/>
              <w:left w:val="nil"/>
              <w:bottom w:val="single" w:sz="6" w:space="0" w:color="auto"/>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0"/>
                <w:lang w:eastAsia="en-AU"/>
              </w:rPr>
            </w:pPr>
            <w:r w:rsidRPr="00AC137D">
              <w:rPr>
                <w:rFonts w:eastAsiaTheme="minorEastAsia" w:cs="Calibri"/>
                <w:b/>
                <w:bCs/>
                <w:color w:val="000000"/>
                <w:szCs w:val="20"/>
                <w:lang w:eastAsia="en-AU"/>
              </w:rPr>
              <w:t>1 125</w:t>
            </w:r>
          </w:p>
        </w:tc>
        <w:tc>
          <w:tcPr>
            <w:tcW w:w="850" w:type="dxa"/>
            <w:tcBorders>
              <w:top w:val="single" w:sz="6" w:space="0" w:color="auto"/>
              <w:left w:val="nil"/>
              <w:bottom w:val="single" w:sz="6" w:space="0" w:color="auto"/>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0"/>
                <w:lang w:eastAsia="en-AU"/>
              </w:rPr>
            </w:pPr>
            <w:r w:rsidRPr="00AC137D">
              <w:rPr>
                <w:rFonts w:eastAsiaTheme="minorEastAsia" w:cs="Calibri"/>
                <w:b/>
                <w:bCs/>
                <w:color w:val="000000"/>
                <w:szCs w:val="20"/>
                <w:lang w:eastAsia="en-AU"/>
              </w:rPr>
              <w:t>1 149</w:t>
            </w:r>
          </w:p>
        </w:tc>
        <w:tc>
          <w:tcPr>
            <w:tcW w:w="850" w:type="dxa"/>
            <w:tcBorders>
              <w:top w:val="single" w:sz="6" w:space="0" w:color="auto"/>
              <w:left w:val="nil"/>
              <w:bottom w:val="single" w:sz="6" w:space="0" w:color="auto"/>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0"/>
                <w:lang w:eastAsia="en-AU"/>
              </w:rPr>
            </w:pPr>
            <w:r w:rsidRPr="00AC137D">
              <w:rPr>
                <w:rFonts w:eastAsiaTheme="minorEastAsia" w:cs="Calibri"/>
                <w:b/>
                <w:bCs/>
                <w:color w:val="000000"/>
                <w:szCs w:val="20"/>
                <w:lang w:eastAsia="en-AU"/>
              </w:rPr>
              <w:t>1 177</w:t>
            </w:r>
          </w:p>
        </w:tc>
        <w:tc>
          <w:tcPr>
            <w:tcW w:w="850" w:type="dxa"/>
            <w:tcBorders>
              <w:top w:val="single" w:sz="6" w:space="0" w:color="auto"/>
              <w:left w:val="nil"/>
              <w:bottom w:val="single" w:sz="6" w:space="0" w:color="auto"/>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0"/>
                <w:lang w:eastAsia="en-AU"/>
              </w:rPr>
            </w:pPr>
            <w:r w:rsidRPr="00AC137D">
              <w:rPr>
                <w:rFonts w:eastAsiaTheme="minorEastAsia" w:cs="Calibri"/>
                <w:b/>
                <w:bCs/>
                <w:color w:val="000000"/>
                <w:szCs w:val="20"/>
                <w:lang w:eastAsia="en-AU"/>
              </w:rPr>
              <w:t>1 204</w:t>
            </w:r>
          </w:p>
        </w:tc>
      </w:tr>
      <w:tr w:rsidR="00A46DCA" w:rsidRPr="00AC137D" w:rsidTr="00A26D04">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A46DCA" w:rsidRPr="00AC137D" w:rsidRDefault="00A46DCA" w:rsidP="00A26D04">
            <w:pPr>
              <w:keepLines w:val="0"/>
              <w:autoSpaceDE w:val="0"/>
              <w:autoSpaceDN w:val="0"/>
              <w:adjustRightInd w:val="0"/>
              <w:rPr>
                <w:rFonts w:eastAsiaTheme="minorEastAsia" w:cs="Calibri"/>
                <w:b/>
                <w:bCs/>
                <w:color w:val="000000"/>
                <w:szCs w:val="20"/>
                <w:lang w:eastAsia="en-AU"/>
              </w:rPr>
            </w:pPr>
            <w:r w:rsidRPr="00AC137D">
              <w:rPr>
                <w:rFonts w:eastAsiaTheme="minorEastAsia" w:cs="Calibri"/>
                <w:b/>
                <w:bCs/>
                <w:color w:val="000000"/>
                <w:szCs w:val="20"/>
                <w:lang w:eastAsia="en-AU"/>
              </w:rPr>
              <w:t>Total superannuation</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AC137D">
              <w:rPr>
                <w:rFonts w:eastAsiaTheme="minorEastAsia" w:cs="Calibri"/>
                <w:color w:val="000000"/>
                <w:szCs w:val="20"/>
                <w:lang w:eastAsia="en-AU"/>
              </w:rPr>
              <w:t xml:space="preserve"> </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AC137D">
              <w:rPr>
                <w:rFonts w:eastAsiaTheme="minorEastAsia" w:cs="Calibri"/>
                <w:color w:val="000000"/>
                <w:szCs w:val="20"/>
                <w:lang w:eastAsia="en-AU"/>
              </w:rPr>
              <w:t xml:space="preserve"> </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AC137D">
              <w:rPr>
                <w:rFonts w:eastAsiaTheme="minorEastAsia" w:cs="Calibri"/>
                <w:color w:val="000000"/>
                <w:szCs w:val="20"/>
                <w:lang w:eastAsia="en-AU"/>
              </w:rPr>
              <w:t xml:space="preserve"> </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AC137D">
              <w:rPr>
                <w:rFonts w:eastAsiaTheme="minorEastAsia" w:cs="Calibri"/>
                <w:color w:val="000000"/>
                <w:szCs w:val="20"/>
                <w:lang w:eastAsia="en-AU"/>
              </w:rPr>
              <w:t xml:space="preserve"> </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AC137D">
              <w:rPr>
                <w:rFonts w:eastAsiaTheme="minorEastAsia" w:cs="Calibri"/>
                <w:color w:val="000000"/>
                <w:szCs w:val="20"/>
                <w:lang w:eastAsia="en-AU"/>
              </w:rPr>
              <w:t xml:space="preserve"> </w:t>
            </w:r>
          </w:p>
        </w:tc>
      </w:tr>
      <w:tr w:rsidR="00A46DCA" w:rsidRPr="00AC137D" w:rsidTr="00A26D04">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A46DCA" w:rsidRPr="00AC137D" w:rsidRDefault="00A46DCA" w:rsidP="00A26D04">
            <w:pPr>
              <w:keepLines w:val="0"/>
              <w:autoSpaceDE w:val="0"/>
              <w:autoSpaceDN w:val="0"/>
              <w:adjustRightInd w:val="0"/>
              <w:rPr>
                <w:rFonts w:eastAsiaTheme="minorEastAsia" w:cs="Calibri"/>
                <w:color w:val="000000"/>
                <w:szCs w:val="20"/>
                <w:lang w:eastAsia="en-AU"/>
              </w:rPr>
            </w:pPr>
            <w:r w:rsidRPr="00AC137D">
              <w:rPr>
                <w:rFonts w:eastAsiaTheme="minorEastAsia" w:cs="Calibri"/>
                <w:color w:val="000000"/>
                <w:szCs w:val="20"/>
                <w:lang w:eastAsia="en-AU"/>
              </w:rPr>
              <w:t>Defined benefit obligation</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AC137D">
              <w:rPr>
                <w:rFonts w:eastAsiaTheme="minorEastAsia" w:cs="Calibri"/>
                <w:color w:val="000000"/>
                <w:szCs w:val="20"/>
                <w:lang w:eastAsia="en-AU"/>
              </w:rPr>
              <w:t>43 530</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AC137D">
              <w:rPr>
                <w:rFonts w:eastAsiaTheme="minorEastAsia" w:cs="Calibri"/>
                <w:color w:val="000000"/>
                <w:szCs w:val="20"/>
                <w:lang w:eastAsia="en-AU"/>
              </w:rPr>
              <w:t>42 337</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AC137D">
              <w:rPr>
                <w:rFonts w:eastAsiaTheme="minorEastAsia" w:cs="Calibri"/>
                <w:color w:val="000000"/>
                <w:szCs w:val="20"/>
                <w:lang w:eastAsia="en-AU"/>
              </w:rPr>
              <w:t>41 920</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AC137D">
              <w:rPr>
                <w:rFonts w:eastAsiaTheme="minorEastAsia" w:cs="Calibri"/>
                <w:color w:val="000000"/>
                <w:szCs w:val="20"/>
                <w:lang w:eastAsia="en-AU"/>
              </w:rPr>
              <w:t>41 454</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AC137D">
              <w:rPr>
                <w:rFonts w:eastAsiaTheme="minorEastAsia" w:cs="Calibri"/>
                <w:color w:val="000000"/>
                <w:szCs w:val="20"/>
                <w:lang w:eastAsia="en-AU"/>
              </w:rPr>
              <w:t>40 929</w:t>
            </w:r>
          </w:p>
        </w:tc>
      </w:tr>
      <w:tr w:rsidR="00A46DCA" w:rsidRPr="00AC137D" w:rsidTr="00A26D04">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A46DCA" w:rsidRPr="00AC137D" w:rsidRDefault="00A46DCA" w:rsidP="00A26D04">
            <w:pPr>
              <w:keepLines w:val="0"/>
              <w:autoSpaceDE w:val="0"/>
              <w:autoSpaceDN w:val="0"/>
              <w:adjustRightInd w:val="0"/>
              <w:rPr>
                <w:rFonts w:eastAsiaTheme="minorEastAsia" w:cs="Calibri"/>
                <w:color w:val="000000"/>
                <w:szCs w:val="20"/>
                <w:vertAlign w:val="superscript"/>
                <w:lang w:eastAsia="en-AU"/>
              </w:rPr>
            </w:pPr>
            <w:r w:rsidRPr="00AC137D">
              <w:rPr>
                <w:rFonts w:eastAsiaTheme="minorEastAsia" w:cs="Calibri"/>
                <w:color w:val="000000"/>
                <w:szCs w:val="20"/>
                <w:lang w:eastAsia="en-AU"/>
              </w:rPr>
              <w:t xml:space="preserve">Tax liability </w:t>
            </w:r>
            <w:r w:rsidRPr="00AC137D">
              <w:rPr>
                <w:rFonts w:eastAsiaTheme="minorEastAsia" w:cs="Calibri"/>
                <w:color w:val="000000"/>
                <w:szCs w:val="20"/>
                <w:vertAlign w:val="superscript"/>
                <w:lang w:eastAsia="en-AU"/>
              </w:rPr>
              <w:t>(a)</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AC137D">
              <w:rPr>
                <w:rFonts w:eastAsiaTheme="minorEastAsia" w:cs="Calibri"/>
                <w:color w:val="000000"/>
                <w:szCs w:val="20"/>
                <w:lang w:eastAsia="en-AU"/>
              </w:rPr>
              <w:t>2 533</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AC137D">
              <w:rPr>
                <w:rFonts w:eastAsiaTheme="minorEastAsia" w:cs="Calibri"/>
                <w:color w:val="000000"/>
                <w:szCs w:val="20"/>
                <w:lang w:eastAsia="en-AU"/>
              </w:rPr>
              <w:t>2 544</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AC137D">
              <w:rPr>
                <w:rFonts w:eastAsiaTheme="minorEastAsia" w:cs="Calibri"/>
                <w:color w:val="000000"/>
                <w:szCs w:val="20"/>
                <w:lang w:eastAsia="en-AU"/>
              </w:rPr>
              <w:t>2 444</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AC137D">
              <w:rPr>
                <w:rFonts w:eastAsiaTheme="minorEastAsia" w:cs="Calibri"/>
                <w:color w:val="000000"/>
                <w:szCs w:val="20"/>
                <w:lang w:eastAsia="en-AU"/>
              </w:rPr>
              <w:t>2 341</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AC137D">
              <w:rPr>
                <w:rFonts w:eastAsiaTheme="minorEastAsia" w:cs="Calibri"/>
                <w:color w:val="000000"/>
                <w:szCs w:val="20"/>
                <w:lang w:eastAsia="en-AU"/>
              </w:rPr>
              <w:t>2 237</w:t>
            </w:r>
          </w:p>
        </w:tc>
      </w:tr>
      <w:tr w:rsidR="00A46DCA" w:rsidRPr="00AC137D" w:rsidTr="00A26D04">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A46DCA" w:rsidRPr="00AC137D" w:rsidRDefault="00A46DCA" w:rsidP="00A26D04">
            <w:pPr>
              <w:keepLines w:val="0"/>
              <w:autoSpaceDE w:val="0"/>
              <w:autoSpaceDN w:val="0"/>
              <w:adjustRightInd w:val="0"/>
              <w:rPr>
                <w:rFonts w:eastAsiaTheme="minorEastAsia" w:cs="Calibri"/>
                <w:color w:val="000000"/>
                <w:szCs w:val="20"/>
                <w:lang w:eastAsia="en-AU"/>
              </w:rPr>
            </w:pPr>
            <w:r w:rsidRPr="00AC137D">
              <w:rPr>
                <w:rFonts w:eastAsiaTheme="minorEastAsia" w:cs="Calibri"/>
                <w:color w:val="000000"/>
                <w:szCs w:val="20"/>
                <w:lang w:eastAsia="en-AU"/>
              </w:rPr>
              <w:t>Plan assets</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AC137D">
              <w:rPr>
                <w:rFonts w:eastAsiaTheme="minorEastAsia" w:cs="Calibri"/>
                <w:color w:val="000000"/>
                <w:szCs w:val="20"/>
                <w:lang w:eastAsia="en-AU"/>
              </w:rPr>
              <w:t>(22 076)</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AC137D">
              <w:rPr>
                <w:rFonts w:eastAsiaTheme="minorEastAsia" w:cs="Calibri"/>
                <w:color w:val="000000"/>
                <w:szCs w:val="20"/>
                <w:lang w:eastAsia="en-AU"/>
              </w:rPr>
              <w:t>(21 891)</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AC137D">
              <w:rPr>
                <w:rFonts w:eastAsiaTheme="minorEastAsia" w:cs="Calibri"/>
                <w:color w:val="000000"/>
                <w:szCs w:val="20"/>
                <w:lang w:eastAsia="en-AU"/>
              </w:rPr>
              <w:t>(22 306)</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AC137D">
              <w:rPr>
                <w:rFonts w:eastAsiaTheme="minorEastAsia" w:cs="Calibri"/>
                <w:color w:val="000000"/>
                <w:szCs w:val="20"/>
                <w:lang w:eastAsia="en-AU"/>
              </w:rPr>
              <w:t>(22 712)</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AC137D">
              <w:rPr>
                <w:rFonts w:eastAsiaTheme="minorEastAsia" w:cs="Calibri"/>
                <w:color w:val="000000"/>
                <w:szCs w:val="20"/>
                <w:lang w:eastAsia="en-AU"/>
              </w:rPr>
              <w:t>(23 093)</w:t>
            </w:r>
          </w:p>
        </w:tc>
      </w:tr>
      <w:tr w:rsidR="00A46DCA" w:rsidRPr="00AC137D" w:rsidTr="00A26D04">
        <w:tc>
          <w:tcPr>
            <w:cnfStyle w:val="001000000000" w:firstRow="0" w:lastRow="0" w:firstColumn="1" w:lastColumn="0" w:oddVBand="0" w:evenVBand="0" w:oddHBand="0" w:evenHBand="0" w:firstRowFirstColumn="0" w:firstRowLastColumn="0" w:lastRowFirstColumn="0" w:lastRowLastColumn="0"/>
            <w:tcW w:w="3515" w:type="dxa"/>
            <w:tcBorders>
              <w:top w:val="single" w:sz="6" w:space="0" w:color="auto"/>
              <w:left w:val="nil"/>
              <w:bottom w:val="single" w:sz="6" w:space="0" w:color="auto"/>
              <w:right w:val="nil"/>
            </w:tcBorders>
          </w:tcPr>
          <w:p w:rsidR="00A46DCA" w:rsidRPr="00AC137D" w:rsidRDefault="00A46DCA" w:rsidP="00A26D04">
            <w:pPr>
              <w:keepLines w:val="0"/>
              <w:autoSpaceDE w:val="0"/>
              <w:autoSpaceDN w:val="0"/>
              <w:adjustRightInd w:val="0"/>
              <w:rPr>
                <w:rFonts w:eastAsiaTheme="minorEastAsia" w:cs="Calibri"/>
                <w:b/>
                <w:bCs/>
                <w:color w:val="000000"/>
                <w:szCs w:val="20"/>
                <w:lang w:eastAsia="en-AU"/>
              </w:rPr>
            </w:pPr>
            <w:r w:rsidRPr="00AC137D">
              <w:rPr>
                <w:rFonts w:eastAsiaTheme="minorEastAsia" w:cs="Calibri"/>
                <w:b/>
                <w:bCs/>
                <w:color w:val="000000"/>
                <w:szCs w:val="20"/>
                <w:lang w:eastAsia="en-AU"/>
              </w:rPr>
              <w:t>Superannuation liability</w:t>
            </w:r>
          </w:p>
        </w:tc>
        <w:tc>
          <w:tcPr>
            <w:tcW w:w="850" w:type="dxa"/>
            <w:tcBorders>
              <w:top w:val="single" w:sz="6" w:space="0" w:color="auto"/>
              <w:left w:val="nil"/>
              <w:bottom w:val="single" w:sz="6" w:space="0" w:color="auto"/>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0"/>
                <w:lang w:eastAsia="en-AU"/>
              </w:rPr>
            </w:pPr>
            <w:r w:rsidRPr="00AC137D">
              <w:rPr>
                <w:rFonts w:eastAsiaTheme="minorEastAsia" w:cs="Calibri"/>
                <w:b/>
                <w:bCs/>
                <w:color w:val="000000"/>
                <w:szCs w:val="20"/>
                <w:lang w:eastAsia="en-AU"/>
              </w:rPr>
              <w:t>23 987</w:t>
            </w:r>
          </w:p>
        </w:tc>
        <w:tc>
          <w:tcPr>
            <w:tcW w:w="850" w:type="dxa"/>
            <w:tcBorders>
              <w:top w:val="single" w:sz="6" w:space="0" w:color="auto"/>
              <w:left w:val="nil"/>
              <w:bottom w:val="single" w:sz="6" w:space="0" w:color="auto"/>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0"/>
                <w:lang w:eastAsia="en-AU"/>
              </w:rPr>
            </w:pPr>
            <w:r w:rsidRPr="00AC137D">
              <w:rPr>
                <w:rFonts w:eastAsiaTheme="minorEastAsia" w:cs="Calibri"/>
                <w:b/>
                <w:bCs/>
                <w:color w:val="000000"/>
                <w:szCs w:val="20"/>
                <w:lang w:eastAsia="en-AU"/>
              </w:rPr>
              <w:t>22 990</w:t>
            </w:r>
          </w:p>
        </w:tc>
        <w:tc>
          <w:tcPr>
            <w:tcW w:w="850" w:type="dxa"/>
            <w:tcBorders>
              <w:top w:val="single" w:sz="6" w:space="0" w:color="auto"/>
              <w:left w:val="nil"/>
              <w:bottom w:val="single" w:sz="6" w:space="0" w:color="auto"/>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0"/>
                <w:lang w:eastAsia="en-AU"/>
              </w:rPr>
            </w:pPr>
            <w:r w:rsidRPr="00AC137D">
              <w:rPr>
                <w:rFonts w:eastAsiaTheme="minorEastAsia" w:cs="Calibri"/>
                <w:b/>
                <w:bCs/>
                <w:color w:val="000000"/>
                <w:szCs w:val="20"/>
                <w:lang w:eastAsia="en-AU"/>
              </w:rPr>
              <w:t>22 058</w:t>
            </w:r>
          </w:p>
        </w:tc>
        <w:tc>
          <w:tcPr>
            <w:tcW w:w="850" w:type="dxa"/>
            <w:tcBorders>
              <w:top w:val="single" w:sz="6" w:space="0" w:color="auto"/>
              <w:left w:val="nil"/>
              <w:bottom w:val="single" w:sz="6" w:space="0" w:color="auto"/>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0"/>
                <w:lang w:eastAsia="en-AU"/>
              </w:rPr>
            </w:pPr>
            <w:r w:rsidRPr="00AC137D">
              <w:rPr>
                <w:rFonts w:eastAsiaTheme="minorEastAsia" w:cs="Calibri"/>
                <w:b/>
                <w:bCs/>
                <w:color w:val="000000"/>
                <w:szCs w:val="20"/>
                <w:lang w:eastAsia="en-AU"/>
              </w:rPr>
              <w:t>21 083</w:t>
            </w:r>
          </w:p>
        </w:tc>
        <w:tc>
          <w:tcPr>
            <w:tcW w:w="850" w:type="dxa"/>
            <w:tcBorders>
              <w:top w:val="single" w:sz="6" w:space="0" w:color="auto"/>
              <w:left w:val="nil"/>
              <w:bottom w:val="single" w:sz="6" w:space="0" w:color="auto"/>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0"/>
                <w:lang w:eastAsia="en-AU"/>
              </w:rPr>
            </w:pPr>
            <w:r w:rsidRPr="00AC137D">
              <w:rPr>
                <w:rFonts w:eastAsiaTheme="minorEastAsia" w:cs="Calibri"/>
                <w:b/>
                <w:bCs/>
                <w:color w:val="000000"/>
                <w:szCs w:val="20"/>
                <w:lang w:eastAsia="en-AU"/>
              </w:rPr>
              <w:t>20 073</w:t>
            </w:r>
          </w:p>
        </w:tc>
      </w:tr>
      <w:tr w:rsidR="00A46DCA" w:rsidRPr="00AC137D" w:rsidTr="00A26D04">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A46DCA" w:rsidRPr="00AC137D" w:rsidRDefault="00A46DCA" w:rsidP="00A26D04">
            <w:pPr>
              <w:keepLines w:val="0"/>
              <w:autoSpaceDE w:val="0"/>
              <w:autoSpaceDN w:val="0"/>
              <w:adjustRightInd w:val="0"/>
              <w:rPr>
                <w:rFonts w:eastAsiaTheme="minorEastAsia" w:cs="Calibri"/>
                <w:b/>
                <w:bCs/>
                <w:color w:val="000000"/>
                <w:szCs w:val="20"/>
                <w:lang w:eastAsia="en-AU"/>
              </w:rPr>
            </w:pPr>
            <w:r w:rsidRPr="00AC137D">
              <w:rPr>
                <w:rFonts w:eastAsiaTheme="minorEastAsia" w:cs="Calibri"/>
                <w:b/>
                <w:bCs/>
                <w:color w:val="000000"/>
                <w:szCs w:val="20"/>
                <w:lang w:eastAsia="en-AU"/>
              </w:rPr>
              <w:t>Represented by:</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AC137D">
              <w:rPr>
                <w:rFonts w:eastAsiaTheme="minorEastAsia" w:cs="Calibri"/>
                <w:color w:val="000000"/>
                <w:szCs w:val="20"/>
                <w:lang w:eastAsia="en-AU"/>
              </w:rPr>
              <w:t xml:space="preserve"> </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AC137D">
              <w:rPr>
                <w:rFonts w:eastAsiaTheme="minorEastAsia" w:cs="Calibri"/>
                <w:color w:val="000000"/>
                <w:szCs w:val="20"/>
                <w:lang w:eastAsia="en-AU"/>
              </w:rPr>
              <w:t xml:space="preserve"> </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AC137D">
              <w:rPr>
                <w:rFonts w:eastAsiaTheme="minorEastAsia" w:cs="Calibri"/>
                <w:color w:val="000000"/>
                <w:szCs w:val="20"/>
                <w:lang w:eastAsia="en-AU"/>
              </w:rPr>
              <w:t xml:space="preserve"> </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AC137D">
              <w:rPr>
                <w:rFonts w:eastAsiaTheme="minorEastAsia" w:cs="Calibri"/>
                <w:color w:val="000000"/>
                <w:szCs w:val="20"/>
                <w:lang w:eastAsia="en-AU"/>
              </w:rPr>
              <w:t xml:space="preserve"> </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AC137D">
              <w:rPr>
                <w:rFonts w:eastAsiaTheme="minorEastAsia" w:cs="Calibri"/>
                <w:color w:val="000000"/>
                <w:szCs w:val="20"/>
                <w:lang w:eastAsia="en-AU"/>
              </w:rPr>
              <w:t xml:space="preserve"> </w:t>
            </w:r>
          </w:p>
        </w:tc>
      </w:tr>
      <w:tr w:rsidR="00A46DCA" w:rsidRPr="00AC137D" w:rsidTr="00A26D04">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A46DCA" w:rsidRPr="00AC137D" w:rsidRDefault="00A46DCA" w:rsidP="00A26D04">
            <w:pPr>
              <w:keepLines w:val="0"/>
              <w:autoSpaceDE w:val="0"/>
              <w:autoSpaceDN w:val="0"/>
              <w:adjustRightInd w:val="0"/>
              <w:rPr>
                <w:rFonts w:eastAsiaTheme="minorEastAsia" w:cs="Calibri"/>
                <w:color w:val="000000"/>
                <w:szCs w:val="20"/>
                <w:lang w:eastAsia="en-AU"/>
              </w:rPr>
            </w:pPr>
            <w:r w:rsidRPr="00AC137D">
              <w:rPr>
                <w:rFonts w:eastAsiaTheme="minorEastAsia" w:cs="Calibri"/>
                <w:color w:val="000000"/>
                <w:szCs w:val="20"/>
                <w:lang w:eastAsia="en-AU"/>
              </w:rPr>
              <w:t>Current liability</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AC137D">
              <w:rPr>
                <w:rFonts w:eastAsiaTheme="minorEastAsia" w:cs="Calibri"/>
                <w:color w:val="000000"/>
                <w:szCs w:val="20"/>
                <w:lang w:eastAsia="en-AU"/>
              </w:rPr>
              <w:t>1 076</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AC137D">
              <w:rPr>
                <w:rFonts w:eastAsiaTheme="minorEastAsia" w:cs="Calibri"/>
                <w:color w:val="000000"/>
                <w:szCs w:val="20"/>
                <w:lang w:eastAsia="en-AU"/>
              </w:rPr>
              <w:t>1 078</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AC137D">
              <w:rPr>
                <w:rFonts w:eastAsiaTheme="minorEastAsia" w:cs="Calibri"/>
                <w:color w:val="000000"/>
                <w:szCs w:val="20"/>
                <w:lang w:eastAsia="en-AU"/>
              </w:rPr>
              <w:t>1 082</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AC137D">
              <w:rPr>
                <w:rFonts w:eastAsiaTheme="minorEastAsia" w:cs="Calibri"/>
                <w:color w:val="000000"/>
                <w:szCs w:val="20"/>
                <w:lang w:eastAsia="en-AU"/>
              </w:rPr>
              <w:t>1 075</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AC137D">
              <w:rPr>
                <w:rFonts w:eastAsiaTheme="minorEastAsia" w:cs="Calibri"/>
                <w:color w:val="000000"/>
                <w:szCs w:val="20"/>
                <w:lang w:eastAsia="en-AU"/>
              </w:rPr>
              <w:t>1 057</w:t>
            </w:r>
          </w:p>
        </w:tc>
      </w:tr>
      <w:tr w:rsidR="00A46DCA" w:rsidRPr="00AC137D" w:rsidTr="00A26D04">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single" w:sz="12" w:space="0" w:color="auto"/>
              <w:right w:val="nil"/>
            </w:tcBorders>
          </w:tcPr>
          <w:p w:rsidR="00A46DCA" w:rsidRPr="00AC137D" w:rsidRDefault="00A46DCA" w:rsidP="00A26D04">
            <w:pPr>
              <w:keepLines w:val="0"/>
              <w:autoSpaceDE w:val="0"/>
              <w:autoSpaceDN w:val="0"/>
              <w:adjustRightInd w:val="0"/>
              <w:rPr>
                <w:rFonts w:eastAsiaTheme="minorEastAsia" w:cs="Calibri"/>
                <w:color w:val="000000"/>
                <w:szCs w:val="20"/>
                <w:lang w:eastAsia="en-AU"/>
              </w:rPr>
            </w:pPr>
            <w:r w:rsidRPr="00AC137D">
              <w:rPr>
                <w:rFonts w:eastAsiaTheme="minorEastAsia" w:cs="Calibri"/>
                <w:color w:val="000000"/>
                <w:szCs w:val="20"/>
                <w:lang w:eastAsia="en-AU"/>
              </w:rPr>
              <w:t>Non-current liability</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AC137D">
              <w:rPr>
                <w:rFonts w:eastAsiaTheme="minorEastAsia" w:cs="Calibri"/>
                <w:color w:val="000000"/>
                <w:szCs w:val="20"/>
                <w:lang w:eastAsia="en-AU"/>
              </w:rPr>
              <w:t>22 912</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AC137D">
              <w:rPr>
                <w:rFonts w:eastAsiaTheme="minorEastAsia" w:cs="Calibri"/>
                <w:color w:val="000000"/>
                <w:szCs w:val="20"/>
                <w:lang w:eastAsia="en-AU"/>
              </w:rPr>
              <w:t>21 911</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AC137D">
              <w:rPr>
                <w:rFonts w:eastAsiaTheme="minorEastAsia" w:cs="Calibri"/>
                <w:color w:val="000000"/>
                <w:szCs w:val="20"/>
                <w:lang w:eastAsia="en-AU"/>
              </w:rPr>
              <w:t>20 976</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AC137D">
              <w:rPr>
                <w:rFonts w:eastAsiaTheme="minorEastAsia" w:cs="Calibri"/>
                <w:color w:val="000000"/>
                <w:szCs w:val="20"/>
                <w:lang w:eastAsia="en-AU"/>
              </w:rPr>
              <w:t>20 008</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AC137D">
              <w:rPr>
                <w:rFonts w:eastAsiaTheme="minorEastAsia" w:cs="Calibri"/>
                <w:color w:val="000000"/>
                <w:szCs w:val="20"/>
                <w:lang w:eastAsia="en-AU"/>
              </w:rPr>
              <w:t>19 016</w:t>
            </w:r>
          </w:p>
        </w:tc>
      </w:tr>
      <w:tr w:rsidR="00A46DCA" w:rsidRPr="00AC137D" w:rsidTr="00A26D04">
        <w:tc>
          <w:tcPr>
            <w:cnfStyle w:val="001000000000" w:firstRow="0" w:lastRow="0" w:firstColumn="1" w:lastColumn="0" w:oddVBand="0" w:evenVBand="0" w:oddHBand="0" w:evenHBand="0" w:firstRowFirstColumn="0" w:firstRowLastColumn="0" w:lastRowFirstColumn="0" w:lastRowLastColumn="0"/>
            <w:tcW w:w="3515" w:type="dxa"/>
            <w:tcBorders>
              <w:top w:val="single" w:sz="12" w:space="0" w:color="auto"/>
              <w:left w:val="nil"/>
              <w:bottom w:val="single" w:sz="12" w:space="0" w:color="auto"/>
              <w:right w:val="nil"/>
            </w:tcBorders>
            <w:shd w:val="solid" w:color="FFFFFF" w:fill="auto"/>
          </w:tcPr>
          <w:p w:rsidR="00A46DCA" w:rsidRPr="00AC137D" w:rsidRDefault="00A46DCA" w:rsidP="00A26D04">
            <w:pPr>
              <w:keepLines w:val="0"/>
              <w:autoSpaceDE w:val="0"/>
              <w:autoSpaceDN w:val="0"/>
              <w:adjustRightInd w:val="0"/>
              <w:rPr>
                <w:rFonts w:eastAsiaTheme="minorEastAsia" w:cs="Calibri"/>
                <w:b/>
                <w:bCs/>
                <w:color w:val="000000"/>
                <w:szCs w:val="20"/>
                <w:lang w:eastAsia="en-AU"/>
              </w:rPr>
            </w:pPr>
            <w:r w:rsidRPr="00AC137D">
              <w:rPr>
                <w:rFonts w:eastAsiaTheme="minorEastAsia" w:cs="Calibri"/>
                <w:b/>
                <w:bCs/>
                <w:color w:val="000000"/>
                <w:szCs w:val="20"/>
                <w:lang w:eastAsia="en-AU"/>
              </w:rPr>
              <w:t>Total superannuation liability</w:t>
            </w:r>
          </w:p>
        </w:tc>
        <w:tc>
          <w:tcPr>
            <w:tcW w:w="850" w:type="dxa"/>
            <w:tcBorders>
              <w:top w:val="single" w:sz="12" w:space="0" w:color="auto"/>
              <w:left w:val="nil"/>
              <w:bottom w:val="single" w:sz="12" w:space="0" w:color="auto"/>
              <w:right w:val="nil"/>
            </w:tcBorders>
            <w:shd w:val="solid" w:color="FFFFFF" w:fill="auto"/>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0"/>
                <w:lang w:eastAsia="en-AU"/>
              </w:rPr>
            </w:pPr>
            <w:r w:rsidRPr="00AC137D">
              <w:rPr>
                <w:rFonts w:eastAsiaTheme="minorEastAsia" w:cs="Calibri"/>
                <w:b/>
                <w:bCs/>
                <w:color w:val="000000"/>
                <w:szCs w:val="20"/>
                <w:lang w:eastAsia="en-AU"/>
              </w:rPr>
              <w:t>23 987</w:t>
            </w:r>
          </w:p>
        </w:tc>
        <w:tc>
          <w:tcPr>
            <w:tcW w:w="850" w:type="dxa"/>
            <w:tcBorders>
              <w:top w:val="single" w:sz="12" w:space="0" w:color="auto"/>
              <w:left w:val="nil"/>
              <w:bottom w:val="single" w:sz="12" w:space="0" w:color="auto"/>
              <w:right w:val="nil"/>
            </w:tcBorders>
            <w:shd w:val="solid" w:color="FFFFFF" w:fill="auto"/>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0"/>
                <w:lang w:eastAsia="en-AU"/>
              </w:rPr>
            </w:pPr>
            <w:r w:rsidRPr="00AC137D">
              <w:rPr>
                <w:rFonts w:eastAsiaTheme="minorEastAsia" w:cs="Calibri"/>
                <w:b/>
                <w:bCs/>
                <w:color w:val="000000"/>
                <w:szCs w:val="20"/>
                <w:lang w:eastAsia="en-AU"/>
              </w:rPr>
              <w:t>22 990</w:t>
            </w:r>
          </w:p>
        </w:tc>
        <w:tc>
          <w:tcPr>
            <w:tcW w:w="850" w:type="dxa"/>
            <w:tcBorders>
              <w:top w:val="single" w:sz="12" w:space="0" w:color="auto"/>
              <w:left w:val="nil"/>
              <w:bottom w:val="single" w:sz="12" w:space="0" w:color="auto"/>
              <w:right w:val="nil"/>
            </w:tcBorders>
            <w:shd w:val="solid" w:color="FFFFFF" w:fill="auto"/>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0"/>
                <w:lang w:eastAsia="en-AU"/>
              </w:rPr>
            </w:pPr>
            <w:r w:rsidRPr="00AC137D">
              <w:rPr>
                <w:rFonts w:eastAsiaTheme="minorEastAsia" w:cs="Calibri"/>
                <w:b/>
                <w:bCs/>
                <w:color w:val="000000"/>
                <w:szCs w:val="20"/>
                <w:lang w:eastAsia="en-AU"/>
              </w:rPr>
              <w:t>22 058</w:t>
            </w:r>
          </w:p>
        </w:tc>
        <w:tc>
          <w:tcPr>
            <w:tcW w:w="850" w:type="dxa"/>
            <w:tcBorders>
              <w:top w:val="single" w:sz="12" w:space="0" w:color="auto"/>
              <w:left w:val="nil"/>
              <w:bottom w:val="single" w:sz="12" w:space="0" w:color="auto"/>
              <w:right w:val="nil"/>
            </w:tcBorders>
            <w:shd w:val="solid" w:color="FFFFFF" w:fill="auto"/>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0"/>
                <w:lang w:eastAsia="en-AU"/>
              </w:rPr>
            </w:pPr>
            <w:r w:rsidRPr="00AC137D">
              <w:rPr>
                <w:rFonts w:eastAsiaTheme="minorEastAsia" w:cs="Calibri"/>
                <w:b/>
                <w:bCs/>
                <w:color w:val="000000"/>
                <w:szCs w:val="20"/>
                <w:lang w:eastAsia="en-AU"/>
              </w:rPr>
              <w:t>21 083</w:t>
            </w:r>
          </w:p>
        </w:tc>
        <w:tc>
          <w:tcPr>
            <w:tcW w:w="850" w:type="dxa"/>
            <w:tcBorders>
              <w:top w:val="single" w:sz="12" w:space="0" w:color="auto"/>
              <w:left w:val="nil"/>
              <w:bottom w:val="single" w:sz="12" w:space="0" w:color="auto"/>
              <w:right w:val="nil"/>
            </w:tcBorders>
            <w:shd w:val="solid" w:color="FFFFFF" w:fill="auto"/>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0"/>
                <w:lang w:eastAsia="en-AU"/>
              </w:rPr>
            </w:pPr>
            <w:r w:rsidRPr="00AC137D">
              <w:rPr>
                <w:rFonts w:eastAsiaTheme="minorEastAsia" w:cs="Calibri"/>
                <w:b/>
                <w:bCs/>
                <w:color w:val="000000"/>
                <w:szCs w:val="20"/>
                <w:lang w:eastAsia="en-AU"/>
              </w:rPr>
              <w:t>20 073</w:t>
            </w:r>
          </w:p>
        </w:tc>
      </w:tr>
    </w:tbl>
    <w:p w:rsidR="00A46DCA" w:rsidRDefault="00A46DCA" w:rsidP="00A26D04">
      <w:pPr>
        <w:pStyle w:val="Source"/>
      </w:pPr>
      <w:r w:rsidRPr="00D87D22">
        <w:t>Source: Department of Treasury and Finance</w:t>
      </w:r>
    </w:p>
    <w:p w:rsidR="00A46DCA" w:rsidRDefault="00A46DCA" w:rsidP="00A26D04">
      <w:pPr>
        <w:pStyle w:val="Note"/>
      </w:pPr>
      <w:r>
        <w:t>Notes:</w:t>
      </w:r>
    </w:p>
    <w:p w:rsidR="00A46DCA" w:rsidRDefault="00A46DCA" w:rsidP="00A26D04">
      <w:pPr>
        <w:pStyle w:val="Note"/>
      </w:pPr>
      <w:r>
        <w:t>(a)</w:t>
      </w:r>
      <w:r>
        <w:tab/>
        <w:t>Tax liability represents the present value of tax payments on contributions that are expected to be required to fund accrued benefits.</w:t>
      </w:r>
    </w:p>
    <w:p w:rsidR="00A46DCA" w:rsidRPr="00AE2253" w:rsidRDefault="00A46DCA" w:rsidP="00A26D04">
      <w:pPr>
        <w:pStyle w:val="Note"/>
      </w:pPr>
      <w:r>
        <w:t>(b)</w:t>
      </w:r>
      <w:r>
        <w:tab/>
        <w:t>Other funds include constitutionally protected schemes and the State’s share of liabilities of the Defined Benefit Scheme of the Health Super Fund.</w:t>
      </w:r>
    </w:p>
    <w:p w:rsidR="00A46DCA" w:rsidRDefault="00A46DCA">
      <w:pPr>
        <w:keepLines w:val="0"/>
        <w:rPr>
          <w:rFonts w:asciiTheme="majorHAnsi" w:hAnsiTheme="majorHAnsi"/>
          <w:b/>
          <w:sz w:val="20"/>
          <w:szCs w:val="20"/>
        </w:rPr>
      </w:pPr>
      <w:r>
        <w:br w:type="page"/>
      </w:r>
    </w:p>
    <w:p w:rsidR="00A46DCA" w:rsidRPr="00AC137D" w:rsidRDefault="00A46DCA" w:rsidP="00A26D04">
      <w:pPr>
        <w:pStyle w:val="TableHeading"/>
        <w:rPr>
          <w:bCs/>
          <w:lang w:val="en-US"/>
        </w:rPr>
      </w:pPr>
      <w:r>
        <w:lastRenderedPageBreak/>
        <w:t>Reconciliation of the present value of the defined benefit obligation</w:t>
      </w:r>
      <w:r>
        <w:tab/>
        <w:t>($ million)</w:t>
      </w:r>
    </w:p>
    <w:tbl>
      <w:tblPr>
        <w:tblStyle w:val="DTFTable"/>
        <w:tblW w:w="7765" w:type="dxa"/>
        <w:tblInd w:w="45" w:type="dxa"/>
        <w:tblLayout w:type="fixed"/>
        <w:tblCellMar>
          <w:left w:w="45" w:type="dxa"/>
          <w:right w:w="45" w:type="dxa"/>
        </w:tblCellMar>
        <w:tblLook w:val="06A0" w:firstRow="1" w:lastRow="0" w:firstColumn="1" w:lastColumn="0" w:noHBand="1" w:noVBand="1"/>
      </w:tblPr>
      <w:tblGrid>
        <w:gridCol w:w="3515"/>
        <w:gridCol w:w="850"/>
        <w:gridCol w:w="850"/>
        <w:gridCol w:w="850"/>
        <w:gridCol w:w="850"/>
        <w:gridCol w:w="850"/>
      </w:tblGrid>
      <w:tr w:rsidR="00A26D04" w:rsidRPr="00AC137D" w:rsidTr="008110D9">
        <w:trPr>
          <w:cnfStyle w:val="100000000000" w:firstRow="1" w:lastRow="0" w:firstColumn="0" w:lastColumn="0" w:oddVBand="0" w:evenVBand="0" w:oddHBand="0" w:evenHBand="0" w:firstRowFirstColumn="0" w:firstRowLastColumn="0" w:lastRowFirstColumn="0" w:lastRowLastColumn="0"/>
          <w:trHeight w:val="55"/>
          <w:tblHeader/>
        </w:trPr>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shd w:val="solid" w:color="000000" w:fill="auto"/>
          </w:tcPr>
          <w:p w:rsidR="00A26D04" w:rsidRPr="00AC137D" w:rsidRDefault="00A26D04" w:rsidP="00A26D04">
            <w:pPr>
              <w:autoSpaceDE w:val="0"/>
              <w:autoSpaceDN w:val="0"/>
              <w:adjustRightInd w:val="0"/>
              <w:rPr>
                <w:rFonts w:eastAsiaTheme="minorEastAsia" w:cs="Calibri"/>
                <w:color w:val="000000"/>
                <w:szCs w:val="20"/>
                <w:lang w:eastAsia="en-AU"/>
              </w:rPr>
            </w:pPr>
            <w:r w:rsidRPr="00AC137D">
              <w:rPr>
                <w:rFonts w:eastAsiaTheme="minorEastAsia" w:cs="Calibri"/>
                <w:color w:val="000000"/>
                <w:szCs w:val="20"/>
                <w:lang w:eastAsia="en-AU"/>
              </w:rPr>
              <w:t xml:space="preserve">  </w:t>
            </w:r>
          </w:p>
        </w:tc>
        <w:tc>
          <w:tcPr>
            <w:tcW w:w="850" w:type="dxa"/>
            <w:tcBorders>
              <w:top w:val="nil"/>
              <w:left w:val="nil"/>
              <w:bottom w:val="nil"/>
              <w:right w:val="nil"/>
            </w:tcBorders>
            <w:shd w:val="solid" w:color="000000" w:fill="auto"/>
          </w:tcPr>
          <w:p w:rsidR="00A26D04" w:rsidRPr="00AC137D" w:rsidRDefault="00A26D04" w:rsidP="00A26D0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20"/>
                <w:lang w:eastAsia="en-AU"/>
              </w:rPr>
            </w:pPr>
            <w:r w:rsidRPr="00AC137D">
              <w:rPr>
                <w:rFonts w:eastAsiaTheme="minorEastAsia" w:cs="Calibri"/>
                <w:iCs/>
                <w:color w:val="FFFFFF"/>
                <w:szCs w:val="20"/>
                <w:lang w:eastAsia="en-AU"/>
              </w:rPr>
              <w:t>2017-18</w:t>
            </w:r>
            <w:r>
              <w:rPr>
                <w:rFonts w:eastAsiaTheme="minorEastAsia" w:cs="Calibri"/>
                <w:iCs/>
                <w:color w:val="FFFFFF"/>
                <w:szCs w:val="20"/>
                <w:lang w:eastAsia="en-AU"/>
              </w:rPr>
              <w:br/>
            </w:r>
            <w:r w:rsidRPr="00AC137D">
              <w:rPr>
                <w:rFonts w:eastAsiaTheme="minorEastAsia" w:cs="Calibri"/>
                <w:iCs/>
                <w:color w:val="FFFFFF"/>
                <w:szCs w:val="20"/>
                <w:lang w:eastAsia="en-AU"/>
              </w:rPr>
              <w:t>budget</w:t>
            </w:r>
          </w:p>
        </w:tc>
        <w:tc>
          <w:tcPr>
            <w:tcW w:w="850" w:type="dxa"/>
            <w:tcBorders>
              <w:top w:val="nil"/>
              <w:left w:val="nil"/>
              <w:bottom w:val="nil"/>
              <w:right w:val="nil"/>
            </w:tcBorders>
            <w:shd w:val="solid" w:color="000000" w:fill="auto"/>
          </w:tcPr>
          <w:p w:rsidR="00A26D04" w:rsidRPr="00AC137D" w:rsidRDefault="00A26D04" w:rsidP="00A26D0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20"/>
                <w:lang w:eastAsia="en-AU"/>
              </w:rPr>
            </w:pPr>
            <w:r w:rsidRPr="00AC137D">
              <w:rPr>
                <w:rFonts w:eastAsiaTheme="minorEastAsia" w:cs="Calibri"/>
                <w:iCs/>
                <w:color w:val="FFFFFF"/>
                <w:szCs w:val="20"/>
                <w:lang w:eastAsia="en-AU"/>
              </w:rPr>
              <w:t>2017-18</w:t>
            </w:r>
            <w:r>
              <w:rPr>
                <w:rFonts w:eastAsiaTheme="minorEastAsia" w:cs="Calibri"/>
                <w:iCs/>
                <w:color w:val="FFFFFF"/>
                <w:szCs w:val="20"/>
                <w:lang w:eastAsia="en-AU"/>
              </w:rPr>
              <w:br/>
            </w:r>
            <w:r w:rsidRPr="00AC137D">
              <w:rPr>
                <w:rFonts w:eastAsiaTheme="minorEastAsia" w:cs="Calibri"/>
                <w:iCs/>
                <w:color w:val="FFFFFF"/>
                <w:szCs w:val="20"/>
                <w:lang w:eastAsia="en-AU"/>
              </w:rPr>
              <w:t>revised</w:t>
            </w:r>
          </w:p>
        </w:tc>
        <w:tc>
          <w:tcPr>
            <w:tcW w:w="850" w:type="dxa"/>
            <w:tcBorders>
              <w:top w:val="nil"/>
              <w:left w:val="nil"/>
              <w:bottom w:val="nil"/>
              <w:right w:val="nil"/>
            </w:tcBorders>
            <w:shd w:val="solid" w:color="000000" w:fill="auto"/>
          </w:tcPr>
          <w:p w:rsidR="00A26D04" w:rsidRPr="00AC137D" w:rsidRDefault="00A26D04" w:rsidP="00A26D0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20"/>
                <w:lang w:eastAsia="en-AU"/>
              </w:rPr>
            </w:pPr>
            <w:r w:rsidRPr="00AC137D">
              <w:rPr>
                <w:rFonts w:eastAsiaTheme="minorEastAsia" w:cs="Calibri"/>
                <w:iCs/>
                <w:color w:val="FFFFFF"/>
                <w:szCs w:val="20"/>
                <w:lang w:eastAsia="en-AU"/>
              </w:rPr>
              <w:t>2018-19</w:t>
            </w:r>
            <w:r>
              <w:rPr>
                <w:rFonts w:eastAsiaTheme="minorEastAsia" w:cs="Calibri"/>
                <w:iCs/>
                <w:color w:val="FFFFFF"/>
                <w:szCs w:val="20"/>
                <w:lang w:eastAsia="en-AU"/>
              </w:rPr>
              <w:br/>
            </w:r>
            <w:r w:rsidRPr="00AC137D">
              <w:rPr>
                <w:rFonts w:eastAsiaTheme="minorEastAsia" w:cs="Calibri"/>
                <w:iCs/>
                <w:color w:val="FFFFFF"/>
                <w:szCs w:val="20"/>
                <w:lang w:eastAsia="en-AU"/>
              </w:rPr>
              <w:t>estimate</w:t>
            </w:r>
          </w:p>
        </w:tc>
        <w:tc>
          <w:tcPr>
            <w:tcW w:w="850" w:type="dxa"/>
            <w:tcBorders>
              <w:top w:val="nil"/>
              <w:left w:val="nil"/>
              <w:bottom w:val="nil"/>
              <w:right w:val="nil"/>
            </w:tcBorders>
            <w:shd w:val="solid" w:color="000000" w:fill="auto"/>
          </w:tcPr>
          <w:p w:rsidR="00A26D04" w:rsidRPr="00AC137D" w:rsidRDefault="00A26D04" w:rsidP="00A26D0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20"/>
                <w:lang w:eastAsia="en-AU"/>
              </w:rPr>
            </w:pPr>
            <w:r w:rsidRPr="00AC137D">
              <w:rPr>
                <w:rFonts w:eastAsiaTheme="minorEastAsia" w:cs="Calibri"/>
                <w:iCs/>
                <w:color w:val="FFFFFF"/>
                <w:szCs w:val="20"/>
                <w:lang w:eastAsia="en-AU"/>
              </w:rPr>
              <w:t>2019-20</w:t>
            </w:r>
            <w:r>
              <w:rPr>
                <w:rFonts w:eastAsiaTheme="minorEastAsia" w:cs="Calibri"/>
                <w:iCs/>
                <w:color w:val="FFFFFF"/>
                <w:szCs w:val="20"/>
                <w:lang w:eastAsia="en-AU"/>
              </w:rPr>
              <w:br/>
            </w:r>
            <w:r w:rsidRPr="00AC137D">
              <w:rPr>
                <w:rFonts w:eastAsiaTheme="minorEastAsia" w:cs="Calibri"/>
                <w:iCs/>
                <w:color w:val="FFFFFF"/>
                <w:szCs w:val="20"/>
                <w:lang w:eastAsia="en-AU"/>
              </w:rPr>
              <w:t>estimate</w:t>
            </w:r>
          </w:p>
        </w:tc>
        <w:tc>
          <w:tcPr>
            <w:tcW w:w="850" w:type="dxa"/>
            <w:tcBorders>
              <w:top w:val="nil"/>
              <w:left w:val="nil"/>
              <w:bottom w:val="nil"/>
              <w:right w:val="nil"/>
            </w:tcBorders>
            <w:shd w:val="solid" w:color="000000" w:fill="auto"/>
          </w:tcPr>
          <w:p w:rsidR="00A26D04" w:rsidRPr="00AC137D" w:rsidRDefault="00A26D04" w:rsidP="00A26D0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20"/>
                <w:lang w:eastAsia="en-AU"/>
              </w:rPr>
            </w:pPr>
            <w:r w:rsidRPr="00AC137D">
              <w:rPr>
                <w:rFonts w:eastAsiaTheme="minorEastAsia" w:cs="Calibri"/>
                <w:iCs/>
                <w:color w:val="FFFFFF"/>
                <w:szCs w:val="20"/>
                <w:lang w:eastAsia="en-AU"/>
              </w:rPr>
              <w:t>2020-21</w:t>
            </w:r>
            <w:r>
              <w:rPr>
                <w:rFonts w:eastAsiaTheme="minorEastAsia" w:cs="Calibri"/>
                <w:iCs/>
                <w:color w:val="FFFFFF"/>
                <w:szCs w:val="20"/>
                <w:lang w:eastAsia="en-AU"/>
              </w:rPr>
              <w:br/>
            </w:r>
            <w:r w:rsidRPr="00AC137D">
              <w:rPr>
                <w:rFonts w:eastAsiaTheme="minorEastAsia" w:cs="Calibri"/>
                <w:iCs/>
                <w:color w:val="FFFFFF"/>
                <w:szCs w:val="20"/>
                <w:lang w:eastAsia="en-AU"/>
              </w:rPr>
              <w:t>estimate</w:t>
            </w:r>
          </w:p>
        </w:tc>
      </w:tr>
      <w:tr w:rsidR="00A46DCA" w:rsidRPr="00AC137D" w:rsidTr="008110D9">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A46DCA" w:rsidRPr="00AC137D" w:rsidRDefault="00A46DCA" w:rsidP="00A26D04">
            <w:pPr>
              <w:keepLines w:val="0"/>
              <w:autoSpaceDE w:val="0"/>
              <w:autoSpaceDN w:val="0"/>
              <w:adjustRightInd w:val="0"/>
              <w:rPr>
                <w:rFonts w:eastAsiaTheme="minorEastAsia" w:cs="Calibri"/>
                <w:b/>
                <w:bCs/>
                <w:color w:val="000000"/>
                <w:szCs w:val="20"/>
                <w:lang w:eastAsia="en-AU"/>
              </w:rPr>
            </w:pPr>
            <w:r w:rsidRPr="00AC137D">
              <w:rPr>
                <w:rFonts w:eastAsiaTheme="minorEastAsia" w:cs="Calibri"/>
                <w:b/>
                <w:bCs/>
                <w:color w:val="000000"/>
                <w:szCs w:val="20"/>
                <w:lang w:eastAsia="en-AU"/>
              </w:rPr>
              <w:t>Opening balance of defined benefit obligation</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0"/>
                <w:lang w:eastAsia="en-AU"/>
              </w:rPr>
            </w:pPr>
            <w:r w:rsidRPr="00AC137D">
              <w:rPr>
                <w:rFonts w:eastAsiaTheme="minorEastAsia" w:cs="Calibri"/>
                <w:b/>
                <w:bCs/>
                <w:color w:val="000000"/>
                <w:szCs w:val="20"/>
                <w:lang w:eastAsia="en-AU"/>
              </w:rPr>
              <w:t>46 545</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0"/>
                <w:lang w:eastAsia="en-AU"/>
              </w:rPr>
            </w:pPr>
            <w:r w:rsidRPr="00AC137D">
              <w:rPr>
                <w:rFonts w:eastAsiaTheme="minorEastAsia" w:cs="Calibri"/>
                <w:b/>
                <w:bCs/>
                <w:color w:val="000000"/>
                <w:szCs w:val="20"/>
                <w:lang w:eastAsia="en-AU"/>
              </w:rPr>
              <w:t>46 545</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0"/>
                <w:lang w:eastAsia="en-AU"/>
              </w:rPr>
            </w:pPr>
            <w:r w:rsidRPr="00AC137D">
              <w:rPr>
                <w:rFonts w:eastAsiaTheme="minorEastAsia" w:cs="Calibri"/>
                <w:b/>
                <w:bCs/>
                <w:color w:val="000000"/>
                <w:szCs w:val="20"/>
                <w:lang w:eastAsia="en-AU"/>
              </w:rPr>
              <w:t>44 881</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0"/>
                <w:lang w:eastAsia="en-AU"/>
              </w:rPr>
            </w:pPr>
            <w:r w:rsidRPr="00AC137D">
              <w:rPr>
                <w:rFonts w:eastAsiaTheme="minorEastAsia" w:cs="Calibri"/>
                <w:b/>
                <w:bCs/>
                <w:color w:val="000000"/>
                <w:szCs w:val="20"/>
                <w:lang w:eastAsia="en-AU"/>
              </w:rPr>
              <w:t>44 364</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0"/>
                <w:lang w:eastAsia="en-AU"/>
              </w:rPr>
            </w:pPr>
            <w:r w:rsidRPr="00AC137D">
              <w:rPr>
                <w:rFonts w:eastAsiaTheme="minorEastAsia" w:cs="Calibri"/>
                <w:b/>
                <w:bCs/>
                <w:color w:val="000000"/>
                <w:szCs w:val="20"/>
                <w:lang w:eastAsia="en-AU"/>
              </w:rPr>
              <w:t>43 795</w:t>
            </w:r>
          </w:p>
        </w:tc>
      </w:tr>
      <w:tr w:rsidR="00A46DCA" w:rsidRPr="00AC137D" w:rsidTr="00A26D04">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A46DCA" w:rsidRPr="00AC137D" w:rsidRDefault="00A46DCA" w:rsidP="00A26D04">
            <w:pPr>
              <w:keepLines w:val="0"/>
              <w:autoSpaceDE w:val="0"/>
              <w:autoSpaceDN w:val="0"/>
              <w:adjustRightInd w:val="0"/>
              <w:rPr>
                <w:rFonts w:eastAsiaTheme="minorEastAsia" w:cs="Calibri"/>
                <w:color w:val="000000"/>
                <w:szCs w:val="20"/>
                <w:lang w:eastAsia="en-AU"/>
              </w:rPr>
            </w:pPr>
            <w:r w:rsidRPr="00AC137D">
              <w:rPr>
                <w:rFonts w:eastAsiaTheme="minorEastAsia" w:cs="Calibri"/>
                <w:color w:val="000000"/>
                <w:szCs w:val="20"/>
                <w:lang w:eastAsia="en-AU"/>
              </w:rPr>
              <w:t>Current service cost</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Pr>
                <w:rFonts w:eastAsiaTheme="minorEastAsia" w:cs="Calibri"/>
                <w:color w:val="000000"/>
                <w:szCs w:val="20"/>
                <w:lang w:eastAsia="en-AU"/>
              </w:rPr>
              <w:t>780</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Pr>
                <w:rFonts w:eastAsiaTheme="minorEastAsia" w:cs="Calibri"/>
                <w:color w:val="000000"/>
                <w:szCs w:val="20"/>
                <w:lang w:eastAsia="en-AU"/>
              </w:rPr>
              <w:t>920</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Pr>
                <w:rFonts w:eastAsiaTheme="minorEastAsia" w:cs="Calibri"/>
                <w:color w:val="000000"/>
                <w:szCs w:val="20"/>
                <w:lang w:eastAsia="en-AU"/>
              </w:rPr>
              <w:t>890</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Pr>
                <w:rFonts w:eastAsiaTheme="minorEastAsia" w:cs="Calibri"/>
                <w:color w:val="000000"/>
                <w:szCs w:val="20"/>
                <w:lang w:eastAsia="en-AU"/>
              </w:rPr>
              <w:t>886</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Pr>
                <w:rFonts w:eastAsiaTheme="minorEastAsia" w:cs="Calibri"/>
                <w:color w:val="000000"/>
                <w:szCs w:val="20"/>
                <w:lang w:eastAsia="en-AU"/>
              </w:rPr>
              <w:t>884</w:t>
            </w:r>
          </w:p>
        </w:tc>
      </w:tr>
      <w:tr w:rsidR="00A46DCA" w:rsidRPr="00AC137D" w:rsidTr="00A26D04">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A46DCA" w:rsidRPr="00AC137D" w:rsidRDefault="00A46DCA" w:rsidP="00A26D04">
            <w:pPr>
              <w:keepLines w:val="0"/>
              <w:autoSpaceDE w:val="0"/>
              <w:autoSpaceDN w:val="0"/>
              <w:adjustRightInd w:val="0"/>
              <w:rPr>
                <w:rFonts w:eastAsiaTheme="minorEastAsia" w:cs="Calibri"/>
                <w:color w:val="000000"/>
                <w:szCs w:val="20"/>
                <w:lang w:eastAsia="en-AU"/>
              </w:rPr>
            </w:pPr>
            <w:r w:rsidRPr="00AC137D">
              <w:rPr>
                <w:rFonts w:eastAsiaTheme="minorEastAsia" w:cs="Calibri"/>
                <w:color w:val="000000"/>
                <w:szCs w:val="20"/>
                <w:lang w:eastAsia="en-AU"/>
              </w:rPr>
              <w:t>Interest expense</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AC137D">
              <w:rPr>
                <w:rFonts w:eastAsiaTheme="minorEastAsia" w:cs="Calibri"/>
                <w:color w:val="000000"/>
                <w:szCs w:val="20"/>
                <w:lang w:eastAsia="en-AU"/>
              </w:rPr>
              <w:t>1 396</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AC137D">
              <w:rPr>
                <w:rFonts w:eastAsiaTheme="minorEastAsia" w:cs="Calibri"/>
                <w:color w:val="000000"/>
                <w:szCs w:val="20"/>
                <w:lang w:eastAsia="en-AU"/>
              </w:rPr>
              <w:t>1 336</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AC137D">
              <w:rPr>
                <w:rFonts w:eastAsiaTheme="minorEastAsia" w:cs="Calibri"/>
                <w:color w:val="000000"/>
                <w:szCs w:val="20"/>
                <w:lang w:eastAsia="en-AU"/>
              </w:rPr>
              <w:t>1 367</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AC137D">
              <w:rPr>
                <w:rFonts w:eastAsiaTheme="minorEastAsia" w:cs="Calibri"/>
                <w:color w:val="000000"/>
                <w:szCs w:val="20"/>
                <w:lang w:eastAsia="en-AU"/>
              </w:rPr>
              <w:t>1 351</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AC137D">
              <w:rPr>
                <w:rFonts w:eastAsiaTheme="minorEastAsia" w:cs="Calibri"/>
                <w:color w:val="000000"/>
                <w:szCs w:val="20"/>
                <w:lang w:eastAsia="en-AU"/>
              </w:rPr>
              <w:t>1 331</w:t>
            </w:r>
          </w:p>
        </w:tc>
      </w:tr>
      <w:tr w:rsidR="00A46DCA" w:rsidRPr="00AC137D" w:rsidTr="00A26D04">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A46DCA" w:rsidRPr="00AC137D" w:rsidRDefault="00A46DCA" w:rsidP="00A26D04">
            <w:pPr>
              <w:keepLines w:val="0"/>
              <w:autoSpaceDE w:val="0"/>
              <w:autoSpaceDN w:val="0"/>
              <w:adjustRightInd w:val="0"/>
              <w:rPr>
                <w:rFonts w:eastAsiaTheme="minorEastAsia" w:cs="Calibri"/>
                <w:color w:val="000000"/>
                <w:szCs w:val="20"/>
                <w:lang w:eastAsia="en-AU"/>
              </w:rPr>
            </w:pPr>
            <w:r w:rsidRPr="00AC137D">
              <w:rPr>
                <w:rFonts w:eastAsiaTheme="minorEastAsia" w:cs="Calibri"/>
                <w:color w:val="000000"/>
                <w:szCs w:val="20"/>
                <w:lang w:eastAsia="en-AU"/>
              </w:rPr>
              <w:t>Contributions by plan participants</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Pr>
                <w:rFonts w:eastAsiaTheme="minorEastAsia" w:cs="Calibri"/>
                <w:color w:val="000000"/>
                <w:szCs w:val="20"/>
                <w:lang w:eastAsia="en-AU"/>
              </w:rPr>
              <w:t>188</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Pr>
                <w:rFonts w:eastAsiaTheme="minorEastAsia" w:cs="Calibri"/>
                <w:color w:val="000000"/>
                <w:szCs w:val="20"/>
                <w:lang w:eastAsia="en-AU"/>
              </w:rPr>
              <w:t>199</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Pr>
                <w:rFonts w:eastAsiaTheme="minorEastAsia" w:cs="Calibri"/>
                <w:color w:val="000000"/>
                <w:szCs w:val="20"/>
                <w:lang w:eastAsia="en-AU"/>
              </w:rPr>
              <w:t>193</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Pr>
                <w:rFonts w:eastAsiaTheme="minorEastAsia" w:cs="Calibri"/>
                <w:color w:val="000000"/>
                <w:szCs w:val="20"/>
                <w:lang w:eastAsia="en-AU"/>
              </w:rPr>
              <w:t>187</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Pr>
                <w:rFonts w:eastAsiaTheme="minorEastAsia" w:cs="Calibri"/>
                <w:color w:val="000000"/>
                <w:szCs w:val="20"/>
                <w:lang w:eastAsia="en-AU"/>
              </w:rPr>
              <w:t>182</w:t>
            </w:r>
          </w:p>
        </w:tc>
      </w:tr>
      <w:tr w:rsidR="00A46DCA" w:rsidRPr="00AC137D" w:rsidTr="00A26D04">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A46DCA" w:rsidRPr="00AC137D" w:rsidRDefault="00A46DCA" w:rsidP="00A26D04">
            <w:pPr>
              <w:keepLines w:val="0"/>
              <w:autoSpaceDE w:val="0"/>
              <w:autoSpaceDN w:val="0"/>
              <w:adjustRightInd w:val="0"/>
              <w:rPr>
                <w:rFonts w:eastAsiaTheme="minorEastAsia" w:cs="Calibri"/>
                <w:color w:val="000000"/>
                <w:szCs w:val="20"/>
                <w:lang w:eastAsia="en-AU"/>
              </w:rPr>
            </w:pPr>
            <w:r w:rsidRPr="00AC137D">
              <w:rPr>
                <w:rFonts w:eastAsiaTheme="minorEastAsia" w:cs="Calibri"/>
                <w:color w:val="000000"/>
                <w:szCs w:val="20"/>
                <w:lang w:eastAsia="en-AU"/>
              </w:rPr>
              <w:t>Actuarial and other adjustments to unfunded superannuation liability</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AC137D">
              <w:rPr>
                <w:rFonts w:eastAsiaTheme="minorEastAsia" w:cs="Calibri"/>
                <w:color w:val="000000"/>
                <w:szCs w:val="20"/>
                <w:lang w:eastAsia="en-AU"/>
              </w:rPr>
              <w:t>..</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AC137D">
              <w:rPr>
                <w:rFonts w:eastAsiaTheme="minorEastAsia" w:cs="Calibri"/>
                <w:color w:val="000000"/>
                <w:szCs w:val="20"/>
                <w:lang w:eastAsia="en-AU"/>
              </w:rPr>
              <w:t>(1 118)</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AC137D">
              <w:rPr>
                <w:rFonts w:eastAsiaTheme="minorEastAsia" w:cs="Calibri"/>
                <w:color w:val="000000"/>
                <w:szCs w:val="20"/>
                <w:lang w:eastAsia="en-AU"/>
              </w:rPr>
              <w:t>..</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AC137D">
              <w:rPr>
                <w:rFonts w:eastAsiaTheme="minorEastAsia" w:cs="Calibri"/>
                <w:color w:val="000000"/>
                <w:szCs w:val="20"/>
                <w:lang w:eastAsia="en-AU"/>
              </w:rPr>
              <w:t>..</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AC137D">
              <w:rPr>
                <w:rFonts w:eastAsiaTheme="minorEastAsia" w:cs="Calibri"/>
                <w:color w:val="000000"/>
                <w:szCs w:val="20"/>
                <w:lang w:eastAsia="en-AU"/>
              </w:rPr>
              <w:t>..</w:t>
            </w:r>
          </w:p>
        </w:tc>
      </w:tr>
      <w:tr w:rsidR="00A46DCA" w:rsidRPr="00AC137D" w:rsidTr="00A26D04">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A46DCA" w:rsidRPr="00AC137D" w:rsidRDefault="00A46DCA" w:rsidP="00A26D04">
            <w:pPr>
              <w:keepLines w:val="0"/>
              <w:autoSpaceDE w:val="0"/>
              <w:autoSpaceDN w:val="0"/>
              <w:adjustRightInd w:val="0"/>
              <w:rPr>
                <w:rFonts w:eastAsiaTheme="minorEastAsia" w:cs="Calibri"/>
                <w:color w:val="000000"/>
                <w:szCs w:val="20"/>
                <w:lang w:eastAsia="en-AU"/>
              </w:rPr>
            </w:pPr>
            <w:r w:rsidRPr="00AC137D">
              <w:rPr>
                <w:rFonts w:eastAsiaTheme="minorEastAsia" w:cs="Calibri"/>
                <w:color w:val="000000"/>
                <w:szCs w:val="20"/>
                <w:lang w:eastAsia="en-AU"/>
              </w:rPr>
              <w:t>Benefits paid</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AC137D">
              <w:rPr>
                <w:rFonts w:eastAsiaTheme="minorEastAsia" w:cs="Calibri"/>
                <w:color w:val="000000"/>
                <w:szCs w:val="20"/>
                <w:lang w:eastAsia="en-AU"/>
              </w:rPr>
              <w:t>(2 846)</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AC137D">
              <w:rPr>
                <w:rFonts w:eastAsiaTheme="minorEastAsia" w:cs="Calibri"/>
                <w:color w:val="000000"/>
                <w:szCs w:val="20"/>
                <w:lang w:eastAsia="en-AU"/>
              </w:rPr>
              <w:t>(3 002)</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AC137D">
              <w:rPr>
                <w:rFonts w:eastAsiaTheme="minorEastAsia" w:cs="Calibri"/>
                <w:color w:val="000000"/>
                <w:szCs w:val="20"/>
                <w:lang w:eastAsia="en-AU"/>
              </w:rPr>
              <w:t>(2 966)</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AC137D">
              <w:rPr>
                <w:rFonts w:eastAsiaTheme="minorEastAsia" w:cs="Calibri"/>
                <w:color w:val="000000"/>
                <w:szCs w:val="20"/>
                <w:lang w:eastAsia="en-AU"/>
              </w:rPr>
              <w:t>(2 992)</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AC137D">
              <w:rPr>
                <w:rFonts w:eastAsiaTheme="minorEastAsia" w:cs="Calibri"/>
                <w:color w:val="000000"/>
                <w:szCs w:val="20"/>
                <w:lang w:eastAsia="en-AU"/>
              </w:rPr>
              <w:t>(3 026)</w:t>
            </w:r>
          </w:p>
        </w:tc>
      </w:tr>
      <w:tr w:rsidR="00A46DCA" w:rsidRPr="00AC137D" w:rsidTr="00A26D04">
        <w:tc>
          <w:tcPr>
            <w:cnfStyle w:val="001000000000" w:firstRow="0" w:lastRow="0" w:firstColumn="1" w:lastColumn="0" w:oddVBand="0" w:evenVBand="0" w:oddHBand="0" w:evenHBand="0" w:firstRowFirstColumn="0" w:firstRowLastColumn="0" w:lastRowFirstColumn="0" w:lastRowLastColumn="0"/>
            <w:tcW w:w="3515" w:type="dxa"/>
            <w:tcBorders>
              <w:top w:val="single" w:sz="6" w:space="0" w:color="auto"/>
              <w:left w:val="nil"/>
              <w:bottom w:val="single" w:sz="12" w:space="0" w:color="auto"/>
              <w:right w:val="nil"/>
            </w:tcBorders>
          </w:tcPr>
          <w:p w:rsidR="00A46DCA" w:rsidRPr="00AC137D" w:rsidRDefault="00A46DCA" w:rsidP="00A26D04">
            <w:pPr>
              <w:keepLines w:val="0"/>
              <w:autoSpaceDE w:val="0"/>
              <w:autoSpaceDN w:val="0"/>
              <w:adjustRightInd w:val="0"/>
              <w:rPr>
                <w:rFonts w:eastAsiaTheme="minorEastAsia" w:cs="Calibri"/>
                <w:b/>
                <w:bCs/>
                <w:color w:val="000000"/>
                <w:szCs w:val="20"/>
                <w:lang w:eastAsia="en-AU"/>
              </w:rPr>
            </w:pPr>
            <w:r w:rsidRPr="00AC137D">
              <w:rPr>
                <w:rFonts w:eastAsiaTheme="minorEastAsia" w:cs="Calibri"/>
                <w:b/>
                <w:bCs/>
                <w:color w:val="000000"/>
                <w:szCs w:val="20"/>
                <w:lang w:eastAsia="en-AU"/>
              </w:rPr>
              <w:t>Closing balance of defined benefit obligation</w:t>
            </w:r>
          </w:p>
        </w:tc>
        <w:tc>
          <w:tcPr>
            <w:tcW w:w="850" w:type="dxa"/>
            <w:tcBorders>
              <w:top w:val="single" w:sz="6" w:space="0" w:color="auto"/>
              <w:left w:val="nil"/>
              <w:bottom w:val="single" w:sz="12" w:space="0" w:color="auto"/>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0"/>
                <w:lang w:eastAsia="en-AU"/>
              </w:rPr>
            </w:pPr>
            <w:r w:rsidRPr="00AC137D">
              <w:rPr>
                <w:rFonts w:eastAsiaTheme="minorEastAsia" w:cs="Calibri"/>
                <w:b/>
                <w:bCs/>
                <w:color w:val="000000"/>
                <w:szCs w:val="20"/>
                <w:lang w:eastAsia="en-AU"/>
              </w:rPr>
              <w:t>46 063</w:t>
            </w:r>
          </w:p>
        </w:tc>
        <w:tc>
          <w:tcPr>
            <w:tcW w:w="850" w:type="dxa"/>
            <w:tcBorders>
              <w:top w:val="single" w:sz="6" w:space="0" w:color="auto"/>
              <w:left w:val="nil"/>
              <w:bottom w:val="single" w:sz="12" w:space="0" w:color="auto"/>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0"/>
                <w:lang w:eastAsia="en-AU"/>
              </w:rPr>
            </w:pPr>
            <w:r w:rsidRPr="00AC137D">
              <w:rPr>
                <w:rFonts w:eastAsiaTheme="minorEastAsia" w:cs="Calibri"/>
                <w:b/>
                <w:bCs/>
                <w:color w:val="000000"/>
                <w:szCs w:val="20"/>
                <w:lang w:eastAsia="en-AU"/>
              </w:rPr>
              <w:t>44 881</w:t>
            </w:r>
          </w:p>
        </w:tc>
        <w:tc>
          <w:tcPr>
            <w:tcW w:w="850" w:type="dxa"/>
            <w:tcBorders>
              <w:top w:val="single" w:sz="6" w:space="0" w:color="auto"/>
              <w:left w:val="nil"/>
              <w:bottom w:val="single" w:sz="12" w:space="0" w:color="auto"/>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0"/>
                <w:lang w:eastAsia="en-AU"/>
              </w:rPr>
            </w:pPr>
            <w:r w:rsidRPr="00AC137D">
              <w:rPr>
                <w:rFonts w:eastAsiaTheme="minorEastAsia" w:cs="Calibri"/>
                <w:b/>
                <w:bCs/>
                <w:color w:val="000000"/>
                <w:szCs w:val="20"/>
                <w:lang w:eastAsia="en-AU"/>
              </w:rPr>
              <w:t>44 364</w:t>
            </w:r>
          </w:p>
        </w:tc>
        <w:tc>
          <w:tcPr>
            <w:tcW w:w="850" w:type="dxa"/>
            <w:tcBorders>
              <w:top w:val="single" w:sz="6" w:space="0" w:color="auto"/>
              <w:left w:val="nil"/>
              <w:bottom w:val="single" w:sz="12" w:space="0" w:color="auto"/>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0"/>
                <w:lang w:eastAsia="en-AU"/>
              </w:rPr>
            </w:pPr>
            <w:r w:rsidRPr="00AC137D">
              <w:rPr>
                <w:rFonts w:eastAsiaTheme="minorEastAsia" w:cs="Calibri"/>
                <w:b/>
                <w:bCs/>
                <w:color w:val="000000"/>
                <w:szCs w:val="20"/>
                <w:lang w:eastAsia="en-AU"/>
              </w:rPr>
              <w:t>43 795</w:t>
            </w:r>
          </w:p>
        </w:tc>
        <w:tc>
          <w:tcPr>
            <w:tcW w:w="850" w:type="dxa"/>
            <w:tcBorders>
              <w:top w:val="single" w:sz="6" w:space="0" w:color="auto"/>
              <w:left w:val="nil"/>
              <w:bottom w:val="single" w:sz="12" w:space="0" w:color="auto"/>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0"/>
                <w:lang w:eastAsia="en-AU"/>
              </w:rPr>
            </w:pPr>
            <w:r w:rsidRPr="00AC137D">
              <w:rPr>
                <w:rFonts w:eastAsiaTheme="minorEastAsia" w:cs="Calibri"/>
                <w:b/>
                <w:bCs/>
                <w:color w:val="000000"/>
                <w:szCs w:val="20"/>
                <w:lang w:eastAsia="en-AU"/>
              </w:rPr>
              <w:t>43 166</w:t>
            </w:r>
          </w:p>
        </w:tc>
      </w:tr>
    </w:tbl>
    <w:p w:rsidR="00A46DCA" w:rsidRDefault="00A46DCA" w:rsidP="00A26D04">
      <w:pPr>
        <w:pStyle w:val="Source"/>
      </w:pPr>
      <w:r w:rsidRPr="00D87D22">
        <w:t>Source: Department of Treasury and Finance</w:t>
      </w:r>
    </w:p>
    <w:p w:rsidR="00A46DCA" w:rsidRDefault="00A46DCA" w:rsidP="00A26D04"/>
    <w:p w:rsidR="00A46DCA" w:rsidRPr="00AC137D" w:rsidRDefault="00A46DCA" w:rsidP="00A26D04">
      <w:pPr>
        <w:pStyle w:val="TableHeading"/>
        <w:rPr>
          <w:bCs/>
          <w:lang w:val="en-US"/>
        </w:rPr>
      </w:pPr>
      <w:r>
        <w:t>Reconciliation of the fair value of superannuation plan assets</w:t>
      </w:r>
      <w:r>
        <w:tab/>
        <w:t>($ million)</w:t>
      </w:r>
    </w:p>
    <w:tbl>
      <w:tblPr>
        <w:tblStyle w:val="DTFTable"/>
        <w:tblW w:w="7765" w:type="dxa"/>
        <w:tblInd w:w="45" w:type="dxa"/>
        <w:tblLayout w:type="fixed"/>
        <w:tblCellMar>
          <w:left w:w="45" w:type="dxa"/>
          <w:right w:w="45" w:type="dxa"/>
        </w:tblCellMar>
        <w:tblLook w:val="06A0" w:firstRow="1" w:lastRow="0" w:firstColumn="1" w:lastColumn="0" w:noHBand="1" w:noVBand="1"/>
      </w:tblPr>
      <w:tblGrid>
        <w:gridCol w:w="3515"/>
        <w:gridCol w:w="850"/>
        <w:gridCol w:w="850"/>
        <w:gridCol w:w="850"/>
        <w:gridCol w:w="850"/>
        <w:gridCol w:w="850"/>
      </w:tblGrid>
      <w:tr w:rsidR="00A26D04" w:rsidRPr="00AC137D" w:rsidTr="008110D9">
        <w:trPr>
          <w:cnfStyle w:val="100000000000" w:firstRow="1" w:lastRow="0" w:firstColumn="0" w:lastColumn="0" w:oddVBand="0" w:evenVBand="0" w:oddHBand="0" w:evenHBand="0" w:firstRowFirstColumn="0" w:firstRowLastColumn="0" w:lastRowFirstColumn="0" w:lastRowLastColumn="0"/>
          <w:trHeight w:val="70"/>
          <w:tblHeader/>
        </w:trPr>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shd w:val="solid" w:color="000000" w:fill="auto"/>
          </w:tcPr>
          <w:p w:rsidR="00A26D04" w:rsidRPr="00AC137D" w:rsidRDefault="00A26D04" w:rsidP="00A26D04">
            <w:pPr>
              <w:autoSpaceDE w:val="0"/>
              <w:autoSpaceDN w:val="0"/>
              <w:adjustRightInd w:val="0"/>
              <w:rPr>
                <w:rFonts w:eastAsiaTheme="minorEastAsia" w:cs="Calibri"/>
                <w:color w:val="000000"/>
                <w:szCs w:val="20"/>
                <w:lang w:eastAsia="en-AU"/>
              </w:rPr>
            </w:pPr>
            <w:r w:rsidRPr="00AC137D">
              <w:rPr>
                <w:rFonts w:eastAsiaTheme="minorEastAsia" w:cs="Calibri"/>
                <w:color w:val="000000"/>
                <w:szCs w:val="20"/>
                <w:lang w:eastAsia="en-AU"/>
              </w:rPr>
              <w:t xml:space="preserve">  </w:t>
            </w:r>
          </w:p>
        </w:tc>
        <w:tc>
          <w:tcPr>
            <w:tcW w:w="850" w:type="dxa"/>
            <w:tcBorders>
              <w:top w:val="nil"/>
              <w:left w:val="nil"/>
              <w:bottom w:val="nil"/>
              <w:right w:val="nil"/>
            </w:tcBorders>
            <w:shd w:val="solid" w:color="000000" w:fill="auto"/>
          </w:tcPr>
          <w:p w:rsidR="00A26D04" w:rsidRPr="00AC137D" w:rsidRDefault="00A26D04" w:rsidP="00A26D0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20"/>
                <w:lang w:eastAsia="en-AU"/>
              </w:rPr>
            </w:pPr>
            <w:r w:rsidRPr="00AC137D">
              <w:rPr>
                <w:rFonts w:eastAsiaTheme="minorEastAsia" w:cs="Calibri"/>
                <w:iCs/>
                <w:color w:val="FFFFFF"/>
                <w:szCs w:val="20"/>
                <w:lang w:eastAsia="en-AU"/>
              </w:rPr>
              <w:t>2017-18</w:t>
            </w:r>
            <w:r>
              <w:rPr>
                <w:rFonts w:eastAsiaTheme="minorEastAsia" w:cs="Calibri"/>
                <w:iCs/>
                <w:color w:val="FFFFFF"/>
                <w:szCs w:val="20"/>
                <w:lang w:eastAsia="en-AU"/>
              </w:rPr>
              <w:br/>
            </w:r>
            <w:r w:rsidRPr="00AC137D">
              <w:rPr>
                <w:rFonts w:eastAsiaTheme="minorEastAsia" w:cs="Calibri"/>
                <w:iCs/>
                <w:color w:val="FFFFFF"/>
                <w:szCs w:val="20"/>
                <w:lang w:eastAsia="en-AU"/>
              </w:rPr>
              <w:t>budget</w:t>
            </w:r>
          </w:p>
        </w:tc>
        <w:tc>
          <w:tcPr>
            <w:tcW w:w="850" w:type="dxa"/>
            <w:tcBorders>
              <w:top w:val="nil"/>
              <w:left w:val="nil"/>
              <w:bottom w:val="nil"/>
              <w:right w:val="nil"/>
            </w:tcBorders>
            <w:shd w:val="solid" w:color="000000" w:fill="auto"/>
          </w:tcPr>
          <w:p w:rsidR="00A26D04" w:rsidRPr="00AC137D" w:rsidRDefault="00A26D04" w:rsidP="00A26D0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20"/>
                <w:lang w:eastAsia="en-AU"/>
              </w:rPr>
            </w:pPr>
            <w:r w:rsidRPr="00AC137D">
              <w:rPr>
                <w:rFonts w:eastAsiaTheme="minorEastAsia" w:cs="Calibri"/>
                <w:iCs/>
                <w:color w:val="FFFFFF"/>
                <w:szCs w:val="20"/>
                <w:lang w:eastAsia="en-AU"/>
              </w:rPr>
              <w:t>2017-18</w:t>
            </w:r>
            <w:r>
              <w:rPr>
                <w:rFonts w:eastAsiaTheme="minorEastAsia" w:cs="Calibri"/>
                <w:iCs/>
                <w:color w:val="FFFFFF"/>
                <w:szCs w:val="20"/>
                <w:lang w:eastAsia="en-AU"/>
              </w:rPr>
              <w:br/>
            </w:r>
            <w:r w:rsidRPr="00AC137D">
              <w:rPr>
                <w:rFonts w:eastAsiaTheme="minorEastAsia" w:cs="Calibri"/>
                <w:iCs/>
                <w:color w:val="FFFFFF"/>
                <w:szCs w:val="20"/>
                <w:lang w:eastAsia="en-AU"/>
              </w:rPr>
              <w:t>revised</w:t>
            </w:r>
          </w:p>
        </w:tc>
        <w:tc>
          <w:tcPr>
            <w:tcW w:w="850" w:type="dxa"/>
            <w:tcBorders>
              <w:top w:val="nil"/>
              <w:left w:val="nil"/>
              <w:bottom w:val="nil"/>
              <w:right w:val="nil"/>
            </w:tcBorders>
            <w:shd w:val="solid" w:color="000000" w:fill="auto"/>
          </w:tcPr>
          <w:p w:rsidR="00A26D04" w:rsidRPr="00AC137D" w:rsidRDefault="00A26D04" w:rsidP="00A26D0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20"/>
                <w:lang w:eastAsia="en-AU"/>
              </w:rPr>
            </w:pPr>
            <w:r w:rsidRPr="00AC137D">
              <w:rPr>
                <w:rFonts w:eastAsiaTheme="minorEastAsia" w:cs="Calibri"/>
                <w:iCs/>
                <w:color w:val="FFFFFF"/>
                <w:szCs w:val="20"/>
                <w:lang w:eastAsia="en-AU"/>
              </w:rPr>
              <w:t>2018-19</w:t>
            </w:r>
            <w:r>
              <w:rPr>
                <w:rFonts w:eastAsiaTheme="minorEastAsia" w:cs="Calibri"/>
                <w:iCs/>
                <w:color w:val="FFFFFF"/>
                <w:szCs w:val="20"/>
                <w:lang w:eastAsia="en-AU"/>
              </w:rPr>
              <w:br/>
            </w:r>
            <w:r w:rsidRPr="00AC137D">
              <w:rPr>
                <w:rFonts w:eastAsiaTheme="minorEastAsia" w:cs="Calibri"/>
                <w:iCs/>
                <w:color w:val="FFFFFF"/>
                <w:szCs w:val="20"/>
                <w:lang w:eastAsia="en-AU"/>
              </w:rPr>
              <w:t>estimate</w:t>
            </w:r>
          </w:p>
        </w:tc>
        <w:tc>
          <w:tcPr>
            <w:tcW w:w="850" w:type="dxa"/>
            <w:tcBorders>
              <w:top w:val="nil"/>
              <w:left w:val="nil"/>
              <w:bottom w:val="nil"/>
              <w:right w:val="nil"/>
            </w:tcBorders>
            <w:shd w:val="solid" w:color="000000" w:fill="auto"/>
          </w:tcPr>
          <w:p w:rsidR="00A26D04" w:rsidRPr="00AC137D" w:rsidRDefault="00A26D04" w:rsidP="00A26D0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20"/>
                <w:lang w:eastAsia="en-AU"/>
              </w:rPr>
            </w:pPr>
            <w:r w:rsidRPr="00AC137D">
              <w:rPr>
                <w:rFonts w:eastAsiaTheme="minorEastAsia" w:cs="Calibri"/>
                <w:iCs/>
                <w:color w:val="FFFFFF"/>
                <w:szCs w:val="20"/>
                <w:lang w:eastAsia="en-AU"/>
              </w:rPr>
              <w:t>2019-20</w:t>
            </w:r>
            <w:r>
              <w:rPr>
                <w:rFonts w:eastAsiaTheme="minorEastAsia" w:cs="Calibri"/>
                <w:iCs/>
                <w:color w:val="FFFFFF"/>
                <w:szCs w:val="20"/>
                <w:lang w:eastAsia="en-AU"/>
              </w:rPr>
              <w:br/>
            </w:r>
            <w:r w:rsidRPr="00AC137D">
              <w:rPr>
                <w:rFonts w:eastAsiaTheme="minorEastAsia" w:cs="Calibri"/>
                <w:iCs/>
                <w:color w:val="FFFFFF"/>
                <w:szCs w:val="20"/>
                <w:lang w:eastAsia="en-AU"/>
              </w:rPr>
              <w:t>estimate</w:t>
            </w:r>
          </w:p>
        </w:tc>
        <w:tc>
          <w:tcPr>
            <w:tcW w:w="850" w:type="dxa"/>
            <w:tcBorders>
              <w:top w:val="nil"/>
              <w:left w:val="nil"/>
              <w:bottom w:val="nil"/>
              <w:right w:val="nil"/>
            </w:tcBorders>
            <w:shd w:val="solid" w:color="000000" w:fill="auto"/>
          </w:tcPr>
          <w:p w:rsidR="00A26D04" w:rsidRPr="00AC137D" w:rsidRDefault="00A26D04" w:rsidP="00A26D0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20"/>
                <w:lang w:eastAsia="en-AU"/>
              </w:rPr>
            </w:pPr>
            <w:r w:rsidRPr="00AC137D">
              <w:rPr>
                <w:rFonts w:eastAsiaTheme="minorEastAsia" w:cs="Calibri"/>
                <w:iCs/>
                <w:color w:val="FFFFFF"/>
                <w:szCs w:val="20"/>
                <w:lang w:eastAsia="en-AU"/>
              </w:rPr>
              <w:t>2020-21</w:t>
            </w:r>
            <w:r>
              <w:rPr>
                <w:rFonts w:eastAsiaTheme="minorEastAsia" w:cs="Calibri"/>
                <w:iCs/>
                <w:color w:val="FFFFFF"/>
                <w:szCs w:val="20"/>
                <w:lang w:eastAsia="en-AU"/>
              </w:rPr>
              <w:br/>
            </w:r>
            <w:r w:rsidRPr="00AC137D">
              <w:rPr>
                <w:rFonts w:eastAsiaTheme="minorEastAsia" w:cs="Calibri"/>
                <w:iCs/>
                <w:color w:val="FFFFFF"/>
                <w:szCs w:val="20"/>
                <w:lang w:eastAsia="en-AU"/>
              </w:rPr>
              <w:t>estimate</w:t>
            </w:r>
          </w:p>
        </w:tc>
      </w:tr>
      <w:tr w:rsidR="00A46DCA" w:rsidRPr="00AC137D" w:rsidTr="008110D9">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A46DCA" w:rsidRPr="00AC137D" w:rsidRDefault="00A46DCA" w:rsidP="00A26D04">
            <w:pPr>
              <w:keepLines w:val="0"/>
              <w:autoSpaceDE w:val="0"/>
              <w:autoSpaceDN w:val="0"/>
              <w:adjustRightInd w:val="0"/>
              <w:rPr>
                <w:rFonts w:eastAsiaTheme="minorEastAsia" w:cs="Calibri"/>
                <w:b/>
                <w:bCs/>
                <w:color w:val="000000"/>
                <w:szCs w:val="20"/>
                <w:lang w:eastAsia="en-AU"/>
              </w:rPr>
            </w:pPr>
            <w:r w:rsidRPr="00AC137D">
              <w:rPr>
                <w:rFonts w:eastAsiaTheme="minorEastAsia" w:cs="Calibri"/>
                <w:b/>
                <w:bCs/>
                <w:color w:val="000000"/>
                <w:szCs w:val="20"/>
                <w:lang w:eastAsia="en-AU"/>
              </w:rPr>
              <w:t>Opening balance of plan assets</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0"/>
                <w:lang w:eastAsia="en-AU"/>
              </w:rPr>
            </w:pPr>
            <w:r w:rsidRPr="00AC137D">
              <w:rPr>
                <w:rFonts w:eastAsiaTheme="minorEastAsia" w:cs="Calibri"/>
                <w:b/>
                <w:bCs/>
                <w:color w:val="000000"/>
                <w:szCs w:val="20"/>
                <w:lang w:eastAsia="en-AU"/>
              </w:rPr>
              <w:t>21 645</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0"/>
                <w:lang w:eastAsia="en-AU"/>
              </w:rPr>
            </w:pPr>
            <w:r w:rsidRPr="00AC137D">
              <w:rPr>
                <w:rFonts w:eastAsiaTheme="minorEastAsia" w:cs="Calibri"/>
                <w:b/>
                <w:bCs/>
                <w:color w:val="000000"/>
                <w:szCs w:val="20"/>
                <w:lang w:eastAsia="en-AU"/>
              </w:rPr>
              <w:t>21 645</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0"/>
                <w:lang w:eastAsia="en-AU"/>
              </w:rPr>
            </w:pPr>
            <w:r w:rsidRPr="00AC137D">
              <w:rPr>
                <w:rFonts w:eastAsiaTheme="minorEastAsia" w:cs="Calibri"/>
                <w:b/>
                <w:bCs/>
                <w:color w:val="000000"/>
                <w:szCs w:val="20"/>
                <w:lang w:eastAsia="en-AU"/>
              </w:rPr>
              <w:t>21 891</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0"/>
                <w:lang w:eastAsia="en-AU"/>
              </w:rPr>
            </w:pPr>
            <w:r w:rsidRPr="00AC137D">
              <w:rPr>
                <w:rFonts w:eastAsiaTheme="minorEastAsia" w:cs="Calibri"/>
                <w:b/>
                <w:bCs/>
                <w:color w:val="000000"/>
                <w:szCs w:val="20"/>
                <w:lang w:eastAsia="en-AU"/>
              </w:rPr>
              <w:t>22 306</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0"/>
                <w:lang w:eastAsia="en-AU"/>
              </w:rPr>
            </w:pPr>
            <w:r w:rsidRPr="00AC137D">
              <w:rPr>
                <w:rFonts w:eastAsiaTheme="minorEastAsia" w:cs="Calibri"/>
                <w:b/>
                <w:bCs/>
                <w:color w:val="000000"/>
                <w:szCs w:val="20"/>
                <w:lang w:eastAsia="en-AU"/>
              </w:rPr>
              <w:t>22 712</w:t>
            </w:r>
          </w:p>
        </w:tc>
      </w:tr>
      <w:tr w:rsidR="00A46DCA" w:rsidRPr="00AC137D" w:rsidTr="00A26D04">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A46DCA" w:rsidRPr="00AC137D" w:rsidRDefault="00A46DCA" w:rsidP="00A26D04">
            <w:pPr>
              <w:keepLines w:val="0"/>
              <w:autoSpaceDE w:val="0"/>
              <w:autoSpaceDN w:val="0"/>
              <w:adjustRightInd w:val="0"/>
              <w:rPr>
                <w:rFonts w:eastAsiaTheme="minorEastAsia" w:cs="Calibri"/>
                <w:color w:val="000000"/>
                <w:szCs w:val="20"/>
                <w:lang w:eastAsia="en-AU"/>
              </w:rPr>
            </w:pPr>
            <w:r w:rsidRPr="00AC137D">
              <w:rPr>
                <w:rFonts w:eastAsiaTheme="minorEastAsia" w:cs="Calibri"/>
                <w:color w:val="000000"/>
                <w:szCs w:val="20"/>
                <w:lang w:eastAsia="en-AU"/>
              </w:rPr>
              <w:t>Interest income</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Pr>
                <w:rFonts w:eastAsiaTheme="minorEastAsia" w:cs="Calibri"/>
                <w:color w:val="000000"/>
                <w:szCs w:val="20"/>
                <w:lang w:eastAsia="en-AU"/>
              </w:rPr>
              <w:t>635</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Pr>
                <w:rFonts w:eastAsiaTheme="minorEastAsia" w:cs="Calibri"/>
                <w:color w:val="000000"/>
                <w:szCs w:val="20"/>
                <w:lang w:eastAsia="en-AU"/>
              </w:rPr>
              <w:t>622</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Pr>
                <w:rFonts w:eastAsiaTheme="minorEastAsia" w:cs="Calibri"/>
                <w:color w:val="000000"/>
                <w:szCs w:val="20"/>
                <w:lang w:eastAsia="en-AU"/>
              </w:rPr>
              <w:t>668</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Pr>
                <w:rFonts w:eastAsiaTheme="minorEastAsia" w:cs="Calibri"/>
                <w:color w:val="000000"/>
                <w:szCs w:val="20"/>
                <w:lang w:eastAsia="en-AU"/>
              </w:rPr>
              <w:t>681</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Pr>
                <w:rFonts w:eastAsiaTheme="minorEastAsia" w:cs="Calibri"/>
                <w:color w:val="000000"/>
                <w:szCs w:val="20"/>
                <w:lang w:eastAsia="en-AU"/>
              </w:rPr>
              <w:t>692</w:t>
            </w:r>
          </w:p>
        </w:tc>
      </w:tr>
      <w:tr w:rsidR="00A46DCA" w:rsidRPr="00AC137D" w:rsidTr="00A26D04">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A46DCA" w:rsidRPr="00AC137D" w:rsidRDefault="00A46DCA" w:rsidP="00A26D04">
            <w:pPr>
              <w:keepLines w:val="0"/>
              <w:autoSpaceDE w:val="0"/>
              <w:autoSpaceDN w:val="0"/>
              <w:adjustRightInd w:val="0"/>
              <w:rPr>
                <w:rFonts w:eastAsiaTheme="minorEastAsia" w:cs="Calibri"/>
                <w:color w:val="000000"/>
                <w:szCs w:val="20"/>
                <w:lang w:eastAsia="en-AU"/>
              </w:rPr>
            </w:pPr>
            <w:r w:rsidRPr="00AC137D">
              <w:rPr>
                <w:rFonts w:eastAsiaTheme="minorEastAsia" w:cs="Calibri"/>
                <w:color w:val="000000"/>
                <w:szCs w:val="20"/>
                <w:lang w:eastAsia="en-AU"/>
              </w:rPr>
              <w:t>Return on plan assets not included in interest income</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Pr>
                <w:rFonts w:eastAsiaTheme="minorEastAsia" w:cs="Calibri"/>
                <w:color w:val="000000"/>
                <w:szCs w:val="20"/>
                <w:lang w:eastAsia="en-AU"/>
              </w:rPr>
              <w:t>915</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Pr>
                <w:rFonts w:eastAsiaTheme="minorEastAsia" w:cs="Calibri"/>
                <w:color w:val="000000"/>
                <w:szCs w:val="20"/>
                <w:lang w:eastAsia="en-AU"/>
              </w:rPr>
              <w:t>860</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Pr>
                <w:rFonts w:eastAsiaTheme="minorEastAsia" w:cs="Calibri"/>
                <w:color w:val="000000"/>
                <w:szCs w:val="20"/>
                <w:lang w:eastAsia="en-AU"/>
              </w:rPr>
              <w:t>921</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Pr>
                <w:rFonts w:eastAsiaTheme="minorEastAsia" w:cs="Calibri"/>
                <w:color w:val="000000"/>
                <w:szCs w:val="20"/>
                <w:lang w:eastAsia="en-AU"/>
              </w:rPr>
              <w:t>935</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Pr>
                <w:rFonts w:eastAsiaTheme="minorEastAsia" w:cs="Calibri"/>
                <w:color w:val="000000"/>
                <w:szCs w:val="20"/>
                <w:lang w:eastAsia="en-AU"/>
              </w:rPr>
              <w:t>949</w:t>
            </w:r>
          </w:p>
        </w:tc>
      </w:tr>
      <w:tr w:rsidR="00A46DCA" w:rsidRPr="00AC137D" w:rsidTr="00A26D04">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A46DCA" w:rsidRPr="00AC137D" w:rsidRDefault="00A46DCA" w:rsidP="00A26D04">
            <w:pPr>
              <w:keepLines w:val="0"/>
              <w:autoSpaceDE w:val="0"/>
              <w:autoSpaceDN w:val="0"/>
              <w:adjustRightInd w:val="0"/>
              <w:rPr>
                <w:rFonts w:eastAsiaTheme="minorEastAsia" w:cs="Calibri"/>
                <w:color w:val="000000"/>
                <w:szCs w:val="20"/>
                <w:lang w:eastAsia="en-AU"/>
              </w:rPr>
            </w:pPr>
            <w:r w:rsidRPr="00AC137D">
              <w:rPr>
                <w:rFonts w:eastAsiaTheme="minorEastAsia" w:cs="Calibri"/>
                <w:color w:val="000000"/>
                <w:szCs w:val="20"/>
                <w:lang w:eastAsia="en-AU"/>
              </w:rPr>
              <w:t>Employer contributions</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AC137D">
              <w:rPr>
                <w:rFonts w:eastAsiaTheme="minorEastAsia" w:cs="Calibri"/>
                <w:color w:val="000000"/>
                <w:szCs w:val="20"/>
                <w:lang w:eastAsia="en-AU"/>
              </w:rPr>
              <w:t>1 540</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AC137D">
              <w:rPr>
                <w:rFonts w:eastAsiaTheme="minorEastAsia" w:cs="Calibri"/>
                <w:color w:val="000000"/>
                <w:szCs w:val="20"/>
                <w:lang w:eastAsia="en-AU"/>
              </w:rPr>
              <w:t>1 567</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AC137D">
              <w:rPr>
                <w:rFonts w:eastAsiaTheme="minorEastAsia" w:cs="Calibri"/>
                <w:color w:val="000000"/>
                <w:szCs w:val="20"/>
                <w:lang w:eastAsia="en-AU"/>
              </w:rPr>
              <w:t>1 600</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AC137D">
              <w:rPr>
                <w:rFonts w:eastAsiaTheme="minorEastAsia" w:cs="Calibri"/>
                <w:color w:val="000000"/>
                <w:szCs w:val="20"/>
                <w:lang w:eastAsia="en-AU"/>
              </w:rPr>
              <w:t>1 596</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AC137D">
              <w:rPr>
                <w:rFonts w:eastAsiaTheme="minorEastAsia" w:cs="Calibri"/>
                <w:color w:val="000000"/>
                <w:szCs w:val="20"/>
                <w:lang w:eastAsia="en-AU"/>
              </w:rPr>
              <w:t>1 584</w:t>
            </w:r>
          </w:p>
        </w:tc>
      </w:tr>
      <w:tr w:rsidR="00A46DCA" w:rsidRPr="00AC137D" w:rsidTr="00A26D04">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A46DCA" w:rsidRPr="00AC137D" w:rsidRDefault="00A46DCA" w:rsidP="00A26D04">
            <w:pPr>
              <w:keepLines w:val="0"/>
              <w:autoSpaceDE w:val="0"/>
              <w:autoSpaceDN w:val="0"/>
              <w:adjustRightInd w:val="0"/>
              <w:rPr>
                <w:rFonts w:eastAsiaTheme="minorEastAsia" w:cs="Calibri"/>
                <w:color w:val="000000"/>
                <w:szCs w:val="20"/>
                <w:lang w:eastAsia="en-AU"/>
              </w:rPr>
            </w:pPr>
            <w:r w:rsidRPr="00AC137D">
              <w:rPr>
                <w:rFonts w:eastAsiaTheme="minorEastAsia" w:cs="Calibri"/>
                <w:color w:val="000000"/>
                <w:szCs w:val="20"/>
                <w:lang w:eastAsia="en-AU"/>
              </w:rPr>
              <w:t>Contributions by plan participants</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Pr>
                <w:rFonts w:eastAsiaTheme="minorEastAsia" w:cs="Calibri"/>
                <w:color w:val="000000"/>
                <w:szCs w:val="20"/>
                <w:lang w:eastAsia="en-AU"/>
              </w:rPr>
              <w:t>188</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Pr>
                <w:rFonts w:eastAsiaTheme="minorEastAsia" w:cs="Calibri"/>
                <w:color w:val="000000"/>
                <w:szCs w:val="20"/>
                <w:lang w:eastAsia="en-AU"/>
              </w:rPr>
              <w:t>199</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Pr>
                <w:rFonts w:eastAsiaTheme="minorEastAsia" w:cs="Calibri"/>
                <w:color w:val="000000"/>
                <w:szCs w:val="20"/>
                <w:lang w:eastAsia="en-AU"/>
              </w:rPr>
              <w:t>193</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Pr>
                <w:rFonts w:eastAsiaTheme="minorEastAsia" w:cs="Calibri"/>
                <w:color w:val="000000"/>
                <w:szCs w:val="20"/>
                <w:lang w:eastAsia="en-AU"/>
              </w:rPr>
              <w:t>187</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Pr>
                <w:rFonts w:eastAsiaTheme="minorEastAsia" w:cs="Calibri"/>
                <w:color w:val="000000"/>
                <w:szCs w:val="20"/>
                <w:lang w:eastAsia="en-AU"/>
              </w:rPr>
              <w:t>182</w:t>
            </w:r>
          </w:p>
        </w:tc>
      </w:tr>
      <w:tr w:rsidR="00A46DCA" w:rsidRPr="00AC137D" w:rsidTr="00A26D04">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A46DCA" w:rsidRPr="00AC137D" w:rsidRDefault="00A46DCA" w:rsidP="00A26D04">
            <w:pPr>
              <w:keepLines w:val="0"/>
              <w:autoSpaceDE w:val="0"/>
              <w:autoSpaceDN w:val="0"/>
              <w:adjustRightInd w:val="0"/>
              <w:rPr>
                <w:rFonts w:eastAsiaTheme="minorEastAsia" w:cs="Calibri"/>
                <w:color w:val="000000"/>
                <w:szCs w:val="20"/>
                <w:lang w:eastAsia="en-AU"/>
              </w:rPr>
            </w:pPr>
            <w:r w:rsidRPr="00AC137D">
              <w:rPr>
                <w:rFonts w:eastAsiaTheme="minorEastAsia" w:cs="Calibri"/>
                <w:color w:val="000000"/>
                <w:szCs w:val="20"/>
                <w:lang w:eastAsia="en-AU"/>
              </w:rPr>
              <w:t>Benefits paid (including tax paid)</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AC137D">
              <w:rPr>
                <w:rFonts w:eastAsiaTheme="minorEastAsia" w:cs="Calibri"/>
                <w:color w:val="000000"/>
                <w:szCs w:val="20"/>
                <w:lang w:eastAsia="en-AU"/>
              </w:rPr>
              <w:t>(2 846)</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AC137D">
              <w:rPr>
                <w:rFonts w:eastAsiaTheme="minorEastAsia" w:cs="Calibri"/>
                <w:color w:val="000000"/>
                <w:szCs w:val="20"/>
                <w:lang w:eastAsia="en-AU"/>
              </w:rPr>
              <w:t>(3 002)</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AC137D">
              <w:rPr>
                <w:rFonts w:eastAsiaTheme="minorEastAsia" w:cs="Calibri"/>
                <w:color w:val="000000"/>
                <w:szCs w:val="20"/>
                <w:lang w:eastAsia="en-AU"/>
              </w:rPr>
              <w:t>(2 966)</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AC137D">
              <w:rPr>
                <w:rFonts w:eastAsiaTheme="minorEastAsia" w:cs="Calibri"/>
                <w:color w:val="000000"/>
                <w:szCs w:val="20"/>
                <w:lang w:eastAsia="en-AU"/>
              </w:rPr>
              <w:t>(2 992)</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AC137D">
              <w:rPr>
                <w:rFonts w:eastAsiaTheme="minorEastAsia" w:cs="Calibri"/>
                <w:color w:val="000000"/>
                <w:szCs w:val="20"/>
                <w:lang w:eastAsia="en-AU"/>
              </w:rPr>
              <w:t>(3 026)</w:t>
            </w:r>
          </w:p>
        </w:tc>
      </w:tr>
      <w:tr w:rsidR="00A46DCA" w:rsidRPr="00AC137D" w:rsidTr="00A26D04">
        <w:tc>
          <w:tcPr>
            <w:cnfStyle w:val="001000000000" w:firstRow="0" w:lastRow="0" w:firstColumn="1" w:lastColumn="0" w:oddVBand="0" w:evenVBand="0" w:oddHBand="0" w:evenHBand="0" w:firstRowFirstColumn="0" w:firstRowLastColumn="0" w:lastRowFirstColumn="0" w:lastRowLastColumn="0"/>
            <w:tcW w:w="3515" w:type="dxa"/>
            <w:tcBorders>
              <w:top w:val="single" w:sz="6" w:space="0" w:color="auto"/>
              <w:left w:val="nil"/>
              <w:bottom w:val="single" w:sz="12" w:space="0" w:color="auto"/>
              <w:right w:val="nil"/>
            </w:tcBorders>
          </w:tcPr>
          <w:p w:rsidR="00A46DCA" w:rsidRPr="00AC137D" w:rsidRDefault="00A46DCA" w:rsidP="00A26D04">
            <w:pPr>
              <w:keepLines w:val="0"/>
              <w:autoSpaceDE w:val="0"/>
              <w:autoSpaceDN w:val="0"/>
              <w:adjustRightInd w:val="0"/>
              <w:rPr>
                <w:rFonts w:eastAsiaTheme="minorEastAsia" w:cs="Calibri"/>
                <w:b/>
                <w:bCs/>
                <w:color w:val="000000"/>
                <w:szCs w:val="20"/>
                <w:lang w:eastAsia="en-AU"/>
              </w:rPr>
            </w:pPr>
            <w:r w:rsidRPr="00AC137D">
              <w:rPr>
                <w:rFonts w:eastAsiaTheme="minorEastAsia" w:cs="Calibri"/>
                <w:b/>
                <w:bCs/>
                <w:color w:val="000000"/>
                <w:szCs w:val="20"/>
                <w:lang w:eastAsia="en-AU"/>
              </w:rPr>
              <w:t>Closing balance of plan assets</w:t>
            </w:r>
          </w:p>
        </w:tc>
        <w:tc>
          <w:tcPr>
            <w:tcW w:w="850" w:type="dxa"/>
            <w:tcBorders>
              <w:top w:val="single" w:sz="6" w:space="0" w:color="auto"/>
              <w:left w:val="nil"/>
              <w:bottom w:val="single" w:sz="12" w:space="0" w:color="auto"/>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0"/>
                <w:lang w:eastAsia="en-AU"/>
              </w:rPr>
            </w:pPr>
            <w:r w:rsidRPr="00AC137D">
              <w:rPr>
                <w:rFonts w:eastAsiaTheme="minorEastAsia" w:cs="Calibri"/>
                <w:b/>
                <w:bCs/>
                <w:color w:val="000000"/>
                <w:szCs w:val="20"/>
                <w:lang w:eastAsia="en-AU"/>
              </w:rPr>
              <w:t>22 076</w:t>
            </w:r>
          </w:p>
        </w:tc>
        <w:tc>
          <w:tcPr>
            <w:tcW w:w="850" w:type="dxa"/>
            <w:tcBorders>
              <w:top w:val="single" w:sz="6" w:space="0" w:color="auto"/>
              <w:left w:val="nil"/>
              <w:bottom w:val="single" w:sz="12" w:space="0" w:color="auto"/>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0"/>
                <w:lang w:eastAsia="en-AU"/>
              </w:rPr>
            </w:pPr>
            <w:r w:rsidRPr="00AC137D">
              <w:rPr>
                <w:rFonts w:eastAsiaTheme="minorEastAsia" w:cs="Calibri"/>
                <w:b/>
                <w:bCs/>
                <w:color w:val="000000"/>
                <w:szCs w:val="20"/>
                <w:lang w:eastAsia="en-AU"/>
              </w:rPr>
              <w:t>21 891</w:t>
            </w:r>
          </w:p>
        </w:tc>
        <w:tc>
          <w:tcPr>
            <w:tcW w:w="850" w:type="dxa"/>
            <w:tcBorders>
              <w:top w:val="single" w:sz="6" w:space="0" w:color="auto"/>
              <w:left w:val="nil"/>
              <w:bottom w:val="single" w:sz="12" w:space="0" w:color="auto"/>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0"/>
                <w:lang w:eastAsia="en-AU"/>
              </w:rPr>
            </w:pPr>
            <w:r w:rsidRPr="00AC137D">
              <w:rPr>
                <w:rFonts w:eastAsiaTheme="minorEastAsia" w:cs="Calibri"/>
                <w:b/>
                <w:bCs/>
                <w:color w:val="000000"/>
                <w:szCs w:val="20"/>
                <w:lang w:eastAsia="en-AU"/>
              </w:rPr>
              <w:t>22 306</w:t>
            </w:r>
          </w:p>
        </w:tc>
        <w:tc>
          <w:tcPr>
            <w:tcW w:w="850" w:type="dxa"/>
            <w:tcBorders>
              <w:top w:val="single" w:sz="6" w:space="0" w:color="auto"/>
              <w:left w:val="nil"/>
              <w:bottom w:val="single" w:sz="12" w:space="0" w:color="auto"/>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0"/>
                <w:lang w:eastAsia="en-AU"/>
              </w:rPr>
            </w:pPr>
            <w:r w:rsidRPr="00AC137D">
              <w:rPr>
                <w:rFonts w:eastAsiaTheme="minorEastAsia" w:cs="Calibri"/>
                <w:b/>
                <w:bCs/>
                <w:color w:val="000000"/>
                <w:szCs w:val="20"/>
                <w:lang w:eastAsia="en-AU"/>
              </w:rPr>
              <w:t>22 712</w:t>
            </w:r>
          </w:p>
        </w:tc>
        <w:tc>
          <w:tcPr>
            <w:tcW w:w="850" w:type="dxa"/>
            <w:tcBorders>
              <w:top w:val="single" w:sz="6" w:space="0" w:color="auto"/>
              <w:left w:val="nil"/>
              <w:bottom w:val="single" w:sz="12" w:space="0" w:color="auto"/>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0"/>
                <w:lang w:eastAsia="en-AU"/>
              </w:rPr>
            </w:pPr>
            <w:r w:rsidRPr="00AC137D">
              <w:rPr>
                <w:rFonts w:eastAsiaTheme="minorEastAsia" w:cs="Calibri"/>
                <w:b/>
                <w:bCs/>
                <w:color w:val="000000"/>
                <w:szCs w:val="20"/>
                <w:lang w:eastAsia="en-AU"/>
              </w:rPr>
              <w:t>23 093</w:t>
            </w:r>
          </w:p>
        </w:tc>
      </w:tr>
    </w:tbl>
    <w:p w:rsidR="00A46DCA" w:rsidRPr="00B41AC3" w:rsidRDefault="00A46DCA" w:rsidP="00A26D04">
      <w:pPr>
        <w:pStyle w:val="Source"/>
      </w:pPr>
      <w:r w:rsidRPr="00D87D22">
        <w:t>Source: Department of Treasury and Finance</w:t>
      </w:r>
    </w:p>
    <w:bookmarkEnd w:id="50"/>
    <w:p w:rsidR="00A46DCA" w:rsidRDefault="00A46DCA" w:rsidP="00A26D04">
      <w:pPr>
        <w:pStyle w:val="Heading2"/>
        <w:pageBreakBefore/>
        <w:numPr>
          <w:ilvl w:val="1"/>
          <w:numId w:val="19"/>
        </w:numPr>
      </w:pPr>
      <w:r>
        <w:lastRenderedPageBreak/>
        <w:t>OTHER DISCLOSURES</w:t>
      </w:r>
    </w:p>
    <w:p w:rsidR="00A46DCA" w:rsidRDefault="00A46DCA" w:rsidP="00A26D04">
      <w:pPr>
        <w:pStyle w:val="Heading20"/>
        <w:sectPr w:rsidR="00A46DCA" w:rsidSect="00A26D04">
          <w:type w:val="continuous"/>
          <w:pgSz w:w="9979" w:h="14175" w:code="9"/>
          <w:pgMar w:top="850" w:right="1134" w:bottom="850" w:left="1134" w:header="624" w:footer="567" w:gutter="0"/>
          <w:cols w:sep="1" w:space="567"/>
          <w:docGrid w:linePitch="360"/>
        </w:sectPr>
      </w:pPr>
    </w:p>
    <w:p w:rsidR="00A46DCA" w:rsidRDefault="00A46DCA" w:rsidP="00A26D04">
      <w:pPr>
        <w:pStyle w:val="Heading30"/>
        <w:pBdr>
          <w:bottom w:val="single" w:sz="4" w:space="1" w:color="auto"/>
        </w:pBdr>
      </w:pPr>
      <w:r>
        <w:lastRenderedPageBreak/>
        <w:t>Introduction</w:t>
      </w:r>
    </w:p>
    <w:p w:rsidR="00A46DCA" w:rsidRDefault="00A46DCA" w:rsidP="00A26D04">
      <w:r>
        <w:t>This section includes several additional disclosures that assist the understanding of the Estimated Financial Statements.</w:t>
      </w:r>
    </w:p>
    <w:p w:rsidR="00A46DCA" w:rsidRDefault="00A46DCA" w:rsidP="00A26D04">
      <w:pPr>
        <w:pStyle w:val="Heading30"/>
        <w:pBdr>
          <w:bottom w:val="single" w:sz="4" w:space="1" w:color="auto"/>
        </w:pBdr>
      </w:pPr>
      <w:r>
        <w:br w:type="column"/>
      </w:r>
      <w:r>
        <w:lastRenderedPageBreak/>
        <w:t>Structure</w:t>
      </w:r>
    </w:p>
    <w:p w:rsidR="00A46DCA" w:rsidRDefault="00A46DCA">
      <w:pPr>
        <w:pStyle w:val="TOC9"/>
        <w:rPr>
          <w:rFonts w:eastAsiaTheme="minorEastAsia"/>
          <w:noProof/>
          <w:spacing w:val="0"/>
          <w:lang w:eastAsia="en-AU"/>
        </w:rPr>
      </w:pPr>
      <w:r>
        <w:fldChar w:fldCharType="begin"/>
      </w:r>
      <w:r>
        <w:instrText xml:space="preserve"> TOC \h \z \t "Heading 3 (#),9" \b Section_7 \* MERGEFORMAT </w:instrText>
      </w:r>
      <w:r>
        <w:fldChar w:fldCharType="separate"/>
      </w:r>
      <w:hyperlink w:anchor="_Toc496606682" w:history="1">
        <w:r w:rsidRPr="00352FF7">
          <w:rPr>
            <w:rStyle w:val="Hyperlink"/>
            <w:noProof/>
          </w:rPr>
          <w:t>4.7.1</w:t>
        </w:r>
        <w:r>
          <w:rPr>
            <w:rFonts w:eastAsiaTheme="minorEastAsia"/>
            <w:noProof/>
            <w:spacing w:val="0"/>
            <w:lang w:eastAsia="en-AU"/>
          </w:rPr>
          <w:tab/>
        </w:r>
        <w:r w:rsidRPr="00352FF7">
          <w:rPr>
            <w:rStyle w:val="Hyperlink"/>
            <w:noProof/>
          </w:rPr>
          <w:t>Other gains/(losses) from other economic flows</w:t>
        </w:r>
        <w:r>
          <w:rPr>
            <w:noProof/>
            <w:webHidden/>
          </w:rPr>
          <w:tab/>
        </w:r>
        <w:r>
          <w:rPr>
            <w:noProof/>
            <w:webHidden/>
          </w:rPr>
          <w:fldChar w:fldCharType="begin"/>
        </w:r>
        <w:r>
          <w:rPr>
            <w:noProof/>
            <w:webHidden/>
          </w:rPr>
          <w:instrText xml:space="preserve"> PAGEREF _Toc496606682 \h </w:instrText>
        </w:r>
        <w:r>
          <w:rPr>
            <w:noProof/>
            <w:webHidden/>
          </w:rPr>
        </w:r>
        <w:r>
          <w:rPr>
            <w:noProof/>
            <w:webHidden/>
          </w:rPr>
          <w:fldChar w:fldCharType="separate"/>
        </w:r>
        <w:r w:rsidR="00715FC3">
          <w:rPr>
            <w:noProof/>
            <w:webHidden/>
          </w:rPr>
          <w:t>66</w:t>
        </w:r>
        <w:r>
          <w:rPr>
            <w:noProof/>
            <w:webHidden/>
          </w:rPr>
          <w:fldChar w:fldCharType="end"/>
        </w:r>
      </w:hyperlink>
    </w:p>
    <w:p w:rsidR="00A46DCA" w:rsidRDefault="00715FC3">
      <w:pPr>
        <w:pStyle w:val="TOC9"/>
        <w:rPr>
          <w:rFonts w:eastAsiaTheme="minorEastAsia"/>
          <w:noProof/>
          <w:spacing w:val="0"/>
          <w:lang w:eastAsia="en-AU"/>
        </w:rPr>
      </w:pPr>
      <w:hyperlink w:anchor="_Toc496606683" w:history="1">
        <w:r w:rsidR="00A46DCA" w:rsidRPr="00352FF7">
          <w:rPr>
            <w:rStyle w:val="Hyperlink"/>
            <w:noProof/>
          </w:rPr>
          <w:t>4.7.2</w:t>
        </w:r>
        <w:r w:rsidR="00A46DCA">
          <w:rPr>
            <w:rFonts w:eastAsiaTheme="minorEastAsia"/>
            <w:noProof/>
            <w:spacing w:val="0"/>
            <w:lang w:eastAsia="en-AU"/>
          </w:rPr>
          <w:tab/>
        </w:r>
        <w:r w:rsidR="00A46DCA" w:rsidRPr="00352FF7">
          <w:rPr>
            <w:rStyle w:val="Hyperlink"/>
            <w:noProof/>
          </w:rPr>
          <w:t>Reconciliation to Government Finance Statistics</w:t>
        </w:r>
        <w:r w:rsidR="00A46DCA">
          <w:rPr>
            <w:noProof/>
            <w:webHidden/>
          </w:rPr>
          <w:tab/>
        </w:r>
        <w:r w:rsidR="00A46DCA">
          <w:rPr>
            <w:noProof/>
            <w:webHidden/>
          </w:rPr>
          <w:fldChar w:fldCharType="begin"/>
        </w:r>
        <w:r w:rsidR="00A46DCA">
          <w:rPr>
            <w:noProof/>
            <w:webHidden/>
          </w:rPr>
          <w:instrText xml:space="preserve"> PAGEREF _Toc496606683 \h </w:instrText>
        </w:r>
        <w:r w:rsidR="00A46DCA">
          <w:rPr>
            <w:noProof/>
            <w:webHidden/>
          </w:rPr>
        </w:r>
        <w:r w:rsidR="00A46DCA">
          <w:rPr>
            <w:noProof/>
            <w:webHidden/>
          </w:rPr>
          <w:fldChar w:fldCharType="separate"/>
        </w:r>
        <w:r>
          <w:rPr>
            <w:noProof/>
            <w:webHidden/>
          </w:rPr>
          <w:t>67</w:t>
        </w:r>
        <w:r w:rsidR="00A46DCA">
          <w:rPr>
            <w:noProof/>
            <w:webHidden/>
          </w:rPr>
          <w:fldChar w:fldCharType="end"/>
        </w:r>
      </w:hyperlink>
    </w:p>
    <w:p w:rsidR="00A46DCA" w:rsidRDefault="00715FC3">
      <w:pPr>
        <w:pStyle w:val="TOC9"/>
        <w:rPr>
          <w:rFonts w:eastAsiaTheme="minorEastAsia"/>
          <w:noProof/>
          <w:spacing w:val="0"/>
          <w:lang w:eastAsia="en-AU"/>
        </w:rPr>
      </w:pPr>
      <w:hyperlink w:anchor="_Toc496606684" w:history="1">
        <w:r w:rsidR="00A46DCA" w:rsidRPr="00352FF7">
          <w:rPr>
            <w:rStyle w:val="Hyperlink"/>
            <w:noProof/>
          </w:rPr>
          <w:t>4.7.3</w:t>
        </w:r>
        <w:r w:rsidR="00A46DCA">
          <w:rPr>
            <w:rFonts w:eastAsiaTheme="minorEastAsia"/>
            <w:noProof/>
            <w:spacing w:val="0"/>
            <w:lang w:eastAsia="en-AU"/>
          </w:rPr>
          <w:tab/>
        </w:r>
        <w:r w:rsidR="00A46DCA" w:rsidRPr="00352FF7">
          <w:rPr>
            <w:rStyle w:val="Hyperlink"/>
            <w:noProof/>
          </w:rPr>
          <w:t>Financial instruments</w:t>
        </w:r>
        <w:r w:rsidR="00A46DCA">
          <w:rPr>
            <w:noProof/>
            <w:webHidden/>
          </w:rPr>
          <w:tab/>
        </w:r>
        <w:r w:rsidR="00A46DCA">
          <w:rPr>
            <w:noProof/>
            <w:webHidden/>
          </w:rPr>
          <w:fldChar w:fldCharType="begin"/>
        </w:r>
        <w:r w:rsidR="00A46DCA">
          <w:rPr>
            <w:noProof/>
            <w:webHidden/>
          </w:rPr>
          <w:instrText xml:space="preserve"> PAGEREF _Toc496606684 \h </w:instrText>
        </w:r>
        <w:r w:rsidR="00A46DCA">
          <w:rPr>
            <w:noProof/>
            <w:webHidden/>
          </w:rPr>
        </w:r>
        <w:r w:rsidR="00A46DCA">
          <w:rPr>
            <w:noProof/>
            <w:webHidden/>
          </w:rPr>
          <w:fldChar w:fldCharType="separate"/>
        </w:r>
        <w:r>
          <w:rPr>
            <w:noProof/>
            <w:webHidden/>
          </w:rPr>
          <w:t>68</w:t>
        </w:r>
        <w:r w:rsidR="00A46DCA">
          <w:rPr>
            <w:noProof/>
            <w:webHidden/>
          </w:rPr>
          <w:fldChar w:fldCharType="end"/>
        </w:r>
      </w:hyperlink>
    </w:p>
    <w:p w:rsidR="00A46DCA" w:rsidRDefault="00715FC3">
      <w:pPr>
        <w:pStyle w:val="TOC9"/>
        <w:rPr>
          <w:rFonts w:eastAsiaTheme="minorEastAsia"/>
          <w:noProof/>
          <w:spacing w:val="0"/>
          <w:lang w:eastAsia="en-AU"/>
        </w:rPr>
      </w:pPr>
      <w:hyperlink w:anchor="_Toc496606685" w:history="1">
        <w:r w:rsidR="00A46DCA" w:rsidRPr="00352FF7">
          <w:rPr>
            <w:rStyle w:val="Hyperlink"/>
            <w:noProof/>
          </w:rPr>
          <w:t>4.7.4</w:t>
        </w:r>
        <w:r w:rsidR="00A46DCA">
          <w:rPr>
            <w:rFonts w:eastAsiaTheme="minorEastAsia"/>
            <w:noProof/>
            <w:spacing w:val="0"/>
            <w:lang w:eastAsia="en-AU"/>
          </w:rPr>
          <w:tab/>
        </w:r>
        <w:r w:rsidR="00A46DCA" w:rsidRPr="00352FF7">
          <w:rPr>
            <w:rStyle w:val="Hyperlink"/>
            <w:noProof/>
          </w:rPr>
          <w:t>Prospective accounting and reporting changes</w:t>
        </w:r>
        <w:r w:rsidR="00A46DCA">
          <w:rPr>
            <w:noProof/>
            <w:webHidden/>
          </w:rPr>
          <w:tab/>
        </w:r>
        <w:r w:rsidR="00A46DCA">
          <w:rPr>
            <w:noProof/>
            <w:webHidden/>
          </w:rPr>
          <w:fldChar w:fldCharType="begin"/>
        </w:r>
        <w:r w:rsidR="00A46DCA">
          <w:rPr>
            <w:noProof/>
            <w:webHidden/>
          </w:rPr>
          <w:instrText xml:space="preserve"> PAGEREF _Toc496606685 \h </w:instrText>
        </w:r>
        <w:r w:rsidR="00A46DCA">
          <w:rPr>
            <w:noProof/>
            <w:webHidden/>
          </w:rPr>
        </w:r>
        <w:r w:rsidR="00A46DCA">
          <w:rPr>
            <w:noProof/>
            <w:webHidden/>
          </w:rPr>
          <w:fldChar w:fldCharType="separate"/>
        </w:r>
        <w:r>
          <w:rPr>
            <w:noProof/>
            <w:webHidden/>
          </w:rPr>
          <w:t>68</w:t>
        </w:r>
        <w:r w:rsidR="00A46DCA">
          <w:rPr>
            <w:noProof/>
            <w:webHidden/>
          </w:rPr>
          <w:fldChar w:fldCharType="end"/>
        </w:r>
      </w:hyperlink>
    </w:p>
    <w:p w:rsidR="00A46DCA" w:rsidRDefault="00715FC3">
      <w:pPr>
        <w:pStyle w:val="TOC9"/>
        <w:rPr>
          <w:rFonts w:eastAsiaTheme="minorEastAsia"/>
          <w:noProof/>
          <w:spacing w:val="0"/>
          <w:lang w:eastAsia="en-AU"/>
        </w:rPr>
      </w:pPr>
      <w:hyperlink w:anchor="_Toc496606686" w:history="1">
        <w:r w:rsidR="00A46DCA" w:rsidRPr="00352FF7">
          <w:rPr>
            <w:rStyle w:val="Hyperlink"/>
            <w:noProof/>
          </w:rPr>
          <w:t>4.7.5</w:t>
        </w:r>
        <w:r w:rsidR="00A46DCA">
          <w:rPr>
            <w:rFonts w:eastAsiaTheme="minorEastAsia"/>
            <w:noProof/>
            <w:spacing w:val="0"/>
            <w:lang w:eastAsia="en-AU"/>
          </w:rPr>
          <w:tab/>
        </w:r>
        <w:r w:rsidR="00A46DCA" w:rsidRPr="00352FF7">
          <w:rPr>
            <w:rStyle w:val="Hyperlink"/>
            <w:noProof/>
          </w:rPr>
          <w:t>Controlled entities</w:t>
        </w:r>
        <w:r w:rsidR="00A46DCA">
          <w:rPr>
            <w:noProof/>
            <w:webHidden/>
          </w:rPr>
          <w:tab/>
        </w:r>
        <w:r w:rsidR="00A46DCA">
          <w:rPr>
            <w:noProof/>
            <w:webHidden/>
          </w:rPr>
          <w:fldChar w:fldCharType="begin"/>
        </w:r>
        <w:r w:rsidR="00A46DCA">
          <w:rPr>
            <w:noProof/>
            <w:webHidden/>
          </w:rPr>
          <w:instrText xml:space="preserve"> PAGEREF _Toc496606686 \h </w:instrText>
        </w:r>
        <w:r w:rsidR="00A46DCA">
          <w:rPr>
            <w:noProof/>
            <w:webHidden/>
          </w:rPr>
        </w:r>
        <w:r w:rsidR="00A46DCA">
          <w:rPr>
            <w:noProof/>
            <w:webHidden/>
          </w:rPr>
          <w:fldChar w:fldCharType="separate"/>
        </w:r>
        <w:r>
          <w:rPr>
            <w:noProof/>
            <w:webHidden/>
          </w:rPr>
          <w:t>69</w:t>
        </w:r>
        <w:r w:rsidR="00A46DCA">
          <w:rPr>
            <w:noProof/>
            <w:webHidden/>
          </w:rPr>
          <w:fldChar w:fldCharType="end"/>
        </w:r>
      </w:hyperlink>
    </w:p>
    <w:p w:rsidR="00A46DCA" w:rsidRDefault="00A46DCA" w:rsidP="00A26D04">
      <w:r>
        <w:rPr>
          <w:b/>
          <w:bCs/>
          <w:noProof/>
          <w:lang w:val="en-US"/>
        </w:rPr>
        <w:fldChar w:fldCharType="end"/>
      </w:r>
    </w:p>
    <w:p w:rsidR="00A46DCA" w:rsidRDefault="00A46DCA" w:rsidP="00A26D04">
      <w:pPr>
        <w:sectPr w:rsidR="00A46DCA" w:rsidSect="00A26D04">
          <w:type w:val="continuous"/>
          <w:pgSz w:w="9979" w:h="14175" w:code="9"/>
          <w:pgMar w:top="850" w:right="1134" w:bottom="850" w:left="1134" w:header="624" w:footer="567" w:gutter="0"/>
          <w:cols w:num="2" w:space="567"/>
          <w:docGrid w:linePitch="360"/>
        </w:sectPr>
      </w:pPr>
    </w:p>
    <w:p w:rsidR="00A46DCA" w:rsidRDefault="00A46DCA" w:rsidP="00A26D04"/>
    <w:p w:rsidR="00A46DCA" w:rsidRPr="00AC137D" w:rsidRDefault="00A46DCA" w:rsidP="00A26D04">
      <w:pPr>
        <w:pStyle w:val="Heading3"/>
        <w:numPr>
          <w:ilvl w:val="2"/>
          <w:numId w:val="19"/>
        </w:numPr>
        <w:tabs>
          <w:tab w:val="clear" w:pos="9582"/>
          <w:tab w:val="left" w:pos="850"/>
          <w:tab w:val="right" w:pos="7711"/>
        </w:tabs>
        <w:spacing w:after="60"/>
        <w:rPr>
          <w:lang w:val="en-US"/>
        </w:rPr>
      </w:pPr>
      <w:bookmarkStart w:id="53" w:name="_Toc496606682"/>
      <w:bookmarkStart w:id="54" w:name="Section_7"/>
      <w:r>
        <w:t>Other gains/(losses) from other economic flows</w:t>
      </w:r>
      <w:r>
        <w:tab/>
        <w:t>($ million)</w:t>
      </w:r>
      <w:bookmarkEnd w:id="53"/>
    </w:p>
    <w:tbl>
      <w:tblPr>
        <w:tblStyle w:val="DTFTable"/>
        <w:tblW w:w="7765" w:type="dxa"/>
        <w:tblInd w:w="45" w:type="dxa"/>
        <w:tblLayout w:type="fixed"/>
        <w:tblCellMar>
          <w:left w:w="45" w:type="dxa"/>
          <w:right w:w="45" w:type="dxa"/>
        </w:tblCellMar>
        <w:tblLook w:val="06E0" w:firstRow="1" w:lastRow="1" w:firstColumn="1" w:lastColumn="0" w:noHBand="1" w:noVBand="1"/>
      </w:tblPr>
      <w:tblGrid>
        <w:gridCol w:w="3628"/>
        <w:gridCol w:w="737"/>
        <w:gridCol w:w="850"/>
        <w:gridCol w:w="850"/>
        <w:gridCol w:w="850"/>
        <w:gridCol w:w="850"/>
      </w:tblGrid>
      <w:tr w:rsidR="00A26D04" w:rsidRPr="00AC137D" w:rsidTr="008110D9">
        <w:trPr>
          <w:cnfStyle w:val="100000000000" w:firstRow="1" w:lastRow="0" w:firstColumn="0" w:lastColumn="0" w:oddVBand="0" w:evenVBand="0" w:oddHBand="0" w:evenHBand="0" w:firstRowFirstColumn="0" w:firstRowLastColumn="0" w:lastRowFirstColumn="0" w:lastRowLastColumn="0"/>
          <w:trHeight w:val="70"/>
          <w:tblHeader/>
        </w:trPr>
        <w:tc>
          <w:tcPr>
            <w:cnfStyle w:val="001000000000" w:firstRow="0" w:lastRow="0" w:firstColumn="1" w:lastColumn="0" w:oddVBand="0" w:evenVBand="0" w:oddHBand="0" w:evenHBand="0" w:firstRowFirstColumn="0" w:firstRowLastColumn="0" w:lastRowFirstColumn="0" w:lastRowLastColumn="0"/>
            <w:tcW w:w="3628" w:type="dxa"/>
            <w:tcBorders>
              <w:top w:val="nil"/>
              <w:left w:val="nil"/>
              <w:right w:val="nil"/>
            </w:tcBorders>
            <w:shd w:val="solid" w:color="000000" w:fill="auto"/>
          </w:tcPr>
          <w:p w:rsidR="00A26D04" w:rsidRPr="00AC137D" w:rsidRDefault="00A26D04" w:rsidP="00A26D04">
            <w:pPr>
              <w:autoSpaceDE w:val="0"/>
              <w:autoSpaceDN w:val="0"/>
              <w:adjustRightInd w:val="0"/>
              <w:jc w:val="center"/>
              <w:rPr>
                <w:rFonts w:eastAsiaTheme="minorEastAsia" w:cs="Calibri"/>
                <w:iCs/>
                <w:color w:val="FFFFFF"/>
                <w:lang w:eastAsia="en-AU"/>
              </w:rPr>
            </w:pPr>
            <w:r w:rsidRPr="00AC137D">
              <w:rPr>
                <w:rFonts w:eastAsiaTheme="minorEastAsia" w:cs="Calibri"/>
                <w:iCs/>
                <w:color w:val="FFFFFF"/>
                <w:lang w:eastAsia="en-AU"/>
              </w:rPr>
              <w:t xml:space="preserve">  </w:t>
            </w:r>
          </w:p>
        </w:tc>
        <w:tc>
          <w:tcPr>
            <w:tcW w:w="737" w:type="dxa"/>
            <w:tcBorders>
              <w:top w:val="nil"/>
              <w:left w:val="nil"/>
              <w:right w:val="nil"/>
            </w:tcBorders>
            <w:shd w:val="solid" w:color="000000" w:fill="auto"/>
          </w:tcPr>
          <w:p w:rsidR="00A26D04" w:rsidRPr="00AC137D" w:rsidRDefault="00A26D04" w:rsidP="00A26D0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AC137D">
              <w:rPr>
                <w:rFonts w:eastAsiaTheme="minorEastAsia" w:cs="Calibri"/>
                <w:iCs/>
                <w:color w:val="FFFFFF"/>
                <w:szCs w:val="16"/>
                <w:lang w:eastAsia="en-AU"/>
              </w:rPr>
              <w:t>2017-18</w:t>
            </w:r>
            <w:r>
              <w:rPr>
                <w:rFonts w:eastAsiaTheme="minorEastAsia" w:cs="Calibri"/>
                <w:iCs/>
                <w:color w:val="FFFFFF"/>
                <w:szCs w:val="16"/>
                <w:lang w:eastAsia="en-AU"/>
              </w:rPr>
              <w:br/>
            </w:r>
            <w:r w:rsidRPr="00AC137D">
              <w:rPr>
                <w:rFonts w:eastAsiaTheme="minorEastAsia" w:cs="Calibri"/>
                <w:iCs/>
                <w:color w:val="FFFFFF"/>
                <w:szCs w:val="16"/>
                <w:lang w:eastAsia="en-AU"/>
              </w:rPr>
              <w:t>budget</w:t>
            </w:r>
          </w:p>
        </w:tc>
        <w:tc>
          <w:tcPr>
            <w:tcW w:w="850" w:type="dxa"/>
            <w:tcBorders>
              <w:top w:val="nil"/>
              <w:left w:val="nil"/>
              <w:right w:val="nil"/>
            </w:tcBorders>
            <w:shd w:val="solid" w:color="000000" w:fill="auto"/>
          </w:tcPr>
          <w:p w:rsidR="00A26D04" w:rsidRPr="00AC137D" w:rsidRDefault="00A26D04" w:rsidP="00A26D0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AC137D">
              <w:rPr>
                <w:rFonts w:eastAsiaTheme="minorEastAsia" w:cs="Calibri"/>
                <w:iCs/>
                <w:color w:val="FFFFFF"/>
                <w:szCs w:val="16"/>
                <w:lang w:eastAsia="en-AU"/>
              </w:rPr>
              <w:t>2017-18</w:t>
            </w:r>
            <w:r>
              <w:rPr>
                <w:rFonts w:eastAsiaTheme="minorEastAsia" w:cs="Calibri"/>
                <w:iCs/>
                <w:color w:val="FFFFFF"/>
                <w:szCs w:val="16"/>
                <w:lang w:eastAsia="en-AU"/>
              </w:rPr>
              <w:br/>
            </w:r>
            <w:r w:rsidRPr="00AC137D">
              <w:rPr>
                <w:rFonts w:eastAsiaTheme="minorEastAsia" w:cs="Calibri"/>
                <w:iCs/>
                <w:color w:val="FFFFFF"/>
                <w:szCs w:val="16"/>
                <w:lang w:eastAsia="en-AU"/>
              </w:rPr>
              <w:t>revised</w:t>
            </w:r>
          </w:p>
        </w:tc>
        <w:tc>
          <w:tcPr>
            <w:tcW w:w="850" w:type="dxa"/>
            <w:tcBorders>
              <w:top w:val="nil"/>
              <w:left w:val="nil"/>
              <w:right w:val="nil"/>
            </w:tcBorders>
            <w:shd w:val="solid" w:color="000000" w:fill="auto"/>
          </w:tcPr>
          <w:p w:rsidR="00A26D04" w:rsidRPr="00AC137D" w:rsidRDefault="00A26D04" w:rsidP="00A26D0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AC137D">
              <w:rPr>
                <w:rFonts w:eastAsiaTheme="minorEastAsia" w:cs="Calibri"/>
                <w:iCs/>
                <w:color w:val="FFFFFF"/>
                <w:szCs w:val="16"/>
                <w:lang w:eastAsia="en-AU"/>
              </w:rPr>
              <w:t>2018-19</w:t>
            </w:r>
            <w:r>
              <w:rPr>
                <w:rFonts w:eastAsiaTheme="minorEastAsia" w:cs="Calibri"/>
                <w:iCs/>
                <w:color w:val="FFFFFF"/>
                <w:szCs w:val="16"/>
                <w:lang w:eastAsia="en-AU"/>
              </w:rPr>
              <w:br/>
            </w:r>
            <w:r w:rsidRPr="00AC137D">
              <w:rPr>
                <w:rFonts w:eastAsiaTheme="minorEastAsia" w:cs="Calibri"/>
                <w:iCs/>
                <w:color w:val="FFFFFF"/>
                <w:szCs w:val="16"/>
                <w:lang w:eastAsia="en-AU"/>
              </w:rPr>
              <w:t>estimate</w:t>
            </w:r>
          </w:p>
        </w:tc>
        <w:tc>
          <w:tcPr>
            <w:tcW w:w="850" w:type="dxa"/>
            <w:tcBorders>
              <w:top w:val="nil"/>
              <w:left w:val="nil"/>
              <w:right w:val="nil"/>
            </w:tcBorders>
            <w:shd w:val="solid" w:color="000000" w:fill="auto"/>
          </w:tcPr>
          <w:p w:rsidR="00A26D04" w:rsidRPr="00AC137D" w:rsidRDefault="00A26D04" w:rsidP="00A26D0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AC137D">
              <w:rPr>
                <w:rFonts w:eastAsiaTheme="minorEastAsia" w:cs="Calibri"/>
                <w:iCs/>
                <w:color w:val="FFFFFF"/>
                <w:szCs w:val="16"/>
                <w:lang w:eastAsia="en-AU"/>
              </w:rPr>
              <w:t>2019-20</w:t>
            </w:r>
            <w:r>
              <w:rPr>
                <w:rFonts w:eastAsiaTheme="minorEastAsia" w:cs="Calibri"/>
                <w:iCs/>
                <w:color w:val="FFFFFF"/>
                <w:szCs w:val="16"/>
                <w:lang w:eastAsia="en-AU"/>
              </w:rPr>
              <w:br/>
            </w:r>
            <w:r w:rsidRPr="00AC137D">
              <w:rPr>
                <w:rFonts w:eastAsiaTheme="minorEastAsia" w:cs="Calibri"/>
                <w:iCs/>
                <w:color w:val="FFFFFF"/>
                <w:szCs w:val="16"/>
                <w:lang w:eastAsia="en-AU"/>
              </w:rPr>
              <w:t>estimate</w:t>
            </w:r>
          </w:p>
        </w:tc>
        <w:tc>
          <w:tcPr>
            <w:tcW w:w="850" w:type="dxa"/>
            <w:tcBorders>
              <w:top w:val="nil"/>
              <w:left w:val="nil"/>
              <w:right w:val="nil"/>
            </w:tcBorders>
            <w:shd w:val="solid" w:color="000000" w:fill="auto"/>
          </w:tcPr>
          <w:p w:rsidR="00A26D04" w:rsidRPr="00AC137D" w:rsidRDefault="00A26D04" w:rsidP="00A26D0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AC137D">
              <w:rPr>
                <w:rFonts w:eastAsiaTheme="minorEastAsia" w:cs="Calibri"/>
                <w:iCs/>
                <w:color w:val="FFFFFF"/>
                <w:szCs w:val="16"/>
                <w:lang w:eastAsia="en-AU"/>
              </w:rPr>
              <w:t>2020-21</w:t>
            </w:r>
            <w:r>
              <w:rPr>
                <w:rFonts w:eastAsiaTheme="minorEastAsia" w:cs="Calibri"/>
                <w:iCs/>
                <w:color w:val="FFFFFF"/>
                <w:szCs w:val="16"/>
                <w:lang w:eastAsia="en-AU"/>
              </w:rPr>
              <w:br/>
            </w:r>
            <w:r w:rsidRPr="00AC137D">
              <w:rPr>
                <w:rFonts w:eastAsiaTheme="minorEastAsia" w:cs="Calibri"/>
                <w:iCs/>
                <w:color w:val="FFFFFF"/>
                <w:szCs w:val="16"/>
                <w:lang w:eastAsia="en-AU"/>
              </w:rPr>
              <w:t>estimate</w:t>
            </w:r>
          </w:p>
        </w:tc>
      </w:tr>
      <w:tr w:rsidR="00A46DCA" w:rsidRPr="00AC137D" w:rsidTr="00A26D04">
        <w:tc>
          <w:tcPr>
            <w:cnfStyle w:val="001000000000" w:firstRow="0" w:lastRow="0" w:firstColumn="1" w:lastColumn="0" w:oddVBand="0" w:evenVBand="0" w:oddHBand="0" w:evenHBand="0" w:firstRowFirstColumn="0" w:firstRowLastColumn="0" w:lastRowFirstColumn="0" w:lastRowLastColumn="0"/>
            <w:tcW w:w="3628" w:type="dxa"/>
            <w:tcBorders>
              <w:top w:val="nil"/>
              <w:left w:val="nil"/>
              <w:bottom w:val="nil"/>
              <w:right w:val="nil"/>
            </w:tcBorders>
          </w:tcPr>
          <w:p w:rsidR="00A46DCA" w:rsidRPr="00AC137D" w:rsidRDefault="00A46DCA" w:rsidP="00A26D04">
            <w:pPr>
              <w:keepLines w:val="0"/>
              <w:autoSpaceDE w:val="0"/>
              <w:autoSpaceDN w:val="0"/>
              <w:adjustRightInd w:val="0"/>
              <w:rPr>
                <w:rFonts w:eastAsiaTheme="minorEastAsia" w:cs="Calibri"/>
                <w:color w:val="000000"/>
                <w:szCs w:val="16"/>
                <w:lang w:eastAsia="en-AU"/>
              </w:rPr>
            </w:pPr>
            <w:r w:rsidRPr="00AC137D">
              <w:rPr>
                <w:rFonts w:eastAsiaTheme="minorEastAsia" w:cs="Calibri"/>
                <w:color w:val="000000"/>
                <w:szCs w:val="16"/>
                <w:lang w:eastAsia="en-AU"/>
              </w:rPr>
              <w:t>Net (increase)/decrease in provision for doubtful receivables</w:t>
            </w:r>
          </w:p>
        </w:tc>
        <w:tc>
          <w:tcPr>
            <w:tcW w:w="737"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(205)</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(205)</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(212)</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(208)</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(230)</w:t>
            </w:r>
          </w:p>
        </w:tc>
      </w:tr>
      <w:tr w:rsidR="00A46DCA" w:rsidRPr="00AC137D" w:rsidTr="00A26D04">
        <w:tc>
          <w:tcPr>
            <w:cnfStyle w:val="001000000000" w:firstRow="0" w:lastRow="0" w:firstColumn="1" w:lastColumn="0" w:oddVBand="0" w:evenVBand="0" w:oddHBand="0" w:evenHBand="0" w:firstRowFirstColumn="0" w:firstRowLastColumn="0" w:lastRowFirstColumn="0" w:lastRowLastColumn="0"/>
            <w:tcW w:w="3628" w:type="dxa"/>
            <w:tcBorders>
              <w:top w:val="nil"/>
              <w:left w:val="nil"/>
              <w:bottom w:val="nil"/>
              <w:right w:val="nil"/>
            </w:tcBorders>
          </w:tcPr>
          <w:p w:rsidR="00A46DCA" w:rsidRPr="00AC137D" w:rsidRDefault="00A46DCA" w:rsidP="00A26D04">
            <w:pPr>
              <w:keepLines w:val="0"/>
              <w:autoSpaceDE w:val="0"/>
              <w:autoSpaceDN w:val="0"/>
              <w:adjustRightInd w:val="0"/>
              <w:rPr>
                <w:rFonts w:eastAsiaTheme="minorEastAsia" w:cs="Calibri"/>
                <w:color w:val="000000"/>
                <w:szCs w:val="16"/>
                <w:lang w:eastAsia="en-AU"/>
              </w:rPr>
            </w:pPr>
            <w:r w:rsidRPr="00AC137D">
              <w:rPr>
                <w:rFonts w:eastAsiaTheme="minorEastAsia" w:cs="Calibri"/>
                <w:color w:val="000000"/>
                <w:szCs w:val="16"/>
                <w:lang w:eastAsia="en-AU"/>
              </w:rPr>
              <w:t>Amortisation of intangible non-produced assets</w:t>
            </w:r>
          </w:p>
        </w:tc>
        <w:tc>
          <w:tcPr>
            <w:tcW w:w="737"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(4)</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(4)</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(4)</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(4)</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(4)</w:t>
            </w:r>
          </w:p>
        </w:tc>
      </w:tr>
      <w:tr w:rsidR="00A46DCA" w:rsidRPr="00AC137D" w:rsidTr="00A26D04">
        <w:tc>
          <w:tcPr>
            <w:cnfStyle w:val="001000000000" w:firstRow="0" w:lastRow="0" w:firstColumn="1" w:lastColumn="0" w:oddVBand="0" w:evenVBand="0" w:oddHBand="0" w:evenHBand="0" w:firstRowFirstColumn="0" w:firstRowLastColumn="0" w:lastRowFirstColumn="0" w:lastRowLastColumn="0"/>
            <w:tcW w:w="3628" w:type="dxa"/>
            <w:tcBorders>
              <w:top w:val="nil"/>
              <w:left w:val="nil"/>
              <w:bottom w:val="nil"/>
              <w:right w:val="nil"/>
            </w:tcBorders>
          </w:tcPr>
          <w:p w:rsidR="00A46DCA" w:rsidRPr="00AC137D" w:rsidRDefault="00A46DCA" w:rsidP="00A26D04">
            <w:pPr>
              <w:keepLines w:val="0"/>
              <w:autoSpaceDE w:val="0"/>
              <w:autoSpaceDN w:val="0"/>
              <w:adjustRightInd w:val="0"/>
              <w:rPr>
                <w:rFonts w:eastAsiaTheme="minorEastAsia" w:cs="Calibri"/>
                <w:color w:val="000000"/>
                <w:szCs w:val="16"/>
                <w:lang w:eastAsia="en-AU"/>
              </w:rPr>
            </w:pPr>
            <w:r w:rsidRPr="00AC137D">
              <w:rPr>
                <w:rFonts w:eastAsiaTheme="minorEastAsia" w:cs="Calibri"/>
                <w:color w:val="000000"/>
                <w:szCs w:val="16"/>
                <w:lang w:eastAsia="en-AU"/>
              </w:rPr>
              <w:t>Bad debts written off</w:t>
            </w:r>
          </w:p>
        </w:tc>
        <w:tc>
          <w:tcPr>
            <w:tcW w:w="737"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(159)</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(159)</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(159)</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(169)</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(155)</w:t>
            </w:r>
          </w:p>
        </w:tc>
      </w:tr>
      <w:tr w:rsidR="00A46DCA" w:rsidRPr="00AC137D" w:rsidTr="00A26D04">
        <w:tc>
          <w:tcPr>
            <w:cnfStyle w:val="001000000000" w:firstRow="0" w:lastRow="0" w:firstColumn="1" w:lastColumn="0" w:oddVBand="0" w:evenVBand="0" w:oddHBand="0" w:evenHBand="0" w:firstRowFirstColumn="0" w:firstRowLastColumn="0" w:lastRowFirstColumn="0" w:lastRowLastColumn="0"/>
            <w:tcW w:w="3628" w:type="dxa"/>
            <w:tcBorders>
              <w:top w:val="nil"/>
              <w:left w:val="nil"/>
              <w:bottom w:val="nil"/>
              <w:right w:val="nil"/>
            </w:tcBorders>
          </w:tcPr>
          <w:p w:rsidR="00A46DCA" w:rsidRPr="00AC137D" w:rsidRDefault="00A46DCA" w:rsidP="00A26D04">
            <w:pPr>
              <w:keepLines w:val="0"/>
              <w:autoSpaceDE w:val="0"/>
              <w:autoSpaceDN w:val="0"/>
              <w:adjustRightInd w:val="0"/>
              <w:rPr>
                <w:rFonts w:eastAsiaTheme="minorEastAsia" w:cs="Calibri"/>
                <w:color w:val="000000"/>
                <w:szCs w:val="16"/>
                <w:lang w:eastAsia="en-AU"/>
              </w:rPr>
            </w:pPr>
            <w:r w:rsidRPr="00AC137D">
              <w:rPr>
                <w:rFonts w:eastAsiaTheme="minorEastAsia" w:cs="Calibri"/>
                <w:color w:val="000000"/>
                <w:szCs w:val="16"/>
                <w:lang w:eastAsia="en-AU"/>
              </w:rPr>
              <w:t xml:space="preserve">Other gains/(losses) </w:t>
            </w:r>
          </w:p>
        </w:tc>
        <w:tc>
          <w:tcPr>
            <w:tcW w:w="737"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(2)</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(2)</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(2)</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(3)</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(3)</w:t>
            </w:r>
          </w:p>
        </w:tc>
      </w:tr>
      <w:tr w:rsidR="00A46DCA" w:rsidRPr="00AC137D" w:rsidTr="00A26D04">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28" w:type="dxa"/>
            <w:tcBorders>
              <w:top w:val="single" w:sz="6" w:space="0" w:color="000000"/>
              <w:bottom w:val="single" w:sz="12" w:space="0" w:color="000000"/>
            </w:tcBorders>
          </w:tcPr>
          <w:p w:rsidR="00A46DCA" w:rsidRPr="00AC137D" w:rsidRDefault="00A46DCA" w:rsidP="00A26D04">
            <w:pPr>
              <w:keepLines w:val="0"/>
              <w:autoSpaceDE w:val="0"/>
              <w:autoSpaceDN w:val="0"/>
              <w:adjustRightInd w:val="0"/>
              <w:rPr>
                <w:rFonts w:eastAsiaTheme="minorEastAsia" w:cs="Calibri"/>
                <w:bCs/>
                <w:color w:val="000000"/>
                <w:szCs w:val="16"/>
                <w:lang w:eastAsia="en-AU"/>
              </w:rPr>
            </w:pPr>
            <w:r w:rsidRPr="00AC137D">
              <w:rPr>
                <w:rFonts w:eastAsiaTheme="minorEastAsia" w:cs="Calibri"/>
                <w:bCs/>
                <w:color w:val="000000"/>
                <w:szCs w:val="16"/>
                <w:lang w:eastAsia="en-AU"/>
              </w:rPr>
              <w:t>Total other gains/(losses) from other economic flows</w:t>
            </w:r>
          </w:p>
        </w:tc>
        <w:tc>
          <w:tcPr>
            <w:tcW w:w="737" w:type="dxa"/>
            <w:tcBorders>
              <w:top w:val="single" w:sz="6" w:space="0" w:color="000000"/>
              <w:bottom w:val="single" w:sz="12" w:space="0" w:color="000000"/>
            </w:tcBorders>
          </w:tcPr>
          <w:p w:rsidR="00A46DCA" w:rsidRPr="00AC137D" w:rsidRDefault="00A46DCA" w:rsidP="00A26D0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Arial"/>
                <w:bCs/>
                <w:color w:val="000000"/>
                <w:szCs w:val="18"/>
                <w:lang w:eastAsia="en-AU"/>
              </w:rPr>
            </w:pPr>
            <w:r>
              <w:rPr>
                <w:rFonts w:eastAsiaTheme="minorEastAsia" w:cs="Arial"/>
                <w:bCs/>
                <w:color w:val="000000"/>
                <w:szCs w:val="18"/>
                <w:lang w:eastAsia="en-AU"/>
              </w:rPr>
              <w:t>(370)</w:t>
            </w:r>
          </w:p>
        </w:tc>
        <w:tc>
          <w:tcPr>
            <w:tcW w:w="850" w:type="dxa"/>
            <w:tcBorders>
              <w:top w:val="single" w:sz="6" w:space="0" w:color="000000"/>
              <w:bottom w:val="single" w:sz="12" w:space="0" w:color="000000"/>
            </w:tcBorders>
          </w:tcPr>
          <w:p w:rsidR="00A46DCA" w:rsidRPr="00AC137D" w:rsidRDefault="00A46DCA" w:rsidP="00A26D0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Arial"/>
                <w:bCs/>
                <w:color w:val="000000"/>
                <w:szCs w:val="18"/>
                <w:lang w:eastAsia="en-AU"/>
              </w:rPr>
            </w:pPr>
            <w:r>
              <w:rPr>
                <w:rFonts w:eastAsiaTheme="minorEastAsia" w:cs="Arial"/>
                <w:bCs/>
                <w:color w:val="000000"/>
                <w:szCs w:val="18"/>
                <w:lang w:eastAsia="en-AU"/>
              </w:rPr>
              <w:t>(370)</w:t>
            </w:r>
          </w:p>
        </w:tc>
        <w:tc>
          <w:tcPr>
            <w:tcW w:w="850" w:type="dxa"/>
            <w:tcBorders>
              <w:top w:val="single" w:sz="6" w:space="0" w:color="000000"/>
              <w:bottom w:val="single" w:sz="12" w:space="0" w:color="000000"/>
            </w:tcBorders>
          </w:tcPr>
          <w:p w:rsidR="00A46DCA" w:rsidRPr="00AC137D" w:rsidRDefault="00A46DCA" w:rsidP="00A26D0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Arial"/>
                <w:bCs/>
                <w:color w:val="000000"/>
                <w:szCs w:val="18"/>
                <w:lang w:eastAsia="en-AU"/>
              </w:rPr>
            </w:pPr>
            <w:r>
              <w:rPr>
                <w:rFonts w:eastAsiaTheme="minorEastAsia" w:cs="Arial"/>
                <w:bCs/>
                <w:color w:val="000000"/>
                <w:szCs w:val="18"/>
                <w:lang w:eastAsia="en-AU"/>
              </w:rPr>
              <w:t>(377)</w:t>
            </w:r>
          </w:p>
        </w:tc>
        <w:tc>
          <w:tcPr>
            <w:tcW w:w="850" w:type="dxa"/>
            <w:tcBorders>
              <w:top w:val="single" w:sz="6" w:space="0" w:color="000000"/>
              <w:bottom w:val="single" w:sz="12" w:space="0" w:color="000000"/>
            </w:tcBorders>
          </w:tcPr>
          <w:p w:rsidR="00A46DCA" w:rsidRPr="00AC137D" w:rsidRDefault="00A46DCA" w:rsidP="00A26D0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Arial"/>
                <w:bCs/>
                <w:color w:val="000000"/>
                <w:szCs w:val="18"/>
                <w:lang w:eastAsia="en-AU"/>
              </w:rPr>
            </w:pPr>
            <w:r>
              <w:rPr>
                <w:rFonts w:eastAsiaTheme="minorEastAsia" w:cs="Arial"/>
                <w:bCs/>
                <w:color w:val="000000"/>
                <w:szCs w:val="18"/>
                <w:lang w:eastAsia="en-AU"/>
              </w:rPr>
              <w:t>(383)</w:t>
            </w:r>
          </w:p>
        </w:tc>
        <w:tc>
          <w:tcPr>
            <w:tcW w:w="850" w:type="dxa"/>
            <w:tcBorders>
              <w:top w:val="single" w:sz="6" w:space="0" w:color="000000"/>
              <w:bottom w:val="single" w:sz="12" w:space="0" w:color="000000"/>
            </w:tcBorders>
          </w:tcPr>
          <w:p w:rsidR="00A46DCA" w:rsidRPr="00AC137D" w:rsidRDefault="00A46DCA" w:rsidP="00A26D0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Arial"/>
                <w:bCs/>
                <w:color w:val="000000"/>
                <w:szCs w:val="18"/>
                <w:lang w:eastAsia="en-AU"/>
              </w:rPr>
            </w:pPr>
            <w:r>
              <w:rPr>
                <w:rFonts w:eastAsiaTheme="minorEastAsia" w:cs="Arial"/>
                <w:bCs/>
                <w:color w:val="000000"/>
                <w:szCs w:val="18"/>
                <w:lang w:eastAsia="en-AU"/>
              </w:rPr>
              <w:t>(391)</w:t>
            </w:r>
          </w:p>
        </w:tc>
      </w:tr>
    </w:tbl>
    <w:p w:rsidR="00A46DCA" w:rsidRDefault="00A46DCA" w:rsidP="00A26D04">
      <w:pPr>
        <w:pStyle w:val="Source"/>
      </w:pPr>
      <w:r w:rsidRPr="00D87D22">
        <w:t>Source: Department of Treasury and Finance</w:t>
      </w:r>
    </w:p>
    <w:p w:rsidR="00A46DCA" w:rsidRPr="00B41AC3" w:rsidRDefault="00A46DCA" w:rsidP="00A26D04">
      <w:pPr>
        <w:keepLines w:val="0"/>
      </w:pPr>
      <w:r>
        <w:br w:type="page"/>
      </w:r>
    </w:p>
    <w:p w:rsidR="00A46DCA" w:rsidRPr="00AC137D" w:rsidRDefault="00A46DCA" w:rsidP="00A26D04">
      <w:pPr>
        <w:pStyle w:val="Heading3"/>
        <w:numPr>
          <w:ilvl w:val="2"/>
          <w:numId w:val="19"/>
        </w:numPr>
        <w:tabs>
          <w:tab w:val="clear" w:pos="9582"/>
          <w:tab w:val="left" w:pos="850"/>
          <w:tab w:val="right" w:pos="7711"/>
        </w:tabs>
        <w:spacing w:after="60"/>
        <w:rPr>
          <w:lang w:val="en-US"/>
        </w:rPr>
      </w:pPr>
      <w:bookmarkStart w:id="55" w:name="_Toc496606683"/>
      <w:r>
        <w:lastRenderedPageBreak/>
        <w:t xml:space="preserve">Reconciliation to Government Finance Statistics </w:t>
      </w:r>
      <w:r w:rsidRPr="00A1067C">
        <w:rPr>
          <w:vertAlign w:val="superscript"/>
        </w:rPr>
        <w:t>(a)</w:t>
      </w:r>
      <w:r>
        <w:tab/>
        <w:t>($ million)</w:t>
      </w:r>
      <w:bookmarkEnd w:id="55"/>
    </w:p>
    <w:tbl>
      <w:tblPr>
        <w:tblStyle w:val="DTFTable"/>
        <w:tblW w:w="7765" w:type="dxa"/>
        <w:tblInd w:w="45" w:type="dxa"/>
        <w:tblLayout w:type="fixed"/>
        <w:tblCellMar>
          <w:left w:w="45" w:type="dxa"/>
          <w:right w:w="45" w:type="dxa"/>
        </w:tblCellMar>
        <w:tblLook w:val="06E0" w:firstRow="1" w:lastRow="1" w:firstColumn="1" w:lastColumn="0" w:noHBand="1" w:noVBand="1"/>
      </w:tblPr>
      <w:tblGrid>
        <w:gridCol w:w="3515"/>
        <w:gridCol w:w="850"/>
        <w:gridCol w:w="850"/>
        <w:gridCol w:w="850"/>
        <w:gridCol w:w="850"/>
        <w:gridCol w:w="850"/>
      </w:tblGrid>
      <w:tr w:rsidR="00A26D04" w:rsidRPr="00AC137D" w:rsidTr="008110D9">
        <w:trPr>
          <w:cnfStyle w:val="100000000000" w:firstRow="1" w:lastRow="0" w:firstColumn="0" w:lastColumn="0" w:oddVBand="0" w:evenVBand="0" w:oddHBand="0" w:evenHBand="0" w:firstRowFirstColumn="0" w:firstRowLastColumn="0" w:lastRowFirstColumn="0" w:lastRowLastColumn="0"/>
          <w:trHeight w:val="70"/>
          <w:tblHeader/>
        </w:trPr>
        <w:tc>
          <w:tcPr>
            <w:cnfStyle w:val="001000000000" w:firstRow="0" w:lastRow="0" w:firstColumn="1" w:lastColumn="0" w:oddVBand="0" w:evenVBand="0" w:oddHBand="0" w:evenHBand="0" w:firstRowFirstColumn="0" w:firstRowLastColumn="0" w:lastRowFirstColumn="0" w:lastRowLastColumn="0"/>
            <w:tcW w:w="3515" w:type="dxa"/>
            <w:tcBorders>
              <w:top w:val="nil"/>
              <w:left w:val="nil"/>
              <w:right w:val="nil"/>
            </w:tcBorders>
            <w:shd w:val="solid" w:color="000000" w:fill="auto"/>
          </w:tcPr>
          <w:p w:rsidR="00A26D04" w:rsidRPr="00AC137D" w:rsidRDefault="00A26D04" w:rsidP="00A26D04">
            <w:pPr>
              <w:autoSpaceDE w:val="0"/>
              <w:autoSpaceDN w:val="0"/>
              <w:adjustRightInd w:val="0"/>
              <w:spacing w:after="0"/>
              <w:rPr>
                <w:rFonts w:eastAsiaTheme="minorEastAsia" w:cs="Calibri"/>
                <w:b/>
                <w:bCs/>
                <w:color w:val="FFFFFF"/>
                <w:sz w:val="16"/>
                <w:lang w:eastAsia="en-AU"/>
              </w:rPr>
            </w:pPr>
            <w:r w:rsidRPr="00AC137D">
              <w:rPr>
                <w:rFonts w:eastAsiaTheme="minorEastAsia" w:cs="Calibri"/>
                <w:b/>
                <w:bCs/>
                <w:color w:val="FFFFFF"/>
                <w:sz w:val="16"/>
                <w:lang w:eastAsia="en-AU"/>
              </w:rPr>
              <w:t xml:space="preserve"> </w:t>
            </w:r>
            <w:r w:rsidRPr="00AC137D">
              <w:rPr>
                <w:rFonts w:eastAsiaTheme="minorEastAsia" w:cs="Calibri"/>
                <w:color w:val="FFFFFF"/>
                <w:sz w:val="16"/>
                <w:lang w:eastAsia="en-AU"/>
              </w:rPr>
              <w:t xml:space="preserve"> </w:t>
            </w:r>
          </w:p>
        </w:tc>
        <w:tc>
          <w:tcPr>
            <w:tcW w:w="850" w:type="dxa"/>
            <w:tcBorders>
              <w:top w:val="nil"/>
              <w:left w:val="nil"/>
              <w:right w:val="nil"/>
            </w:tcBorders>
            <w:shd w:val="solid" w:color="000000" w:fill="auto"/>
          </w:tcPr>
          <w:p w:rsidR="00A26D04" w:rsidRPr="00AC137D" w:rsidRDefault="00A26D04" w:rsidP="00A26D04">
            <w:pPr>
              <w:keepLines w:val="0"/>
              <w:autoSpaceDE w:val="0"/>
              <w:autoSpaceDN w:val="0"/>
              <w:adjustRightInd w:val="0"/>
              <w:spacing w:after="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 w:val="16"/>
                <w:szCs w:val="20"/>
                <w:lang w:eastAsia="en-AU"/>
              </w:rPr>
            </w:pPr>
            <w:r w:rsidRPr="00AC137D">
              <w:rPr>
                <w:rFonts w:eastAsiaTheme="minorEastAsia" w:cs="Calibri"/>
                <w:iCs/>
                <w:color w:val="FFFFFF"/>
                <w:sz w:val="16"/>
                <w:szCs w:val="20"/>
                <w:lang w:eastAsia="en-AU"/>
              </w:rPr>
              <w:t xml:space="preserve"> 2017-18</w:t>
            </w:r>
            <w:r>
              <w:rPr>
                <w:rFonts w:eastAsiaTheme="minorEastAsia" w:cs="Calibri"/>
                <w:iCs/>
                <w:color w:val="FFFFFF"/>
                <w:sz w:val="16"/>
                <w:szCs w:val="20"/>
                <w:lang w:eastAsia="en-AU"/>
              </w:rPr>
              <w:br/>
            </w:r>
            <w:r w:rsidRPr="00AC137D">
              <w:rPr>
                <w:rFonts w:eastAsiaTheme="minorEastAsia" w:cs="Calibri"/>
                <w:iCs/>
                <w:color w:val="FFFFFF"/>
                <w:sz w:val="16"/>
                <w:szCs w:val="20"/>
                <w:lang w:eastAsia="en-AU"/>
              </w:rPr>
              <w:t>budget</w:t>
            </w:r>
          </w:p>
        </w:tc>
        <w:tc>
          <w:tcPr>
            <w:tcW w:w="850" w:type="dxa"/>
            <w:tcBorders>
              <w:top w:val="nil"/>
              <w:left w:val="nil"/>
              <w:right w:val="nil"/>
            </w:tcBorders>
            <w:shd w:val="solid" w:color="000000" w:fill="auto"/>
          </w:tcPr>
          <w:p w:rsidR="00A26D04" w:rsidRPr="00AC137D" w:rsidRDefault="00A26D04" w:rsidP="00A26D04">
            <w:pPr>
              <w:keepLines w:val="0"/>
              <w:autoSpaceDE w:val="0"/>
              <w:autoSpaceDN w:val="0"/>
              <w:adjustRightInd w:val="0"/>
              <w:spacing w:after="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 w:val="16"/>
                <w:szCs w:val="20"/>
                <w:lang w:eastAsia="en-AU"/>
              </w:rPr>
            </w:pPr>
            <w:r w:rsidRPr="00AC137D">
              <w:rPr>
                <w:rFonts w:eastAsiaTheme="minorEastAsia" w:cs="Calibri"/>
                <w:iCs/>
                <w:color w:val="FFFFFF"/>
                <w:sz w:val="16"/>
                <w:szCs w:val="20"/>
                <w:lang w:eastAsia="en-AU"/>
              </w:rPr>
              <w:t xml:space="preserve"> 2017-18</w:t>
            </w:r>
            <w:r>
              <w:rPr>
                <w:rFonts w:eastAsiaTheme="minorEastAsia" w:cs="Calibri"/>
                <w:iCs/>
                <w:color w:val="FFFFFF"/>
                <w:sz w:val="16"/>
                <w:szCs w:val="20"/>
                <w:lang w:eastAsia="en-AU"/>
              </w:rPr>
              <w:br/>
            </w:r>
            <w:r w:rsidRPr="00AC137D">
              <w:rPr>
                <w:rFonts w:eastAsiaTheme="minorEastAsia" w:cs="Calibri"/>
                <w:iCs/>
                <w:color w:val="FFFFFF"/>
                <w:sz w:val="16"/>
                <w:szCs w:val="20"/>
                <w:lang w:eastAsia="en-AU"/>
              </w:rPr>
              <w:t>revised</w:t>
            </w:r>
          </w:p>
        </w:tc>
        <w:tc>
          <w:tcPr>
            <w:tcW w:w="850" w:type="dxa"/>
            <w:tcBorders>
              <w:top w:val="nil"/>
              <w:left w:val="nil"/>
              <w:right w:val="nil"/>
            </w:tcBorders>
            <w:shd w:val="solid" w:color="000000" w:fill="auto"/>
          </w:tcPr>
          <w:p w:rsidR="00A26D04" w:rsidRPr="00AC137D" w:rsidRDefault="00A26D04" w:rsidP="00A26D04">
            <w:pPr>
              <w:keepLines w:val="0"/>
              <w:autoSpaceDE w:val="0"/>
              <w:autoSpaceDN w:val="0"/>
              <w:adjustRightInd w:val="0"/>
              <w:spacing w:after="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 w:val="16"/>
                <w:szCs w:val="20"/>
                <w:lang w:eastAsia="en-AU"/>
              </w:rPr>
            </w:pPr>
            <w:r w:rsidRPr="00AC137D">
              <w:rPr>
                <w:rFonts w:eastAsiaTheme="minorEastAsia" w:cs="Calibri"/>
                <w:iCs/>
                <w:color w:val="FFFFFF"/>
                <w:sz w:val="16"/>
                <w:szCs w:val="20"/>
                <w:lang w:eastAsia="en-AU"/>
              </w:rPr>
              <w:t>2018-19</w:t>
            </w:r>
            <w:r>
              <w:rPr>
                <w:rFonts w:eastAsiaTheme="minorEastAsia" w:cs="Calibri"/>
                <w:iCs/>
                <w:color w:val="FFFFFF"/>
                <w:sz w:val="16"/>
                <w:szCs w:val="20"/>
                <w:lang w:eastAsia="en-AU"/>
              </w:rPr>
              <w:br/>
            </w:r>
            <w:r w:rsidRPr="00AC137D">
              <w:rPr>
                <w:rFonts w:eastAsiaTheme="minorEastAsia" w:cs="Calibri"/>
                <w:iCs/>
                <w:color w:val="FFFFFF"/>
                <w:sz w:val="16"/>
                <w:szCs w:val="20"/>
                <w:lang w:eastAsia="en-AU"/>
              </w:rPr>
              <w:t>estimate</w:t>
            </w:r>
          </w:p>
        </w:tc>
        <w:tc>
          <w:tcPr>
            <w:tcW w:w="850" w:type="dxa"/>
            <w:tcBorders>
              <w:top w:val="nil"/>
              <w:left w:val="nil"/>
              <w:right w:val="nil"/>
            </w:tcBorders>
            <w:shd w:val="solid" w:color="000000" w:fill="auto"/>
          </w:tcPr>
          <w:p w:rsidR="00A26D04" w:rsidRPr="00AC137D" w:rsidRDefault="00A26D04" w:rsidP="00A26D04">
            <w:pPr>
              <w:keepLines w:val="0"/>
              <w:autoSpaceDE w:val="0"/>
              <w:autoSpaceDN w:val="0"/>
              <w:adjustRightInd w:val="0"/>
              <w:spacing w:after="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 w:val="16"/>
                <w:szCs w:val="20"/>
                <w:lang w:eastAsia="en-AU"/>
              </w:rPr>
            </w:pPr>
            <w:r w:rsidRPr="00AC137D">
              <w:rPr>
                <w:rFonts w:eastAsiaTheme="minorEastAsia" w:cs="Calibri"/>
                <w:iCs/>
                <w:color w:val="FFFFFF"/>
                <w:sz w:val="16"/>
                <w:szCs w:val="20"/>
                <w:lang w:eastAsia="en-AU"/>
              </w:rPr>
              <w:t>2019-20</w:t>
            </w:r>
            <w:r>
              <w:rPr>
                <w:rFonts w:eastAsiaTheme="minorEastAsia" w:cs="Calibri"/>
                <w:iCs/>
                <w:color w:val="FFFFFF"/>
                <w:sz w:val="16"/>
                <w:szCs w:val="20"/>
                <w:lang w:eastAsia="en-AU"/>
              </w:rPr>
              <w:br/>
            </w:r>
            <w:r w:rsidRPr="00AC137D">
              <w:rPr>
                <w:rFonts w:eastAsiaTheme="minorEastAsia" w:cs="Calibri"/>
                <w:iCs/>
                <w:color w:val="FFFFFF"/>
                <w:sz w:val="16"/>
                <w:szCs w:val="20"/>
                <w:lang w:eastAsia="en-AU"/>
              </w:rPr>
              <w:t>estimate</w:t>
            </w:r>
          </w:p>
        </w:tc>
        <w:tc>
          <w:tcPr>
            <w:tcW w:w="850" w:type="dxa"/>
            <w:tcBorders>
              <w:top w:val="nil"/>
              <w:left w:val="nil"/>
              <w:right w:val="nil"/>
            </w:tcBorders>
            <w:shd w:val="solid" w:color="000000" w:fill="auto"/>
          </w:tcPr>
          <w:p w:rsidR="00A26D04" w:rsidRPr="00AC137D" w:rsidRDefault="00A26D04" w:rsidP="00A26D04">
            <w:pPr>
              <w:keepLines w:val="0"/>
              <w:autoSpaceDE w:val="0"/>
              <w:autoSpaceDN w:val="0"/>
              <w:adjustRightInd w:val="0"/>
              <w:spacing w:after="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 w:val="16"/>
                <w:szCs w:val="20"/>
                <w:lang w:eastAsia="en-AU"/>
              </w:rPr>
            </w:pPr>
            <w:r w:rsidRPr="00AC137D">
              <w:rPr>
                <w:rFonts w:eastAsiaTheme="minorEastAsia" w:cs="Calibri"/>
                <w:iCs/>
                <w:color w:val="FFFFFF"/>
                <w:sz w:val="16"/>
                <w:szCs w:val="20"/>
                <w:lang w:eastAsia="en-AU"/>
              </w:rPr>
              <w:t>2020-21</w:t>
            </w:r>
            <w:r>
              <w:rPr>
                <w:rFonts w:eastAsiaTheme="minorEastAsia" w:cs="Calibri"/>
                <w:iCs/>
                <w:color w:val="FFFFFF"/>
                <w:sz w:val="16"/>
                <w:szCs w:val="20"/>
                <w:lang w:eastAsia="en-AU"/>
              </w:rPr>
              <w:br/>
            </w:r>
            <w:r w:rsidRPr="00AC137D">
              <w:rPr>
                <w:rFonts w:eastAsiaTheme="minorEastAsia" w:cs="Calibri"/>
                <w:iCs/>
                <w:color w:val="FFFFFF"/>
                <w:sz w:val="16"/>
                <w:szCs w:val="20"/>
                <w:lang w:eastAsia="en-AU"/>
              </w:rPr>
              <w:t>estimate</w:t>
            </w:r>
          </w:p>
        </w:tc>
      </w:tr>
      <w:tr w:rsidR="00A46DCA" w:rsidRPr="00AC137D" w:rsidTr="00A26D04">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A46DCA" w:rsidRPr="00AC137D" w:rsidRDefault="00A46DCA" w:rsidP="00A26D04">
            <w:pPr>
              <w:keepLines w:val="0"/>
              <w:autoSpaceDE w:val="0"/>
              <w:autoSpaceDN w:val="0"/>
              <w:adjustRightInd w:val="0"/>
              <w:spacing w:after="0"/>
              <w:rPr>
                <w:rFonts w:eastAsiaTheme="minorEastAsia" w:cs="Calibri"/>
                <w:b/>
                <w:bCs/>
                <w:color w:val="000000"/>
                <w:sz w:val="16"/>
                <w:lang w:eastAsia="en-AU"/>
              </w:rPr>
            </w:pPr>
            <w:r w:rsidRPr="00AC137D">
              <w:rPr>
                <w:rFonts w:eastAsiaTheme="minorEastAsia" w:cs="Calibri"/>
                <w:b/>
                <w:bCs/>
                <w:color w:val="000000"/>
                <w:sz w:val="16"/>
                <w:lang w:eastAsia="en-AU"/>
              </w:rPr>
              <w:t xml:space="preserve">Net result from transactions – </w:t>
            </w:r>
            <w:r w:rsidR="008110D9">
              <w:rPr>
                <w:rFonts w:eastAsiaTheme="minorEastAsia" w:cs="Calibri"/>
                <w:b/>
                <w:bCs/>
                <w:color w:val="000000"/>
                <w:sz w:val="16"/>
                <w:lang w:eastAsia="en-AU"/>
              </w:rPr>
              <w:br/>
            </w:r>
            <w:r w:rsidRPr="00AC137D">
              <w:rPr>
                <w:rFonts w:eastAsiaTheme="minorEastAsia" w:cs="Calibri"/>
                <w:b/>
                <w:bCs/>
                <w:color w:val="000000"/>
                <w:sz w:val="16"/>
                <w:lang w:eastAsia="en-AU"/>
              </w:rPr>
              <w:t>net operating balance</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lang w:eastAsia="en-AU"/>
              </w:rPr>
            </w:pPr>
            <w:r w:rsidRPr="00AC137D">
              <w:rPr>
                <w:rFonts w:eastAsiaTheme="minorEastAsia" w:cs="Calibri"/>
                <w:b/>
                <w:bCs/>
                <w:color w:val="000000"/>
                <w:sz w:val="16"/>
                <w:lang w:eastAsia="en-AU"/>
              </w:rPr>
              <w:t>1 153</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lang w:eastAsia="en-AU"/>
              </w:rPr>
            </w:pPr>
            <w:r w:rsidRPr="00AC137D">
              <w:rPr>
                <w:rFonts w:eastAsiaTheme="minorEastAsia" w:cs="Calibri"/>
                <w:b/>
                <w:bCs/>
                <w:color w:val="000000"/>
                <w:sz w:val="16"/>
                <w:lang w:eastAsia="en-AU"/>
              </w:rPr>
              <w:t>1 713</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lang w:eastAsia="en-AU"/>
              </w:rPr>
            </w:pPr>
            <w:r w:rsidRPr="00AC137D">
              <w:rPr>
                <w:rFonts w:eastAsiaTheme="minorEastAsia" w:cs="Calibri"/>
                <w:b/>
                <w:bCs/>
                <w:color w:val="000000"/>
                <w:sz w:val="16"/>
                <w:lang w:eastAsia="en-AU"/>
              </w:rPr>
              <w:t>2 117</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lang w:eastAsia="en-AU"/>
              </w:rPr>
            </w:pPr>
            <w:r w:rsidRPr="00AC137D">
              <w:rPr>
                <w:rFonts w:eastAsiaTheme="minorEastAsia" w:cs="Calibri"/>
                <w:b/>
                <w:bCs/>
                <w:color w:val="000000"/>
                <w:sz w:val="16"/>
                <w:lang w:eastAsia="en-AU"/>
              </w:rPr>
              <w:t>1 987</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lang w:eastAsia="en-AU"/>
              </w:rPr>
            </w:pPr>
            <w:r w:rsidRPr="00AC137D">
              <w:rPr>
                <w:rFonts w:eastAsiaTheme="minorEastAsia" w:cs="Calibri"/>
                <w:b/>
                <w:bCs/>
                <w:color w:val="000000"/>
                <w:sz w:val="16"/>
                <w:lang w:eastAsia="en-AU"/>
              </w:rPr>
              <w:t>2 641</w:t>
            </w:r>
          </w:p>
        </w:tc>
      </w:tr>
      <w:tr w:rsidR="00A46DCA" w:rsidRPr="00AC137D" w:rsidTr="00A26D04">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A46DCA" w:rsidRPr="00AC137D" w:rsidRDefault="00A46DCA" w:rsidP="00A26D04">
            <w:pPr>
              <w:keepLines w:val="0"/>
              <w:autoSpaceDE w:val="0"/>
              <w:autoSpaceDN w:val="0"/>
              <w:adjustRightInd w:val="0"/>
              <w:spacing w:after="0"/>
              <w:rPr>
                <w:rFonts w:eastAsiaTheme="minorEastAsia" w:cs="Calibri"/>
                <w:i/>
                <w:iCs/>
                <w:color w:val="000000"/>
                <w:sz w:val="16"/>
                <w:lang w:eastAsia="en-AU"/>
              </w:rPr>
            </w:pPr>
            <w:r w:rsidRPr="00AC137D">
              <w:rPr>
                <w:rFonts w:eastAsiaTheme="minorEastAsia" w:cs="Calibri"/>
                <w:i/>
                <w:iCs/>
                <w:color w:val="000000"/>
                <w:sz w:val="16"/>
                <w:lang w:eastAsia="en-AU"/>
              </w:rPr>
              <w:t>Convergence differences:</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i/>
                <w:iCs/>
                <w:color w:val="000000"/>
                <w:sz w:val="16"/>
                <w:lang w:eastAsia="en-AU"/>
              </w:rPr>
            </w:pPr>
            <w:r w:rsidRPr="00AC137D">
              <w:rPr>
                <w:rFonts w:eastAsiaTheme="minorEastAsia" w:cs="Calibri"/>
                <w:i/>
                <w:iCs/>
                <w:color w:val="000000"/>
                <w:sz w:val="16"/>
                <w:lang w:eastAsia="en-AU"/>
              </w:rPr>
              <w:t xml:space="preserve"> </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lang w:eastAsia="en-AU"/>
              </w:rPr>
            </w:pPr>
            <w:r w:rsidRPr="00AC137D">
              <w:rPr>
                <w:rFonts w:eastAsiaTheme="minorEastAsia" w:cs="Calibri"/>
                <w:b/>
                <w:bCs/>
                <w:color w:val="000000"/>
                <w:sz w:val="16"/>
                <w:lang w:eastAsia="en-AU"/>
              </w:rPr>
              <w:t xml:space="preserve"> </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lang w:eastAsia="en-AU"/>
              </w:rPr>
            </w:pPr>
            <w:r w:rsidRPr="00AC137D">
              <w:rPr>
                <w:rFonts w:eastAsiaTheme="minorEastAsia" w:cs="Calibri"/>
                <w:b/>
                <w:bCs/>
                <w:color w:val="000000"/>
                <w:sz w:val="16"/>
                <w:lang w:eastAsia="en-AU"/>
              </w:rPr>
              <w:t xml:space="preserve"> </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lang w:eastAsia="en-AU"/>
              </w:rPr>
            </w:pPr>
            <w:r w:rsidRPr="00AC137D">
              <w:rPr>
                <w:rFonts w:eastAsiaTheme="minorEastAsia" w:cs="Calibri"/>
                <w:b/>
                <w:bCs/>
                <w:color w:val="000000"/>
                <w:sz w:val="16"/>
                <w:lang w:eastAsia="en-AU"/>
              </w:rPr>
              <w:t xml:space="preserve"> </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lang w:eastAsia="en-AU"/>
              </w:rPr>
            </w:pPr>
            <w:r w:rsidRPr="00AC137D">
              <w:rPr>
                <w:rFonts w:eastAsiaTheme="minorEastAsia" w:cs="Calibri"/>
                <w:b/>
                <w:bCs/>
                <w:color w:val="000000"/>
                <w:sz w:val="16"/>
                <w:lang w:eastAsia="en-AU"/>
              </w:rPr>
              <w:t xml:space="preserve"> </w:t>
            </w:r>
          </w:p>
        </w:tc>
      </w:tr>
      <w:tr w:rsidR="00A46DCA" w:rsidRPr="00AC137D" w:rsidTr="00A26D04">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A46DCA" w:rsidRPr="00AC137D" w:rsidRDefault="00A46DCA" w:rsidP="00A26D04">
            <w:pPr>
              <w:keepLines w:val="0"/>
              <w:autoSpaceDE w:val="0"/>
              <w:autoSpaceDN w:val="0"/>
              <w:adjustRightInd w:val="0"/>
              <w:spacing w:after="0"/>
              <w:rPr>
                <w:rFonts w:eastAsiaTheme="minorEastAsia" w:cs="Calibri"/>
                <w:color w:val="000000"/>
                <w:sz w:val="16"/>
                <w:vertAlign w:val="superscript"/>
                <w:lang w:eastAsia="en-AU"/>
              </w:rPr>
            </w:pPr>
            <w:r w:rsidRPr="00AC137D">
              <w:rPr>
                <w:rFonts w:eastAsiaTheme="minorEastAsia" w:cs="Calibri"/>
                <w:color w:val="000000"/>
                <w:sz w:val="16"/>
                <w:lang w:eastAsia="en-AU"/>
              </w:rPr>
              <w:t xml:space="preserve">Licence fees </w:t>
            </w:r>
            <w:r w:rsidRPr="00AC137D">
              <w:rPr>
                <w:rFonts w:eastAsiaTheme="minorEastAsia" w:cs="Calibri"/>
                <w:color w:val="000000"/>
                <w:sz w:val="16"/>
                <w:vertAlign w:val="superscript"/>
                <w:lang w:eastAsia="en-AU"/>
              </w:rPr>
              <w:t>(b)</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lang w:eastAsia="en-AU"/>
              </w:rPr>
            </w:pPr>
            <w:r>
              <w:rPr>
                <w:rFonts w:eastAsiaTheme="minorEastAsia" w:cs="Calibri"/>
                <w:color w:val="000000"/>
                <w:sz w:val="16"/>
                <w:lang w:eastAsia="en-AU"/>
              </w:rPr>
              <w:t>52</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lang w:eastAsia="en-AU"/>
              </w:rPr>
            </w:pPr>
            <w:r>
              <w:rPr>
                <w:rFonts w:eastAsiaTheme="minorEastAsia" w:cs="Calibri"/>
                <w:color w:val="000000"/>
                <w:sz w:val="16"/>
                <w:lang w:eastAsia="en-AU"/>
              </w:rPr>
              <w:t>52</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lang w:eastAsia="en-AU"/>
              </w:rPr>
            </w:pPr>
            <w:r>
              <w:rPr>
                <w:rFonts w:eastAsiaTheme="minorEastAsia" w:cs="Calibri"/>
                <w:color w:val="000000"/>
                <w:sz w:val="16"/>
                <w:lang w:eastAsia="en-AU"/>
              </w:rPr>
              <w:t>52</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lang w:eastAsia="en-AU"/>
              </w:rPr>
            </w:pPr>
            <w:r>
              <w:rPr>
                <w:rFonts w:eastAsiaTheme="minorEastAsia" w:cs="Calibri"/>
                <w:color w:val="000000"/>
                <w:sz w:val="16"/>
                <w:lang w:eastAsia="en-AU"/>
              </w:rPr>
              <w:t>52</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lang w:eastAsia="en-AU"/>
              </w:rPr>
            </w:pPr>
            <w:r>
              <w:rPr>
                <w:rFonts w:eastAsiaTheme="minorEastAsia" w:cs="Calibri"/>
                <w:color w:val="000000"/>
                <w:sz w:val="16"/>
                <w:lang w:eastAsia="en-AU"/>
              </w:rPr>
              <w:t>52</w:t>
            </w:r>
          </w:p>
        </w:tc>
      </w:tr>
      <w:tr w:rsidR="00A46DCA" w:rsidRPr="00AC137D" w:rsidTr="00A26D04">
        <w:tc>
          <w:tcPr>
            <w:cnfStyle w:val="001000000000" w:firstRow="0" w:lastRow="0" w:firstColumn="1" w:lastColumn="0" w:oddVBand="0" w:evenVBand="0" w:oddHBand="0" w:evenHBand="0" w:firstRowFirstColumn="0" w:firstRowLastColumn="0" w:lastRowFirstColumn="0" w:lastRowLastColumn="0"/>
            <w:tcW w:w="3515" w:type="dxa"/>
            <w:tcBorders>
              <w:top w:val="single" w:sz="6" w:space="0" w:color="auto"/>
              <w:left w:val="nil"/>
              <w:bottom w:val="single" w:sz="6" w:space="0" w:color="auto"/>
              <w:right w:val="nil"/>
            </w:tcBorders>
          </w:tcPr>
          <w:p w:rsidR="00A46DCA" w:rsidRPr="00AC137D" w:rsidRDefault="00A46DCA" w:rsidP="00A26D04">
            <w:pPr>
              <w:keepLines w:val="0"/>
              <w:autoSpaceDE w:val="0"/>
              <w:autoSpaceDN w:val="0"/>
              <w:adjustRightInd w:val="0"/>
              <w:spacing w:after="0"/>
              <w:rPr>
                <w:rFonts w:eastAsiaTheme="minorEastAsia" w:cs="Calibri"/>
                <w:i/>
                <w:iCs/>
                <w:color w:val="000000"/>
                <w:sz w:val="16"/>
                <w:lang w:eastAsia="en-AU"/>
              </w:rPr>
            </w:pPr>
            <w:r w:rsidRPr="00AC137D">
              <w:rPr>
                <w:rFonts w:eastAsiaTheme="minorEastAsia" w:cs="Calibri"/>
                <w:i/>
                <w:iCs/>
                <w:color w:val="000000"/>
                <w:sz w:val="16"/>
                <w:lang w:eastAsia="en-AU"/>
              </w:rPr>
              <w:t>plus total convergence difference:</w:t>
            </w:r>
          </w:p>
        </w:tc>
        <w:tc>
          <w:tcPr>
            <w:tcW w:w="850" w:type="dxa"/>
            <w:tcBorders>
              <w:top w:val="single" w:sz="6" w:space="0" w:color="auto"/>
              <w:left w:val="nil"/>
              <w:bottom w:val="single" w:sz="6" w:space="0" w:color="auto"/>
              <w:right w:val="nil"/>
            </w:tcBorders>
            <w:shd w:val="solid" w:color="FFFFFF" w:fill="auto"/>
          </w:tcPr>
          <w:p w:rsidR="00A46DCA" w:rsidRPr="00AC137D"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lang w:eastAsia="en-AU"/>
              </w:rPr>
            </w:pPr>
            <w:r>
              <w:rPr>
                <w:rFonts w:eastAsiaTheme="minorEastAsia" w:cs="Calibri"/>
                <w:color w:val="000000"/>
                <w:sz w:val="16"/>
                <w:lang w:eastAsia="en-AU"/>
              </w:rPr>
              <w:t>52</w:t>
            </w:r>
          </w:p>
        </w:tc>
        <w:tc>
          <w:tcPr>
            <w:tcW w:w="850" w:type="dxa"/>
            <w:tcBorders>
              <w:top w:val="single" w:sz="6" w:space="0" w:color="auto"/>
              <w:left w:val="nil"/>
              <w:bottom w:val="single" w:sz="6" w:space="0" w:color="auto"/>
              <w:right w:val="nil"/>
            </w:tcBorders>
            <w:shd w:val="solid" w:color="FFFFFF" w:fill="auto"/>
          </w:tcPr>
          <w:p w:rsidR="00A46DCA" w:rsidRPr="00AC137D"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lang w:eastAsia="en-AU"/>
              </w:rPr>
            </w:pPr>
            <w:r>
              <w:rPr>
                <w:rFonts w:eastAsiaTheme="minorEastAsia" w:cs="Calibri"/>
                <w:color w:val="000000"/>
                <w:sz w:val="16"/>
                <w:lang w:eastAsia="en-AU"/>
              </w:rPr>
              <w:t>52</w:t>
            </w:r>
          </w:p>
        </w:tc>
        <w:tc>
          <w:tcPr>
            <w:tcW w:w="850" w:type="dxa"/>
            <w:tcBorders>
              <w:top w:val="single" w:sz="6" w:space="0" w:color="auto"/>
              <w:left w:val="nil"/>
              <w:bottom w:val="single" w:sz="6" w:space="0" w:color="auto"/>
              <w:right w:val="nil"/>
            </w:tcBorders>
            <w:shd w:val="solid" w:color="FFFFFF" w:fill="auto"/>
          </w:tcPr>
          <w:p w:rsidR="00A46DCA" w:rsidRPr="00AC137D"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lang w:eastAsia="en-AU"/>
              </w:rPr>
            </w:pPr>
            <w:r>
              <w:rPr>
                <w:rFonts w:eastAsiaTheme="minorEastAsia" w:cs="Calibri"/>
                <w:color w:val="000000"/>
                <w:sz w:val="16"/>
                <w:lang w:eastAsia="en-AU"/>
              </w:rPr>
              <w:t>52</w:t>
            </w:r>
          </w:p>
        </w:tc>
        <w:tc>
          <w:tcPr>
            <w:tcW w:w="850" w:type="dxa"/>
            <w:tcBorders>
              <w:top w:val="single" w:sz="6" w:space="0" w:color="auto"/>
              <w:left w:val="nil"/>
              <w:bottom w:val="single" w:sz="6" w:space="0" w:color="auto"/>
              <w:right w:val="nil"/>
            </w:tcBorders>
            <w:shd w:val="solid" w:color="FFFFFF" w:fill="auto"/>
          </w:tcPr>
          <w:p w:rsidR="00A46DCA" w:rsidRPr="00AC137D"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lang w:eastAsia="en-AU"/>
              </w:rPr>
            </w:pPr>
            <w:r>
              <w:rPr>
                <w:rFonts w:eastAsiaTheme="minorEastAsia" w:cs="Calibri"/>
                <w:color w:val="000000"/>
                <w:sz w:val="16"/>
                <w:lang w:eastAsia="en-AU"/>
              </w:rPr>
              <w:t>52</w:t>
            </w:r>
          </w:p>
        </w:tc>
        <w:tc>
          <w:tcPr>
            <w:tcW w:w="850" w:type="dxa"/>
            <w:tcBorders>
              <w:top w:val="single" w:sz="6" w:space="0" w:color="auto"/>
              <w:left w:val="nil"/>
              <w:bottom w:val="single" w:sz="6" w:space="0" w:color="auto"/>
              <w:right w:val="nil"/>
            </w:tcBorders>
            <w:shd w:val="solid" w:color="FFFFFF" w:fill="auto"/>
          </w:tcPr>
          <w:p w:rsidR="00A46DCA" w:rsidRPr="00AC137D"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lang w:eastAsia="en-AU"/>
              </w:rPr>
            </w:pPr>
            <w:r>
              <w:rPr>
                <w:rFonts w:eastAsiaTheme="minorEastAsia" w:cs="Calibri"/>
                <w:color w:val="000000"/>
                <w:sz w:val="16"/>
                <w:lang w:eastAsia="en-AU"/>
              </w:rPr>
              <w:t>52</w:t>
            </w:r>
          </w:p>
        </w:tc>
      </w:tr>
      <w:tr w:rsidR="00A46DCA" w:rsidRPr="00AC137D" w:rsidTr="00A26D04">
        <w:tc>
          <w:tcPr>
            <w:cnfStyle w:val="001000000000" w:firstRow="0" w:lastRow="0" w:firstColumn="1" w:lastColumn="0" w:oddVBand="0" w:evenVBand="0" w:oddHBand="0" w:evenHBand="0" w:firstRowFirstColumn="0" w:firstRowLastColumn="0" w:lastRowFirstColumn="0" w:lastRowLastColumn="0"/>
            <w:tcW w:w="3515" w:type="dxa"/>
            <w:tcBorders>
              <w:top w:val="single" w:sz="6" w:space="0" w:color="auto"/>
              <w:left w:val="nil"/>
              <w:bottom w:val="single" w:sz="12" w:space="0" w:color="auto"/>
              <w:right w:val="nil"/>
            </w:tcBorders>
          </w:tcPr>
          <w:p w:rsidR="00A46DCA" w:rsidRPr="00AC137D" w:rsidRDefault="00A46DCA" w:rsidP="00A26D04">
            <w:pPr>
              <w:keepLines w:val="0"/>
              <w:autoSpaceDE w:val="0"/>
              <w:autoSpaceDN w:val="0"/>
              <w:adjustRightInd w:val="0"/>
              <w:spacing w:after="0"/>
              <w:rPr>
                <w:rFonts w:eastAsiaTheme="minorEastAsia" w:cs="Calibri"/>
                <w:b/>
                <w:bCs/>
                <w:color w:val="000000"/>
                <w:sz w:val="16"/>
                <w:lang w:eastAsia="en-AU"/>
              </w:rPr>
            </w:pPr>
            <w:r w:rsidRPr="00AC137D">
              <w:rPr>
                <w:rFonts w:eastAsiaTheme="minorEastAsia" w:cs="Calibri"/>
                <w:b/>
                <w:bCs/>
                <w:color w:val="000000"/>
                <w:sz w:val="16"/>
                <w:lang w:eastAsia="en-AU"/>
              </w:rPr>
              <w:t xml:space="preserve">GFS net operating balance </w:t>
            </w:r>
          </w:p>
        </w:tc>
        <w:tc>
          <w:tcPr>
            <w:tcW w:w="850" w:type="dxa"/>
            <w:tcBorders>
              <w:top w:val="single" w:sz="6" w:space="0" w:color="auto"/>
              <w:left w:val="nil"/>
              <w:bottom w:val="single" w:sz="12" w:space="0" w:color="auto"/>
              <w:right w:val="nil"/>
            </w:tcBorders>
          </w:tcPr>
          <w:p w:rsidR="00A46DCA" w:rsidRPr="00AC137D"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lang w:eastAsia="en-AU"/>
              </w:rPr>
            </w:pPr>
            <w:r w:rsidRPr="00AC137D">
              <w:rPr>
                <w:rFonts w:eastAsiaTheme="minorEastAsia" w:cs="Calibri"/>
                <w:b/>
                <w:bCs/>
                <w:color w:val="000000"/>
                <w:sz w:val="16"/>
                <w:lang w:eastAsia="en-AU"/>
              </w:rPr>
              <w:t>1 205</w:t>
            </w:r>
          </w:p>
        </w:tc>
        <w:tc>
          <w:tcPr>
            <w:tcW w:w="850" w:type="dxa"/>
            <w:tcBorders>
              <w:top w:val="single" w:sz="6" w:space="0" w:color="auto"/>
              <w:left w:val="nil"/>
              <w:bottom w:val="single" w:sz="12" w:space="0" w:color="auto"/>
              <w:right w:val="nil"/>
            </w:tcBorders>
          </w:tcPr>
          <w:p w:rsidR="00A46DCA" w:rsidRPr="00AC137D"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lang w:eastAsia="en-AU"/>
              </w:rPr>
            </w:pPr>
            <w:r w:rsidRPr="00AC137D">
              <w:rPr>
                <w:rFonts w:eastAsiaTheme="minorEastAsia" w:cs="Calibri"/>
                <w:b/>
                <w:bCs/>
                <w:color w:val="000000"/>
                <w:sz w:val="16"/>
                <w:lang w:eastAsia="en-AU"/>
              </w:rPr>
              <w:t>1 765</w:t>
            </w:r>
          </w:p>
        </w:tc>
        <w:tc>
          <w:tcPr>
            <w:tcW w:w="850" w:type="dxa"/>
            <w:tcBorders>
              <w:top w:val="single" w:sz="6" w:space="0" w:color="auto"/>
              <w:left w:val="nil"/>
              <w:bottom w:val="single" w:sz="12" w:space="0" w:color="auto"/>
              <w:right w:val="nil"/>
            </w:tcBorders>
          </w:tcPr>
          <w:p w:rsidR="00A46DCA" w:rsidRPr="00AC137D"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lang w:eastAsia="en-AU"/>
              </w:rPr>
            </w:pPr>
            <w:r w:rsidRPr="00AC137D">
              <w:rPr>
                <w:rFonts w:eastAsiaTheme="minorEastAsia" w:cs="Calibri"/>
                <w:b/>
                <w:bCs/>
                <w:color w:val="000000"/>
                <w:sz w:val="16"/>
                <w:lang w:eastAsia="en-AU"/>
              </w:rPr>
              <w:t>2 169</w:t>
            </w:r>
          </w:p>
        </w:tc>
        <w:tc>
          <w:tcPr>
            <w:tcW w:w="850" w:type="dxa"/>
            <w:tcBorders>
              <w:top w:val="single" w:sz="6" w:space="0" w:color="auto"/>
              <w:left w:val="nil"/>
              <w:bottom w:val="single" w:sz="12" w:space="0" w:color="auto"/>
              <w:right w:val="nil"/>
            </w:tcBorders>
          </w:tcPr>
          <w:p w:rsidR="00A46DCA" w:rsidRPr="00AC137D"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lang w:eastAsia="en-AU"/>
              </w:rPr>
            </w:pPr>
            <w:r w:rsidRPr="00AC137D">
              <w:rPr>
                <w:rFonts w:eastAsiaTheme="minorEastAsia" w:cs="Calibri"/>
                <w:b/>
                <w:bCs/>
                <w:color w:val="000000"/>
                <w:sz w:val="16"/>
                <w:lang w:eastAsia="en-AU"/>
              </w:rPr>
              <w:t>2 039</w:t>
            </w:r>
          </w:p>
        </w:tc>
        <w:tc>
          <w:tcPr>
            <w:tcW w:w="850" w:type="dxa"/>
            <w:tcBorders>
              <w:top w:val="single" w:sz="6" w:space="0" w:color="auto"/>
              <w:left w:val="nil"/>
              <w:bottom w:val="single" w:sz="12" w:space="0" w:color="auto"/>
              <w:right w:val="nil"/>
            </w:tcBorders>
          </w:tcPr>
          <w:p w:rsidR="00A46DCA" w:rsidRPr="00AC137D"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lang w:eastAsia="en-AU"/>
              </w:rPr>
            </w:pPr>
            <w:r w:rsidRPr="00AC137D">
              <w:rPr>
                <w:rFonts w:eastAsiaTheme="minorEastAsia" w:cs="Calibri"/>
                <w:b/>
                <w:bCs/>
                <w:color w:val="000000"/>
                <w:sz w:val="16"/>
                <w:lang w:eastAsia="en-AU"/>
              </w:rPr>
              <w:t>2 693</w:t>
            </w:r>
          </w:p>
        </w:tc>
      </w:tr>
      <w:tr w:rsidR="00A46DCA" w:rsidRPr="00AC137D" w:rsidTr="00A26D04">
        <w:trPr>
          <w:trHeight w:hRule="exact" w:val="120"/>
        </w:trPr>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A46DCA" w:rsidRPr="00AC137D" w:rsidRDefault="00A46DCA" w:rsidP="00A26D04">
            <w:pPr>
              <w:keepLines w:val="0"/>
              <w:autoSpaceDE w:val="0"/>
              <w:autoSpaceDN w:val="0"/>
              <w:adjustRightInd w:val="0"/>
              <w:spacing w:after="0"/>
              <w:rPr>
                <w:rFonts w:eastAsiaTheme="minorEastAsia" w:cs="Calibri"/>
                <w:b/>
                <w:bCs/>
                <w:color w:val="000000"/>
                <w:sz w:val="16"/>
                <w:lang w:eastAsia="en-AU"/>
              </w:rPr>
            </w:pPr>
            <w:r w:rsidRPr="00AC137D">
              <w:rPr>
                <w:rFonts w:eastAsiaTheme="minorEastAsia" w:cs="Calibri"/>
                <w:b/>
                <w:bCs/>
                <w:color w:val="000000"/>
                <w:sz w:val="16"/>
                <w:lang w:eastAsia="en-AU"/>
              </w:rPr>
              <w:t xml:space="preserve"> </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lang w:eastAsia="en-AU"/>
              </w:rPr>
            </w:pPr>
            <w:r w:rsidRPr="00AC137D">
              <w:rPr>
                <w:rFonts w:eastAsiaTheme="minorEastAsia" w:cs="Calibri"/>
                <w:b/>
                <w:bCs/>
                <w:color w:val="000000"/>
                <w:sz w:val="16"/>
                <w:lang w:eastAsia="en-AU"/>
              </w:rPr>
              <w:t xml:space="preserve"> </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lang w:eastAsia="en-AU"/>
              </w:rPr>
            </w:pPr>
            <w:r w:rsidRPr="00AC137D">
              <w:rPr>
                <w:rFonts w:eastAsiaTheme="minorEastAsia" w:cs="Calibri"/>
                <w:b/>
                <w:bCs/>
                <w:color w:val="000000"/>
                <w:sz w:val="16"/>
                <w:lang w:eastAsia="en-AU"/>
              </w:rPr>
              <w:t xml:space="preserve"> </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lang w:eastAsia="en-AU"/>
              </w:rPr>
            </w:pPr>
            <w:r w:rsidRPr="00AC137D">
              <w:rPr>
                <w:rFonts w:eastAsiaTheme="minorEastAsia" w:cs="Calibri"/>
                <w:b/>
                <w:bCs/>
                <w:color w:val="000000"/>
                <w:sz w:val="16"/>
                <w:lang w:eastAsia="en-AU"/>
              </w:rPr>
              <w:t xml:space="preserve"> </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lang w:eastAsia="en-AU"/>
              </w:rPr>
            </w:pPr>
            <w:r w:rsidRPr="00AC137D">
              <w:rPr>
                <w:rFonts w:eastAsiaTheme="minorEastAsia" w:cs="Calibri"/>
                <w:b/>
                <w:bCs/>
                <w:color w:val="000000"/>
                <w:sz w:val="16"/>
                <w:lang w:eastAsia="en-AU"/>
              </w:rPr>
              <w:t xml:space="preserve"> </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lang w:eastAsia="en-AU"/>
              </w:rPr>
            </w:pPr>
            <w:r w:rsidRPr="00AC137D">
              <w:rPr>
                <w:rFonts w:eastAsiaTheme="minorEastAsia" w:cs="Calibri"/>
                <w:b/>
                <w:bCs/>
                <w:color w:val="000000"/>
                <w:sz w:val="16"/>
                <w:lang w:eastAsia="en-AU"/>
              </w:rPr>
              <w:t xml:space="preserve"> </w:t>
            </w:r>
          </w:p>
        </w:tc>
      </w:tr>
      <w:tr w:rsidR="00A46DCA" w:rsidRPr="00AC137D" w:rsidTr="00A26D04">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A46DCA" w:rsidRPr="00AC137D" w:rsidRDefault="00A46DCA" w:rsidP="00A26D04">
            <w:pPr>
              <w:keepLines w:val="0"/>
              <w:autoSpaceDE w:val="0"/>
              <w:autoSpaceDN w:val="0"/>
              <w:adjustRightInd w:val="0"/>
              <w:spacing w:after="0"/>
              <w:rPr>
                <w:rFonts w:eastAsiaTheme="minorEastAsia" w:cs="Calibri"/>
                <w:b/>
                <w:bCs/>
                <w:color w:val="000000"/>
                <w:sz w:val="16"/>
                <w:lang w:eastAsia="en-AU"/>
              </w:rPr>
            </w:pPr>
            <w:r w:rsidRPr="00AC137D">
              <w:rPr>
                <w:rFonts w:eastAsiaTheme="minorEastAsia" w:cs="Calibri"/>
                <w:b/>
                <w:bCs/>
                <w:color w:val="000000"/>
                <w:sz w:val="16"/>
                <w:lang w:eastAsia="en-AU"/>
              </w:rPr>
              <w:t xml:space="preserve">Net lending/(borrowing) </w:t>
            </w:r>
          </w:p>
        </w:tc>
        <w:tc>
          <w:tcPr>
            <w:tcW w:w="850" w:type="dxa"/>
            <w:tcBorders>
              <w:top w:val="nil"/>
              <w:left w:val="nil"/>
              <w:bottom w:val="nil"/>
              <w:right w:val="nil"/>
            </w:tcBorders>
            <w:shd w:val="solid" w:color="FFFFFF" w:fill="auto"/>
          </w:tcPr>
          <w:p w:rsidR="00A46DCA" w:rsidRPr="00AC137D"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lang w:eastAsia="en-AU"/>
              </w:rPr>
            </w:pPr>
            <w:r>
              <w:rPr>
                <w:rFonts w:eastAsiaTheme="minorEastAsia" w:cs="Calibri"/>
                <w:b/>
                <w:bCs/>
                <w:color w:val="000000"/>
                <w:sz w:val="16"/>
                <w:lang w:eastAsia="en-AU"/>
              </w:rPr>
              <w:t>(660)</w:t>
            </w:r>
          </w:p>
        </w:tc>
        <w:tc>
          <w:tcPr>
            <w:tcW w:w="850" w:type="dxa"/>
            <w:tcBorders>
              <w:top w:val="nil"/>
              <w:left w:val="nil"/>
              <w:bottom w:val="nil"/>
              <w:right w:val="nil"/>
            </w:tcBorders>
            <w:shd w:val="solid" w:color="FFFFFF" w:fill="auto"/>
          </w:tcPr>
          <w:p w:rsidR="00A46DCA" w:rsidRPr="00AC137D"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lang w:eastAsia="en-AU"/>
              </w:rPr>
            </w:pPr>
            <w:r>
              <w:rPr>
                <w:rFonts w:eastAsiaTheme="minorEastAsia" w:cs="Calibri"/>
                <w:b/>
                <w:bCs/>
                <w:color w:val="000000"/>
                <w:sz w:val="16"/>
                <w:lang w:eastAsia="en-AU"/>
              </w:rPr>
              <w:t>(152)</w:t>
            </w:r>
          </w:p>
        </w:tc>
        <w:tc>
          <w:tcPr>
            <w:tcW w:w="850" w:type="dxa"/>
            <w:tcBorders>
              <w:top w:val="nil"/>
              <w:left w:val="nil"/>
              <w:bottom w:val="nil"/>
              <w:right w:val="nil"/>
            </w:tcBorders>
            <w:shd w:val="solid" w:color="FFFFFF" w:fill="auto"/>
          </w:tcPr>
          <w:p w:rsidR="00A46DCA" w:rsidRPr="00AC137D"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lang w:eastAsia="en-AU"/>
              </w:rPr>
            </w:pPr>
            <w:r w:rsidRPr="00AC137D">
              <w:rPr>
                <w:rFonts w:eastAsiaTheme="minorEastAsia" w:cs="Calibri"/>
                <w:b/>
                <w:bCs/>
                <w:color w:val="000000"/>
                <w:sz w:val="16"/>
                <w:lang w:eastAsia="en-AU"/>
              </w:rPr>
              <w:t>1 397</w:t>
            </w:r>
          </w:p>
        </w:tc>
        <w:tc>
          <w:tcPr>
            <w:tcW w:w="850" w:type="dxa"/>
            <w:tcBorders>
              <w:top w:val="nil"/>
              <w:left w:val="nil"/>
              <w:bottom w:val="nil"/>
              <w:right w:val="nil"/>
            </w:tcBorders>
            <w:shd w:val="solid" w:color="FFFFFF" w:fill="auto"/>
          </w:tcPr>
          <w:p w:rsidR="00A46DCA" w:rsidRPr="00AC137D"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lang w:eastAsia="en-AU"/>
              </w:rPr>
            </w:pPr>
            <w:r w:rsidRPr="00AC137D">
              <w:rPr>
                <w:rFonts w:eastAsiaTheme="minorEastAsia" w:cs="Calibri"/>
                <w:b/>
                <w:bCs/>
                <w:color w:val="000000"/>
                <w:sz w:val="16"/>
                <w:lang w:eastAsia="en-AU"/>
              </w:rPr>
              <w:t>1 616</w:t>
            </w:r>
          </w:p>
        </w:tc>
        <w:tc>
          <w:tcPr>
            <w:tcW w:w="850" w:type="dxa"/>
            <w:tcBorders>
              <w:top w:val="nil"/>
              <w:left w:val="nil"/>
              <w:bottom w:val="nil"/>
              <w:right w:val="nil"/>
            </w:tcBorders>
            <w:shd w:val="solid" w:color="FFFFFF" w:fill="auto"/>
          </w:tcPr>
          <w:p w:rsidR="00A46DCA" w:rsidRPr="00AC137D"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lang w:eastAsia="en-AU"/>
              </w:rPr>
            </w:pPr>
            <w:r w:rsidRPr="00AC137D">
              <w:rPr>
                <w:rFonts w:eastAsiaTheme="minorEastAsia" w:cs="Calibri"/>
                <w:b/>
                <w:bCs/>
                <w:color w:val="000000"/>
                <w:sz w:val="16"/>
                <w:lang w:eastAsia="en-AU"/>
              </w:rPr>
              <w:t>2 040</w:t>
            </w:r>
          </w:p>
        </w:tc>
      </w:tr>
      <w:tr w:rsidR="00A46DCA" w:rsidRPr="00AC137D" w:rsidTr="00A26D04">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A46DCA" w:rsidRPr="00AC137D" w:rsidRDefault="00A46DCA" w:rsidP="00A26D04">
            <w:pPr>
              <w:keepLines w:val="0"/>
              <w:autoSpaceDE w:val="0"/>
              <w:autoSpaceDN w:val="0"/>
              <w:adjustRightInd w:val="0"/>
              <w:spacing w:after="0"/>
              <w:rPr>
                <w:rFonts w:eastAsiaTheme="minorEastAsia" w:cs="Calibri"/>
                <w:i/>
                <w:iCs/>
                <w:color w:val="000000"/>
                <w:sz w:val="16"/>
                <w:lang w:eastAsia="en-AU"/>
              </w:rPr>
            </w:pPr>
            <w:r w:rsidRPr="00AC137D">
              <w:rPr>
                <w:rFonts w:eastAsiaTheme="minorEastAsia" w:cs="Calibri"/>
                <w:i/>
                <w:iCs/>
                <w:color w:val="000000"/>
                <w:sz w:val="16"/>
                <w:lang w:eastAsia="en-AU"/>
              </w:rPr>
              <w:t>Convergence differences:</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i/>
                <w:iCs/>
                <w:color w:val="000000"/>
                <w:sz w:val="16"/>
                <w:lang w:eastAsia="en-AU"/>
              </w:rPr>
            </w:pPr>
            <w:r w:rsidRPr="00AC137D">
              <w:rPr>
                <w:rFonts w:eastAsiaTheme="minorEastAsia" w:cs="Calibri"/>
                <w:i/>
                <w:iCs/>
                <w:color w:val="000000"/>
                <w:sz w:val="16"/>
                <w:lang w:eastAsia="en-AU"/>
              </w:rPr>
              <w:t xml:space="preserve"> </w:t>
            </w:r>
          </w:p>
        </w:tc>
        <w:tc>
          <w:tcPr>
            <w:tcW w:w="850" w:type="dxa"/>
            <w:tcBorders>
              <w:top w:val="nil"/>
              <w:left w:val="nil"/>
              <w:bottom w:val="nil"/>
              <w:right w:val="nil"/>
            </w:tcBorders>
            <w:shd w:val="solid" w:color="FFFFFF" w:fill="auto"/>
          </w:tcPr>
          <w:p w:rsidR="00A46DCA" w:rsidRPr="00AC137D"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lang w:eastAsia="en-AU"/>
              </w:rPr>
            </w:pPr>
            <w:r w:rsidRPr="00AC137D">
              <w:rPr>
                <w:rFonts w:eastAsiaTheme="minorEastAsia" w:cs="Calibri"/>
                <w:b/>
                <w:bCs/>
                <w:color w:val="000000"/>
                <w:sz w:val="16"/>
                <w:lang w:eastAsia="en-AU"/>
              </w:rPr>
              <w:t xml:space="preserve"> </w:t>
            </w:r>
          </w:p>
        </w:tc>
        <w:tc>
          <w:tcPr>
            <w:tcW w:w="850" w:type="dxa"/>
            <w:tcBorders>
              <w:top w:val="nil"/>
              <w:left w:val="nil"/>
              <w:bottom w:val="nil"/>
              <w:right w:val="nil"/>
            </w:tcBorders>
            <w:shd w:val="solid" w:color="FFFFFF" w:fill="auto"/>
          </w:tcPr>
          <w:p w:rsidR="00A46DCA" w:rsidRPr="00AC137D"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lang w:eastAsia="en-AU"/>
              </w:rPr>
            </w:pPr>
            <w:r w:rsidRPr="00AC137D">
              <w:rPr>
                <w:rFonts w:eastAsiaTheme="minorEastAsia" w:cs="Calibri"/>
                <w:b/>
                <w:bCs/>
                <w:color w:val="000000"/>
                <w:sz w:val="16"/>
                <w:lang w:eastAsia="en-AU"/>
              </w:rPr>
              <w:t xml:space="preserve"> </w:t>
            </w:r>
          </w:p>
        </w:tc>
        <w:tc>
          <w:tcPr>
            <w:tcW w:w="850" w:type="dxa"/>
            <w:tcBorders>
              <w:top w:val="nil"/>
              <w:left w:val="nil"/>
              <w:bottom w:val="nil"/>
              <w:right w:val="nil"/>
            </w:tcBorders>
            <w:shd w:val="solid" w:color="FFFFFF" w:fill="auto"/>
          </w:tcPr>
          <w:p w:rsidR="00A46DCA" w:rsidRPr="00AC137D"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lang w:eastAsia="en-AU"/>
              </w:rPr>
            </w:pPr>
            <w:r w:rsidRPr="00AC137D">
              <w:rPr>
                <w:rFonts w:eastAsiaTheme="minorEastAsia" w:cs="Calibri"/>
                <w:b/>
                <w:bCs/>
                <w:color w:val="000000"/>
                <w:sz w:val="16"/>
                <w:lang w:eastAsia="en-AU"/>
              </w:rPr>
              <w:t xml:space="preserve"> </w:t>
            </w:r>
          </w:p>
        </w:tc>
        <w:tc>
          <w:tcPr>
            <w:tcW w:w="850" w:type="dxa"/>
            <w:tcBorders>
              <w:top w:val="nil"/>
              <w:left w:val="nil"/>
              <w:bottom w:val="nil"/>
              <w:right w:val="nil"/>
            </w:tcBorders>
            <w:shd w:val="solid" w:color="FFFFFF" w:fill="auto"/>
          </w:tcPr>
          <w:p w:rsidR="00A46DCA" w:rsidRPr="00AC137D"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lang w:eastAsia="en-AU"/>
              </w:rPr>
            </w:pPr>
            <w:r w:rsidRPr="00AC137D">
              <w:rPr>
                <w:rFonts w:eastAsiaTheme="minorEastAsia" w:cs="Calibri"/>
                <w:b/>
                <w:bCs/>
                <w:color w:val="000000"/>
                <w:sz w:val="16"/>
                <w:lang w:eastAsia="en-AU"/>
              </w:rPr>
              <w:t xml:space="preserve"> </w:t>
            </w:r>
          </w:p>
        </w:tc>
      </w:tr>
      <w:tr w:rsidR="00A46DCA" w:rsidRPr="00AC137D" w:rsidTr="00A26D04">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A46DCA" w:rsidRPr="00AC137D" w:rsidRDefault="00A46DCA" w:rsidP="00A26D04">
            <w:pPr>
              <w:keepLines w:val="0"/>
              <w:autoSpaceDE w:val="0"/>
              <w:autoSpaceDN w:val="0"/>
              <w:adjustRightInd w:val="0"/>
              <w:spacing w:after="0"/>
              <w:rPr>
                <w:rFonts w:eastAsiaTheme="minorEastAsia" w:cs="Calibri"/>
                <w:color w:val="000000"/>
                <w:sz w:val="16"/>
                <w:vertAlign w:val="superscript"/>
                <w:lang w:eastAsia="en-AU"/>
              </w:rPr>
            </w:pPr>
            <w:r w:rsidRPr="00AC137D">
              <w:rPr>
                <w:rFonts w:eastAsiaTheme="minorEastAsia" w:cs="Calibri"/>
                <w:color w:val="000000"/>
                <w:sz w:val="16"/>
                <w:lang w:eastAsia="en-AU"/>
              </w:rPr>
              <w:t xml:space="preserve">Licence fees </w:t>
            </w:r>
            <w:r w:rsidRPr="00AC137D">
              <w:rPr>
                <w:rFonts w:eastAsiaTheme="minorEastAsia" w:cs="Calibri"/>
                <w:color w:val="000000"/>
                <w:sz w:val="16"/>
                <w:vertAlign w:val="superscript"/>
                <w:lang w:eastAsia="en-AU"/>
              </w:rPr>
              <w:t>(b)</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lang w:eastAsia="en-AU"/>
              </w:rPr>
            </w:pPr>
            <w:r>
              <w:rPr>
                <w:rFonts w:eastAsiaTheme="minorEastAsia" w:cs="Calibri"/>
                <w:color w:val="000000"/>
                <w:sz w:val="16"/>
                <w:lang w:eastAsia="en-AU"/>
              </w:rPr>
              <w:t>52</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lang w:eastAsia="en-AU"/>
              </w:rPr>
            </w:pPr>
            <w:r>
              <w:rPr>
                <w:rFonts w:eastAsiaTheme="minorEastAsia" w:cs="Calibri"/>
                <w:color w:val="000000"/>
                <w:sz w:val="16"/>
                <w:lang w:eastAsia="en-AU"/>
              </w:rPr>
              <w:t>52</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lang w:eastAsia="en-AU"/>
              </w:rPr>
            </w:pPr>
            <w:r>
              <w:rPr>
                <w:rFonts w:eastAsiaTheme="minorEastAsia" w:cs="Calibri"/>
                <w:color w:val="000000"/>
                <w:sz w:val="16"/>
                <w:lang w:eastAsia="en-AU"/>
              </w:rPr>
              <w:t>52</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lang w:eastAsia="en-AU"/>
              </w:rPr>
            </w:pPr>
            <w:r>
              <w:rPr>
                <w:rFonts w:eastAsiaTheme="minorEastAsia" w:cs="Calibri"/>
                <w:color w:val="000000"/>
                <w:sz w:val="16"/>
                <w:lang w:eastAsia="en-AU"/>
              </w:rPr>
              <w:t>52</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lang w:eastAsia="en-AU"/>
              </w:rPr>
            </w:pPr>
            <w:r>
              <w:rPr>
                <w:rFonts w:eastAsiaTheme="minorEastAsia" w:cs="Calibri"/>
                <w:color w:val="000000"/>
                <w:sz w:val="16"/>
                <w:lang w:eastAsia="en-AU"/>
              </w:rPr>
              <w:t>52</w:t>
            </w:r>
          </w:p>
        </w:tc>
      </w:tr>
      <w:tr w:rsidR="00A46DCA" w:rsidRPr="00AC137D" w:rsidTr="00A26D04">
        <w:tc>
          <w:tcPr>
            <w:cnfStyle w:val="001000000000" w:firstRow="0" w:lastRow="0" w:firstColumn="1" w:lastColumn="0" w:oddVBand="0" w:evenVBand="0" w:oddHBand="0" w:evenHBand="0" w:firstRowFirstColumn="0" w:firstRowLastColumn="0" w:lastRowFirstColumn="0" w:lastRowLastColumn="0"/>
            <w:tcW w:w="3515" w:type="dxa"/>
            <w:tcBorders>
              <w:top w:val="single" w:sz="6" w:space="0" w:color="auto"/>
              <w:left w:val="nil"/>
              <w:bottom w:val="single" w:sz="6" w:space="0" w:color="auto"/>
              <w:right w:val="nil"/>
            </w:tcBorders>
          </w:tcPr>
          <w:p w:rsidR="00A46DCA" w:rsidRPr="00AC137D" w:rsidRDefault="00A46DCA" w:rsidP="00A26D04">
            <w:pPr>
              <w:keepLines w:val="0"/>
              <w:autoSpaceDE w:val="0"/>
              <w:autoSpaceDN w:val="0"/>
              <w:adjustRightInd w:val="0"/>
              <w:spacing w:after="0"/>
              <w:rPr>
                <w:rFonts w:eastAsiaTheme="minorEastAsia" w:cs="Calibri"/>
                <w:i/>
                <w:iCs/>
                <w:color w:val="000000"/>
                <w:sz w:val="16"/>
                <w:lang w:eastAsia="en-AU"/>
              </w:rPr>
            </w:pPr>
            <w:r w:rsidRPr="00AC137D">
              <w:rPr>
                <w:rFonts w:eastAsiaTheme="minorEastAsia" w:cs="Calibri"/>
                <w:i/>
                <w:iCs/>
                <w:color w:val="000000"/>
                <w:sz w:val="16"/>
                <w:lang w:eastAsia="en-AU"/>
              </w:rPr>
              <w:t>plus total convergence difference:</w:t>
            </w:r>
          </w:p>
        </w:tc>
        <w:tc>
          <w:tcPr>
            <w:tcW w:w="850" w:type="dxa"/>
            <w:tcBorders>
              <w:top w:val="single" w:sz="6" w:space="0" w:color="auto"/>
              <w:left w:val="nil"/>
              <w:bottom w:val="single" w:sz="6" w:space="0" w:color="auto"/>
              <w:right w:val="nil"/>
            </w:tcBorders>
            <w:shd w:val="solid" w:color="FFFFFF" w:fill="auto"/>
          </w:tcPr>
          <w:p w:rsidR="00A46DCA" w:rsidRPr="00AC137D"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lang w:eastAsia="en-AU"/>
              </w:rPr>
            </w:pPr>
            <w:r>
              <w:rPr>
                <w:rFonts w:eastAsiaTheme="minorEastAsia" w:cs="Calibri"/>
                <w:color w:val="000000"/>
                <w:sz w:val="16"/>
                <w:lang w:eastAsia="en-AU"/>
              </w:rPr>
              <w:t>52</w:t>
            </w:r>
          </w:p>
        </w:tc>
        <w:tc>
          <w:tcPr>
            <w:tcW w:w="850" w:type="dxa"/>
            <w:tcBorders>
              <w:top w:val="single" w:sz="6" w:space="0" w:color="auto"/>
              <w:left w:val="nil"/>
              <w:bottom w:val="single" w:sz="6" w:space="0" w:color="auto"/>
              <w:right w:val="nil"/>
            </w:tcBorders>
            <w:shd w:val="solid" w:color="FFFFFF" w:fill="auto"/>
          </w:tcPr>
          <w:p w:rsidR="00A46DCA" w:rsidRPr="00AC137D"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lang w:eastAsia="en-AU"/>
              </w:rPr>
            </w:pPr>
            <w:r>
              <w:rPr>
                <w:rFonts w:eastAsiaTheme="minorEastAsia" w:cs="Calibri"/>
                <w:color w:val="000000"/>
                <w:sz w:val="16"/>
                <w:lang w:eastAsia="en-AU"/>
              </w:rPr>
              <w:t>52</w:t>
            </w:r>
          </w:p>
        </w:tc>
        <w:tc>
          <w:tcPr>
            <w:tcW w:w="850" w:type="dxa"/>
            <w:tcBorders>
              <w:top w:val="single" w:sz="6" w:space="0" w:color="auto"/>
              <w:left w:val="nil"/>
              <w:bottom w:val="single" w:sz="6" w:space="0" w:color="auto"/>
              <w:right w:val="nil"/>
            </w:tcBorders>
            <w:shd w:val="solid" w:color="FFFFFF" w:fill="auto"/>
          </w:tcPr>
          <w:p w:rsidR="00A46DCA" w:rsidRPr="00AC137D"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lang w:eastAsia="en-AU"/>
              </w:rPr>
            </w:pPr>
            <w:r>
              <w:rPr>
                <w:rFonts w:eastAsiaTheme="minorEastAsia" w:cs="Calibri"/>
                <w:color w:val="000000"/>
                <w:sz w:val="16"/>
                <w:lang w:eastAsia="en-AU"/>
              </w:rPr>
              <w:t>52</w:t>
            </w:r>
          </w:p>
        </w:tc>
        <w:tc>
          <w:tcPr>
            <w:tcW w:w="850" w:type="dxa"/>
            <w:tcBorders>
              <w:top w:val="single" w:sz="6" w:space="0" w:color="auto"/>
              <w:left w:val="nil"/>
              <w:bottom w:val="single" w:sz="6" w:space="0" w:color="auto"/>
              <w:right w:val="nil"/>
            </w:tcBorders>
            <w:shd w:val="solid" w:color="FFFFFF" w:fill="auto"/>
          </w:tcPr>
          <w:p w:rsidR="00A46DCA" w:rsidRPr="00AC137D"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lang w:eastAsia="en-AU"/>
              </w:rPr>
            </w:pPr>
            <w:r>
              <w:rPr>
                <w:rFonts w:eastAsiaTheme="minorEastAsia" w:cs="Calibri"/>
                <w:color w:val="000000"/>
                <w:sz w:val="16"/>
                <w:lang w:eastAsia="en-AU"/>
              </w:rPr>
              <w:t>52</w:t>
            </w:r>
          </w:p>
        </w:tc>
        <w:tc>
          <w:tcPr>
            <w:tcW w:w="850" w:type="dxa"/>
            <w:tcBorders>
              <w:top w:val="single" w:sz="6" w:space="0" w:color="auto"/>
              <w:left w:val="nil"/>
              <w:bottom w:val="single" w:sz="6" w:space="0" w:color="auto"/>
              <w:right w:val="nil"/>
            </w:tcBorders>
            <w:shd w:val="solid" w:color="FFFFFF" w:fill="auto"/>
          </w:tcPr>
          <w:p w:rsidR="00A46DCA" w:rsidRPr="00AC137D"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lang w:eastAsia="en-AU"/>
              </w:rPr>
            </w:pPr>
            <w:r>
              <w:rPr>
                <w:rFonts w:eastAsiaTheme="minorEastAsia" w:cs="Calibri"/>
                <w:color w:val="000000"/>
                <w:sz w:val="16"/>
                <w:lang w:eastAsia="en-AU"/>
              </w:rPr>
              <w:t>52</w:t>
            </w:r>
          </w:p>
        </w:tc>
      </w:tr>
      <w:tr w:rsidR="00A46DCA" w:rsidRPr="00AC137D" w:rsidTr="00A26D04">
        <w:tc>
          <w:tcPr>
            <w:cnfStyle w:val="001000000000" w:firstRow="0" w:lastRow="0" w:firstColumn="1" w:lastColumn="0" w:oddVBand="0" w:evenVBand="0" w:oddHBand="0" w:evenHBand="0" w:firstRowFirstColumn="0" w:firstRowLastColumn="0" w:lastRowFirstColumn="0" w:lastRowLastColumn="0"/>
            <w:tcW w:w="3515" w:type="dxa"/>
            <w:tcBorders>
              <w:top w:val="single" w:sz="6" w:space="0" w:color="auto"/>
              <w:left w:val="nil"/>
              <w:bottom w:val="single" w:sz="12" w:space="0" w:color="auto"/>
              <w:right w:val="nil"/>
            </w:tcBorders>
          </w:tcPr>
          <w:p w:rsidR="00A46DCA" w:rsidRPr="00AC137D" w:rsidRDefault="00A46DCA" w:rsidP="00A26D04">
            <w:pPr>
              <w:keepLines w:val="0"/>
              <w:autoSpaceDE w:val="0"/>
              <w:autoSpaceDN w:val="0"/>
              <w:adjustRightInd w:val="0"/>
              <w:spacing w:after="0"/>
              <w:rPr>
                <w:rFonts w:eastAsiaTheme="minorEastAsia" w:cs="Calibri"/>
                <w:b/>
                <w:bCs/>
                <w:color w:val="000000"/>
                <w:sz w:val="16"/>
                <w:lang w:eastAsia="en-AU"/>
              </w:rPr>
            </w:pPr>
            <w:r w:rsidRPr="00AC137D">
              <w:rPr>
                <w:rFonts w:eastAsiaTheme="minorEastAsia" w:cs="Calibri"/>
                <w:b/>
                <w:bCs/>
                <w:color w:val="000000"/>
                <w:sz w:val="16"/>
                <w:lang w:eastAsia="en-AU"/>
              </w:rPr>
              <w:t xml:space="preserve">GFS net lending/(borrowing) </w:t>
            </w:r>
          </w:p>
        </w:tc>
        <w:tc>
          <w:tcPr>
            <w:tcW w:w="850" w:type="dxa"/>
            <w:tcBorders>
              <w:top w:val="single" w:sz="6" w:space="0" w:color="auto"/>
              <w:left w:val="nil"/>
              <w:bottom w:val="single" w:sz="12" w:space="0" w:color="auto"/>
              <w:right w:val="nil"/>
            </w:tcBorders>
            <w:shd w:val="solid" w:color="FFFFFF" w:fill="auto"/>
          </w:tcPr>
          <w:p w:rsidR="00A46DCA" w:rsidRPr="00AC137D"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lang w:eastAsia="en-AU"/>
              </w:rPr>
            </w:pPr>
            <w:r>
              <w:rPr>
                <w:rFonts w:eastAsiaTheme="minorEastAsia" w:cs="Calibri"/>
                <w:b/>
                <w:bCs/>
                <w:color w:val="000000"/>
                <w:sz w:val="16"/>
                <w:lang w:eastAsia="en-AU"/>
              </w:rPr>
              <w:t>(608)</w:t>
            </w:r>
          </w:p>
        </w:tc>
        <w:tc>
          <w:tcPr>
            <w:tcW w:w="850" w:type="dxa"/>
            <w:tcBorders>
              <w:top w:val="single" w:sz="6" w:space="0" w:color="auto"/>
              <w:left w:val="nil"/>
              <w:bottom w:val="single" w:sz="12" w:space="0" w:color="auto"/>
              <w:right w:val="nil"/>
            </w:tcBorders>
            <w:shd w:val="solid" w:color="FFFFFF" w:fill="auto"/>
          </w:tcPr>
          <w:p w:rsidR="00A46DCA" w:rsidRPr="00AC137D"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lang w:eastAsia="en-AU"/>
              </w:rPr>
            </w:pPr>
            <w:r>
              <w:rPr>
                <w:rFonts w:eastAsiaTheme="minorEastAsia" w:cs="Calibri"/>
                <w:b/>
                <w:bCs/>
                <w:color w:val="000000"/>
                <w:sz w:val="16"/>
                <w:lang w:eastAsia="en-AU"/>
              </w:rPr>
              <w:t>(100)</w:t>
            </w:r>
          </w:p>
        </w:tc>
        <w:tc>
          <w:tcPr>
            <w:tcW w:w="850" w:type="dxa"/>
            <w:tcBorders>
              <w:top w:val="single" w:sz="6" w:space="0" w:color="auto"/>
              <w:left w:val="nil"/>
              <w:bottom w:val="single" w:sz="12" w:space="0" w:color="auto"/>
              <w:right w:val="nil"/>
            </w:tcBorders>
            <w:shd w:val="solid" w:color="FFFFFF" w:fill="auto"/>
          </w:tcPr>
          <w:p w:rsidR="00A46DCA" w:rsidRPr="00AC137D"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lang w:eastAsia="en-AU"/>
              </w:rPr>
            </w:pPr>
            <w:r w:rsidRPr="00AC137D">
              <w:rPr>
                <w:rFonts w:eastAsiaTheme="minorEastAsia" w:cs="Calibri"/>
                <w:b/>
                <w:bCs/>
                <w:color w:val="000000"/>
                <w:sz w:val="16"/>
                <w:lang w:eastAsia="en-AU"/>
              </w:rPr>
              <w:t>1 449</w:t>
            </w:r>
          </w:p>
        </w:tc>
        <w:tc>
          <w:tcPr>
            <w:tcW w:w="850" w:type="dxa"/>
            <w:tcBorders>
              <w:top w:val="single" w:sz="6" w:space="0" w:color="auto"/>
              <w:left w:val="nil"/>
              <w:bottom w:val="single" w:sz="12" w:space="0" w:color="auto"/>
              <w:right w:val="nil"/>
            </w:tcBorders>
            <w:shd w:val="solid" w:color="FFFFFF" w:fill="auto"/>
          </w:tcPr>
          <w:p w:rsidR="00A46DCA" w:rsidRPr="00AC137D"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lang w:eastAsia="en-AU"/>
              </w:rPr>
            </w:pPr>
            <w:r w:rsidRPr="00AC137D">
              <w:rPr>
                <w:rFonts w:eastAsiaTheme="minorEastAsia" w:cs="Calibri"/>
                <w:b/>
                <w:bCs/>
                <w:color w:val="000000"/>
                <w:sz w:val="16"/>
                <w:lang w:eastAsia="en-AU"/>
              </w:rPr>
              <w:t>1 668</w:t>
            </w:r>
          </w:p>
        </w:tc>
        <w:tc>
          <w:tcPr>
            <w:tcW w:w="850" w:type="dxa"/>
            <w:tcBorders>
              <w:top w:val="single" w:sz="6" w:space="0" w:color="auto"/>
              <w:left w:val="nil"/>
              <w:bottom w:val="single" w:sz="12" w:space="0" w:color="auto"/>
              <w:right w:val="nil"/>
            </w:tcBorders>
            <w:shd w:val="solid" w:color="FFFFFF" w:fill="auto"/>
          </w:tcPr>
          <w:p w:rsidR="00A46DCA" w:rsidRPr="00AC137D"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lang w:eastAsia="en-AU"/>
              </w:rPr>
            </w:pPr>
            <w:r w:rsidRPr="00AC137D">
              <w:rPr>
                <w:rFonts w:eastAsiaTheme="minorEastAsia" w:cs="Calibri"/>
                <w:b/>
                <w:bCs/>
                <w:color w:val="000000"/>
                <w:sz w:val="16"/>
                <w:lang w:eastAsia="en-AU"/>
              </w:rPr>
              <w:t>2 092</w:t>
            </w:r>
          </w:p>
        </w:tc>
      </w:tr>
      <w:tr w:rsidR="00A46DCA" w:rsidRPr="00AC137D" w:rsidTr="00A26D04">
        <w:trPr>
          <w:trHeight w:hRule="exact" w:val="120"/>
        </w:trPr>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A46DCA" w:rsidRPr="00AC137D" w:rsidRDefault="00A46DCA" w:rsidP="00A26D04">
            <w:pPr>
              <w:keepLines w:val="0"/>
              <w:autoSpaceDE w:val="0"/>
              <w:autoSpaceDN w:val="0"/>
              <w:adjustRightInd w:val="0"/>
              <w:spacing w:after="0"/>
              <w:rPr>
                <w:rFonts w:eastAsiaTheme="minorEastAsia" w:cs="Calibri"/>
                <w:b/>
                <w:bCs/>
                <w:color w:val="000000"/>
                <w:sz w:val="16"/>
                <w:lang w:eastAsia="en-AU"/>
              </w:rPr>
            </w:pPr>
            <w:r w:rsidRPr="00AC137D">
              <w:rPr>
                <w:rFonts w:eastAsiaTheme="minorEastAsia" w:cs="Calibri"/>
                <w:b/>
                <w:bCs/>
                <w:color w:val="000000"/>
                <w:sz w:val="16"/>
                <w:lang w:eastAsia="en-AU"/>
              </w:rPr>
              <w:t xml:space="preserve"> </w:t>
            </w:r>
          </w:p>
        </w:tc>
        <w:tc>
          <w:tcPr>
            <w:tcW w:w="850" w:type="dxa"/>
            <w:tcBorders>
              <w:top w:val="nil"/>
              <w:left w:val="nil"/>
              <w:bottom w:val="nil"/>
              <w:right w:val="nil"/>
            </w:tcBorders>
            <w:shd w:val="solid" w:color="FFFFFF" w:fill="auto"/>
          </w:tcPr>
          <w:p w:rsidR="00A46DCA" w:rsidRPr="00AC137D"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lang w:eastAsia="en-AU"/>
              </w:rPr>
            </w:pPr>
            <w:r w:rsidRPr="00AC137D">
              <w:rPr>
                <w:rFonts w:eastAsiaTheme="minorEastAsia" w:cs="Calibri"/>
                <w:b/>
                <w:bCs/>
                <w:color w:val="000000"/>
                <w:sz w:val="16"/>
                <w:lang w:eastAsia="en-AU"/>
              </w:rPr>
              <w:t xml:space="preserve"> </w:t>
            </w:r>
          </w:p>
        </w:tc>
        <w:tc>
          <w:tcPr>
            <w:tcW w:w="850" w:type="dxa"/>
            <w:tcBorders>
              <w:top w:val="nil"/>
              <w:left w:val="nil"/>
              <w:bottom w:val="nil"/>
              <w:right w:val="nil"/>
            </w:tcBorders>
            <w:shd w:val="solid" w:color="FFFFFF" w:fill="auto"/>
          </w:tcPr>
          <w:p w:rsidR="00A46DCA" w:rsidRPr="00AC137D"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lang w:eastAsia="en-AU"/>
              </w:rPr>
            </w:pPr>
            <w:r w:rsidRPr="00AC137D">
              <w:rPr>
                <w:rFonts w:eastAsiaTheme="minorEastAsia" w:cs="Calibri"/>
                <w:b/>
                <w:bCs/>
                <w:color w:val="000000"/>
                <w:sz w:val="16"/>
                <w:lang w:eastAsia="en-AU"/>
              </w:rPr>
              <w:t xml:space="preserve"> </w:t>
            </w:r>
          </w:p>
        </w:tc>
        <w:tc>
          <w:tcPr>
            <w:tcW w:w="850" w:type="dxa"/>
            <w:tcBorders>
              <w:top w:val="nil"/>
              <w:left w:val="nil"/>
              <w:bottom w:val="nil"/>
              <w:right w:val="nil"/>
            </w:tcBorders>
            <w:shd w:val="solid" w:color="FFFFFF" w:fill="auto"/>
          </w:tcPr>
          <w:p w:rsidR="00A46DCA" w:rsidRPr="00AC137D"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lang w:eastAsia="en-AU"/>
              </w:rPr>
            </w:pPr>
            <w:r w:rsidRPr="00AC137D">
              <w:rPr>
                <w:rFonts w:eastAsiaTheme="minorEastAsia" w:cs="Calibri"/>
                <w:b/>
                <w:bCs/>
                <w:color w:val="000000"/>
                <w:sz w:val="16"/>
                <w:lang w:eastAsia="en-AU"/>
              </w:rPr>
              <w:t xml:space="preserve"> </w:t>
            </w:r>
          </w:p>
        </w:tc>
        <w:tc>
          <w:tcPr>
            <w:tcW w:w="850" w:type="dxa"/>
            <w:tcBorders>
              <w:top w:val="nil"/>
              <w:left w:val="nil"/>
              <w:bottom w:val="nil"/>
              <w:right w:val="nil"/>
            </w:tcBorders>
            <w:shd w:val="solid" w:color="FFFFFF" w:fill="auto"/>
          </w:tcPr>
          <w:p w:rsidR="00A46DCA" w:rsidRPr="00AC137D"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lang w:eastAsia="en-AU"/>
              </w:rPr>
            </w:pPr>
            <w:r w:rsidRPr="00AC137D">
              <w:rPr>
                <w:rFonts w:eastAsiaTheme="minorEastAsia" w:cs="Calibri"/>
                <w:b/>
                <w:bCs/>
                <w:color w:val="000000"/>
                <w:sz w:val="16"/>
                <w:lang w:eastAsia="en-AU"/>
              </w:rPr>
              <w:t xml:space="preserve"> </w:t>
            </w:r>
          </w:p>
        </w:tc>
        <w:tc>
          <w:tcPr>
            <w:tcW w:w="850" w:type="dxa"/>
            <w:tcBorders>
              <w:top w:val="nil"/>
              <w:left w:val="nil"/>
              <w:bottom w:val="nil"/>
              <w:right w:val="nil"/>
            </w:tcBorders>
            <w:shd w:val="solid" w:color="FFFFFF" w:fill="auto"/>
          </w:tcPr>
          <w:p w:rsidR="00A46DCA" w:rsidRPr="00AC137D"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lang w:eastAsia="en-AU"/>
              </w:rPr>
            </w:pPr>
            <w:r w:rsidRPr="00AC137D">
              <w:rPr>
                <w:rFonts w:eastAsiaTheme="minorEastAsia" w:cs="Calibri"/>
                <w:b/>
                <w:bCs/>
                <w:color w:val="000000"/>
                <w:sz w:val="16"/>
                <w:lang w:eastAsia="en-AU"/>
              </w:rPr>
              <w:t xml:space="preserve"> </w:t>
            </w:r>
          </w:p>
        </w:tc>
      </w:tr>
      <w:tr w:rsidR="00A46DCA" w:rsidRPr="00AC137D" w:rsidTr="00A26D04">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A46DCA" w:rsidRPr="00AC137D" w:rsidRDefault="00A46DCA" w:rsidP="00A26D04">
            <w:pPr>
              <w:keepLines w:val="0"/>
              <w:autoSpaceDE w:val="0"/>
              <w:autoSpaceDN w:val="0"/>
              <w:adjustRightInd w:val="0"/>
              <w:spacing w:after="0"/>
              <w:rPr>
                <w:rFonts w:eastAsiaTheme="minorEastAsia" w:cs="Calibri"/>
                <w:b/>
                <w:bCs/>
                <w:color w:val="000000"/>
                <w:sz w:val="16"/>
                <w:lang w:eastAsia="en-AU"/>
              </w:rPr>
            </w:pPr>
            <w:r w:rsidRPr="00AC137D">
              <w:rPr>
                <w:rFonts w:eastAsiaTheme="minorEastAsia" w:cs="Calibri"/>
                <w:b/>
                <w:bCs/>
                <w:color w:val="000000"/>
                <w:sz w:val="16"/>
                <w:lang w:eastAsia="en-AU"/>
              </w:rPr>
              <w:t xml:space="preserve">Comprehensive result – total change in net worth </w:t>
            </w:r>
          </w:p>
        </w:tc>
        <w:tc>
          <w:tcPr>
            <w:tcW w:w="850" w:type="dxa"/>
            <w:tcBorders>
              <w:top w:val="nil"/>
              <w:left w:val="nil"/>
              <w:bottom w:val="nil"/>
              <w:right w:val="nil"/>
            </w:tcBorders>
            <w:shd w:val="solid" w:color="FFFFFF" w:fill="auto"/>
          </w:tcPr>
          <w:p w:rsidR="00A46DCA" w:rsidRPr="00AC137D"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lang w:eastAsia="en-AU"/>
              </w:rPr>
            </w:pPr>
            <w:r w:rsidRPr="00AC137D">
              <w:rPr>
                <w:rFonts w:eastAsiaTheme="minorEastAsia" w:cs="Calibri"/>
                <w:b/>
                <w:bCs/>
                <w:color w:val="000000"/>
                <w:sz w:val="16"/>
                <w:lang w:eastAsia="en-AU"/>
              </w:rPr>
              <w:t>4 504</w:t>
            </w:r>
          </w:p>
        </w:tc>
        <w:tc>
          <w:tcPr>
            <w:tcW w:w="850" w:type="dxa"/>
            <w:tcBorders>
              <w:top w:val="nil"/>
              <w:left w:val="nil"/>
              <w:bottom w:val="nil"/>
              <w:right w:val="nil"/>
            </w:tcBorders>
            <w:shd w:val="solid" w:color="FFFFFF" w:fill="auto"/>
          </w:tcPr>
          <w:p w:rsidR="00A46DCA" w:rsidRPr="00AC137D"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lang w:eastAsia="en-AU"/>
              </w:rPr>
            </w:pPr>
            <w:r w:rsidRPr="00AC137D">
              <w:rPr>
                <w:rFonts w:eastAsiaTheme="minorEastAsia" w:cs="Calibri"/>
                <w:b/>
                <w:bCs/>
                <w:color w:val="000000"/>
                <w:sz w:val="16"/>
                <w:lang w:eastAsia="en-AU"/>
              </w:rPr>
              <w:t>6 488</w:t>
            </w:r>
          </w:p>
        </w:tc>
        <w:tc>
          <w:tcPr>
            <w:tcW w:w="850" w:type="dxa"/>
            <w:tcBorders>
              <w:top w:val="nil"/>
              <w:left w:val="nil"/>
              <w:bottom w:val="nil"/>
              <w:right w:val="nil"/>
            </w:tcBorders>
            <w:shd w:val="solid" w:color="FFFFFF" w:fill="auto"/>
          </w:tcPr>
          <w:p w:rsidR="00A46DCA" w:rsidRPr="00AC137D"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lang w:eastAsia="en-AU"/>
              </w:rPr>
            </w:pPr>
            <w:r w:rsidRPr="00AC137D">
              <w:rPr>
                <w:rFonts w:eastAsiaTheme="minorEastAsia" w:cs="Calibri"/>
                <w:b/>
                <w:bCs/>
                <w:color w:val="000000"/>
                <w:sz w:val="16"/>
                <w:lang w:eastAsia="en-AU"/>
              </w:rPr>
              <w:t>4 419</w:t>
            </w:r>
          </w:p>
        </w:tc>
        <w:tc>
          <w:tcPr>
            <w:tcW w:w="850" w:type="dxa"/>
            <w:tcBorders>
              <w:top w:val="nil"/>
              <w:left w:val="nil"/>
              <w:bottom w:val="nil"/>
              <w:right w:val="nil"/>
            </w:tcBorders>
            <w:shd w:val="solid" w:color="FFFFFF" w:fill="auto"/>
          </w:tcPr>
          <w:p w:rsidR="00A46DCA" w:rsidRPr="00AC137D"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lang w:eastAsia="en-AU"/>
              </w:rPr>
            </w:pPr>
            <w:r w:rsidRPr="00AC137D">
              <w:rPr>
                <w:rFonts w:eastAsiaTheme="minorEastAsia" w:cs="Calibri"/>
                <w:b/>
                <w:bCs/>
                <w:color w:val="000000"/>
                <w:sz w:val="16"/>
                <w:lang w:eastAsia="en-AU"/>
              </w:rPr>
              <w:t>11 571</w:t>
            </w:r>
          </w:p>
        </w:tc>
        <w:tc>
          <w:tcPr>
            <w:tcW w:w="850" w:type="dxa"/>
            <w:tcBorders>
              <w:top w:val="nil"/>
              <w:left w:val="nil"/>
              <w:bottom w:val="nil"/>
              <w:right w:val="nil"/>
            </w:tcBorders>
            <w:shd w:val="solid" w:color="FFFFFF" w:fill="auto"/>
          </w:tcPr>
          <w:p w:rsidR="00A46DCA" w:rsidRPr="00AC137D"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lang w:eastAsia="en-AU"/>
              </w:rPr>
            </w:pPr>
            <w:r w:rsidRPr="00AC137D">
              <w:rPr>
                <w:rFonts w:eastAsiaTheme="minorEastAsia" w:cs="Calibri"/>
                <w:b/>
                <w:bCs/>
                <w:color w:val="000000"/>
                <w:sz w:val="16"/>
                <w:lang w:eastAsia="en-AU"/>
              </w:rPr>
              <w:t>5 460</w:t>
            </w:r>
          </w:p>
        </w:tc>
      </w:tr>
      <w:tr w:rsidR="00A46DCA" w:rsidRPr="00AC137D" w:rsidTr="00A26D04">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A46DCA" w:rsidRPr="00AC137D" w:rsidRDefault="00A46DCA" w:rsidP="00A26D04">
            <w:pPr>
              <w:keepLines w:val="0"/>
              <w:autoSpaceDE w:val="0"/>
              <w:autoSpaceDN w:val="0"/>
              <w:adjustRightInd w:val="0"/>
              <w:spacing w:after="0"/>
              <w:rPr>
                <w:rFonts w:eastAsiaTheme="minorEastAsia" w:cs="Calibri"/>
                <w:b/>
                <w:bCs/>
                <w:color w:val="000000"/>
                <w:sz w:val="16"/>
                <w:lang w:eastAsia="en-AU"/>
              </w:rPr>
            </w:pPr>
            <w:r w:rsidRPr="00AC137D">
              <w:rPr>
                <w:rFonts w:eastAsiaTheme="minorEastAsia" w:cs="Calibri"/>
                <w:b/>
                <w:bCs/>
                <w:color w:val="000000"/>
                <w:sz w:val="16"/>
                <w:lang w:eastAsia="en-AU"/>
              </w:rPr>
              <w:t>Contribution by non-controlling interest</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lang w:eastAsia="en-AU"/>
              </w:rPr>
            </w:pPr>
            <w:r w:rsidRPr="00AC137D">
              <w:rPr>
                <w:rFonts w:eastAsiaTheme="minorEastAsia" w:cs="Calibri"/>
                <w:b/>
                <w:bCs/>
                <w:color w:val="000000"/>
                <w:sz w:val="16"/>
                <w:lang w:eastAsia="en-AU"/>
              </w:rPr>
              <w:t xml:space="preserve"> </w:t>
            </w:r>
          </w:p>
        </w:tc>
        <w:tc>
          <w:tcPr>
            <w:tcW w:w="850" w:type="dxa"/>
            <w:tcBorders>
              <w:top w:val="nil"/>
              <w:left w:val="nil"/>
              <w:bottom w:val="nil"/>
              <w:right w:val="nil"/>
            </w:tcBorders>
            <w:shd w:val="solid" w:color="FFFFFF" w:fill="auto"/>
          </w:tcPr>
          <w:p w:rsidR="00A46DCA" w:rsidRPr="00AC137D"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lang w:eastAsia="en-AU"/>
              </w:rPr>
            </w:pPr>
            <w:r w:rsidRPr="00AC137D">
              <w:rPr>
                <w:rFonts w:eastAsiaTheme="minorEastAsia" w:cs="Calibri"/>
                <w:b/>
                <w:bCs/>
                <w:color w:val="000000"/>
                <w:sz w:val="16"/>
                <w:lang w:eastAsia="en-AU"/>
              </w:rPr>
              <w:t xml:space="preserve"> </w:t>
            </w:r>
          </w:p>
        </w:tc>
        <w:tc>
          <w:tcPr>
            <w:tcW w:w="850" w:type="dxa"/>
            <w:tcBorders>
              <w:top w:val="nil"/>
              <w:left w:val="nil"/>
              <w:bottom w:val="nil"/>
              <w:right w:val="nil"/>
            </w:tcBorders>
            <w:shd w:val="solid" w:color="FFFFFF" w:fill="auto"/>
          </w:tcPr>
          <w:p w:rsidR="00A46DCA" w:rsidRPr="00AC137D"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lang w:eastAsia="en-AU"/>
              </w:rPr>
            </w:pPr>
            <w:r w:rsidRPr="00AC137D">
              <w:rPr>
                <w:rFonts w:eastAsiaTheme="minorEastAsia" w:cs="Calibri"/>
                <w:b/>
                <w:bCs/>
                <w:color w:val="000000"/>
                <w:sz w:val="16"/>
                <w:lang w:eastAsia="en-AU"/>
              </w:rPr>
              <w:t xml:space="preserve"> </w:t>
            </w:r>
          </w:p>
        </w:tc>
        <w:tc>
          <w:tcPr>
            <w:tcW w:w="850" w:type="dxa"/>
            <w:tcBorders>
              <w:top w:val="nil"/>
              <w:left w:val="nil"/>
              <w:bottom w:val="nil"/>
              <w:right w:val="nil"/>
            </w:tcBorders>
            <w:shd w:val="solid" w:color="FFFFFF" w:fill="auto"/>
          </w:tcPr>
          <w:p w:rsidR="00A46DCA" w:rsidRPr="00AC137D"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lang w:eastAsia="en-AU"/>
              </w:rPr>
            </w:pPr>
            <w:r w:rsidRPr="00AC137D">
              <w:rPr>
                <w:rFonts w:eastAsiaTheme="minorEastAsia" w:cs="Calibri"/>
                <w:b/>
                <w:bCs/>
                <w:color w:val="000000"/>
                <w:sz w:val="16"/>
                <w:lang w:eastAsia="en-AU"/>
              </w:rPr>
              <w:t xml:space="preserve"> </w:t>
            </w:r>
          </w:p>
        </w:tc>
        <w:tc>
          <w:tcPr>
            <w:tcW w:w="850" w:type="dxa"/>
            <w:tcBorders>
              <w:top w:val="nil"/>
              <w:left w:val="nil"/>
              <w:bottom w:val="nil"/>
              <w:right w:val="nil"/>
            </w:tcBorders>
            <w:shd w:val="solid" w:color="FFFFFF" w:fill="auto"/>
          </w:tcPr>
          <w:p w:rsidR="00A46DCA" w:rsidRPr="00AC137D"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lang w:eastAsia="en-AU"/>
              </w:rPr>
            </w:pPr>
            <w:r w:rsidRPr="00AC137D">
              <w:rPr>
                <w:rFonts w:eastAsiaTheme="minorEastAsia" w:cs="Calibri"/>
                <w:b/>
                <w:bCs/>
                <w:color w:val="000000"/>
                <w:sz w:val="16"/>
                <w:lang w:eastAsia="en-AU"/>
              </w:rPr>
              <w:t xml:space="preserve"> </w:t>
            </w:r>
          </w:p>
        </w:tc>
      </w:tr>
      <w:tr w:rsidR="00A46DCA" w:rsidRPr="00AC137D" w:rsidTr="00A26D04">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A46DCA" w:rsidRPr="00AC137D" w:rsidRDefault="00A46DCA" w:rsidP="00A26D04">
            <w:pPr>
              <w:keepLines w:val="0"/>
              <w:autoSpaceDE w:val="0"/>
              <w:autoSpaceDN w:val="0"/>
              <w:adjustRightInd w:val="0"/>
              <w:spacing w:after="0"/>
              <w:rPr>
                <w:rFonts w:eastAsiaTheme="minorEastAsia" w:cs="Calibri"/>
                <w:i/>
                <w:iCs/>
                <w:color w:val="000000"/>
                <w:sz w:val="16"/>
                <w:lang w:eastAsia="en-AU"/>
              </w:rPr>
            </w:pPr>
            <w:r w:rsidRPr="00AC137D">
              <w:rPr>
                <w:rFonts w:eastAsiaTheme="minorEastAsia" w:cs="Calibri"/>
                <w:i/>
                <w:iCs/>
                <w:color w:val="000000"/>
                <w:sz w:val="16"/>
                <w:lang w:eastAsia="en-AU"/>
              </w:rPr>
              <w:t xml:space="preserve">Convergence differences: </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i/>
                <w:iCs/>
                <w:color w:val="000000"/>
                <w:sz w:val="16"/>
                <w:lang w:eastAsia="en-AU"/>
              </w:rPr>
            </w:pPr>
            <w:r w:rsidRPr="00AC137D">
              <w:rPr>
                <w:rFonts w:eastAsiaTheme="minorEastAsia" w:cs="Calibri"/>
                <w:i/>
                <w:iCs/>
                <w:color w:val="000000"/>
                <w:sz w:val="16"/>
                <w:lang w:eastAsia="en-AU"/>
              </w:rPr>
              <w:t xml:space="preserve"> </w:t>
            </w:r>
          </w:p>
        </w:tc>
        <w:tc>
          <w:tcPr>
            <w:tcW w:w="850" w:type="dxa"/>
            <w:tcBorders>
              <w:top w:val="nil"/>
              <w:left w:val="nil"/>
              <w:bottom w:val="nil"/>
              <w:right w:val="nil"/>
            </w:tcBorders>
            <w:shd w:val="solid" w:color="FFFFFF" w:fill="auto"/>
          </w:tcPr>
          <w:p w:rsidR="00A46DCA" w:rsidRPr="00AC137D"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lang w:eastAsia="en-AU"/>
              </w:rPr>
            </w:pPr>
            <w:r w:rsidRPr="00AC137D">
              <w:rPr>
                <w:rFonts w:eastAsiaTheme="minorEastAsia" w:cs="Calibri"/>
                <w:b/>
                <w:bCs/>
                <w:color w:val="000000"/>
                <w:sz w:val="16"/>
                <w:lang w:eastAsia="en-AU"/>
              </w:rPr>
              <w:t xml:space="preserve"> </w:t>
            </w:r>
          </w:p>
        </w:tc>
        <w:tc>
          <w:tcPr>
            <w:tcW w:w="850" w:type="dxa"/>
            <w:tcBorders>
              <w:top w:val="nil"/>
              <w:left w:val="nil"/>
              <w:bottom w:val="nil"/>
              <w:right w:val="nil"/>
            </w:tcBorders>
            <w:shd w:val="solid" w:color="FFFFFF" w:fill="auto"/>
          </w:tcPr>
          <w:p w:rsidR="00A46DCA" w:rsidRPr="00AC137D"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lang w:eastAsia="en-AU"/>
              </w:rPr>
            </w:pPr>
            <w:r w:rsidRPr="00AC137D">
              <w:rPr>
                <w:rFonts w:eastAsiaTheme="minorEastAsia" w:cs="Calibri"/>
                <w:b/>
                <w:bCs/>
                <w:color w:val="000000"/>
                <w:sz w:val="16"/>
                <w:lang w:eastAsia="en-AU"/>
              </w:rPr>
              <w:t xml:space="preserve"> </w:t>
            </w:r>
          </w:p>
        </w:tc>
        <w:tc>
          <w:tcPr>
            <w:tcW w:w="850" w:type="dxa"/>
            <w:tcBorders>
              <w:top w:val="nil"/>
              <w:left w:val="nil"/>
              <w:bottom w:val="nil"/>
              <w:right w:val="nil"/>
            </w:tcBorders>
            <w:shd w:val="solid" w:color="FFFFFF" w:fill="auto"/>
          </w:tcPr>
          <w:p w:rsidR="00A46DCA" w:rsidRPr="00AC137D"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lang w:eastAsia="en-AU"/>
              </w:rPr>
            </w:pPr>
            <w:r w:rsidRPr="00AC137D">
              <w:rPr>
                <w:rFonts w:eastAsiaTheme="minorEastAsia" w:cs="Calibri"/>
                <w:b/>
                <w:bCs/>
                <w:color w:val="000000"/>
                <w:sz w:val="16"/>
                <w:lang w:eastAsia="en-AU"/>
              </w:rPr>
              <w:t xml:space="preserve"> </w:t>
            </w:r>
          </w:p>
        </w:tc>
        <w:tc>
          <w:tcPr>
            <w:tcW w:w="850" w:type="dxa"/>
            <w:tcBorders>
              <w:top w:val="nil"/>
              <w:left w:val="nil"/>
              <w:bottom w:val="nil"/>
              <w:right w:val="nil"/>
            </w:tcBorders>
            <w:shd w:val="solid" w:color="FFFFFF" w:fill="auto"/>
          </w:tcPr>
          <w:p w:rsidR="00A46DCA" w:rsidRPr="00AC137D"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lang w:eastAsia="en-AU"/>
              </w:rPr>
            </w:pPr>
            <w:r w:rsidRPr="00AC137D">
              <w:rPr>
                <w:rFonts w:eastAsiaTheme="minorEastAsia" w:cs="Calibri"/>
                <w:b/>
                <w:bCs/>
                <w:color w:val="000000"/>
                <w:sz w:val="16"/>
                <w:lang w:eastAsia="en-AU"/>
              </w:rPr>
              <w:t xml:space="preserve"> </w:t>
            </w:r>
          </w:p>
        </w:tc>
      </w:tr>
      <w:tr w:rsidR="00A46DCA" w:rsidRPr="00AC137D" w:rsidTr="00A26D04">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A46DCA" w:rsidRPr="00AC137D" w:rsidRDefault="00A46DCA" w:rsidP="00A26D04">
            <w:pPr>
              <w:keepLines w:val="0"/>
              <w:autoSpaceDE w:val="0"/>
              <w:autoSpaceDN w:val="0"/>
              <w:adjustRightInd w:val="0"/>
              <w:spacing w:after="0"/>
              <w:rPr>
                <w:rFonts w:eastAsiaTheme="minorEastAsia" w:cs="Calibri"/>
                <w:color w:val="000000"/>
                <w:sz w:val="16"/>
                <w:vertAlign w:val="superscript"/>
                <w:lang w:eastAsia="en-AU"/>
              </w:rPr>
            </w:pPr>
            <w:r w:rsidRPr="00AC137D">
              <w:rPr>
                <w:rFonts w:eastAsiaTheme="minorEastAsia" w:cs="Calibri"/>
                <w:color w:val="000000"/>
                <w:sz w:val="16"/>
                <w:lang w:eastAsia="en-AU"/>
              </w:rPr>
              <w:t xml:space="preserve">Doubtful receivables of the general government sector </w:t>
            </w:r>
            <w:r w:rsidRPr="00AC137D">
              <w:rPr>
                <w:rFonts w:eastAsiaTheme="minorEastAsia" w:cs="Calibri"/>
                <w:color w:val="000000"/>
                <w:sz w:val="16"/>
                <w:vertAlign w:val="superscript"/>
                <w:lang w:eastAsia="en-AU"/>
              </w:rPr>
              <w:t>(c)</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lang w:eastAsia="en-AU"/>
              </w:rPr>
            </w:pPr>
            <w:r>
              <w:rPr>
                <w:rFonts w:eastAsiaTheme="minorEastAsia" w:cs="Calibri"/>
                <w:color w:val="000000"/>
                <w:sz w:val="16"/>
                <w:lang w:eastAsia="en-AU"/>
              </w:rPr>
              <w:t>165</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lang w:eastAsia="en-AU"/>
              </w:rPr>
            </w:pPr>
            <w:r>
              <w:rPr>
                <w:rFonts w:eastAsiaTheme="minorEastAsia" w:cs="Calibri"/>
                <w:color w:val="000000"/>
                <w:sz w:val="16"/>
                <w:lang w:eastAsia="en-AU"/>
              </w:rPr>
              <w:t>165</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lang w:eastAsia="en-AU"/>
              </w:rPr>
            </w:pPr>
            <w:r>
              <w:rPr>
                <w:rFonts w:eastAsiaTheme="minorEastAsia" w:cs="Calibri"/>
                <w:color w:val="000000"/>
                <w:sz w:val="16"/>
                <w:lang w:eastAsia="en-AU"/>
              </w:rPr>
              <w:t>172</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lang w:eastAsia="en-AU"/>
              </w:rPr>
            </w:pPr>
            <w:r>
              <w:rPr>
                <w:rFonts w:eastAsiaTheme="minorEastAsia" w:cs="Calibri"/>
                <w:color w:val="000000"/>
                <w:sz w:val="16"/>
                <w:lang w:eastAsia="en-AU"/>
              </w:rPr>
              <w:t>169</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lang w:eastAsia="en-AU"/>
              </w:rPr>
            </w:pPr>
            <w:r>
              <w:rPr>
                <w:rFonts w:eastAsiaTheme="minorEastAsia" w:cs="Calibri"/>
                <w:color w:val="000000"/>
                <w:sz w:val="16"/>
                <w:lang w:eastAsia="en-AU"/>
              </w:rPr>
              <w:t>191</w:t>
            </w:r>
          </w:p>
        </w:tc>
      </w:tr>
      <w:tr w:rsidR="00A46DCA" w:rsidRPr="00AC137D" w:rsidTr="00A26D04">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A46DCA" w:rsidRPr="00AC137D" w:rsidRDefault="00A46DCA" w:rsidP="00A26D04">
            <w:pPr>
              <w:keepLines w:val="0"/>
              <w:autoSpaceDE w:val="0"/>
              <w:autoSpaceDN w:val="0"/>
              <w:adjustRightInd w:val="0"/>
              <w:spacing w:after="0"/>
              <w:rPr>
                <w:rFonts w:eastAsiaTheme="minorEastAsia" w:cs="Calibri"/>
                <w:color w:val="000000"/>
                <w:sz w:val="16"/>
                <w:vertAlign w:val="superscript"/>
                <w:lang w:eastAsia="en-AU"/>
              </w:rPr>
            </w:pPr>
            <w:r w:rsidRPr="00AC137D">
              <w:rPr>
                <w:rFonts w:eastAsiaTheme="minorEastAsia" w:cs="Calibri"/>
                <w:color w:val="000000"/>
                <w:sz w:val="16"/>
                <w:lang w:eastAsia="en-AU"/>
              </w:rPr>
              <w:t xml:space="preserve">Net gain on equity investments in other sector entities measured at proportional share of the carrying amount of net assets/(liabilities) </w:t>
            </w:r>
            <w:r w:rsidRPr="00AC137D">
              <w:rPr>
                <w:rFonts w:eastAsiaTheme="minorEastAsia" w:cs="Calibri"/>
                <w:color w:val="000000"/>
                <w:sz w:val="16"/>
                <w:vertAlign w:val="superscript"/>
                <w:lang w:eastAsia="en-AU"/>
              </w:rPr>
              <w:t>(d)</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lang w:eastAsia="en-AU"/>
              </w:rPr>
            </w:pPr>
            <w:r>
              <w:rPr>
                <w:rFonts w:eastAsiaTheme="minorEastAsia" w:cs="Calibri"/>
                <w:color w:val="000000"/>
                <w:sz w:val="16"/>
                <w:lang w:eastAsia="en-AU"/>
              </w:rPr>
              <w:t>(278)</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lang w:eastAsia="en-AU"/>
              </w:rPr>
            </w:pPr>
            <w:r>
              <w:rPr>
                <w:rFonts w:eastAsiaTheme="minorEastAsia" w:cs="Calibri"/>
                <w:color w:val="000000"/>
                <w:sz w:val="16"/>
                <w:lang w:eastAsia="en-AU"/>
              </w:rPr>
              <w:t>(168)</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lang w:eastAsia="en-AU"/>
              </w:rPr>
            </w:pPr>
            <w:r>
              <w:rPr>
                <w:rFonts w:eastAsiaTheme="minorEastAsia" w:cs="Calibri"/>
                <w:color w:val="000000"/>
                <w:sz w:val="16"/>
                <w:lang w:eastAsia="en-AU"/>
              </w:rPr>
              <w:t>(356)</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lang w:eastAsia="en-AU"/>
              </w:rPr>
            </w:pPr>
            <w:r>
              <w:rPr>
                <w:rFonts w:eastAsiaTheme="minorEastAsia" w:cs="Calibri"/>
                <w:color w:val="000000"/>
                <w:sz w:val="16"/>
                <w:lang w:eastAsia="en-AU"/>
              </w:rPr>
              <w:t>173</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lang w:eastAsia="en-AU"/>
              </w:rPr>
            </w:pPr>
            <w:r>
              <w:rPr>
                <w:rFonts w:eastAsiaTheme="minorEastAsia" w:cs="Calibri"/>
                <w:color w:val="000000"/>
                <w:sz w:val="16"/>
                <w:lang w:eastAsia="en-AU"/>
              </w:rPr>
              <w:t>(38)</w:t>
            </w:r>
          </w:p>
        </w:tc>
      </w:tr>
      <w:tr w:rsidR="00A46DCA" w:rsidRPr="00AC137D" w:rsidTr="00A26D04">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A46DCA" w:rsidRPr="00AC137D" w:rsidRDefault="00A46DCA" w:rsidP="00A26D04">
            <w:pPr>
              <w:keepLines w:val="0"/>
              <w:autoSpaceDE w:val="0"/>
              <w:autoSpaceDN w:val="0"/>
              <w:adjustRightInd w:val="0"/>
              <w:spacing w:after="0"/>
              <w:rPr>
                <w:rFonts w:eastAsiaTheme="minorEastAsia" w:cs="Calibri"/>
                <w:color w:val="000000"/>
                <w:sz w:val="16"/>
                <w:vertAlign w:val="superscript"/>
                <w:lang w:eastAsia="en-AU"/>
              </w:rPr>
            </w:pPr>
            <w:r w:rsidRPr="00AC137D">
              <w:rPr>
                <w:rFonts w:eastAsiaTheme="minorEastAsia" w:cs="Calibri"/>
                <w:color w:val="000000"/>
                <w:sz w:val="16"/>
                <w:lang w:eastAsia="en-AU"/>
              </w:rPr>
              <w:t xml:space="preserve">Unearned income relating to licence fees </w:t>
            </w:r>
            <w:r w:rsidRPr="00AC137D">
              <w:rPr>
                <w:rFonts w:eastAsiaTheme="minorEastAsia" w:cs="Calibri"/>
                <w:color w:val="000000"/>
                <w:sz w:val="16"/>
                <w:vertAlign w:val="superscript"/>
                <w:lang w:eastAsia="en-AU"/>
              </w:rPr>
              <w:t>(b)</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lang w:eastAsia="en-AU"/>
              </w:rPr>
            </w:pPr>
            <w:r>
              <w:rPr>
                <w:rFonts w:eastAsiaTheme="minorEastAsia" w:cs="Calibri"/>
                <w:color w:val="000000"/>
                <w:sz w:val="16"/>
                <w:lang w:eastAsia="en-AU"/>
              </w:rPr>
              <w:t>52</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lang w:eastAsia="en-AU"/>
              </w:rPr>
            </w:pPr>
            <w:r>
              <w:rPr>
                <w:rFonts w:eastAsiaTheme="minorEastAsia" w:cs="Calibri"/>
                <w:color w:val="000000"/>
                <w:sz w:val="16"/>
                <w:lang w:eastAsia="en-AU"/>
              </w:rPr>
              <w:t>52</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lang w:eastAsia="en-AU"/>
              </w:rPr>
            </w:pPr>
            <w:r>
              <w:rPr>
                <w:rFonts w:eastAsiaTheme="minorEastAsia" w:cs="Calibri"/>
                <w:color w:val="000000"/>
                <w:sz w:val="16"/>
                <w:lang w:eastAsia="en-AU"/>
              </w:rPr>
              <w:t>52</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lang w:eastAsia="en-AU"/>
              </w:rPr>
            </w:pPr>
            <w:r>
              <w:rPr>
                <w:rFonts w:eastAsiaTheme="minorEastAsia" w:cs="Calibri"/>
                <w:color w:val="000000"/>
                <w:sz w:val="16"/>
                <w:lang w:eastAsia="en-AU"/>
              </w:rPr>
              <w:t>52</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lang w:eastAsia="en-AU"/>
              </w:rPr>
            </w:pPr>
            <w:r>
              <w:rPr>
                <w:rFonts w:eastAsiaTheme="minorEastAsia" w:cs="Calibri"/>
                <w:color w:val="000000"/>
                <w:sz w:val="16"/>
                <w:lang w:eastAsia="en-AU"/>
              </w:rPr>
              <w:t>52</w:t>
            </w:r>
          </w:p>
        </w:tc>
      </w:tr>
      <w:tr w:rsidR="00A46DCA" w:rsidRPr="00AC137D" w:rsidTr="00A26D04">
        <w:tc>
          <w:tcPr>
            <w:cnfStyle w:val="001000000000" w:firstRow="0" w:lastRow="0" w:firstColumn="1" w:lastColumn="0" w:oddVBand="0" w:evenVBand="0" w:oddHBand="0" w:evenHBand="0" w:firstRowFirstColumn="0" w:firstRowLastColumn="0" w:lastRowFirstColumn="0" w:lastRowLastColumn="0"/>
            <w:tcW w:w="3515" w:type="dxa"/>
            <w:tcBorders>
              <w:top w:val="single" w:sz="6" w:space="0" w:color="auto"/>
              <w:left w:val="nil"/>
              <w:bottom w:val="single" w:sz="6" w:space="0" w:color="auto"/>
              <w:right w:val="nil"/>
            </w:tcBorders>
          </w:tcPr>
          <w:p w:rsidR="00A46DCA" w:rsidRPr="00AC137D" w:rsidRDefault="00A46DCA" w:rsidP="00A26D04">
            <w:pPr>
              <w:keepLines w:val="0"/>
              <w:autoSpaceDE w:val="0"/>
              <w:autoSpaceDN w:val="0"/>
              <w:adjustRightInd w:val="0"/>
              <w:spacing w:after="0"/>
              <w:rPr>
                <w:rFonts w:eastAsiaTheme="minorEastAsia" w:cs="Calibri"/>
                <w:i/>
                <w:iCs/>
                <w:color w:val="000000"/>
                <w:sz w:val="16"/>
                <w:lang w:eastAsia="en-AU"/>
              </w:rPr>
            </w:pPr>
            <w:r w:rsidRPr="00AC137D">
              <w:rPr>
                <w:rFonts w:eastAsiaTheme="minorEastAsia" w:cs="Calibri"/>
                <w:i/>
                <w:iCs/>
                <w:color w:val="000000"/>
                <w:sz w:val="16"/>
                <w:lang w:eastAsia="en-AU"/>
              </w:rPr>
              <w:t>plus total convergence difference:</w:t>
            </w:r>
          </w:p>
        </w:tc>
        <w:tc>
          <w:tcPr>
            <w:tcW w:w="850" w:type="dxa"/>
            <w:tcBorders>
              <w:top w:val="single" w:sz="6" w:space="0" w:color="auto"/>
              <w:left w:val="nil"/>
              <w:bottom w:val="single" w:sz="6" w:space="0" w:color="auto"/>
              <w:right w:val="nil"/>
            </w:tcBorders>
          </w:tcPr>
          <w:p w:rsidR="00A46DCA" w:rsidRPr="00AC137D"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lang w:eastAsia="en-AU"/>
              </w:rPr>
            </w:pPr>
            <w:r>
              <w:rPr>
                <w:rFonts w:eastAsiaTheme="minorEastAsia" w:cs="Calibri"/>
                <w:color w:val="000000"/>
                <w:sz w:val="16"/>
                <w:lang w:eastAsia="en-AU"/>
              </w:rPr>
              <w:t>(61)</w:t>
            </w:r>
          </w:p>
        </w:tc>
        <w:tc>
          <w:tcPr>
            <w:tcW w:w="850" w:type="dxa"/>
            <w:tcBorders>
              <w:top w:val="single" w:sz="6" w:space="0" w:color="auto"/>
              <w:left w:val="nil"/>
              <w:bottom w:val="single" w:sz="6" w:space="0" w:color="auto"/>
              <w:right w:val="nil"/>
            </w:tcBorders>
          </w:tcPr>
          <w:p w:rsidR="00A46DCA" w:rsidRPr="00AC137D"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lang w:eastAsia="en-AU"/>
              </w:rPr>
            </w:pPr>
            <w:r>
              <w:rPr>
                <w:rFonts w:eastAsiaTheme="minorEastAsia" w:cs="Calibri"/>
                <w:color w:val="000000"/>
                <w:sz w:val="16"/>
                <w:lang w:eastAsia="en-AU"/>
              </w:rPr>
              <w:t>49</w:t>
            </w:r>
          </w:p>
        </w:tc>
        <w:tc>
          <w:tcPr>
            <w:tcW w:w="850" w:type="dxa"/>
            <w:tcBorders>
              <w:top w:val="single" w:sz="6" w:space="0" w:color="auto"/>
              <w:left w:val="nil"/>
              <w:bottom w:val="single" w:sz="6" w:space="0" w:color="auto"/>
              <w:right w:val="nil"/>
            </w:tcBorders>
          </w:tcPr>
          <w:p w:rsidR="00A46DCA" w:rsidRPr="00AC137D"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lang w:eastAsia="en-AU"/>
              </w:rPr>
            </w:pPr>
            <w:r>
              <w:rPr>
                <w:rFonts w:eastAsiaTheme="minorEastAsia" w:cs="Calibri"/>
                <w:color w:val="000000"/>
                <w:sz w:val="16"/>
                <w:lang w:eastAsia="en-AU"/>
              </w:rPr>
              <w:t>(131)</w:t>
            </w:r>
          </w:p>
        </w:tc>
        <w:tc>
          <w:tcPr>
            <w:tcW w:w="850" w:type="dxa"/>
            <w:tcBorders>
              <w:top w:val="single" w:sz="6" w:space="0" w:color="auto"/>
              <w:left w:val="nil"/>
              <w:bottom w:val="single" w:sz="6" w:space="0" w:color="auto"/>
              <w:right w:val="nil"/>
            </w:tcBorders>
          </w:tcPr>
          <w:p w:rsidR="00A46DCA" w:rsidRPr="00AC137D"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lang w:eastAsia="en-AU"/>
              </w:rPr>
            </w:pPr>
            <w:r>
              <w:rPr>
                <w:rFonts w:eastAsiaTheme="minorEastAsia" w:cs="Calibri"/>
                <w:color w:val="000000"/>
                <w:sz w:val="16"/>
                <w:lang w:eastAsia="en-AU"/>
              </w:rPr>
              <w:t>395</w:t>
            </w:r>
          </w:p>
        </w:tc>
        <w:tc>
          <w:tcPr>
            <w:tcW w:w="850" w:type="dxa"/>
            <w:tcBorders>
              <w:top w:val="single" w:sz="6" w:space="0" w:color="auto"/>
              <w:left w:val="nil"/>
              <w:bottom w:val="single" w:sz="6" w:space="0" w:color="auto"/>
              <w:right w:val="nil"/>
            </w:tcBorders>
          </w:tcPr>
          <w:p w:rsidR="00A46DCA" w:rsidRPr="00AC137D"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lang w:eastAsia="en-AU"/>
              </w:rPr>
            </w:pPr>
            <w:r>
              <w:rPr>
                <w:rFonts w:eastAsiaTheme="minorEastAsia" w:cs="Calibri"/>
                <w:color w:val="000000"/>
                <w:sz w:val="16"/>
                <w:lang w:eastAsia="en-AU"/>
              </w:rPr>
              <w:t>205</w:t>
            </w:r>
          </w:p>
        </w:tc>
      </w:tr>
      <w:tr w:rsidR="00A46DCA" w:rsidRPr="00AC137D" w:rsidTr="00A26D04">
        <w:tc>
          <w:tcPr>
            <w:cnfStyle w:val="001000000000" w:firstRow="0" w:lastRow="0" w:firstColumn="1" w:lastColumn="0" w:oddVBand="0" w:evenVBand="0" w:oddHBand="0" w:evenHBand="0" w:firstRowFirstColumn="0" w:firstRowLastColumn="0" w:lastRowFirstColumn="0" w:lastRowLastColumn="0"/>
            <w:tcW w:w="3515" w:type="dxa"/>
            <w:tcBorders>
              <w:top w:val="single" w:sz="6" w:space="0" w:color="auto"/>
              <w:left w:val="nil"/>
              <w:bottom w:val="single" w:sz="12" w:space="0" w:color="auto"/>
              <w:right w:val="nil"/>
            </w:tcBorders>
          </w:tcPr>
          <w:p w:rsidR="00A46DCA" w:rsidRPr="00AC137D" w:rsidRDefault="00A46DCA" w:rsidP="00A26D04">
            <w:pPr>
              <w:keepLines w:val="0"/>
              <w:autoSpaceDE w:val="0"/>
              <w:autoSpaceDN w:val="0"/>
              <w:adjustRightInd w:val="0"/>
              <w:spacing w:after="0"/>
              <w:rPr>
                <w:rFonts w:eastAsiaTheme="minorEastAsia" w:cs="Calibri"/>
                <w:b/>
                <w:bCs/>
                <w:color w:val="000000"/>
                <w:sz w:val="16"/>
                <w:lang w:eastAsia="en-AU"/>
              </w:rPr>
            </w:pPr>
            <w:r w:rsidRPr="00AC137D">
              <w:rPr>
                <w:rFonts w:eastAsiaTheme="minorEastAsia" w:cs="Calibri"/>
                <w:b/>
                <w:bCs/>
                <w:color w:val="000000"/>
                <w:sz w:val="16"/>
                <w:lang w:eastAsia="en-AU"/>
              </w:rPr>
              <w:t xml:space="preserve">GFS total change in net worth </w:t>
            </w:r>
          </w:p>
        </w:tc>
        <w:tc>
          <w:tcPr>
            <w:tcW w:w="850" w:type="dxa"/>
            <w:tcBorders>
              <w:top w:val="single" w:sz="6" w:space="0" w:color="auto"/>
              <w:left w:val="nil"/>
              <w:bottom w:val="single" w:sz="12" w:space="0" w:color="auto"/>
              <w:right w:val="nil"/>
            </w:tcBorders>
          </w:tcPr>
          <w:p w:rsidR="00A46DCA" w:rsidRPr="00AC137D"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lang w:eastAsia="en-AU"/>
              </w:rPr>
            </w:pPr>
            <w:r w:rsidRPr="00AC137D">
              <w:rPr>
                <w:rFonts w:eastAsiaTheme="minorEastAsia" w:cs="Calibri"/>
                <w:b/>
                <w:bCs/>
                <w:color w:val="000000"/>
                <w:sz w:val="16"/>
                <w:lang w:eastAsia="en-AU"/>
              </w:rPr>
              <w:t>4 444</w:t>
            </w:r>
          </w:p>
        </w:tc>
        <w:tc>
          <w:tcPr>
            <w:tcW w:w="850" w:type="dxa"/>
            <w:tcBorders>
              <w:top w:val="single" w:sz="6" w:space="0" w:color="auto"/>
              <w:left w:val="nil"/>
              <w:bottom w:val="single" w:sz="12" w:space="0" w:color="auto"/>
              <w:right w:val="nil"/>
            </w:tcBorders>
          </w:tcPr>
          <w:p w:rsidR="00A46DCA" w:rsidRPr="00AC137D"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lang w:eastAsia="en-AU"/>
              </w:rPr>
            </w:pPr>
            <w:r w:rsidRPr="00AC137D">
              <w:rPr>
                <w:rFonts w:eastAsiaTheme="minorEastAsia" w:cs="Calibri"/>
                <w:b/>
                <w:bCs/>
                <w:color w:val="000000"/>
                <w:sz w:val="16"/>
                <w:lang w:eastAsia="en-AU"/>
              </w:rPr>
              <w:t>6 537</w:t>
            </w:r>
          </w:p>
        </w:tc>
        <w:tc>
          <w:tcPr>
            <w:tcW w:w="850" w:type="dxa"/>
            <w:tcBorders>
              <w:top w:val="single" w:sz="6" w:space="0" w:color="auto"/>
              <w:left w:val="nil"/>
              <w:bottom w:val="single" w:sz="12" w:space="0" w:color="auto"/>
              <w:right w:val="nil"/>
            </w:tcBorders>
          </w:tcPr>
          <w:p w:rsidR="00A46DCA" w:rsidRPr="00AC137D"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lang w:eastAsia="en-AU"/>
              </w:rPr>
            </w:pPr>
            <w:r w:rsidRPr="00AC137D">
              <w:rPr>
                <w:rFonts w:eastAsiaTheme="minorEastAsia" w:cs="Calibri"/>
                <w:b/>
                <w:bCs/>
                <w:color w:val="000000"/>
                <w:sz w:val="16"/>
                <w:lang w:eastAsia="en-AU"/>
              </w:rPr>
              <w:t>4 288</w:t>
            </w:r>
          </w:p>
        </w:tc>
        <w:tc>
          <w:tcPr>
            <w:tcW w:w="850" w:type="dxa"/>
            <w:tcBorders>
              <w:top w:val="single" w:sz="6" w:space="0" w:color="auto"/>
              <w:left w:val="nil"/>
              <w:bottom w:val="single" w:sz="12" w:space="0" w:color="auto"/>
              <w:right w:val="nil"/>
            </w:tcBorders>
          </w:tcPr>
          <w:p w:rsidR="00A46DCA" w:rsidRPr="00AC137D"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lang w:eastAsia="en-AU"/>
              </w:rPr>
            </w:pPr>
            <w:r w:rsidRPr="00AC137D">
              <w:rPr>
                <w:rFonts w:eastAsiaTheme="minorEastAsia" w:cs="Calibri"/>
                <w:b/>
                <w:bCs/>
                <w:color w:val="000000"/>
                <w:sz w:val="16"/>
                <w:lang w:eastAsia="en-AU"/>
              </w:rPr>
              <w:t>11 966</w:t>
            </w:r>
          </w:p>
        </w:tc>
        <w:tc>
          <w:tcPr>
            <w:tcW w:w="850" w:type="dxa"/>
            <w:tcBorders>
              <w:top w:val="single" w:sz="6" w:space="0" w:color="auto"/>
              <w:left w:val="nil"/>
              <w:bottom w:val="single" w:sz="12" w:space="0" w:color="auto"/>
              <w:right w:val="nil"/>
            </w:tcBorders>
          </w:tcPr>
          <w:p w:rsidR="00A46DCA" w:rsidRPr="00AC137D"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lang w:eastAsia="en-AU"/>
              </w:rPr>
            </w:pPr>
            <w:r w:rsidRPr="00AC137D">
              <w:rPr>
                <w:rFonts w:eastAsiaTheme="minorEastAsia" w:cs="Calibri"/>
                <w:b/>
                <w:bCs/>
                <w:color w:val="000000"/>
                <w:sz w:val="16"/>
                <w:lang w:eastAsia="en-AU"/>
              </w:rPr>
              <w:t>5 665</w:t>
            </w:r>
          </w:p>
        </w:tc>
      </w:tr>
      <w:tr w:rsidR="00A46DCA" w:rsidRPr="00AC137D" w:rsidTr="00A26D04">
        <w:trPr>
          <w:trHeight w:hRule="exact" w:val="120"/>
        </w:trPr>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A46DCA" w:rsidRPr="00AC137D" w:rsidRDefault="00A46DCA" w:rsidP="00A26D04">
            <w:pPr>
              <w:keepLines w:val="0"/>
              <w:autoSpaceDE w:val="0"/>
              <w:autoSpaceDN w:val="0"/>
              <w:adjustRightInd w:val="0"/>
              <w:spacing w:after="0"/>
              <w:rPr>
                <w:rFonts w:eastAsiaTheme="minorEastAsia" w:cs="Calibri"/>
                <w:b/>
                <w:bCs/>
                <w:color w:val="000000"/>
                <w:sz w:val="16"/>
                <w:lang w:eastAsia="en-AU"/>
              </w:rPr>
            </w:pPr>
            <w:r w:rsidRPr="00AC137D">
              <w:rPr>
                <w:rFonts w:eastAsiaTheme="minorEastAsia" w:cs="Calibri"/>
                <w:b/>
                <w:bCs/>
                <w:color w:val="000000"/>
                <w:sz w:val="16"/>
                <w:lang w:eastAsia="en-AU"/>
              </w:rPr>
              <w:t xml:space="preserve"> </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lang w:eastAsia="en-AU"/>
              </w:rPr>
            </w:pPr>
            <w:r w:rsidRPr="00AC137D">
              <w:rPr>
                <w:rFonts w:eastAsiaTheme="minorEastAsia" w:cs="Calibri"/>
                <w:b/>
                <w:bCs/>
                <w:color w:val="000000"/>
                <w:sz w:val="16"/>
                <w:lang w:eastAsia="en-AU"/>
              </w:rPr>
              <w:t xml:space="preserve"> </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lang w:eastAsia="en-AU"/>
              </w:rPr>
            </w:pPr>
            <w:r w:rsidRPr="00AC137D">
              <w:rPr>
                <w:rFonts w:eastAsiaTheme="minorEastAsia" w:cs="Calibri"/>
                <w:b/>
                <w:bCs/>
                <w:color w:val="000000"/>
                <w:sz w:val="16"/>
                <w:lang w:eastAsia="en-AU"/>
              </w:rPr>
              <w:t xml:space="preserve"> </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lang w:eastAsia="en-AU"/>
              </w:rPr>
            </w:pPr>
            <w:r w:rsidRPr="00AC137D">
              <w:rPr>
                <w:rFonts w:eastAsiaTheme="minorEastAsia" w:cs="Calibri"/>
                <w:b/>
                <w:bCs/>
                <w:color w:val="000000"/>
                <w:sz w:val="16"/>
                <w:lang w:eastAsia="en-AU"/>
              </w:rPr>
              <w:t xml:space="preserve"> </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lang w:eastAsia="en-AU"/>
              </w:rPr>
            </w:pPr>
            <w:r w:rsidRPr="00AC137D">
              <w:rPr>
                <w:rFonts w:eastAsiaTheme="minorEastAsia" w:cs="Calibri"/>
                <w:b/>
                <w:bCs/>
                <w:color w:val="000000"/>
                <w:sz w:val="16"/>
                <w:lang w:eastAsia="en-AU"/>
              </w:rPr>
              <w:t xml:space="preserve"> </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lang w:eastAsia="en-AU"/>
              </w:rPr>
            </w:pPr>
            <w:r w:rsidRPr="00AC137D">
              <w:rPr>
                <w:rFonts w:eastAsiaTheme="minorEastAsia" w:cs="Calibri"/>
                <w:b/>
                <w:bCs/>
                <w:color w:val="000000"/>
                <w:sz w:val="16"/>
                <w:lang w:eastAsia="en-AU"/>
              </w:rPr>
              <w:t xml:space="preserve"> </w:t>
            </w:r>
          </w:p>
        </w:tc>
      </w:tr>
      <w:tr w:rsidR="00A46DCA" w:rsidRPr="00AC137D" w:rsidTr="00A26D04">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A46DCA" w:rsidRPr="00AC137D" w:rsidRDefault="00A46DCA" w:rsidP="00A26D04">
            <w:pPr>
              <w:keepLines w:val="0"/>
              <w:autoSpaceDE w:val="0"/>
              <w:autoSpaceDN w:val="0"/>
              <w:adjustRightInd w:val="0"/>
              <w:spacing w:after="0"/>
              <w:rPr>
                <w:rFonts w:eastAsiaTheme="minorEastAsia" w:cs="Calibri"/>
                <w:b/>
                <w:bCs/>
                <w:color w:val="000000"/>
                <w:sz w:val="16"/>
                <w:lang w:eastAsia="en-AU"/>
              </w:rPr>
            </w:pPr>
            <w:r w:rsidRPr="00AC137D">
              <w:rPr>
                <w:rFonts w:eastAsiaTheme="minorEastAsia" w:cs="Calibri"/>
                <w:b/>
                <w:bCs/>
                <w:color w:val="000000"/>
                <w:sz w:val="16"/>
                <w:lang w:eastAsia="en-AU"/>
              </w:rPr>
              <w:t xml:space="preserve">Net worth </w:t>
            </w:r>
          </w:p>
        </w:tc>
        <w:tc>
          <w:tcPr>
            <w:tcW w:w="850" w:type="dxa"/>
            <w:tcBorders>
              <w:top w:val="nil"/>
              <w:left w:val="nil"/>
              <w:bottom w:val="nil"/>
              <w:right w:val="nil"/>
            </w:tcBorders>
            <w:shd w:val="solid" w:color="FFFFFF" w:fill="auto"/>
          </w:tcPr>
          <w:p w:rsidR="00A46DCA" w:rsidRPr="00AC137D"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lang w:eastAsia="en-AU"/>
              </w:rPr>
            </w:pPr>
            <w:r w:rsidRPr="00AC137D">
              <w:rPr>
                <w:rFonts w:eastAsiaTheme="minorEastAsia" w:cs="Calibri"/>
                <w:b/>
                <w:bCs/>
                <w:color w:val="000000"/>
                <w:sz w:val="16"/>
                <w:lang w:eastAsia="en-AU"/>
              </w:rPr>
              <w:t>172 532</w:t>
            </w:r>
          </w:p>
        </w:tc>
        <w:tc>
          <w:tcPr>
            <w:tcW w:w="850" w:type="dxa"/>
            <w:tcBorders>
              <w:top w:val="nil"/>
              <w:left w:val="nil"/>
              <w:bottom w:val="nil"/>
              <w:right w:val="nil"/>
            </w:tcBorders>
            <w:shd w:val="solid" w:color="FFFFFF" w:fill="auto"/>
          </w:tcPr>
          <w:p w:rsidR="00A46DCA" w:rsidRPr="00AC137D"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lang w:eastAsia="en-AU"/>
              </w:rPr>
            </w:pPr>
            <w:r w:rsidRPr="00AC137D">
              <w:rPr>
                <w:rFonts w:eastAsiaTheme="minorEastAsia" w:cs="Calibri"/>
                <w:b/>
                <w:bCs/>
                <w:color w:val="000000"/>
                <w:sz w:val="16"/>
                <w:lang w:eastAsia="en-AU"/>
              </w:rPr>
              <w:t>174 515</w:t>
            </w:r>
          </w:p>
        </w:tc>
        <w:tc>
          <w:tcPr>
            <w:tcW w:w="850" w:type="dxa"/>
            <w:tcBorders>
              <w:top w:val="nil"/>
              <w:left w:val="nil"/>
              <w:bottom w:val="nil"/>
              <w:right w:val="nil"/>
            </w:tcBorders>
            <w:shd w:val="solid" w:color="FFFFFF" w:fill="auto"/>
          </w:tcPr>
          <w:p w:rsidR="00A46DCA" w:rsidRPr="00AC137D"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lang w:eastAsia="en-AU"/>
              </w:rPr>
            </w:pPr>
            <w:r w:rsidRPr="00AC137D">
              <w:rPr>
                <w:rFonts w:eastAsiaTheme="minorEastAsia" w:cs="Calibri"/>
                <w:b/>
                <w:bCs/>
                <w:color w:val="000000"/>
                <w:sz w:val="16"/>
                <w:lang w:eastAsia="en-AU"/>
              </w:rPr>
              <w:t>178 934</w:t>
            </w:r>
          </w:p>
        </w:tc>
        <w:tc>
          <w:tcPr>
            <w:tcW w:w="850" w:type="dxa"/>
            <w:tcBorders>
              <w:top w:val="nil"/>
              <w:left w:val="nil"/>
              <w:bottom w:val="nil"/>
              <w:right w:val="nil"/>
            </w:tcBorders>
            <w:shd w:val="solid" w:color="FFFFFF" w:fill="auto"/>
          </w:tcPr>
          <w:p w:rsidR="00A46DCA" w:rsidRPr="00AC137D"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lang w:eastAsia="en-AU"/>
              </w:rPr>
            </w:pPr>
            <w:r w:rsidRPr="00AC137D">
              <w:rPr>
                <w:rFonts w:eastAsiaTheme="minorEastAsia" w:cs="Calibri"/>
                <w:b/>
                <w:bCs/>
                <w:color w:val="000000"/>
                <w:sz w:val="16"/>
                <w:lang w:eastAsia="en-AU"/>
              </w:rPr>
              <w:t>190 505</w:t>
            </w:r>
          </w:p>
        </w:tc>
        <w:tc>
          <w:tcPr>
            <w:tcW w:w="850" w:type="dxa"/>
            <w:tcBorders>
              <w:top w:val="nil"/>
              <w:left w:val="nil"/>
              <w:bottom w:val="nil"/>
              <w:right w:val="nil"/>
            </w:tcBorders>
            <w:shd w:val="solid" w:color="FFFFFF" w:fill="auto"/>
          </w:tcPr>
          <w:p w:rsidR="00A46DCA" w:rsidRPr="00AC137D"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lang w:eastAsia="en-AU"/>
              </w:rPr>
            </w:pPr>
            <w:r w:rsidRPr="00AC137D">
              <w:rPr>
                <w:rFonts w:eastAsiaTheme="minorEastAsia" w:cs="Calibri"/>
                <w:b/>
                <w:bCs/>
                <w:color w:val="000000"/>
                <w:sz w:val="16"/>
                <w:lang w:eastAsia="en-AU"/>
              </w:rPr>
              <w:t>195 965</w:t>
            </w:r>
          </w:p>
        </w:tc>
      </w:tr>
      <w:tr w:rsidR="00A46DCA" w:rsidRPr="00AC137D" w:rsidTr="00A26D04">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A46DCA" w:rsidRPr="00AC137D" w:rsidRDefault="00A46DCA" w:rsidP="00A26D04">
            <w:pPr>
              <w:keepLines w:val="0"/>
              <w:autoSpaceDE w:val="0"/>
              <w:autoSpaceDN w:val="0"/>
              <w:adjustRightInd w:val="0"/>
              <w:spacing w:after="0"/>
              <w:rPr>
                <w:rFonts w:eastAsiaTheme="minorEastAsia" w:cs="Calibri"/>
                <w:i/>
                <w:iCs/>
                <w:color w:val="000000"/>
                <w:sz w:val="16"/>
                <w:lang w:eastAsia="en-AU"/>
              </w:rPr>
            </w:pPr>
            <w:r w:rsidRPr="00AC137D">
              <w:rPr>
                <w:rFonts w:eastAsiaTheme="minorEastAsia" w:cs="Calibri"/>
                <w:i/>
                <w:iCs/>
                <w:color w:val="000000"/>
                <w:sz w:val="16"/>
                <w:lang w:eastAsia="en-AU"/>
              </w:rPr>
              <w:t>Convergence differences:</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i/>
                <w:iCs/>
                <w:color w:val="000000"/>
                <w:sz w:val="16"/>
                <w:lang w:eastAsia="en-AU"/>
              </w:rPr>
            </w:pPr>
            <w:r w:rsidRPr="00AC137D">
              <w:rPr>
                <w:rFonts w:eastAsiaTheme="minorEastAsia" w:cs="Calibri"/>
                <w:i/>
                <w:iCs/>
                <w:color w:val="000000"/>
                <w:sz w:val="16"/>
                <w:lang w:eastAsia="en-AU"/>
              </w:rPr>
              <w:t xml:space="preserve"> </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lang w:eastAsia="en-AU"/>
              </w:rPr>
            </w:pPr>
            <w:r w:rsidRPr="00AC137D">
              <w:rPr>
                <w:rFonts w:eastAsiaTheme="minorEastAsia" w:cs="Calibri"/>
                <w:color w:val="000000"/>
                <w:sz w:val="16"/>
                <w:lang w:eastAsia="en-AU"/>
              </w:rPr>
              <w:t xml:space="preserve"> </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lang w:eastAsia="en-AU"/>
              </w:rPr>
            </w:pPr>
            <w:r w:rsidRPr="00AC137D">
              <w:rPr>
                <w:rFonts w:eastAsiaTheme="minorEastAsia" w:cs="Calibri"/>
                <w:color w:val="000000"/>
                <w:sz w:val="16"/>
                <w:lang w:eastAsia="en-AU"/>
              </w:rPr>
              <w:t xml:space="preserve"> </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lang w:eastAsia="en-AU"/>
              </w:rPr>
            </w:pPr>
            <w:r w:rsidRPr="00AC137D">
              <w:rPr>
                <w:rFonts w:eastAsiaTheme="minorEastAsia" w:cs="Calibri"/>
                <w:color w:val="000000"/>
                <w:sz w:val="16"/>
                <w:lang w:eastAsia="en-AU"/>
              </w:rPr>
              <w:t xml:space="preserve"> </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lang w:eastAsia="en-AU"/>
              </w:rPr>
            </w:pPr>
            <w:r w:rsidRPr="00AC137D">
              <w:rPr>
                <w:rFonts w:eastAsiaTheme="minorEastAsia" w:cs="Calibri"/>
                <w:color w:val="000000"/>
                <w:sz w:val="16"/>
                <w:lang w:eastAsia="en-AU"/>
              </w:rPr>
              <w:t xml:space="preserve"> </w:t>
            </w:r>
          </w:p>
        </w:tc>
      </w:tr>
      <w:tr w:rsidR="00A46DCA" w:rsidRPr="00AC137D" w:rsidTr="00A26D04">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A46DCA" w:rsidRPr="00AC137D" w:rsidRDefault="00A46DCA" w:rsidP="00A26D04">
            <w:pPr>
              <w:keepLines w:val="0"/>
              <w:autoSpaceDE w:val="0"/>
              <w:autoSpaceDN w:val="0"/>
              <w:adjustRightInd w:val="0"/>
              <w:spacing w:after="0"/>
              <w:rPr>
                <w:rFonts w:eastAsiaTheme="minorEastAsia" w:cs="Calibri"/>
                <w:color w:val="000000"/>
                <w:sz w:val="16"/>
                <w:vertAlign w:val="superscript"/>
                <w:lang w:eastAsia="en-AU"/>
              </w:rPr>
            </w:pPr>
            <w:r w:rsidRPr="00AC137D">
              <w:rPr>
                <w:rFonts w:eastAsiaTheme="minorEastAsia" w:cs="Calibri"/>
                <w:color w:val="000000"/>
                <w:sz w:val="16"/>
                <w:lang w:eastAsia="en-AU"/>
              </w:rPr>
              <w:t xml:space="preserve">Doubtful receivables of the general government sector </w:t>
            </w:r>
            <w:r w:rsidRPr="00AC137D">
              <w:rPr>
                <w:rFonts w:eastAsiaTheme="minorEastAsia" w:cs="Calibri"/>
                <w:color w:val="000000"/>
                <w:sz w:val="16"/>
                <w:vertAlign w:val="superscript"/>
                <w:lang w:eastAsia="en-AU"/>
              </w:rPr>
              <w:t>(c)</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lang w:eastAsia="en-AU"/>
              </w:rPr>
            </w:pPr>
            <w:r w:rsidRPr="00AC137D">
              <w:rPr>
                <w:rFonts w:eastAsiaTheme="minorEastAsia" w:cs="Calibri"/>
                <w:color w:val="000000"/>
                <w:sz w:val="16"/>
                <w:lang w:eastAsia="en-AU"/>
              </w:rPr>
              <w:t>1 101</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lang w:eastAsia="en-AU"/>
              </w:rPr>
            </w:pPr>
            <w:r w:rsidRPr="00AC137D">
              <w:rPr>
                <w:rFonts w:eastAsiaTheme="minorEastAsia" w:cs="Calibri"/>
                <w:color w:val="000000"/>
                <w:sz w:val="16"/>
                <w:lang w:eastAsia="en-AU"/>
              </w:rPr>
              <w:t>1 101</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lang w:eastAsia="en-AU"/>
              </w:rPr>
            </w:pPr>
            <w:r w:rsidRPr="00AC137D">
              <w:rPr>
                <w:rFonts w:eastAsiaTheme="minorEastAsia" w:cs="Calibri"/>
                <w:color w:val="000000"/>
                <w:sz w:val="16"/>
                <w:lang w:eastAsia="en-AU"/>
              </w:rPr>
              <w:t>1 273</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lang w:eastAsia="en-AU"/>
              </w:rPr>
            </w:pPr>
            <w:r w:rsidRPr="00AC137D">
              <w:rPr>
                <w:rFonts w:eastAsiaTheme="minorEastAsia" w:cs="Calibri"/>
                <w:color w:val="000000"/>
                <w:sz w:val="16"/>
                <w:lang w:eastAsia="en-AU"/>
              </w:rPr>
              <w:t>1 442</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lang w:eastAsia="en-AU"/>
              </w:rPr>
            </w:pPr>
            <w:r w:rsidRPr="00AC137D">
              <w:rPr>
                <w:rFonts w:eastAsiaTheme="minorEastAsia" w:cs="Calibri"/>
                <w:color w:val="000000"/>
                <w:sz w:val="16"/>
                <w:lang w:eastAsia="en-AU"/>
              </w:rPr>
              <w:t>1 633</w:t>
            </w:r>
          </w:p>
        </w:tc>
      </w:tr>
      <w:tr w:rsidR="00A46DCA" w:rsidRPr="00AC137D" w:rsidTr="00A26D04">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A46DCA" w:rsidRPr="00AC137D" w:rsidRDefault="00A46DCA" w:rsidP="00A26D04">
            <w:pPr>
              <w:keepLines w:val="0"/>
              <w:autoSpaceDE w:val="0"/>
              <w:autoSpaceDN w:val="0"/>
              <w:adjustRightInd w:val="0"/>
              <w:spacing w:after="0"/>
              <w:rPr>
                <w:rFonts w:eastAsiaTheme="minorEastAsia" w:cs="Calibri"/>
                <w:color w:val="000000"/>
                <w:sz w:val="16"/>
                <w:vertAlign w:val="superscript"/>
                <w:lang w:eastAsia="en-AU"/>
              </w:rPr>
            </w:pPr>
            <w:r w:rsidRPr="00AC137D">
              <w:rPr>
                <w:rFonts w:eastAsiaTheme="minorEastAsia" w:cs="Calibri"/>
                <w:color w:val="000000"/>
                <w:sz w:val="16"/>
                <w:lang w:eastAsia="en-AU"/>
              </w:rPr>
              <w:t xml:space="preserve">Investments in other sector entities </w:t>
            </w:r>
            <w:r w:rsidRPr="00AC137D">
              <w:rPr>
                <w:rFonts w:eastAsiaTheme="minorEastAsia" w:cs="Calibri"/>
                <w:color w:val="000000"/>
                <w:sz w:val="16"/>
                <w:vertAlign w:val="superscript"/>
                <w:lang w:eastAsia="en-AU"/>
              </w:rPr>
              <w:t>(e)</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lang w:eastAsia="en-AU"/>
              </w:rPr>
            </w:pPr>
            <w:r w:rsidRPr="00AC137D">
              <w:rPr>
                <w:rFonts w:eastAsiaTheme="minorEastAsia" w:cs="Calibri"/>
                <w:color w:val="000000"/>
                <w:sz w:val="16"/>
                <w:lang w:eastAsia="en-AU"/>
              </w:rPr>
              <w:t>7 196</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lang w:eastAsia="en-AU"/>
              </w:rPr>
            </w:pPr>
            <w:r w:rsidRPr="00AC137D">
              <w:rPr>
                <w:rFonts w:eastAsiaTheme="minorEastAsia" w:cs="Calibri"/>
                <w:color w:val="000000"/>
                <w:sz w:val="16"/>
                <w:lang w:eastAsia="en-AU"/>
              </w:rPr>
              <w:t>7 306</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lang w:eastAsia="en-AU"/>
              </w:rPr>
            </w:pPr>
            <w:r w:rsidRPr="00AC137D">
              <w:rPr>
                <w:rFonts w:eastAsiaTheme="minorEastAsia" w:cs="Calibri"/>
                <w:color w:val="000000"/>
                <w:sz w:val="16"/>
                <w:lang w:eastAsia="en-AU"/>
              </w:rPr>
              <w:t>6 950</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lang w:eastAsia="en-AU"/>
              </w:rPr>
            </w:pPr>
            <w:r w:rsidRPr="00AC137D">
              <w:rPr>
                <w:rFonts w:eastAsiaTheme="minorEastAsia" w:cs="Calibri"/>
                <w:color w:val="000000"/>
                <w:sz w:val="16"/>
                <w:lang w:eastAsia="en-AU"/>
              </w:rPr>
              <w:t>7 124</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lang w:eastAsia="en-AU"/>
              </w:rPr>
            </w:pPr>
            <w:r w:rsidRPr="00AC137D">
              <w:rPr>
                <w:rFonts w:eastAsiaTheme="minorEastAsia" w:cs="Calibri"/>
                <w:color w:val="000000"/>
                <w:sz w:val="16"/>
                <w:lang w:eastAsia="en-AU"/>
              </w:rPr>
              <w:t>7 086</w:t>
            </w:r>
          </w:p>
        </w:tc>
      </w:tr>
      <w:tr w:rsidR="00A46DCA" w:rsidRPr="00AC137D" w:rsidTr="00A26D04">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A46DCA" w:rsidRPr="00AC137D" w:rsidRDefault="00A46DCA" w:rsidP="00A26D04">
            <w:pPr>
              <w:keepLines w:val="0"/>
              <w:autoSpaceDE w:val="0"/>
              <w:autoSpaceDN w:val="0"/>
              <w:adjustRightInd w:val="0"/>
              <w:spacing w:after="0"/>
              <w:rPr>
                <w:rFonts w:eastAsiaTheme="minorEastAsia" w:cs="Calibri"/>
                <w:color w:val="000000"/>
                <w:sz w:val="16"/>
                <w:vertAlign w:val="superscript"/>
                <w:lang w:eastAsia="en-AU"/>
              </w:rPr>
            </w:pPr>
            <w:r w:rsidRPr="00AC137D">
              <w:rPr>
                <w:rFonts w:eastAsiaTheme="minorEastAsia" w:cs="Calibri"/>
                <w:color w:val="000000"/>
                <w:sz w:val="16"/>
                <w:lang w:eastAsia="en-AU"/>
              </w:rPr>
              <w:t xml:space="preserve">Unearned income relating to licence fees </w:t>
            </w:r>
            <w:r w:rsidRPr="00AC137D">
              <w:rPr>
                <w:rFonts w:eastAsiaTheme="minorEastAsia" w:cs="Calibri"/>
                <w:color w:val="000000"/>
                <w:sz w:val="16"/>
                <w:vertAlign w:val="superscript"/>
                <w:lang w:eastAsia="en-AU"/>
              </w:rPr>
              <w:t>(b)</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lang w:eastAsia="en-AU"/>
              </w:rPr>
            </w:pPr>
            <w:r>
              <w:rPr>
                <w:rFonts w:eastAsiaTheme="minorEastAsia" w:cs="Calibri"/>
                <w:color w:val="000000"/>
                <w:sz w:val="16"/>
                <w:lang w:eastAsia="en-AU"/>
              </w:rPr>
              <w:t>(731)</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lang w:eastAsia="en-AU"/>
              </w:rPr>
            </w:pPr>
            <w:r>
              <w:rPr>
                <w:rFonts w:eastAsiaTheme="minorEastAsia" w:cs="Calibri"/>
                <w:color w:val="000000"/>
                <w:sz w:val="16"/>
                <w:lang w:eastAsia="en-AU"/>
              </w:rPr>
              <w:t>(731)</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lang w:eastAsia="en-AU"/>
              </w:rPr>
            </w:pPr>
            <w:r>
              <w:rPr>
                <w:rFonts w:eastAsiaTheme="minorEastAsia" w:cs="Calibri"/>
                <w:color w:val="000000"/>
                <w:sz w:val="16"/>
                <w:lang w:eastAsia="en-AU"/>
              </w:rPr>
              <w:t>(679)</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lang w:eastAsia="en-AU"/>
              </w:rPr>
            </w:pPr>
            <w:r>
              <w:rPr>
                <w:rFonts w:eastAsiaTheme="minorEastAsia" w:cs="Calibri"/>
                <w:color w:val="000000"/>
                <w:sz w:val="16"/>
                <w:lang w:eastAsia="en-AU"/>
              </w:rPr>
              <w:t>(626)</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lang w:eastAsia="en-AU"/>
              </w:rPr>
            </w:pPr>
            <w:r>
              <w:rPr>
                <w:rFonts w:eastAsiaTheme="minorEastAsia" w:cs="Calibri"/>
                <w:color w:val="000000"/>
                <w:sz w:val="16"/>
                <w:lang w:eastAsia="en-AU"/>
              </w:rPr>
              <w:t>(574)</w:t>
            </w:r>
          </w:p>
        </w:tc>
      </w:tr>
      <w:tr w:rsidR="00A46DCA" w:rsidRPr="00AC137D" w:rsidTr="00A26D04">
        <w:tc>
          <w:tcPr>
            <w:cnfStyle w:val="001000000000" w:firstRow="0" w:lastRow="0" w:firstColumn="1" w:lastColumn="0" w:oddVBand="0" w:evenVBand="0" w:oddHBand="0" w:evenHBand="0" w:firstRowFirstColumn="0" w:firstRowLastColumn="0" w:lastRowFirstColumn="0" w:lastRowLastColumn="0"/>
            <w:tcW w:w="3515" w:type="dxa"/>
            <w:tcBorders>
              <w:top w:val="single" w:sz="6" w:space="0" w:color="auto"/>
              <w:left w:val="nil"/>
              <w:bottom w:val="single" w:sz="6" w:space="0" w:color="auto"/>
              <w:right w:val="nil"/>
            </w:tcBorders>
          </w:tcPr>
          <w:p w:rsidR="00A46DCA" w:rsidRPr="00AC137D" w:rsidRDefault="00A46DCA" w:rsidP="00A26D04">
            <w:pPr>
              <w:keepLines w:val="0"/>
              <w:autoSpaceDE w:val="0"/>
              <w:autoSpaceDN w:val="0"/>
              <w:adjustRightInd w:val="0"/>
              <w:spacing w:after="0"/>
              <w:rPr>
                <w:rFonts w:eastAsiaTheme="minorEastAsia" w:cs="Calibri"/>
                <w:i/>
                <w:iCs/>
                <w:color w:val="000000"/>
                <w:sz w:val="16"/>
                <w:lang w:eastAsia="en-AU"/>
              </w:rPr>
            </w:pPr>
            <w:r w:rsidRPr="00AC137D">
              <w:rPr>
                <w:rFonts w:eastAsiaTheme="minorEastAsia" w:cs="Calibri"/>
                <w:i/>
                <w:iCs/>
                <w:color w:val="000000"/>
                <w:sz w:val="16"/>
                <w:lang w:eastAsia="en-AU"/>
              </w:rPr>
              <w:t>plus total convergence difference:</w:t>
            </w:r>
          </w:p>
        </w:tc>
        <w:tc>
          <w:tcPr>
            <w:tcW w:w="850" w:type="dxa"/>
            <w:tcBorders>
              <w:top w:val="single" w:sz="6" w:space="0" w:color="auto"/>
              <w:left w:val="nil"/>
              <w:bottom w:val="single" w:sz="6" w:space="0" w:color="auto"/>
              <w:right w:val="nil"/>
            </w:tcBorders>
          </w:tcPr>
          <w:p w:rsidR="00A46DCA" w:rsidRPr="00AC137D"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lang w:eastAsia="en-AU"/>
              </w:rPr>
            </w:pPr>
            <w:r w:rsidRPr="00AC137D">
              <w:rPr>
                <w:rFonts w:eastAsiaTheme="minorEastAsia" w:cs="Calibri"/>
                <w:color w:val="000000"/>
                <w:sz w:val="16"/>
                <w:lang w:eastAsia="en-AU"/>
              </w:rPr>
              <w:t>7 566</w:t>
            </w:r>
          </w:p>
        </w:tc>
        <w:tc>
          <w:tcPr>
            <w:tcW w:w="850" w:type="dxa"/>
            <w:tcBorders>
              <w:top w:val="single" w:sz="6" w:space="0" w:color="auto"/>
              <w:left w:val="nil"/>
              <w:bottom w:val="single" w:sz="6" w:space="0" w:color="auto"/>
              <w:right w:val="nil"/>
            </w:tcBorders>
          </w:tcPr>
          <w:p w:rsidR="00A46DCA" w:rsidRPr="00AC137D"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lang w:eastAsia="en-AU"/>
              </w:rPr>
            </w:pPr>
            <w:r w:rsidRPr="00AC137D">
              <w:rPr>
                <w:rFonts w:eastAsiaTheme="minorEastAsia" w:cs="Calibri"/>
                <w:color w:val="000000"/>
                <w:sz w:val="16"/>
                <w:lang w:eastAsia="en-AU"/>
              </w:rPr>
              <w:t>7 676</w:t>
            </w:r>
          </w:p>
        </w:tc>
        <w:tc>
          <w:tcPr>
            <w:tcW w:w="850" w:type="dxa"/>
            <w:tcBorders>
              <w:top w:val="single" w:sz="6" w:space="0" w:color="auto"/>
              <w:left w:val="nil"/>
              <w:bottom w:val="single" w:sz="6" w:space="0" w:color="auto"/>
              <w:right w:val="nil"/>
            </w:tcBorders>
          </w:tcPr>
          <w:p w:rsidR="00A46DCA" w:rsidRPr="00AC137D"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lang w:eastAsia="en-AU"/>
              </w:rPr>
            </w:pPr>
            <w:r w:rsidRPr="00AC137D">
              <w:rPr>
                <w:rFonts w:eastAsiaTheme="minorEastAsia" w:cs="Calibri"/>
                <w:color w:val="000000"/>
                <w:sz w:val="16"/>
                <w:lang w:eastAsia="en-AU"/>
              </w:rPr>
              <w:t>7 545</w:t>
            </w:r>
          </w:p>
        </w:tc>
        <w:tc>
          <w:tcPr>
            <w:tcW w:w="850" w:type="dxa"/>
            <w:tcBorders>
              <w:top w:val="single" w:sz="6" w:space="0" w:color="auto"/>
              <w:left w:val="nil"/>
              <w:bottom w:val="single" w:sz="6" w:space="0" w:color="auto"/>
              <w:right w:val="nil"/>
            </w:tcBorders>
          </w:tcPr>
          <w:p w:rsidR="00A46DCA" w:rsidRPr="00AC137D"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lang w:eastAsia="en-AU"/>
              </w:rPr>
            </w:pPr>
            <w:r w:rsidRPr="00AC137D">
              <w:rPr>
                <w:rFonts w:eastAsiaTheme="minorEastAsia" w:cs="Calibri"/>
                <w:color w:val="000000"/>
                <w:sz w:val="16"/>
                <w:lang w:eastAsia="en-AU"/>
              </w:rPr>
              <w:t>7 939</w:t>
            </w:r>
          </w:p>
        </w:tc>
        <w:tc>
          <w:tcPr>
            <w:tcW w:w="850" w:type="dxa"/>
            <w:tcBorders>
              <w:top w:val="single" w:sz="6" w:space="0" w:color="auto"/>
              <w:left w:val="nil"/>
              <w:bottom w:val="single" w:sz="6" w:space="0" w:color="auto"/>
              <w:right w:val="nil"/>
            </w:tcBorders>
          </w:tcPr>
          <w:p w:rsidR="00A46DCA" w:rsidRPr="00AC137D"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lang w:eastAsia="en-AU"/>
              </w:rPr>
            </w:pPr>
            <w:r w:rsidRPr="00AC137D">
              <w:rPr>
                <w:rFonts w:eastAsiaTheme="minorEastAsia" w:cs="Calibri"/>
                <w:color w:val="000000"/>
                <w:sz w:val="16"/>
                <w:lang w:eastAsia="en-AU"/>
              </w:rPr>
              <w:t>8 144</w:t>
            </w:r>
          </w:p>
        </w:tc>
      </w:tr>
      <w:tr w:rsidR="00A46DCA" w:rsidRPr="00AC137D" w:rsidTr="00A26D04">
        <w:tc>
          <w:tcPr>
            <w:cnfStyle w:val="001000000000" w:firstRow="0" w:lastRow="0" w:firstColumn="1" w:lastColumn="0" w:oddVBand="0" w:evenVBand="0" w:oddHBand="0" w:evenHBand="0" w:firstRowFirstColumn="0" w:firstRowLastColumn="0" w:lastRowFirstColumn="0" w:lastRowLastColumn="0"/>
            <w:tcW w:w="3515" w:type="dxa"/>
            <w:tcBorders>
              <w:top w:val="single" w:sz="6" w:space="0" w:color="auto"/>
              <w:left w:val="nil"/>
              <w:bottom w:val="single" w:sz="12" w:space="0" w:color="auto"/>
              <w:right w:val="nil"/>
            </w:tcBorders>
          </w:tcPr>
          <w:p w:rsidR="00A46DCA" w:rsidRPr="00AC137D" w:rsidRDefault="00A46DCA" w:rsidP="00A26D04">
            <w:pPr>
              <w:keepLines w:val="0"/>
              <w:autoSpaceDE w:val="0"/>
              <w:autoSpaceDN w:val="0"/>
              <w:adjustRightInd w:val="0"/>
              <w:spacing w:after="0"/>
              <w:rPr>
                <w:rFonts w:eastAsiaTheme="minorEastAsia" w:cs="Calibri"/>
                <w:b/>
                <w:bCs/>
                <w:color w:val="000000"/>
                <w:sz w:val="16"/>
                <w:lang w:eastAsia="en-AU"/>
              </w:rPr>
            </w:pPr>
            <w:r w:rsidRPr="00AC137D">
              <w:rPr>
                <w:rFonts w:eastAsiaTheme="minorEastAsia" w:cs="Calibri"/>
                <w:b/>
                <w:bCs/>
                <w:color w:val="000000"/>
                <w:sz w:val="16"/>
                <w:lang w:eastAsia="en-AU"/>
              </w:rPr>
              <w:t xml:space="preserve">GFS net worth </w:t>
            </w:r>
          </w:p>
        </w:tc>
        <w:tc>
          <w:tcPr>
            <w:tcW w:w="850" w:type="dxa"/>
            <w:tcBorders>
              <w:top w:val="single" w:sz="6" w:space="0" w:color="auto"/>
              <w:left w:val="nil"/>
              <w:bottom w:val="single" w:sz="12" w:space="0" w:color="auto"/>
              <w:right w:val="nil"/>
            </w:tcBorders>
          </w:tcPr>
          <w:p w:rsidR="00A46DCA" w:rsidRPr="00AC137D"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lang w:eastAsia="en-AU"/>
              </w:rPr>
            </w:pPr>
            <w:r w:rsidRPr="00AC137D">
              <w:rPr>
                <w:rFonts w:eastAsiaTheme="minorEastAsia" w:cs="Calibri"/>
                <w:b/>
                <w:bCs/>
                <w:color w:val="000000"/>
                <w:sz w:val="16"/>
                <w:lang w:eastAsia="en-AU"/>
              </w:rPr>
              <w:t>180 097</w:t>
            </w:r>
          </w:p>
        </w:tc>
        <w:tc>
          <w:tcPr>
            <w:tcW w:w="850" w:type="dxa"/>
            <w:tcBorders>
              <w:top w:val="single" w:sz="6" w:space="0" w:color="auto"/>
              <w:left w:val="nil"/>
              <w:bottom w:val="single" w:sz="12" w:space="0" w:color="auto"/>
              <w:right w:val="nil"/>
            </w:tcBorders>
          </w:tcPr>
          <w:p w:rsidR="00A46DCA" w:rsidRPr="00AC137D"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lang w:eastAsia="en-AU"/>
              </w:rPr>
            </w:pPr>
            <w:r w:rsidRPr="00AC137D">
              <w:rPr>
                <w:rFonts w:eastAsiaTheme="minorEastAsia" w:cs="Calibri"/>
                <w:b/>
                <w:bCs/>
                <w:color w:val="000000"/>
                <w:sz w:val="16"/>
                <w:lang w:eastAsia="en-AU"/>
              </w:rPr>
              <w:t>182 191</w:t>
            </w:r>
          </w:p>
        </w:tc>
        <w:tc>
          <w:tcPr>
            <w:tcW w:w="850" w:type="dxa"/>
            <w:tcBorders>
              <w:top w:val="single" w:sz="6" w:space="0" w:color="auto"/>
              <w:left w:val="nil"/>
              <w:bottom w:val="single" w:sz="12" w:space="0" w:color="auto"/>
              <w:right w:val="nil"/>
            </w:tcBorders>
          </w:tcPr>
          <w:p w:rsidR="00A46DCA" w:rsidRPr="00AC137D"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lang w:eastAsia="en-AU"/>
              </w:rPr>
            </w:pPr>
            <w:r w:rsidRPr="00AC137D">
              <w:rPr>
                <w:rFonts w:eastAsiaTheme="minorEastAsia" w:cs="Calibri"/>
                <w:b/>
                <w:bCs/>
                <w:color w:val="000000"/>
                <w:sz w:val="16"/>
                <w:lang w:eastAsia="en-AU"/>
              </w:rPr>
              <w:t>186 479</w:t>
            </w:r>
          </w:p>
        </w:tc>
        <w:tc>
          <w:tcPr>
            <w:tcW w:w="850" w:type="dxa"/>
            <w:tcBorders>
              <w:top w:val="single" w:sz="6" w:space="0" w:color="auto"/>
              <w:left w:val="nil"/>
              <w:bottom w:val="single" w:sz="12" w:space="0" w:color="auto"/>
              <w:right w:val="nil"/>
            </w:tcBorders>
          </w:tcPr>
          <w:p w:rsidR="00A46DCA" w:rsidRPr="00AC137D"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lang w:eastAsia="en-AU"/>
              </w:rPr>
            </w:pPr>
            <w:r w:rsidRPr="00AC137D">
              <w:rPr>
                <w:rFonts w:eastAsiaTheme="minorEastAsia" w:cs="Calibri"/>
                <w:b/>
                <w:bCs/>
                <w:color w:val="000000"/>
                <w:sz w:val="16"/>
                <w:lang w:eastAsia="en-AU"/>
              </w:rPr>
              <w:t>198 445</w:t>
            </w:r>
          </w:p>
        </w:tc>
        <w:tc>
          <w:tcPr>
            <w:tcW w:w="850" w:type="dxa"/>
            <w:tcBorders>
              <w:top w:val="single" w:sz="6" w:space="0" w:color="auto"/>
              <w:left w:val="nil"/>
              <w:bottom w:val="single" w:sz="12" w:space="0" w:color="auto"/>
              <w:right w:val="nil"/>
            </w:tcBorders>
          </w:tcPr>
          <w:p w:rsidR="00A46DCA" w:rsidRPr="00AC137D"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lang w:eastAsia="en-AU"/>
              </w:rPr>
            </w:pPr>
            <w:r w:rsidRPr="00AC137D">
              <w:rPr>
                <w:rFonts w:eastAsiaTheme="minorEastAsia" w:cs="Calibri"/>
                <w:b/>
                <w:bCs/>
                <w:color w:val="000000"/>
                <w:sz w:val="16"/>
                <w:lang w:eastAsia="en-AU"/>
              </w:rPr>
              <w:t>204 110</w:t>
            </w:r>
          </w:p>
        </w:tc>
      </w:tr>
      <w:tr w:rsidR="00A46DCA" w:rsidRPr="00AC137D" w:rsidTr="00A26D04">
        <w:trPr>
          <w:trHeight w:hRule="exact" w:val="120"/>
        </w:trPr>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A46DCA" w:rsidRPr="00AC137D" w:rsidRDefault="00A46DCA" w:rsidP="00A26D04">
            <w:pPr>
              <w:keepLines w:val="0"/>
              <w:autoSpaceDE w:val="0"/>
              <w:autoSpaceDN w:val="0"/>
              <w:adjustRightInd w:val="0"/>
              <w:spacing w:after="0"/>
              <w:rPr>
                <w:rFonts w:eastAsiaTheme="minorEastAsia" w:cs="Calibri"/>
                <w:b/>
                <w:bCs/>
                <w:color w:val="000000"/>
                <w:sz w:val="16"/>
                <w:lang w:eastAsia="en-AU"/>
              </w:rPr>
            </w:pPr>
            <w:r w:rsidRPr="00AC137D">
              <w:rPr>
                <w:rFonts w:eastAsiaTheme="minorEastAsia" w:cs="Calibri"/>
                <w:b/>
                <w:bCs/>
                <w:color w:val="000000"/>
                <w:sz w:val="16"/>
                <w:lang w:eastAsia="en-AU"/>
              </w:rPr>
              <w:t xml:space="preserve"> </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lang w:eastAsia="en-AU"/>
              </w:rPr>
            </w:pPr>
            <w:r w:rsidRPr="00AC137D">
              <w:rPr>
                <w:rFonts w:eastAsiaTheme="minorEastAsia" w:cs="Calibri"/>
                <w:b/>
                <w:bCs/>
                <w:color w:val="000000"/>
                <w:sz w:val="16"/>
                <w:lang w:eastAsia="en-AU"/>
              </w:rPr>
              <w:t xml:space="preserve"> </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lang w:eastAsia="en-AU"/>
              </w:rPr>
            </w:pPr>
            <w:r w:rsidRPr="00AC137D">
              <w:rPr>
                <w:rFonts w:eastAsiaTheme="minorEastAsia" w:cs="Calibri"/>
                <w:b/>
                <w:bCs/>
                <w:color w:val="000000"/>
                <w:sz w:val="16"/>
                <w:lang w:eastAsia="en-AU"/>
              </w:rPr>
              <w:t xml:space="preserve"> </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lang w:eastAsia="en-AU"/>
              </w:rPr>
            </w:pPr>
            <w:r w:rsidRPr="00AC137D">
              <w:rPr>
                <w:rFonts w:eastAsiaTheme="minorEastAsia" w:cs="Calibri"/>
                <w:b/>
                <w:bCs/>
                <w:color w:val="000000"/>
                <w:sz w:val="16"/>
                <w:lang w:eastAsia="en-AU"/>
              </w:rPr>
              <w:t xml:space="preserve"> </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lang w:eastAsia="en-AU"/>
              </w:rPr>
            </w:pPr>
            <w:r w:rsidRPr="00AC137D">
              <w:rPr>
                <w:rFonts w:eastAsiaTheme="minorEastAsia" w:cs="Calibri"/>
                <w:b/>
                <w:bCs/>
                <w:color w:val="000000"/>
                <w:sz w:val="16"/>
                <w:lang w:eastAsia="en-AU"/>
              </w:rPr>
              <w:t xml:space="preserve"> </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lang w:eastAsia="en-AU"/>
              </w:rPr>
            </w:pPr>
            <w:r w:rsidRPr="00AC137D">
              <w:rPr>
                <w:rFonts w:eastAsiaTheme="minorEastAsia" w:cs="Calibri"/>
                <w:b/>
                <w:bCs/>
                <w:color w:val="000000"/>
                <w:sz w:val="16"/>
                <w:lang w:eastAsia="en-AU"/>
              </w:rPr>
              <w:t xml:space="preserve"> </w:t>
            </w:r>
          </w:p>
        </w:tc>
      </w:tr>
      <w:tr w:rsidR="00A46DCA" w:rsidRPr="00AC137D" w:rsidTr="00A26D04">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A46DCA" w:rsidRPr="00AC137D" w:rsidRDefault="00A46DCA" w:rsidP="00A26D04">
            <w:pPr>
              <w:keepLines w:val="0"/>
              <w:autoSpaceDE w:val="0"/>
              <w:autoSpaceDN w:val="0"/>
              <w:adjustRightInd w:val="0"/>
              <w:spacing w:after="0"/>
              <w:rPr>
                <w:rFonts w:eastAsiaTheme="minorEastAsia" w:cs="Calibri"/>
                <w:b/>
                <w:bCs/>
                <w:color w:val="000000"/>
                <w:sz w:val="16"/>
                <w:lang w:eastAsia="en-AU"/>
              </w:rPr>
            </w:pPr>
            <w:r w:rsidRPr="00AC137D">
              <w:rPr>
                <w:rFonts w:eastAsiaTheme="minorEastAsia" w:cs="Calibri"/>
                <w:b/>
                <w:bCs/>
                <w:color w:val="000000"/>
                <w:sz w:val="16"/>
                <w:lang w:eastAsia="en-AU"/>
              </w:rPr>
              <w:t xml:space="preserve">Cash surplus/(deficit) </w:t>
            </w:r>
          </w:p>
        </w:tc>
        <w:tc>
          <w:tcPr>
            <w:tcW w:w="850" w:type="dxa"/>
            <w:tcBorders>
              <w:top w:val="nil"/>
              <w:left w:val="nil"/>
              <w:bottom w:val="nil"/>
              <w:right w:val="nil"/>
            </w:tcBorders>
            <w:shd w:val="solid" w:color="FFFFFF" w:fill="auto"/>
          </w:tcPr>
          <w:p w:rsidR="00A46DCA" w:rsidRPr="00AC137D"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lang w:eastAsia="en-AU"/>
              </w:rPr>
            </w:pPr>
            <w:r w:rsidRPr="00AC137D">
              <w:rPr>
                <w:rFonts w:eastAsiaTheme="minorEastAsia" w:cs="Calibri"/>
                <w:b/>
                <w:bCs/>
                <w:color w:val="000000"/>
                <w:sz w:val="16"/>
                <w:lang w:eastAsia="en-AU"/>
              </w:rPr>
              <w:t>(4 676)</w:t>
            </w:r>
          </w:p>
        </w:tc>
        <w:tc>
          <w:tcPr>
            <w:tcW w:w="850" w:type="dxa"/>
            <w:tcBorders>
              <w:top w:val="nil"/>
              <w:left w:val="nil"/>
              <w:bottom w:val="nil"/>
              <w:right w:val="nil"/>
            </w:tcBorders>
            <w:shd w:val="solid" w:color="FFFFFF" w:fill="auto"/>
          </w:tcPr>
          <w:p w:rsidR="00A46DCA" w:rsidRPr="00AC137D"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lang w:eastAsia="en-AU"/>
              </w:rPr>
            </w:pPr>
            <w:r w:rsidRPr="00AC137D">
              <w:rPr>
                <w:rFonts w:eastAsiaTheme="minorEastAsia" w:cs="Calibri"/>
                <w:b/>
                <w:bCs/>
                <w:color w:val="000000"/>
                <w:sz w:val="16"/>
                <w:lang w:eastAsia="en-AU"/>
              </w:rPr>
              <w:t>(4 864)</w:t>
            </w:r>
          </w:p>
        </w:tc>
        <w:tc>
          <w:tcPr>
            <w:tcW w:w="850" w:type="dxa"/>
            <w:tcBorders>
              <w:top w:val="nil"/>
              <w:left w:val="nil"/>
              <w:bottom w:val="nil"/>
              <w:right w:val="nil"/>
            </w:tcBorders>
            <w:shd w:val="solid" w:color="FFFFFF" w:fill="auto"/>
          </w:tcPr>
          <w:p w:rsidR="00A46DCA" w:rsidRPr="00AC137D"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lang w:eastAsia="en-AU"/>
              </w:rPr>
            </w:pPr>
            <w:r w:rsidRPr="00AC137D">
              <w:rPr>
                <w:rFonts w:eastAsiaTheme="minorEastAsia" w:cs="Calibri"/>
                <w:b/>
                <w:bCs/>
                <w:color w:val="000000"/>
                <w:sz w:val="16"/>
                <w:lang w:eastAsia="en-AU"/>
              </w:rPr>
              <w:t>(1 852)</w:t>
            </w:r>
          </w:p>
        </w:tc>
        <w:tc>
          <w:tcPr>
            <w:tcW w:w="850" w:type="dxa"/>
            <w:tcBorders>
              <w:top w:val="nil"/>
              <w:left w:val="nil"/>
              <w:bottom w:val="nil"/>
              <w:right w:val="nil"/>
            </w:tcBorders>
            <w:shd w:val="solid" w:color="FFFFFF" w:fill="auto"/>
          </w:tcPr>
          <w:p w:rsidR="00A46DCA" w:rsidRPr="00AC137D"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lang w:eastAsia="en-AU"/>
              </w:rPr>
            </w:pPr>
            <w:r w:rsidRPr="00AC137D">
              <w:rPr>
                <w:rFonts w:eastAsiaTheme="minorEastAsia" w:cs="Calibri"/>
                <w:b/>
                <w:bCs/>
                <w:color w:val="000000"/>
                <w:sz w:val="16"/>
                <w:lang w:eastAsia="en-AU"/>
              </w:rPr>
              <w:t>(2 552)</w:t>
            </w:r>
          </w:p>
        </w:tc>
        <w:tc>
          <w:tcPr>
            <w:tcW w:w="850" w:type="dxa"/>
            <w:tcBorders>
              <w:top w:val="nil"/>
              <w:left w:val="nil"/>
              <w:bottom w:val="nil"/>
              <w:right w:val="nil"/>
            </w:tcBorders>
            <w:shd w:val="solid" w:color="FFFFFF" w:fill="auto"/>
          </w:tcPr>
          <w:p w:rsidR="00A46DCA" w:rsidRPr="00AC137D"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lang w:eastAsia="en-AU"/>
              </w:rPr>
            </w:pPr>
            <w:r w:rsidRPr="00AC137D">
              <w:rPr>
                <w:rFonts w:eastAsiaTheme="minorEastAsia" w:cs="Calibri"/>
                <w:b/>
                <w:bCs/>
                <w:color w:val="000000"/>
                <w:sz w:val="16"/>
                <w:lang w:eastAsia="en-AU"/>
              </w:rPr>
              <w:t>(2 349)</w:t>
            </w:r>
          </w:p>
        </w:tc>
      </w:tr>
      <w:tr w:rsidR="00A46DCA" w:rsidRPr="00AC137D" w:rsidTr="00A26D04">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A46DCA" w:rsidRPr="00AC137D" w:rsidRDefault="00A46DCA" w:rsidP="00A26D04">
            <w:pPr>
              <w:keepLines w:val="0"/>
              <w:autoSpaceDE w:val="0"/>
              <w:autoSpaceDN w:val="0"/>
              <w:adjustRightInd w:val="0"/>
              <w:spacing w:after="0"/>
              <w:rPr>
                <w:rFonts w:eastAsiaTheme="minorEastAsia" w:cs="Calibri"/>
                <w:i/>
                <w:iCs/>
                <w:color w:val="000000"/>
                <w:sz w:val="16"/>
                <w:lang w:eastAsia="en-AU"/>
              </w:rPr>
            </w:pPr>
            <w:r w:rsidRPr="00AC137D">
              <w:rPr>
                <w:rFonts w:eastAsiaTheme="minorEastAsia" w:cs="Calibri"/>
                <w:i/>
                <w:iCs/>
                <w:color w:val="000000"/>
                <w:sz w:val="16"/>
                <w:lang w:eastAsia="en-AU"/>
              </w:rPr>
              <w:t>Convergence differences:</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i/>
                <w:iCs/>
                <w:color w:val="000000"/>
                <w:sz w:val="16"/>
                <w:lang w:eastAsia="en-AU"/>
              </w:rPr>
            </w:pPr>
            <w:r w:rsidRPr="00AC137D">
              <w:rPr>
                <w:rFonts w:eastAsiaTheme="minorEastAsia" w:cs="Calibri"/>
                <w:i/>
                <w:iCs/>
                <w:color w:val="000000"/>
                <w:sz w:val="16"/>
                <w:lang w:eastAsia="en-AU"/>
              </w:rPr>
              <w:t xml:space="preserve"> </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lang w:eastAsia="en-AU"/>
              </w:rPr>
            </w:pPr>
            <w:r w:rsidRPr="00AC137D">
              <w:rPr>
                <w:rFonts w:eastAsiaTheme="minorEastAsia" w:cs="Calibri"/>
                <w:b/>
                <w:bCs/>
                <w:color w:val="000000"/>
                <w:sz w:val="16"/>
                <w:lang w:eastAsia="en-AU"/>
              </w:rPr>
              <w:t xml:space="preserve"> </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lang w:eastAsia="en-AU"/>
              </w:rPr>
            </w:pPr>
            <w:r w:rsidRPr="00AC137D">
              <w:rPr>
                <w:rFonts w:eastAsiaTheme="minorEastAsia" w:cs="Calibri"/>
                <w:b/>
                <w:bCs/>
                <w:color w:val="000000"/>
                <w:sz w:val="16"/>
                <w:lang w:eastAsia="en-AU"/>
              </w:rPr>
              <w:t xml:space="preserve"> </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lang w:eastAsia="en-AU"/>
              </w:rPr>
            </w:pPr>
            <w:r w:rsidRPr="00AC137D">
              <w:rPr>
                <w:rFonts w:eastAsiaTheme="minorEastAsia" w:cs="Calibri"/>
                <w:b/>
                <w:bCs/>
                <w:color w:val="000000"/>
                <w:sz w:val="16"/>
                <w:lang w:eastAsia="en-AU"/>
              </w:rPr>
              <w:t xml:space="preserve"> </w:t>
            </w:r>
          </w:p>
        </w:tc>
        <w:tc>
          <w:tcPr>
            <w:tcW w:w="850" w:type="dxa"/>
            <w:tcBorders>
              <w:top w:val="nil"/>
              <w:left w:val="nil"/>
              <w:bottom w:val="nil"/>
              <w:right w:val="nil"/>
            </w:tcBorders>
          </w:tcPr>
          <w:p w:rsidR="00A46DCA" w:rsidRPr="00AC137D"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lang w:eastAsia="en-AU"/>
              </w:rPr>
            </w:pPr>
            <w:r w:rsidRPr="00AC137D">
              <w:rPr>
                <w:rFonts w:eastAsiaTheme="minorEastAsia" w:cs="Calibri"/>
                <w:b/>
                <w:bCs/>
                <w:color w:val="000000"/>
                <w:sz w:val="16"/>
                <w:lang w:eastAsia="en-AU"/>
              </w:rPr>
              <w:t xml:space="preserve"> </w:t>
            </w:r>
          </w:p>
        </w:tc>
      </w:tr>
      <w:tr w:rsidR="00A46DCA" w:rsidRPr="00AC137D" w:rsidTr="00A26D04">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A46DCA" w:rsidRPr="00AC137D" w:rsidRDefault="00A46DCA" w:rsidP="00A26D04">
            <w:pPr>
              <w:keepLines w:val="0"/>
              <w:autoSpaceDE w:val="0"/>
              <w:autoSpaceDN w:val="0"/>
              <w:adjustRightInd w:val="0"/>
              <w:spacing w:after="0"/>
              <w:rPr>
                <w:rFonts w:eastAsiaTheme="minorEastAsia" w:cs="Calibri"/>
                <w:color w:val="000000"/>
                <w:sz w:val="16"/>
                <w:vertAlign w:val="superscript"/>
                <w:lang w:eastAsia="en-AU"/>
              </w:rPr>
            </w:pPr>
            <w:r w:rsidRPr="00AC137D">
              <w:rPr>
                <w:rFonts w:eastAsiaTheme="minorEastAsia" w:cs="Calibri"/>
                <w:color w:val="000000"/>
                <w:sz w:val="16"/>
                <w:lang w:eastAsia="en-AU"/>
              </w:rPr>
              <w:t xml:space="preserve">Less: Acquisitions under finance leases and similar arrangements </w:t>
            </w:r>
            <w:r w:rsidRPr="00AC137D">
              <w:rPr>
                <w:rFonts w:eastAsiaTheme="minorEastAsia" w:cs="Calibri"/>
                <w:color w:val="000000"/>
                <w:sz w:val="16"/>
                <w:vertAlign w:val="superscript"/>
                <w:lang w:eastAsia="en-AU"/>
              </w:rPr>
              <w:t>(f)(g)</w:t>
            </w:r>
          </w:p>
        </w:tc>
        <w:tc>
          <w:tcPr>
            <w:tcW w:w="850" w:type="dxa"/>
            <w:tcBorders>
              <w:top w:val="nil"/>
              <w:left w:val="nil"/>
              <w:bottom w:val="nil"/>
              <w:right w:val="nil"/>
            </w:tcBorders>
            <w:shd w:val="solid" w:color="FFFFFF" w:fill="auto"/>
          </w:tcPr>
          <w:p w:rsidR="00A46DCA" w:rsidRPr="00AC137D"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lang w:eastAsia="en-AU"/>
              </w:rPr>
            </w:pPr>
            <w:r>
              <w:rPr>
                <w:rFonts w:eastAsiaTheme="minorEastAsia" w:cs="Calibri"/>
                <w:color w:val="000000"/>
                <w:sz w:val="16"/>
                <w:lang w:eastAsia="en-AU"/>
              </w:rPr>
              <w:t>(647)</w:t>
            </w:r>
          </w:p>
        </w:tc>
        <w:tc>
          <w:tcPr>
            <w:tcW w:w="850" w:type="dxa"/>
            <w:tcBorders>
              <w:top w:val="nil"/>
              <w:left w:val="nil"/>
              <w:bottom w:val="nil"/>
              <w:right w:val="nil"/>
            </w:tcBorders>
            <w:shd w:val="solid" w:color="FFFFFF" w:fill="auto"/>
          </w:tcPr>
          <w:p w:rsidR="00A46DCA" w:rsidRPr="00AC137D"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lang w:eastAsia="en-AU"/>
              </w:rPr>
            </w:pPr>
            <w:r>
              <w:rPr>
                <w:rFonts w:eastAsiaTheme="minorEastAsia" w:cs="Calibri"/>
                <w:color w:val="000000"/>
                <w:sz w:val="16"/>
                <w:lang w:eastAsia="en-AU"/>
              </w:rPr>
              <w:t>(647)</w:t>
            </w:r>
          </w:p>
        </w:tc>
        <w:tc>
          <w:tcPr>
            <w:tcW w:w="850" w:type="dxa"/>
            <w:tcBorders>
              <w:top w:val="nil"/>
              <w:left w:val="nil"/>
              <w:bottom w:val="nil"/>
              <w:right w:val="nil"/>
            </w:tcBorders>
            <w:shd w:val="solid" w:color="FFFFFF" w:fill="auto"/>
          </w:tcPr>
          <w:p w:rsidR="00A46DCA" w:rsidRPr="00AC137D"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lang w:eastAsia="en-AU"/>
              </w:rPr>
            </w:pPr>
            <w:r>
              <w:rPr>
                <w:rFonts w:eastAsiaTheme="minorEastAsia" w:cs="Calibri"/>
                <w:color w:val="000000"/>
                <w:sz w:val="16"/>
                <w:lang w:eastAsia="en-AU"/>
              </w:rPr>
              <w:t>(419)</w:t>
            </w:r>
          </w:p>
        </w:tc>
        <w:tc>
          <w:tcPr>
            <w:tcW w:w="850" w:type="dxa"/>
            <w:tcBorders>
              <w:top w:val="nil"/>
              <w:left w:val="nil"/>
              <w:bottom w:val="nil"/>
              <w:right w:val="nil"/>
            </w:tcBorders>
            <w:shd w:val="solid" w:color="FFFFFF" w:fill="auto"/>
          </w:tcPr>
          <w:p w:rsidR="00A46DCA" w:rsidRPr="00AC137D"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lang w:eastAsia="en-AU"/>
              </w:rPr>
            </w:pPr>
            <w:r>
              <w:rPr>
                <w:rFonts w:eastAsiaTheme="minorEastAsia" w:cs="Calibri"/>
                <w:color w:val="000000"/>
                <w:sz w:val="16"/>
                <w:lang w:eastAsia="en-AU"/>
              </w:rPr>
              <w:t>(315)</w:t>
            </w:r>
          </w:p>
        </w:tc>
        <w:tc>
          <w:tcPr>
            <w:tcW w:w="850" w:type="dxa"/>
            <w:tcBorders>
              <w:top w:val="nil"/>
              <w:left w:val="nil"/>
              <w:bottom w:val="nil"/>
              <w:right w:val="nil"/>
            </w:tcBorders>
            <w:shd w:val="solid" w:color="FFFFFF" w:fill="auto"/>
          </w:tcPr>
          <w:p w:rsidR="00A46DCA" w:rsidRPr="00AC137D"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lang w:eastAsia="en-AU"/>
              </w:rPr>
            </w:pPr>
            <w:r w:rsidRPr="00AC137D">
              <w:rPr>
                <w:rFonts w:eastAsiaTheme="minorEastAsia" w:cs="Calibri"/>
                <w:color w:val="000000"/>
                <w:sz w:val="16"/>
                <w:lang w:eastAsia="en-AU"/>
              </w:rPr>
              <w:t>(1 022)</w:t>
            </w:r>
          </w:p>
        </w:tc>
      </w:tr>
      <w:tr w:rsidR="00A46DCA" w:rsidRPr="00AC137D" w:rsidTr="00A26D04">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5" w:type="dxa"/>
            <w:tcBorders>
              <w:top w:val="single" w:sz="6" w:space="0" w:color="auto"/>
              <w:bottom w:val="single" w:sz="12" w:space="0" w:color="auto"/>
            </w:tcBorders>
          </w:tcPr>
          <w:p w:rsidR="00A46DCA" w:rsidRPr="00AC137D" w:rsidRDefault="00A46DCA" w:rsidP="00A26D04">
            <w:pPr>
              <w:keepLines w:val="0"/>
              <w:autoSpaceDE w:val="0"/>
              <w:autoSpaceDN w:val="0"/>
              <w:adjustRightInd w:val="0"/>
              <w:spacing w:after="0"/>
              <w:rPr>
                <w:rFonts w:eastAsiaTheme="minorEastAsia" w:cs="Calibri"/>
                <w:bCs/>
                <w:color w:val="000000"/>
                <w:sz w:val="16"/>
                <w:lang w:eastAsia="en-AU"/>
              </w:rPr>
            </w:pPr>
            <w:r w:rsidRPr="00AC137D">
              <w:rPr>
                <w:rFonts w:eastAsiaTheme="minorEastAsia" w:cs="Calibri"/>
                <w:bCs/>
                <w:color w:val="000000"/>
                <w:sz w:val="16"/>
                <w:lang w:eastAsia="en-AU"/>
              </w:rPr>
              <w:t xml:space="preserve">GFS cash surplus/(deficit) </w:t>
            </w:r>
          </w:p>
        </w:tc>
        <w:tc>
          <w:tcPr>
            <w:tcW w:w="850" w:type="dxa"/>
            <w:tcBorders>
              <w:top w:val="single" w:sz="6" w:space="0" w:color="auto"/>
              <w:bottom w:val="single" w:sz="12" w:space="0" w:color="auto"/>
            </w:tcBorders>
          </w:tcPr>
          <w:p w:rsidR="00A46DCA" w:rsidRPr="00AC137D" w:rsidRDefault="00A46DCA" w:rsidP="00A26D04">
            <w:pPr>
              <w:keepLines w:val="0"/>
              <w:autoSpaceDE w:val="0"/>
              <w:autoSpaceDN w:val="0"/>
              <w:adjustRightInd w:val="0"/>
              <w:spacing w:after="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 w:val="16"/>
                <w:lang w:eastAsia="en-AU"/>
              </w:rPr>
            </w:pPr>
            <w:r w:rsidRPr="00AC137D">
              <w:rPr>
                <w:rFonts w:eastAsiaTheme="minorEastAsia" w:cs="Calibri"/>
                <w:bCs/>
                <w:color w:val="000000"/>
                <w:sz w:val="16"/>
                <w:lang w:eastAsia="en-AU"/>
              </w:rPr>
              <w:t>(5 323)</w:t>
            </w:r>
          </w:p>
        </w:tc>
        <w:tc>
          <w:tcPr>
            <w:tcW w:w="850" w:type="dxa"/>
            <w:tcBorders>
              <w:top w:val="single" w:sz="6" w:space="0" w:color="auto"/>
              <w:bottom w:val="single" w:sz="12" w:space="0" w:color="auto"/>
            </w:tcBorders>
          </w:tcPr>
          <w:p w:rsidR="00A46DCA" w:rsidRPr="00AC137D" w:rsidRDefault="00A46DCA" w:rsidP="00A26D04">
            <w:pPr>
              <w:keepLines w:val="0"/>
              <w:autoSpaceDE w:val="0"/>
              <w:autoSpaceDN w:val="0"/>
              <w:adjustRightInd w:val="0"/>
              <w:spacing w:after="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 w:val="16"/>
                <w:lang w:eastAsia="en-AU"/>
              </w:rPr>
            </w:pPr>
            <w:r w:rsidRPr="00AC137D">
              <w:rPr>
                <w:rFonts w:eastAsiaTheme="minorEastAsia" w:cs="Calibri"/>
                <w:bCs/>
                <w:color w:val="000000"/>
                <w:sz w:val="16"/>
                <w:lang w:eastAsia="en-AU"/>
              </w:rPr>
              <w:t>(5 511)</w:t>
            </w:r>
          </w:p>
        </w:tc>
        <w:tc>
          <w:tcPr>
            <w:tcW w:w="850" w:type="dxa"/>
            <w:tcBorders>
              <w:top w:val="single" w:sz="6" w:space="0" w:color="auto"/>
              <w:bottom w:val="single" w:sz="12" w:space="0" w:color="auto"/>
            </w:tcBorders>
          </w:tcPr>
          <w:p w:rsidR="00A46DCA" w:rsidRPr="00AC137D" w:rsidRDefault="00A46DCA" w:rsidP="00A26D04">
            <w:pPr>
              <w:keepLines w:val="0"/>
              <w:autoSpaceDE w:val="0"/>
              <w:autoSpaceDN w:val="0"/>
              <w:adjustRightInd w:val="0"/>
              <w:spacing w:after="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 w:val="16"/>
                <w:lang w:eastAsia="en-AU"/>
              </w:rPr>
            </w:pPr>
            <w:r w:rsidRPr="00AC137D">
              <w:rPr>
                <w:rFonts w:eastAsiaTheme="minorEastAsia" w:cs="Calibri"/>
                <w:bCs/>
                <w:color w:val="000000"/>
                <w:sz w:val="16"/>
                <w:lang w:eastAsia="en-AU"/>
              </w:rPr>
              <w:t>(2 271)</w:t>
            </w:r>
          </w:p>
        </w:tc>
        <w:tc>
          <w:tcPr>
            <w:tcW w:w="850" w:type="dxa"/>
            <w:tcBorders>
              <w:top w:val="single" w:sz="6" w:space="0" w:color="auto"/>
              <w:bottom w:val="single" w:sz="12" w:space="0" w:color="auto"/>
            </w:tcBorders>
          </w:tcPr>
          <w:p w:rsidR="00A46DCA" w:rsidRPr="00AC137D" w:rsidRDefault="00A46DCA" w:rsidP="00A26D04">
            <w:pPr>
              <w:keepLines w:val="0"/>
              <w:autoSpaceDE w:val="0"/>
              <w:autoSpaceDN w:val="0"/>
              <w:adjustRightInd w:val="0"/>
              <w:spacing w:after="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 w:val="16"/>
                <w:lang w:eastAsia="en-AU"/>
              </w:rPr>
            </w:pPr>
            <w:r w:rsidRPr="00AC137D">
              <w:rPr>
                <w:rFonts w:eastAsiaTheme="minorEastAsia" w:cs="Calibri"/>
                <w:bCs/>
                <w:color w:val="000000"/>
                <w:sz w:val="16"/>
                <w:lang w:eastAsia="en-AU"/>
              </w:rPr>
              <w:t>(2 867)</w:t>
            </w:r>
          </w:p>
        </w:tc>
        <w:tc>
          <w:tcPr>
            <w:tcW w:w="850" w:type="dxa"/>
            <w:tcBorders>
              <w:top w:val="single" w:sz="6" w:space="0" w:color="auto"/>
              <w:bottom w:val="single" w:sz="12" w:space="0" w:color="auto"/>
            </w:tcBorders>
          </w:tcPr>
          <w:p w:rsidR="00A46DCA" w:rsidRPr="00AC137D" w:rsidRDefault="00A46DCA" w:rsidP="00A26D04">
            <w:pPr>
              <w:keepLines w:val="0"/>
              <w:autoSpaceDE w:val="0"/>
              <w:autoSpaceDN w:val="0"/>
              <w:adjustRightInd w:val="0"/>
              <w:spacing w:after="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 w:val="16"/>
                <w:lang w:eastAsia="en-AU"/>
              </w:rPr>
            </w:pPr>
            <w:r w:rsidRPr="00AC137D">
              <w:rPr>
                <w:rFonts w:eastAsiaTheme="minorEastAsia" w:cs="Calibri"/>
                <w:bCs/>
                <w:color w:val="000000"/>
                <w:sz w:val="16"/>
                <w:lang w:eastAsia="en-AU"/>
              </w:rPr>
              <w:t>(3 371)</w:t>
            </w:r>
          </w:p>
        </w:tc>
      </w:tr>
    </w:tbl>
    <w:p w:rsidR="00A46DCA" w:rsidRPr="00434F7A" w:rsidRDefault="00A46DCA" w:rsidP="00A26D04">
      <w:pPr>
        <w:pStyle w:val="Source"/>
      </w:pPr>
      <w:r w:rsidRPr="00434F7A">
        <w:t>Source: Department of Treasury and Finance</w:t>
      </w:r>
    </w:p>
    <w:p w:rsidR="00A46DCA" w:rsidRPr="00434F7A" w:rsidRDefault="00A46DCA" w:rsidP="00A26D04">
      <w:pPr>
        <w:spacing w:before="20"/>
        <w:ind w:left="284" w:hanging="284"/>
        <w:contextualSpacing/>
        <w:rPr>
          <w:rFonts w:asciiTheme="majorHAnsi" w:hAnsiTheme="majorHAnsi"/>
          <w:i/>
          <w:spacing w:val="-2"/>
          <w:sz w:val="14"/>
          <w:lang w:val="en-US"/>
        </w:rPr>
      </w:pPr>
      <w:r w:rsidRPr="00434F7A">
        <w:rPr>
          <w:rFonts w:asciiTheme="majorHAnsi" w:hAnsiTheme="majorHAnsi"/>
          <w:i/>
          <w:spacing w:val="-2"/>
          <w:sz w:val="14"/>
          <w:lang w:val="en-US"/>
        </w:rPr>
        <w:t>Notes:</w:t>
      </w:r>
    </w:p>
    <w:p w:rsidR="00A46DCA" w:rsidRPr="00434F7A" w:rsidRDefault="00A46DCA" w:rsidP="00A26D04">
      <w:pPr>
        <w:spacing w:before="20"/>
        <w:ind w:left="284" w:hanging="284"/>
        <w:contextualSpacing/>
        <w:rPr>
          <w:rFonts w:asciiTheme="majorHAnsi" w:hAnsiTheme="majorHAnsi"/>
          <w:i/>
          <w:spacing w:val="-2"/>
          <w:sz w:val="14"/>
          <w:lang w:val="en-US"/>
        </w:rPr>
      </w:pPr>
      <w:r w:rsidRPr="00434F7A">
        <w:rPr>
          <w:rFonts w:asciiTheme="majorHAnsi" w:hAnsiTheme="majorHAnsi"/>
          <w:i/>
          <w:spacing w:val="-2"/>
          <w:sz w:val="14"/>
          <w:lang w:val="en-US"/>
        </w:rPr>
        <w:t>(a)</w:t>
      </w:r>
      <w:r w:rsidRPr="00434F7A">
        <w:rPr>
          <w:rFonts w:asciiTheme="majorHAnsi" w:hAnsiTheme="majorHAnsi"/>
          <w:i/>
          <w:spacing w:val="-2"/>
          <w:sz w:val="14"/>
          <w:lang w:val="en-US"/>
        </w:rPr>
        <w:tab/>
        <w:t>Determined in accordance with the ABS GFS manual.</w:t>
      </w:r>
    </w:p>
    <w:p w:rsidR="00A46DCA" w:rsidRPr="00434F7A" w:rsidRDefault="00A46DCA" w:rsidP="00A26D04">
      <w:pPr>
        <w:spacing w:before="20"/>
        <w:ind w:left="284" w:hanging="284"/>
        <w:contextualSpacing/>
        <w:rPr>
          <w:rFonts w:asciiTheme="majorHAnsi" w:hAnsiTheme="majorHAnsi"/>
          <w:i/>
          <w:spacing w:val="-2"/>
          <w:sz w:val="14"/>
          <w:lang w:val="en-US"/>
        </w:rPr>
      </w:pPr>
      <w:r w:rsidRPr="00434F7A">
        <w:rPr>
          <w:rFonts w:asciiTheme="majorHAnsi" w:hAnsiTheme="majorHAnsi"/>
          <w:i/>
          <w:spacing w:val="-2"/>
          <w:sz w:val="14"/>
          <w:lang w:val="en-US"/>
        </w:rPr>
        <w:t>(b)</w:t>
      </w:r>
      <w:r w:rsidRPr="00434F7A">
        <w:rPr>
          <w:rFonts w:asciiTheme="majorHAnsi" w:hAnsiTheme="majorHAnsi"/>
          <w:i/>
          <w:spacing w:val="-2"/>
          <w:sz w:val="14"/>
          <w:lang w:val="en-US"/>
        </w:rPr>
        <w:tab/>
        <w:t xml:space="preserve">The convergence difference arises because the GFS </w:t>
      </w:r>
      <w:proofErr w:type="spellStart"/>
      <w:r w:rsidRPr="00434F7A">
        <w:rPr>
          <w:rFonts w:asciiTheme="majorHAnsi" w:hAnsiTheme="majorHAnsi"/>
          <w:i/>
          <w:spacing w:val="-2"/>
          <w:sz w:val="14"/>
          <w:lang w:val="en-US"/>
        </w:rPr>
        <w:t>recognises</w:t>
      </w:r>
      <w:proofErr w:type="spellEnd"/>
      <w:r w:rsidRPr="00434F7A">
        <w:rPr>
          <w:rFonts w:asciiTheme="majorHAnsi" w:hAnsiTheme="majorHAnsi"/>
          <w:i/>
          <w:spacing w:val="-2"/>
          <w:sz w:val="14"/>
          <w:lang w:val="en-US"/>
        </w:rPr>
        <w:t xml:space="preserve"> the 15-year prepaid Port </w:t>
      </w:r>
      <w:proofErr w:type="spellStart"/>
      <w:r w:rsidRPr="00434F7A">
        <w:rPr>
          <w:rFonts w:asciiTheme="majorHAnsi" w:hAnsiTheme="majorHAnsi"/>
          <w:i/>
          <w:spacing w:val="-2"/>
          <w:sz w:val="14"/>
          <w:lang w:val="en-US"/>
        </w:rPr>
        <w:t>Licence</w:t>
      </w:r>
      <w:proofErr w:type="spellEnd"/>
      <w:r w:rsidRPr="00434F7A">
        <w:rPr>
          <w:rFonts w:asciiTheme="majorHAnsi" w:hAnsiTheme="majorHAnsi"/>
          <w:i/>
          <w:spacing w:val="-2"/>
          <w:sz w:val="14"/>
          <w:lang w:val="en-US"/>
        </w:rPr>
        <w:t xml:space="preserve"> Fee from the medium-term lease of the Port of Melbourne as revenue over the 15-year period.</w:t>
      </w:r>
    </w:p>
    <w:p w:rsidR="00A46DCA" w:rsidRPr="00434F7A" w:rsidRDefault="00A46DCA" w:rsidP="00A26D04">
      <w:pPr>
        <w:spacing w:before="20"/>
        <w:ind w:left="284" w:hanging="284"/>
        <w:contextualSpacing/>
        <w:rPr>
          <w:rFonts w:asciiTheme="majorHAnsi" w:hAnsiTheme="majorHAnsi"/>
          <w:i/>
          <w:spacing w:val="-2"/>
          <w:sz w:val="14"/>
          <w:lang w:val="en-US"/>
        </w:rPr>
      </w:pPr>
      <w:r w:rsidRPr="00434F7A">
        <w:rPr>
          <w:rFonts w:asciiTheme="majorHAnsi" w:hAnsiTheme="majorHAnsi"/>
          <w:i/>
          <w:spacing w:val="-2"/>
          <w:sz w:val="14"/>
          <w:lang w:val="en-US"/>
        </w:rPr>
        <w:t>(c)</w:t>
      </w:r>
      <w:r w:rsidRPr="00434F7A">
        <w:rPr>
          <w:rFonts w:asciiTheme="majorHAnsi" w:hAnsiTheme="majorHAnsi"/>
          <w:i/>
          <w:spacing w:val="-2"/>
          <w:sz w:val="14"/>
          <w:lang w:val="en-US"/>
        </w:rPr>
        <w:tab/>
        <w:t xml:space="preserve">The convergence difference in accounts receivable arises because GFS does not </w:t>
      </w:r>
      <w:proofErr w:type="spellStart"/>
      <w:r w:rsidRPr="00434F7A">
        <w:rPr>
          <w:rFonts w:asciiTheme="majorHAnsi" w:hAnsiTheme="majorHAnsi"/>
          <w:i/>
          <w:spacing w:val="-2"/>
          <w:sz w:val="14"/>
          <w:lang w:val="en-US"/>
        </w:rPr>
        <w:t>recognise</w:t>
      </w:r>
      <w:proofErr w:type="spellEnd"/>
      <w:r w:rsidRPr="00434F7A">
        <w:rPr>
          <w:rFonts w:asciiTheme="majorHAnsi" w:hAnsiTheme="majorHAnsi"/>
          <w:i/>
          <w:spacing w:val="-2"/>
          <w:sz w:val="14"/>
          <w:lang w:val="en-US"/>
        </w:rPr>
        <w:t xml:space="preserve"> doubtful receivables, whereas a provision for doubtful receivables is </w:t>
      </w:r>
      <w:proofErr w:type="spellStart"/>
      <w:r w:rsidRPr="00434F7A">
        <w:rPr>
          <w:rFonts w:asciiTheme="majorHAnsi" w:hAnsiTheme="majorHAnsi"/>
          <w:i/>
          <w:spacing w:val="-2"/>
          <w:sz w:val="14"/>
          <w:lang w:val="en-US"/>
        </w:rPr>
        <w:t>recognised</w:t>
      </w:r>
      <w:proofErr w:type="spellEnd"/>
      <w:r w:rsidRPr="00434F7A">
        <w:rPr>
          <w:rFonts w:asciiTheme="majorHAnsi" w:hAnsiTheme="majorHAnsi"/>
          <w:i/>
          <w:spacing w:val="-2"/>
          <w:sz w:val="14"/>
          <w:lang w:val="en-US"/>
        </w:rPr>
        <w:t xml:space="preserve"> in the balance sheet.</w:t>
      </w:r>
    </w:p>
    <w:p w:rsidR="00A46DCA" w:rsidRPr="00434F7A" w:rsidRDefault="00A46DCA" w:rsidP="00A26D04">
      <w:pPr>
        <w:spacing w:before="20"/>
        <w:ind w:left="284" w:hanging="284"/>
        <w:contextualSpacing/>
        <w:rPr>
          <w:rFonts w:asciiTheme="majorHAnsi" w:hAnsiTheme="majorHAnsi"/>
          <w:i/>
          <w:spacing w:val="-2"/>
          <w:sz w:val="14"/>
          <w:lang w:val="en-US"/>
        </w:rPr>
      </w:pPr>
      <w:r w:rsidRPr="00434F7A">
        <w:rPr>
          <w:rFonts w:asciiTheme="majorHAnsi" w:hAnsiTheme="majorHAnsi"/>
          <w:i/>
          <w:spacing w:val="-2"/>
          <w:sz w:val="14"/>
          <w:lang w:val="en-US"/>
        </w:rPr>
        <w:t>(d)</w:t>
      </w:r>
      <w:r w:rsidRPr="00434F7A">
        <w:rPr>
          <w:rFonts w:asciiTheme="majorHAnsi" w:hAnsiTheme="majorHAnsi"/>
          <w:i/>
          <w:spacing w:val="-2"/>
          <w:sz w:val="14"/>
          <w:lang w:val="en-US"/>
        </w:rPr>
        <w:tab/>
        <w:t>Net gain on equity investments in other sector entities includes doubtful receivables, future tax benefits and deferred tax liability of the PNFC and PFC sectors.</w:t>
      </w:r>
    </w:p>
    <w:p w:rsidR="00A46DCA" w:rsidRPr="00434F7A" w:rsidRDefault="00A46DCA" w:rsidP="00A26D04">
      <w:pPr>
        <w:spacing w:before="20"/>
        <w:ind w:left="284" w:hanging="284"/>
        <w:contextualSpacing/>
        <w:rPr>
          <w:rFonts w:asciiTheme="majorHAnsi" w:hAnsiTheme="majorHAnsi"/>
          <w:i/>
          <w:spacing w:val="-2"/>
          <w:sz w:val="14"/>
          <w:lang w:val="en-US"/>
        </w:rPr>
      </w:pPr>
      <w:r w:rsidRPr="00434F7A">
        <w:rPr>
          <w:rFonts w:asciiTheme="majorHAnsi" w:hAnsiTheme="majorHAnsi"/>
          <w:i/>
          <w:spacing w:val="-2"/>
          <w:sz w:val="14"/>
          <w:lang w:val="en-US"/>
        </w:rPr>
        <w:t>(e)</w:t>
      </w:r>
      <w:r w:rsidRPr="00434F7A">
        <w:rPr>
          <w:rFonts w:asciiTheme="majorHAnsi" w:hAnsiTheme="majorHAnsi"/>
          <w:i/>
          <w:spacing w:val="-2"/>
          <w:sz w:val="14"/>
          <w:lang w:val="en-US"/>
        </w:rPr>
        <w:tab/>
        <w:t>Investments in other sector entities for general government sector includes doubtful receivables, future tax benefits and deferred tax liability of the PNFC and PFC sectors.</w:t>
      </w:r>
    </w:p>
    <w:p w:rsidR="00A46DCA" w:rsidRPr="00434F7A" w:rsidRDefault="00A46DCA" w:rsidP="00A26D04">
      <w:pPr>
        <w:spacing w:before="20"/>
        <w:ind w:left="284" w:hanging="284"/>
        <w:contextualSpacing/>
        <w:rPr>
          <w:rFonts w:asciiTheme="majorHAnsi" w:hAnsiTheme="majorHAnsi"/>
          <w:i/>
          <w:spacing w:val="-2"/>
          <w:sz w:val="14"/>
          <w:lang w:val="en-US"/>
        </w:rPr>
      </w:pPr>
      <w:r w:rsidRPr="00434F7A">
        <w:rPr>
          <w:rFonts w:asciiTheme="majorHAnsi" w:hAnsiTheme="majorHAnsi"/>
          <w:i/>
          <w:spacing w:val="-2"/>
          <w:sz w:val="14"/>
          <w:lang w:val="en-US"/>
        </w:rPr>
        <w:t>(f)</w:t>
      </w:r>
      <w:r w:rsidRPr="00434F7A">
        <w:rPr>
          <w:rFonts w:asciiTheme="majorHAnsi" w:hAnsiTheme="majorHAnsi"/>
          <w:i/>
          <w:spacing w:val="-2"/>
          <w:sz w:val="14"/>
          <w:lang w:val="en-US"/>
        </w:rPr>
        <w:tab/>
        <w:t>The convergence difference arises because for GFS, assets acquired under finance leases are considered to be cash outlays and is included as part of the GFS cash surplus/(deficit).</w:t>
      </w:r>
    </w:p>
    <w:p w:rsidR="00A46DCA" w:rsidRPr="00434F7A" w:rsidRDefault="00A46DCA" w:rsidP="00A26D04">
      <w:pPr>
        <w:spacing w:before="20"/>
        <w:ind w:left="284" w:hanging="284"/>
        <w:contextualSpacing/>
        <w:rPr>
          <w:rFonts w:asciiTheme="majorHAnsi" w:hAnsiTheme="majorHAnsi"/>
          <w:i/>
          <w:spacing w:val="-2"/>
          <w:sz w:val="14"/>
        </w:rPr>
      </w:pPr>
      <w:r w:rsidRPr="00434F7A">
        <w:rPr>
          <w:rFonts w:asciiTheme="majorHAnsi" w:hAnsiTheme="majorHAnsi"/>
          <w:i/>
          <w:spacing w:val="-2"/>
          <w:sz w:val="14"/>
          <w:lang w:val="en-US"/>
        </w:rPr>
        <w:t>(g)</w:t>
      </w:r>
      <w:r w:rsidRPr="00434F7A">
        <w:rPr>
          <w:rFonts w:asciiTheme="majorHAnsi" w:hAnsiTheme="majorHAnsi"/>
          <w:i/>
          <w:spacing w:val="-2"/>
          <w:sz w:val="14"/>
          <w:lang w:val="en-US"/>
        </w:rPr>
        <w:tab/>
        <w:t>The finance lease acquisition in 2017-18 relates to the Ravenhall Prison project, the new Bendigo Hospital project (stage 2)</w:t>
      </w:r>
      <w:r>
        <w:rPr>
          <w:rFonts w:asciiTheme="majorHAnsi" w:hAnsiTheme="majorHAnsi"/>
          <w:i/>
          <w:spacing w:val="-2"/>
          <w:sz w:val="14"/>
          <w:lang w:val="en-US"/>
        </w:rPr>
        <w:t xml:space="preserve"> </w:t>
      </w:r>
      <w:r w:rsidRPr="00434F7A">
        <w:rPr>
          <w:rFonts w:asciiTheme="majorHAnsi" w:hAnsiTheme="majorHAnsi"/>
          <w:i/>
          <w:spacing w:val="-2"/>
          <w:sz w:val="14"/>
          <w:lang w:val="en-US"/>
        </w:rPr>
        <w:t xml:space="preserve">and the New Schools PPP project (tranche 2). The 2018-19 and 2019-20 estimates relate to the High Capacity Metro Trains Project. The 2020-21 estimates relate to the High Capacity Metro Trains Project and the Western Roads </w:t>
      </w:r>
      <w:r>
        <w:rPr>
          <w:rFonts w:asciiTheme="majorHAnsi" w:hAnsiTheme="majorHAnsi"/>
          <w:i/>
          <w:spacing w:val="-2"/>
          <w:sz w:val="14"/>
          <w:lang w:val="en-US"/>
        </w:rPr>
        <w:t>Upgrade</w:t>
      </w:r>
      <w:r w:rsidRPr="00434F7A">
        <w:rPr>
          <w:rFonts w:asciiTheme="majorHAnsi" w:hAnsiTheme="majorHAnsi"/>
          <w:i/>
          <w:spacing w:val="-2"/>
          <w:sz w:val="14"/>
          <w:lang w:val="en-US"/>
        </w:rPr>
        <w:t>.</w:t>
      </w:r>
    </w:p>
    <w:p w:rsidR="00A46DCA" w:rsidRDefault="00A46DCA" w:rsidP="00A26D04">
      <w:pPr>
        <w:pStyle w:val="Heading3"/>
        <w:numPr>
          <w:ilvl w:val="2"/>
          <w:numId w:val="19"/>
        </w:numPr>
        <w:tabs>
          <w:tab w:val="clear" w:pos="9582"/>
          <w:tab w:val="left" w:pos="850"/>
          <w:tab w:val="right" w:pos="7711"/>
        </w:tabs>
        <w:spacing w:after="60"/>
      </w:pPr>
      <w:bookmarkStart w:id="56" w:name="_Toc496606684"/>
      <w:r>
        <w:lastRenderedPageBreak/>
        <w:t>Financial instruments</w:t>
      </w:r>
      <w:bookmarkEnd w:id="56"/>
    </w:p>
    <w:p w:rsidR="00A46DCA" w:rsidRDefault="00A46DCA" w:rsidP="00A26D04">
      <w:r>
        <w:t xml:space="preserve">Note 7.1 in the </w:t>
      </w:r>
      <w:r w:rsidRPr="00E65B89">
        <w:rPr>
          <w:i/>
        </w:rPr>
        <w:t>2016-17 Financial Report</w:t>
      </w:r>
      <w:r>
        <w:t xml:space="preserve"> for the State of Victoria contains comprehensive disclosures of the State’s (including the general government sector’s) financial instruments, including financial risk management objectives and policies.</w:t>
      </w:r>
    </w:p>
    <w:p w:rsidR="00A46DCA" w:rsidRPr="00B41AC3" w:rsidRDefault="00A46DCA" w:rsidP="00A26D04">
      <w:r>
        <w:t xml:space="preserve">There has been no substantive change to the accounting classification of financial assets and liabilities for the general government sector as reported in the </w:t>
      </w:r>
      <w:r w:rsidRPr="00E65B89">
        <w:rPr>
          <w:i/>
        </w:rPr>
        <w:t>2016-17 Financial Report</w:t>
      </w:r>
      <w:r>
        <w:t xml:space="preserve"> for the State of Victoria.</w:t>
      </w:r>
    </w:p>
    <w:p w:rsidR="00A46DCA" w:rsidRDefault="00A46DCA" w:rsidP="00A26D04">
      <w:pPr>
        <w:pStyle w:val="Heading3"/>
        <w:numPr>
          <w:ilvl w:val="2"/>
          <w:numId w:val="19"/>
        </w:numPr>
        <w:tabs>
          <w:tab w:val="clear" w:pos="9582"/>
          <w:tab w:val="left" w:pos="850"/>
          <w:tab w:val="right" w:pos="7711"/>
        </w:tabs>
        <w:spacing w:after="60"/>
      </w:pPr>
      <w:bookmarkStart w:id="57" w:name="_Toc496606685"/>
      <w:r>
        <w:t>Prospective accounting and reporting changes</w:t>
      </w:r>
      <w:bookmarkEnd w:id="57"/>
    </w:p>
    <w:p w:rsidR="00A46DCA" w:rsidRDefault="00A46DCA" w:rsidP="00A26D04">
      <w:r w:rsidRPr="00D87D22">
        <w:t>Certain new and revised accounting standards have been issued but are not effective for the 201</w:t>
      </w:r>
      <w:r>
        <w:t>7</w:t>
      </w:r>
      <w:r w:rsidRPr="00D87D22">
        <w:t>-1</w:t>
      </w:r>
      <w:r>
        <w:t>8</w:t>
      </w:r>
      <w:r w:rsidRPr="00D87D22">
        <w:t xml:space="preserve"> reporting period. </w:t>
      </w:r>
      <w:r>
        <w:t>There is no intention to early adopt the accounting standards and they have not been applied to the Estimated Financial Statements.</w:t>
      </w:r>
    </w:p>
    <w:p w:rsidR="00A46DCA" w:rsidRDefault="00A46DCA" w:rsidP="00A26D04">
      <w:r w:rsidRPr="00D87D22">
        <w:t>The State is reviewing its existing policies to assess the potential implications. The</w:t>
      </w:r>
      <w:r>
        <w:t>se accounting standards</w:t>
      </w:r>
      <w:r w:rsidRPr="00D87D22">
        <w:t xml:space="preserve"> include:</w:t>
      </w:r>
    </w:p>
    <w:p w:rsidR="00A46DCA" w:rsidRDefault="00A46DCA" w:rsidP="00A26D04">
      <w:pPr>
        <w:pStyle w:val="ListBullet"/>
      </w:pPr>
      <w:r w:rsidRPr="00D87D22">
        <w:t xml:space="preserve">AASB 9 </w:t>
      </w:r>
      <w:r w:rsidRPr="00220328">
        <w:rPr>
          <w:i/>
        </w:rPr>
        <w:t>Financial Instruments</w:t>
      </w:r>
      <w:r w:rsidRPr="00D87D22">
        <w:t>, operative for reporting periods</w:t>
      </w:r>
      <w:r>
        <w:t xml:space="preserve"> commencing 1 January </w:t>
      </w:r>
      <w:r w:rsidRPr="00D87D22">
        <w:t>2018 as revised by AASB 2014</w:t>
      </w:r>
      <w:r>
        <w:t>-</w:t>
      </w:r>
      <w:r w:rsidRPr="00D87D22">
        <w:t xml:space="preserve">1 </w:t>
      </w:r>
      <w:r w:rsidRPr="00220328">
        <w:rPr>
          <w:i/>
        </w:rPr>
        <w:t>Amendments to Australian Accounting Standards</w:t>
      </w:r>
      <w:r w:rsidRPr="00D87D22">
        <w:t xml:space="preserve"> (Part</w:t>
      </w:r>
      <w:r>
        <w:t> </w:t>
      </w:r>
      <w:r w:rsidRPr="00D87D22">
        <w:t>E</w:t>
      </w:r>
      <w:r>
        <w:t> </w:t>
      </w:r>
      <w:r w:rsidRPr="00220328">
        <w:rPr>
          <w:i/>
        </w:rPr>
        <w:t>Financial Instruments</w:t>
      </w:r>
      <w:r w:rsidRPr="00D87D22">
        <w:t xml:space="preserve">). AASB 9 simplifies requirements for the classification and measurement of financial assets, introduces a new hedging accounting model and also a revised impairment loss model to recognise impairment loss earlier, as opposed to the current </w:t>
      </w:r>
      <w:r>
        <w:t>requirement</w:t>
      </w:r>
      <w:r w:rsidRPr="00D87D22">
        <w:t xml:space="preserve"> </w:t>
      </w:r>
      <w:r>
        <w:t>to recognise</w:t>
      </w:r>
      <w:r w:rsidRPr="00D87D22">
        <w:t xml:space="preserve"> impairment loss only when incurred.</w:t>
      </w:r>
    </w:p>
    <w:p w:rsidR="00A46DCA" w:rsidRDefault="00A46DCA" w:rsidP="00A26D04">
      <w:pPr>
        <w:pStyle w:val="ListBullet"/>
      </w:pPr>
      <w:r w:rsidRPr="003E1567">
        <w:t xml:space="preserve">AASB 15 </w:t>
      </w:r>
      <w:r w:rsidRPr="00220328">
        <w:rPr>
          <w:i/>
        </w:rPr>
        <w:t>Revenue from Contracts with Customers</w:t>
      </w:r>
      <w:r w:rsidRPr="003E1567">
        <w:t>, operative for reporting periods commencing 1 January 2019</w:t>
      </w:r>
      <w:r>
        <w:t xml:space="preserve"> for not-for-profit entities. The core principle of AASB </w:t>
      </w:r>
      <w:r w:rsidRPr="003E1567">
        <w:t>15 requires an entity to recognise revenue when the entity satisfies a performance obligation by transferring a promised good or service to a customer</w:t>
      </w:r>
      <w:r>
        <w:t xml:space="preserve">. The changes in revenue recognition may result in changes to the timing and amount of revenue recognised. </w:t>
      </w:r>
    </w:p>
    <w:p w:rsidR="00A46DCA" w:rsidRDefault="00A46DCA" w:rsidP="00A26D04">
      <w:pPr>
        <w:pStyle w:val="ListBullet"/>
      </w:pPr>
      <w:r>
        <w:t>A</w:t>
      </w:r>
      <w:r w:rsidRPr="003E1567">
        <w:t xml:space="preserve">ASB 16 </w:t>
      </w:r>
      <w:r w:rsidRPr="00220328">
        <w:rPr>
          <w:i/>
        </w:rPr>
        <w:t>Leases</w:t>
      </w:r>
      <w:r w:rsidRPr="003E1567">
        <w:t>, operative for reporting periods commencing 1 January 2019. The key changes</w:t>
      </w:r>
      <w:r>
        <w:t xml:space="preserve"> introduced by AASB 16</w:t>
      </w:r>
      <w:r w:rsidRPr="003E1567">
        <w:t xml:space="preserve"> include the </w:t>
      </w:r>
      <w:r>
        <w:t xml:space="preserve">requirement to </w:t>
      </w:r>
      <w:r w:rsidRPr="003E1567">
        <w:t>recogni</w:t>
      </w:r>
      <w:r>
        <w:t>se</w:t>
      </w:r>
      <w:r w:rsidRPr="003E1567">
        <w:t xml:space="preserve"> most operating leases on </w:t>
      </w:r>
      <w:r>
        <w:t>the balance sheet, which will result in an increase in net debt.</w:t>
      </w:r>
    </w:p>
    <w:p w:rsidR="00A46DCA" w:rsidRDefault="00A46DCA" w:rsidP="00A26D04">
      <w:pPr>
        <w:pStyle w:val="ListBullet"/>
      </w:pPr>
      <w:r>
        <w:t xml:space="preserve">AASB 1058 </w:t>
      </w:r>
      <w:r w:rsidRPr="00220328">
        <w:rPr>
          <w:i/>
        </w:rPr>
        <w:t>Income of Not-for-Profit Entities</w:t>
      </w:r>
      <w:r>
        <w:t xml:space="preserve">, operative for reporting periods commencing 1 January 2019. This standard will replace AASB 1004 </w:t>
      </w:r>
      <w:r w:rsidRPr="00220328">
        <w:rPr>
          <w:i/>
        </w:rPr>
        <w:t>Contributions</w:t>
      </w:r>
      <w:r>
        <w:t xml:space="preserve"> and establishes revenue recognition principles for transactions where the consideration to acquire an asset is significantly less than fair value to enable not-for-profit entities to further their objectives. Under AASB 1058, revenue from capital grants that are provided under an enforceable agreement that have sufficiently specific obligations, will now also be deferred and recognised as the performance obligations are satisfied. </w:t>
      </w:r>
    </w:p>
    <w:p w:rsidR="00A46DCA" w:rsidRDefault="00A46DCA" w:rsidP="00A26D04">
      <w:pPr>
        <w:pStyle w:val="ListBullet"/>
      </w:pPr>
      <w:r>
        <w:t xml:space="preserve">AASB 1059 </w:t>
      </w:r>
      <w:r w:rsidRPr="00220328">
        <w:rPr>
          <w:i/>
        </w:rPr>
        <w:t>Service Concession Arrangements: Grantors</w:t>
      </w:r>
      <w:r>
        <w:t xml:space="preserve">, operative for reporting periods commencing 1 January 2019. This standard prescribes the accounting treatment for certain public private partnership (PPP) arrangements involving a private sector operator providing public services related to a service concession asset on behalf of the State for a specific period of time. </w:t>
      </w:r>
    </w:p>
    <w:p w:rsidR="00A46DCA" w:rsidRPr="00D87D22" w:rsidRDefault="00A46DCA" w:rsidP="008110D9">
      <w:r w:rsidRPr="00D87D22">
        <w:t xml:space="preserve">Several other amending standards and AASB interpretations have been issued that apply for future reporting periods, but are considered to have limited impact on public sector reporting. </w:t>
      </w:r>
    </w:p>
    <w:p w:rsidR="00A46DCA" w:rsidRPr="00D87D22" w:rsidRDefault="00A46DCA" w:rsidP="00A26D04">
      <w:r w:rsidRPr="00D87D22">
        <w:lastRenderedPageBreak/>
        <w:t xml:space="preserve">The ABS released a new manual, </w:t>
      </w:r>
      <w:r w:rsidRPr="00350D3A">
        <w:rPr>
          <w:i/>
        </w:rPr>
        <w:t>Australian System of Government Finance Statistics: Concepts, Sources and Methods 2015</w:t>
      </w:r>
      <w:r>
        <w:t xml:space="preserve"> on 23 </w:t>
      </w:r>
      <w:r w:rsidRPr="00D87D22">
        <w:t xml:space="preserve">December 2015. For financial reporting under AASB 1049, the new manual will apply for reporting periods beginning from 1 July 2018. The State </w:t>
      </w:r>
      <w:r>
        <w:t>is assessing</w:t>
      </w:r>
      <w:r w:rsidRPr="00D87D22">
        <w:t xml:space="preserve"> the potential reporting implications of the amendments.</w:t>
      </w:r>
    </w:p>
    <w:p w:rsidR="00A46DCA" w:rsidRDefault="00A46DCA" w:rsidP="00A26D04">
      <w:pPr>
        <w:pStyle w:val="Heading3"/>
        <w:numPr>
          <w:ilvl w:val="2"/>
          <w:numId w:val="19"/>
        </w:numPr>
        <w:tabs>
          <w:tab w:val="clear" w:pos="9582"/>
          <w:tab w:val="left" w:pos="850"/>
          <w:tab w:val="right" w:pos="7711"/>
        </w:tabs>
        <w:spacing w:after="60"/>
      </w:pPr>
      <w:bookmarkStart w:id="58" w:name="_Toc496606686"/>
      <w:r>
        <w:t>Controlled entities</w:t>
      </w:r>
      <w:bookmarkEnd w:id="58"/>
    </w:p>
    <w:p w:rsidR="00A46DCA" w:rsidRDefault="00A46DCA" w:rsidP="00A26D04">
      <w:r>
        <w:t xml:space="preserve">Note 9.8 Controlled entities in the </w:t>
      </w:r>
      <w:r w:rsidRPr="000A547A">
        <w:rPr>
          <w:i/>
        </w:rPr>
        <w:t>2016</w:t>
      </w:r>
      <w:r w:rsidRPr="000A547A">
        <w:rPr>
          <w:i/>
        </w:rPr>
        <w:noBreakHyphen/>
        <w:t>17 Financial Report</w:t>
      </w:r>
      <w:r>
        <w:t xml:space="preserve"> for the State of Victoria lists significant controlled entities, which were consolidated in that financial report. </w:t>
      </w:r>
    </w:p>
    <w:p w:rsidR="00A46DCA" w:rsidRDefault="00A46DCA" w:rsidP="00A26D04">
      <w:r w:rsidRPr="0051566E">
        <w:t xml:space="preserve">The following are changes </w:t>
      </w:r>
      <w:r>
        <w:t xml:space="preserve">in </w:t>
      </w:r>
      <w:r w:rsidRPr="0051566E">
        <w:t>general government sector entities</w:t>
      </w:r>
      <w:r>
        <w:t xml:space="preserve"> since 1 July 2017</w:t>
      </w:r>
      <w:r w:rsidRPr="0051566E">
        <w:t>, which have</w:t>
      </w:r>
      <w:r>
        <w:t xml:space="preserve"> also</w:t>
      </w:r>
      <w:r w:rsidRPr="0051566E">
        <w:t xml:space="preserve"> been </w:t>
      </w:r>
      <w:r>
        <w:t xml:space="preserve">incorporated </w:t>
      </w:r>
      <w:r w:rsidRPr="0051566E">
        <w:t>in this financial report:</w:t>
      </w:r>
    </w:p>
    <w:p w:rsidR="00A46DCA" w:rsidRPr="0051566E" w:rsidRDefault="00A46DCA" w:rsidP="00A26D04"/>
    <w:tbl>
      <w:tblPr>
        <w:tblStyle w:val="DTFTable"/>
        <w:tblW w:w="5000" w:type="pct"/>
        <w:tblInd w:w="0" w:type="dxa"/>
        <w:tblCellMar>
          <w:left w:w="113" w:type="dxa"/>
          <w:right w:w="198" w:type="dxa"/>
        </w:tblCellMar>
        <w:tblLook w:val="0680" w:firstRow="0" w:lastRow="0" w:firstColumn="1" w:lastColumn="0" w:noHBand="1" w:noVBand="1"/>
      </w:tblPr>
      <w:tblGrid>
        <w:gridCol w:w="4011"/>
        <w:gridCol w:w="4011"/>
      </w:tblGrid>
      <w:tr w:rsidR="00A46DCA" w:rsidRPr="0029647E" w:rsidTr="00A26D04">
        <w:trPr>
          <w:trHeight w:val="17"/>
        </w:trPr>
        <w:tc>
          <w:tcPr>
            <w:cnfStyle w:val="001000000000" w:firstRow="0" w:lastRow="0" w:firstColumn="1" w:lastColumn="0" w:oddVBand="0" w:evenVBand="0" w:oddHBand="0" w:evenHBand="0" w:firstRowFirstColumn="0" w:firstRowLastColumn="0" w:lastRowFirstColumn="0" w:lastRowLastColumn="0"/>
            <w:tcW w:w="5000" w:type="pct"/>
            <w:gridSpan w:val="2"/>
            <w:tcBorders>
              <w:bottom w:val="nil"/>
            </w:tcBorders>
          </w:tcPr>
          <w:bookmarkEnd w:id="54"/>
          <w:p w:rsidR="00A46DCA" w:rsidRPr="0029647E" w:rsidRDefault="00A46DCA" w:rsidP="00A26D04">
            <w:pPr>
              <w:pStyle w:val="ControlledEntitiesSector"/>
              <w:jc w:val="left"/>
            </w:pPr>
            <w:r w:rsidRPr="0029647E">
              <w:t>General government</w:t>
            </w:r>
            <w:r>
              <w:t xml:space="preserve"> sector</w:t>
            </w:r>
          </w:p>
        </w:tc>
      </w:tr>
      <w:tr w:rsidR="00A46DCA" w:rsidRPr="0029647E" w:rsidTr="00A26D04">
        <w:trPr>
          <w:cantSplit w:val="0"/>
          <w:trHeight w:val="990"/>
        </w:trPr>
        <w:tc>
          <w:tcPr>
            <w:cnfStyle w:val="001000000000" w:firstRow="0" w:lastRow="0" w:firstColumn="1" w:lastColumn="0" w:oddVBand="0" w:evenVBand="0" w:oddHBand="0" w:evenHBand="0" w:firstRowFirstColumn="0" w:firstRowLastColumn="0" w:lastRowFirstColumn="0" w:lastRowLastColumn="0"/>
            <w:tcW w:w="2500" w:type="pct"/>
            <w:tcBorders>
              <w:bottom w:val="nil"/>
            </w:tcBorders>
          </w:tcPr>
          <w:p w:rsidR="00A46DCA" w:rsidRDefault="00A46DCA" w:rsidP="00A26D04">
            <w:pPr>
              <w:pStyle w:val="ControlledEntitiesDepartment"/>
              <w:ind w:left="0" w:firstLine="0"/>
            </w:pPr>
            <w:r>
              <w:t>Department of Health and Human Services</w:t>
            </w:r>
            <w:r w:rsidRPr="005B4BA6">
              <w:t xml:space="preserve"> </w:t>
            </w:r>
          </w:p>
          <w:p w:rsidR="00A46DCA" w:rsidRDefault="00A46DCA" w:rsidP="00A26D04">
            <w:pPr>
              <w:pStyle w:val="ListBullet"/>
              <w:numPr>
                <w:ilvl w:val="0"/>
                <w:numId w:val="0"/>
              </w:numPr>
              <w:spacing w:before="20"/>
              <w:ind w:left="284" w:hanging="284"/>
            </w:pPr>
            <w:r>
              <w:t>Corryong Health</w:t>
            </w:r>
            <w:r>
              <w:rPr>
                <w:vertAlign w:val="superscript"/>
              </w:rPr>
              <w:t xml:space="preserve"> (a)</w:t>
            </w:r>
          </w:p>
          <w:p w:rsidR="00A46DCA" w:rsidRDefault="00A46DCA" w:rsidP="00A26D04">
            <w:pPr>
              <w:pStyle w:val="ControlledEntitiesDepartment"/>
            </w:pPr>
            <w:r>
              <w:t xml:space="preserve">Department of </w:t>
            </w:r>
            <w:r w:rsidRPr="00500AD2">
              <w:t>Premier</w:t>
            </w:r>
            <w:r>
              <w:t xml:space="preserve"> and Cabinet </w:t>
            </w:r>
          </w:p>
          <w:p w:rsidR="00A46DCA" w:rsidRPr="0029647E" w:rsidRDefault="00A46DCA" w:rsidP="00A26D04">
            <w:r>
              <w:t>Victorian Information Commissioner</w:t>
            </w:r>
            <w:r>
              <w:rPr>
                <w:vertAlign w:val="superscript"/>
              </w:rPr>
              <w:t xml:space="preserve"> (b)</w:t>
            </w:r>
          </w:p>
        </w:tc>
        <w:tc>
          <w:tcPr>
            <w:tcW w:w="2500" w:type="pct"/>
            <w:tcBorders>
              <w:bottom w:val="nil"/>
            </w:tcBorders>
          </w:tcPr>
          <w:p w:rsidR="00A46DCA" w:rsidRPr="006B047C" w:rsidRDefault="00A46DCA" w:rsidP="00A26D04">
            <w:pPr>
              <w:pStyle w:val="ControlledEntitiesDepartment"/>
              <w:jc w:val="left"/>
              <w:cnfStyle w:val="000000000000" w:firstRow="0" w:lastRow="0" w:firstColumn="0" w:lastColumn="0" w:oddVBand="0" w:evenVBand="0" w:oddHBand="0" w:evenHBand="0" w:firstRowFirstColumn="0" w:firstRowLastColumn="0" w:lastRowFirstColumn="0" w:lastRowLastColumn="0"/>
              <w:rPr>
                <w:vertAlign w:val="superscript"/>
              </w:rPr>
            </w:pPr>
            <w:r>
              <w:t xml:space="preserve">Department of Economic Development, Jobs, Transport and Resources </w:t>
            </w:r>
          </w:p>
          <w:p w:rsidR="00A46DCA" w:rsidRPr="001122C6" w:rsidRDefault="00A46DCA" w:rsidP="00A26D04">
            <w:pPr>
              <w:ind w:left="170" w:hanging="170"/>
              <w:jc w:val="left"/>
              <w:cnfStyle w:val="000000000000" w:firstRow="0" w:lastRow="0" w:firstColumn="0" w:lastColumn="0" w:oddVBand="0" w:evenVBand="0" w:oddHBand="0" w:evenHBand="0" w:firstRowFirstColumn="0" w:firstRowLastColumn="0" w:lastRowFirstColumn="0" w:lastRowLastColumn="0"/>
              <w:rPr>
                <w:vertAlign w:val="superscript"/>
              </w:rPr>
            </w:pPr>
            <w:r>
              <w:t xml:space="preserve">Victorian Fisheries Authority </w:t>
            </w:r>
            <w:r>
              <w:rPr>
                <w:vertAlign w:val="superscript"/>
              </w:rPr>
              <w:t>(c)</w:t>
            </w:r>
          </w:p>
          <w:p w:rsidR="00A46DCA" w:rsidRPr="006B047C" w:rsidRDefault="00A46DCA" w:rsidP="00A26D04">
            <w:pPr>
              <w:pStyle w:val="ControlledEntitiesDepartment"/>
              <w:jc w:val="left"/>
              <w:cnfStyle w:val="000000000000" w:firstRow="0" w:lastRow="0" w:firstColumn="0" w:lastColumn="0" w:oddVBand="0" w:evenVBand="0" w:oddHBand="0" w:evenHBand="0" w:firstRowFirstColumn="0" w:firstRowLastColumn="0" w:lastRowFirstColumn="0" w:lastRowLastColumn="0"/>
              <w:rPr>
                <w:vertAlign w:val="superscript"/>
              </w:rPr>
            </w:pPr>
            <w:r>
              <w:t>Courts</w:t>
            </w:r>
          </w:p>
          <w:p w:rsidR="00A46DCA" w:rsidRPr="0029647E" w:rsidRDefault="00A46DCA" w:rsidP="00A26D04">
            <w:pPr>
              <w:ind w:left="170" w:hanging="170"/>
              <w:jc w:val="left"/>
              <w:cnfStyle w:val="000000000000" w:firstRow="0" w:lastRow="0" w:firstColumn="0" w:lastColumn="0" w:oddVBand="0" w:evenVBand="0" w:oddHBand="0" w:evenHBand="0" w:firstRowFirstColumn="0" w:firstRowLastColumn="0" w:lastRowFirstColumn="0" w:lastRowLastColumn="0"/>
            </w:pPr>
            <w:r>
              <w:t xml:space="preserve">Judicial Commission of Victoria </w:t>
            </w:r>
            <w:r>
              <w:rPr>
                <w:vertAlign w:val="superscript"/>
              </w:rPr>
              <w:t>(d)</w:t>
            </w:r>
          </w:p>
        </w:tc>
      </w:tr>
    </w:tbl>
    <w:p w:rsidR="00A46DCA" w:rsidRDefault="00A46DCA" w:rsidP="00A26D04">
      <w:pPr>
        <w:pStyle w:val="Note"/>
        <w:ind w:left="0" w:firstLine="0"/>
      </w:pPr>
      <w:r w:rsidRPr="006A75A2">
        <w:t>Notes</w:t>
      </w:r>
      <w:r>
        <w:t>:</w:t>
      </w:r>
    </w:p>
    <w:p w:rsidR="00A46DCA" w:rsidRDefault="00A46DCA" w:rsidP="00A26D04">
      <w:pPr>
        <w:pStyle w:val="Note"/>
      </w:pPr>
      <w:r>
        <w:t>(a)</w:t>
      </w:r>
      <w:r>
        <w:tab/>
        <w:t>On 4 July 2017, Upper Murray Health and Community Services changed its name to Corryong Health.</w:t>
      </w:r>
    </w:p>
    <w:p w:rsidR="00A46DCA" w:rsidRDefault="00A46DCA" w:rsidP="00A26D04">
      <w:pPr>
        <w:pStyle w:val="Note"/>
      </w:pPr>
      <w:r>
        <w:t>(b)</w:t>
      </w:r>
      <w:r>
        <w:tab/>
        <w:t>Effective from 1 September 2017, the Office of the Victorian Information Commissioner commenced operations and took over the responsibilities of the Freedom of Information Commissioner and the Office of the Commissioner for Privacy and Data Protection.</w:t>
      </w:r>
    </w:p>
    <w:p w:rsidR="00A46DCA" w:rsidRDefault="00A46DCA" w:rsidP="00A26D04">
      <w:pPr>
        <w:pStyle w:val="Note"/>
      </w:pPr>
      <w:r>
        <w:t>(c)</w:t>
      </w:r>
      <w:r w:rsidRPr="005973F8">
        <w:tab/>
      </w:r>
      <w:r>
        <w:t xml:space="preserve">The Victorian </w:t>
      </w:r>
      <w:r w:rsidRPr="005973F8">
        <w:t>Fisheries Authority is an independent statutory authority established on 1 July 2017 to effectively manage Victoria</w:t>
      </w:r>
      <w:r>
        <w:t>’</w:t>
      </w:r>
      <w:r w:rsidRPr="005973F8">
        <w:t>s fisheries resources.</w:t>
      </w:r>
    </w:p>
    <w:p w:rsidR="00A46DCA" w:rsidRDefault="00A46DCA" w:rsidP="00A26D04">
      <w:pPr>
        <w:pStyle w:val="Note"/>
      </w:pPr>
      <w:r>
        <w:t>(d)</w:t>
      </w:r>
      <w:r>
        <w:tab/>
        <w:t xml:space="preserve">Effective from 1 July 2017, the Judicial Commission of Victoria commenced operations under the </w:t>
      </w:r>
      <w:r w:rsidRPr="00A3630E">
        <w:rPr>
          <w:i w:val="0"/>
        </w:rPr>
        <w:t>Judicial Commission of Victoria Act 2016.</w:t>
      </w:r>
    </w:p>
    <w:p w:rsidR="00A46DCA" w:rsidRDefault="00A46DCA">
      <w:pPr>
        <w:keepLines w:val="0"/>
      </w:pPr>
      <w:r>
        <w:br w:type="page"/>
      </w:r>
    </w:p>
    <w:p w:rsidR="00A46DCA" w:rsidRDefault="00A46DCA" w:rsidP="00A26D04">
      <w:pPr>
        <w:sectPr w:rsidR="00A46DCA" w:rsidSect="00A26D04">
          <w:type w:val="continuous"/>
          <w:pgSz w:w="9979" w:h="14175" w:code="9"/>
          <w:pgMar w:top="850" w:right="1134" w:bottom="850" w:left="1134" w:header="624" w:footer="567" w:gutter="0"/>
          <w:cols w:sep="1" w:space="567"/>
          <w:docGrid w:linePitch="360"/>
        </w:sectPr>
      </w:pPr>
    </w:p>
    <w:p w:rsidR="00A46DCA" w:rsidRDefault="00A46DCA" w:rsidP="00480C94">
      <w:pPr>
        <w:sectPr w:rsidR="00A46DCA" w:rsidSect="00A26D04">
          <w:headerReference w:type="even" r:id="rId52"/>
          <w:headerReference w:type="default" r:id="rId53"/>
          <w:footerReference w:type="even" r:id="rId54"/>
          <w:footerReference w:type="default" r:id="rId55"/>
          <w:headerReference w:type="first" r:id="rId56"/>
          <w:footerReference w:type="first" r:id="rId57"/>
          <w:type w:val="continuous"/>
          <w:pgSz w:w="9979" w:h="14175" w:code="34"/>
          <w:pgMar w:top="851" w:right="1134" w:bottom="851" w:left="1134" w:header="624" w:footer="567" w:gutter="0"/>
          <w:cols w:sep="1" w:space="567"/>
          <w:docGrid w:linePitch="360"/>
        </w:sectPr>
      </w:pPr>
    </w:p>
    <w:p w:rsidR="00A46DCA" w:rsidRDefault="00A46DCA" w:rsidP="00A26D04">
      <w:pPr>
        <w:pStyle w:val="Chapterheading"/>
      </w:pPr>
      <w:bookmarkStart w:id="59" w:name="_Toc500435578"/>
      <w:r>
        <w:lastRenderedPageBreak/>
        <w:t>Chapter 5 – Supplementary uniform presentation framework tables</w:t>
      </w:r>
      <w:bookmarkEnd w:id="59"/>
    </w:p>
    <w:p w:rsidR="00A46DCA" w:rsidRPr="00023820" w:rsidRDefault="00A46DCA" w:rsidP="00A26D04">
      <w:pPr>
        <w:pStyle w:val="TableHeading"/>
        <w:rPr>
          <w:bCs/>
          <w:lang w:val="en-US"/>
        </w:rPr>
      </w:pPr>
      <w:r>
        <w:t>Table 5.1</w:t>
      </w:r>
      <w:r w:rsidR="008110D9">
        <w:t>:</w:t>
      </w:r>
      <w:r>
        <w:tab/>
        <w:t xml:space="preserve">Public non-financial corporations sector comprehensive operating </w:t>
      </w:r>
      <w:r w:rsidR="006A017C">
        <w:br/>
      </w:r>
      <w:r>
        <w:t xml:space="preserve">statement for the financial year ended 30 June </w:t>
      </w:r>
      <w:r w:rsidRPr="0058569A">
        <w:rPr>
          <w:vertAlign w:val="superscript"/>
        </w:rPr>
        <w:t>(a)</w:t>
      </w:r>
      <w:r>
        <w:tab/>
        <w:t>($ million)</w:t>
      </w:r>
    </w:p>
    <w:tbl>
      <w:tblPr>
        <w:tblStyle w:val="DTFTable"/>
        <w:tblW w:w="7767" w:type="dxa"/>
        <w:tblInd w:w="45" w:type="dxa"/>
        <w:tblLayout w:type="fixed"/>
        <w:tblCellMar>
          <w:left w:w="45" w:type="dxa"/>
          <w:right w:w="45" w:type="dxa"/>
        </w:tblCellMar>
        <w:tblLook w:val="06E0" w:firstRow="1" w:lastRow="1" w:firstColumn="1" w:lastColumn="0" w:noHBand="1" w:noVBand="1"/>
      </w:tblPr>
      <w:tblGrid>
        <w:gridCol w:w="3515"/>
        <w:gridCol w:w="181"/>
        <w:gridCol w:w="669"/>
        <w:gridCol w:w="850"/>
        <w:gridCol w:w="850"/>
        <w:gridCol w:w="850"/>
        <w:gridCol w:w="852"/>
      </w:tblGrid>
      <w:tr w:rsidR="00A26D04" w:rsidRPr="00023820" w:rsidTr="008110D9">
        <w:trPr>
          <w:cnfStyle w:val="100000000000" w:firstRow="1" w:lastRow="0" w:firstColumn="0" w:lastColumn="0" w:oddVBand="0" w:evenVBand="0" w:oddHBand="0" w:evenHBand="0" w:firstRowFirstColumn="0" w:firstRowLastColumn="0" w:lastRowFirstColumn="0" w:lastRowLastColumn="0"/>
          <w:trHeight w:val="70"/>
          <w:tblHeader/>
        </w:trPr>
        <w:tc>
          <w:tcPr>
            <w:cnfStyle w:val="001000000000" w:firstRow="0" w:lastRow="0" w:firstColumn="1" w:lastColumn="0" w:oddVBand="0" w:evenVBand="0" w:oddHBand="0" w:evenHBand="0" w:firstRowFirstColumn="0" w:firstRowLastColumn="0" w:lastRowFirstColumn="0" w:lastRowLastColumn="0"/>
            <w:tcW w:w="3515" w:type="dxa"/>
            <w:tcBorders>
              <w:top w:val="nil"/>
              <w:left w:val="nil"/>
              <w:right w:val="nil"/>
            </w:tcBorders>
            <w:shd w:val="solid" w:color="000000" w:fill="auto"/>
          </w:tcPr>
          <w:p w:rsidR="00A26D04" w:rsidRPr="00023820" w:rsidRDefault="00A26D04" w:rsidP="00A26D04">
            <w:pPr>
              <w:autoSpaceDE w:val="0"/>
              <w:autoSpaceDN w:val="0"/>
              <w:adjustRightInd w:val="0"/>
              <w:rPr>
                <w:rFonts w:eastAsiaTheme="minorEastAsia" w:cs="Calibri"/>
                <w:iCs/>
                <w:color w:val="FFFFFF"/>
                <w:lang w:eastAsia="en-AU"/>
              </w:rPr>
            </w:pPr>
            <w:r w:rsidRPr="00023820">
              <w:rPr>
                <w:rFonts w:eastAsiaTheme="minorEastAsia" w:cs="Calibri"/>
                <w:iCs/>
                <w:color w:val="FFFFFF"/>
                <w:lang w:eastAsia="en-AU"/>
              </w:rPr>
              <w:t xml:space="preserve">  </w:t>
            </w:r>
          </w:p>
        </w:tc>
        <w:tc>
          <w:tcPr>
            <w:tcW w:w="850" w:type="dxa"/>
            <w:gridSpan w:val="2"/>
            <w:tcBorders>
              <w:top w:val="nil"/>
              <w:left w:val="nil"/>
              <w:right w:val="nil"/>
            </w:tcBorders>
            <w:shd w:val="solid" w:color="000000" w:fill="auto"/>
          </w:tcPr>
          <w:p w:rsidR="00A26D04" w:rsidRPr="00023820" w:rsidRDefault="00A26D04" w:rsidP="00A26D0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023820">
              <w:rPr>
                <w:rFonts w:eastAsiaTheme="minorEastAsia" w:cs="Calibri"/>
                <w:iCs/>
                <w:color w:val="FFFFFF"/>
                <w:szCs w:val="16"/>
                <w:lang w:eastAsia="en-AU"/>
              </w:rPr>
              <w:t>2017-18</w:t>
            </w:r>
            <w:r>
              <w:rPr>
                <w:rFonts w:eastAsiaTheme="minorEastAsia" w:cs="Calibri"/>
                <w:iCs/>
                <w:color w:val="FFFFFF"/>
                <w:szCs w:val="16"/>
                <w:lang w:eastAsia="en-AU"/>
              </w:rPr>
              <w:br/>
            </w:r>
            <w:r w:rsidRPr="00023820">
              <w:rPr>
                <w:rFonts w:eastAsiaTheme="minorEastAsia" w:cs="Calibri"/>
                <w:iCs/>
                <w:color w:val="FFFFFF"/>
                <w:szCs w:val="16"/>
                <w:lang w:eastAsia="en-AU"/>
              </w:rPr>
              <w:t>budget</w:t>
            </w:r>
          </w:p>
        </w:tc>
        <w:tc>
          <w:tcPr>
            <w:tcW w:w="850" w:type="dxa"/>
            <w:tcBorders>
              <w:top w:val="nil"/>
              <w:left w:val="nil"/>
              <w:right w:val="nil"/>
            </w:tcBorders>
            <w:shd w:val="solid" w:color="000000" w:fill="auto"/>
          </w:tcPr>
          <w:p w:rsidR="00A26D04" w:rsidRPr="00023820" w:rsidRDefault="00A26D04" w:rsidP="00A26D0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023820">
              <w:rPr>
                <w:rFonts w:eastAsiaTheme="minorEastAsia" w:cs="Calibri"/>
                <w:iCs/>
                <w:color w:val="FFFFFF"/>
                <w:szCs w:val="16"/>
                <w:lang w:eastAsia="en-AU"/>
              </w:rPr>
              <w:t>2017-18</w:t>
            </w:r>
            <w:r>
              <w:rPr>
                <w:rFonts w:eastAsiaTheme="minorEastAsia" w:cs="Calibri"/>
                <w:iCs/>
                <w:color w:val="FFFFFF"/>
                <w:szCs w:val="16"/>
                <w:lang w:eastAsia="en-AU"/>
              </w:rPr>
              <w:br/>
            </w:r>
            <w:r w:rsidRPr="00023820">
              <w:rPr>
                <w:rFonts w:eastAsiaTheme="minorEastAsia" w:cs="Calibri"/>
                <w:iCs/>
                <w:color w:val="FFFFFF"/>
                <w:szCs w:val="16"/>
                <w:lang w:eastAsia="en-AU"/>
              </w:rPr>
              <w:t>revised</w:t>
            </w:r>
          </w:p>
        </w:tc>
        <w:tc>
          <w:tcPr>
            <w:tcW w:w="850" w:type="dxa"/>
            <w:tcBorders>
              <w:top w:val="nil"/>
              <w:left w:val="nil"/>
              <w:right w:val="nil"/>
            </w:tcBorders>
            <w:shd w:val="solid" w:color="000000" w:fill="auto"/>
          </w:tcPr>
          <w:p w:rsidR="00A26D04" w:rsidRPr="00023820" w:rsidRDefault="00A26D04" w:rsidP="00A26D0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023820">
              <w:rPr>
                <w:rFonts w:eastAsiaTheme="minorEastAsia" w:cs="Calibri"/>
                <w:iCs/>
                <w:color w:val="FFFFFF"/>
                <w:szCs w:val="16"/>
                <w:lang w:eastAsia="en-AU"/>
              </w:rPr>
              <w:t>2018-19</w:t>
            </w:r>
            <w:r>
              <w:rPr>
                <w:rFonts w:eastAsiaTheme="minorEastAsia" w:cs="Calibri"/>
                <w:iCs/>
                <w:color w:val="FFFFFF"/>
                <w:szCs w:val="16"/>
                <w:lang w:eastAsia="en-AU"/>
              </w:rPr>
              <w:br/>
            </w:r>
            <w:r w:rsidRPr="00023820">
              <w:rPr>
                <w:rFonts w:eastAsiaTheme="minorEastAsia" w:cs="Calibri"/>
                <w:iCs/>
                <w:color w:val="FFFFFF"/>
                <w:szCs w:val="16"/>
                <w:lang w:eastAsia="en-AU"/>
              </w:rPr>
              <w:t>estimate</w:t>
            </w:r>
          </w:p>
        </w:tc>
        <w:tc>
          <w:tcPr>
            <w:tcW w:w="850" w:type="dxa"/>
            <w:tcBorders>
              <w:top w:val="nil"/>
              <w:left w:val="nil"/>
              <w:right w:val="nil"/>
            </w:tcBorders>
            <w:shd w:val="solid" w:color="000000" w:fill="auto"/>
          </w:tcPr>
          <w:p w:rsidR="00A26D04" w:rsidRPr="00023820" w:rsidRDefault="00A26D04" w:rsidP="00A26D0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023820">
              <w:rPr>
                <w:rFonts w:eastAsiaTheme="minorEastAsia" w:cs="Calibri"/>
                <w:iCs/>
                <w:color w:val="FFFFFF"/>
                <w:szCs w:val="16"/>
                <w:lang w:eastAsia="en-AU"/>
              </w:rPr>
              <w:t>2019-20</w:t>
            </w:r>
            <w:r>
              <w:rPr>
                <w:rFonts w:eastAsiaTheme="minorEastAsia" w:cs="Calibri"/>
                <w:iCs/>
                <w:color w:val="FFFFFF"/>
                <w:szCs w:val="16"/>
                <w:lang w:eastAsia="en-AU"/>
              </w:rPr>
              <w:br/>
            </w:r>
            <w:r w:rsidRPr="00023820">
              <w:rPr>
                <w:rFonts w:eastAsiaTheme="minorEastAsia" w:cs="Calibri"/>
                <w:iCs/>
                <w:color w:val="FFFFFF"/>
                <w:szCs w:val="16"/>
                <w:lang w:eastAsia="en-AU"/>
              </w:rPr>
              <w:t>estimate</w:t>
            </w:r>
          </w:p>
        </w:tc>
        <w:tc>
          <w:tcPr>
            <w:tcW w:w="852" w:type="dxa"/>
            <w:tcBorders>
              <w:top w:val="nil"/>
              <w:left w:val="nil"/>
              <w:right w:val="nil"/>
            </w:tcBorders>
            <w:shd w:val="solid" w:color="000000" w:fill="auto"/>
          </w:tcPr>
          <w:p w:rsidR="00A26D04" w:rsidRPr="00023820" w:rsidRDefault="00A26D04" w:rsidP="00A26D0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023820">
              <w:rPr>
                <w:rFonts w:eastAsiaTheme="minorEastAsia" w:cs="Calibri"/>
                <w:iCs/>
                <w:color w:val="FFFFFF"/>
                <w:szCs w:val="16"/>
                <w:lang w:eastAsia="en-AU"/>
              </w:rPr>
              <w:t>2020-21</w:t>
            </w:r>
            <w:r>
              <w:rPr>
                <w:rFonts w:eastAsiaTheme="minorEastAsia" w:cs="Calibri"/>
                <w:iCs/>
                <w:color w:val="FFFFFF"/>
                <w:szCs w:val="16"/>
                <w:lang w:eastAsia="en-AU"/>
              </w:rPr>
              <w:br/>
            </w:r>
            <w:r w:rsidRPr="00023820">
              <w:rPr>
                <w:rFonts w:eastAsiaTheme="minorEastAsia" w:cs="Calibri"/>
                <w:iCs/>
                <w:color w:val="FFFFFF"/>
                <w:szCs w:val="16"/>
                <w:lang w:eastAsia="en-AU"/>
              </w:rPr>
              <w:t>estimate</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A46DCA" w:rsidRPr="00023820" w:rsidRDefault="00A46DCA" w:rsidP="00A26D04">
            <w:pPr>
              <w:keepLines w:val="0"/>
              <w:autoSpaceDE w:val="0"/>
              <w:autoSpaceDN w:val="0"/>
              <w:adjustRightInd w:val="0"/>
              <w:rPr>
                <w:rFonts w:eastAsiaTheme="minorEastAsia" w:cs="Calibri"/>
                <w:b/>
                <w:bCs/>
                <w:color w:val="000000"/>
                <w:szCs w:val="16"/>
                <w:lang w:eastAsia="en-AU"/>
              </w:rPr>
            </w:pPr>
            <w:r w:rsidRPr="00023820">
              <w:rPr>
                <w:rFonts w:eastAsiaTheme="minorEastAsia" w:cs="Calibri"/>
                <w:b/>
                <w:bCs/>
                <w:color w:val="000000"/>
                <w:szCs w:val="16"/>
                <w:lang w:eastAsia="en-AU"/>
              </w:rPr>
              <w:t>Revenue from transactions</w:t>
            </w:r>
          </w:p>
        </w:tc>
        <w:tc>
          <w:tcPr>
            <w:tcW w:w="850" w:type="dxa"/>
            <w:gridSpan w:val="2"/>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023820">
              <w:rPr>
                <w:rFonts w:eastAsiaTheme="minorEastAsia" w:cs="Calibri"/>
                <w:b/>
                <w:bCs/>
                <w:color w:val="000000"/>
                <w:lang w:eastAsia="en-AU"/>
              </w:rPr>
              <w:t xml:space="preserve"> </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023820">
              <w:rPr>
                <w:rFonts w:eastAsiaTheme="minorEastAsia" w:cs="Calibri"/>
                <w:b/>
                <w:bCs/>
                <w:color w:val="000000"/>
                <w:lang w:eastAsia="en-AU"/>
              </w:rPr>
              <w:t xml:space="preserve"> </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023820">
              <w:rPr>
                <w:rFonts w:eastAsiaTheme="minorEastAsia" w:cs="Calibri"/>
                <w:b/>
                <w:bCs/>
                <w:color w:val="000000"/>
                <w:lang w:eastAsia="en-AU"/>
              </w:rPr>
              <w:t xml:space="preserve"> </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023820">
              <w:rPr>
                <w:rFonts w:eastAsiaTheme="minorEastAsia" w:cs="Calibri"/>
                <w:b/>
                <w:bCs/>
                <w:color w:val="000000"/>
                <w:lang w:eastAsia="en-AU"/>
              </w:rPr>
              <w:t xml:space="preserve"> </w:t>
            </w:r>
          </w:p>
        </w:tc>
        <w:tc>
          <w:tcPr>
            <w:tcW w:w="852"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023820">
              <w:rPr>
                <w:rFonts w:eastAsiaTheme="minorEastAsia" w:cs="Calibri"/>
                <w:b/>
                <w:bCs/>
                <w:color w:val="000000"/>
                <w:lang w:eastAsia="en-AU"/>
              </w:rPr>
              <w:t xml:space="preserve"> </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A46DCA" w:rsidRPr="00023820" w:rsidRDefault="00A46DCA" w:rsidP="00A26D04">
            <w:pPr>
              <w:keepLines w:val="0"/>
              <w:autoSpaceDE w:val="0"/>
              <w:autoSpaceDN w:val="0"/>
              <w:adjustRightInd w:val="0"/>
              <w:rPr>
                <w:rFonts w:eastAsiaTheme="minorEastAsia" w:cs="Calibri"/>
                <w:color w:val="000000"/>
                <w:szCs w:val="16"/>
                <w:lang w:eastAsia="en-AU"/>
              </w:rPr>
            </w:pPr>
            <w:r w:rsidRPr="00023820">
              <w:rPr>
                <w:rFonts w:eastAsiaTheme="minorEastAsia" w:cs="Calibri"/>
                <w:color w:val="000000"/>
                <w:szCs w:val="16"/>
                <w:lang w:eastAsia="en-AU"/>
              </w:rPr>
              <w:t>Interest revenue</w:t>
            </w:r>
          </w:p>
        </w:tc>
        <w:tc>
          <w:tcPr>
            <w:tcW w:w="850" w:type="dxa"/>
            <w:gridSpan w:val="2"/>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156</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165</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118</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88</w:t>
            </w:r>
          </w:p>
        </w:tc>
        <w:tc>
          <w:tcPr>
            <w:tcW w:w="852"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58</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A46DCA" w:rsidRPr="00023820" w:rsidRDefault="00A46DCA" w:rsidP="00A26D04">
            <w:pPr>
              <w:keepLines w:val="0"/>
              <w:autoSpaceDE w:val="0"/>
              <w:autoSpaceDN w:val="0"/>
              <w:adjustRightInd w:val="0"/>
              <w:rPr>
                <w:rFonts w:eastAsiaTheme="minorEastAsia" w:cs="Calibri"/>
                <w:color w:val="000000"/>
                <w:szCs w:val="16"/>
                <w:lang w:eastAsia="en-AU"/>
              </w:rPr>
            </w:pPr>
            <w:r w:rsidRPr="00023820">
              <w:rPr>
                <w:rFonts w:eastAsiaTheme="minorEastAsia" w:cs="Calibri"/>
                <w:color w:val="000000"/>
                <w:szCs w:val="16"/>
                <w:lang w:eastAsia="en-AU"/>
              </w:rPr>
              <w:t>Dividend revenue</w:t>
            </w:r>
          </w:p>
        </w:tc>
        <w:tc>
          <w:tcPr>
            <w:tcW w:w="850" w:type="dxa"/>
            <w:gridSpan w:val="2"/>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18</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16</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15</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16</w:t>
            </w:r>
          </w:p>
        </w:tc>
        <w:tc>
          <w:tcPr>
            <w:tcW w:w="852"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16</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A46DCA" w:rsidRPr="00023820" w:rsidRDefault="00A46DCA" w:rsidP="00A26D04">
            <w:pPr>
              <w:keepLines w:val="0"/>
              <w:autoSpaceDE w:val="0"/>
              <w:autoSpaceDN w:val="0"/>
              <w:adjustRightInd w:val="0"/>
              <w:rPr>
                <w:rFonts w:eastAsiaTheme="minorEastAsia" w:cs="Calibri"/>
                <w:color w:val="000000"/>
                <w:szCs w:val="16"/>
                <w:lang w:eastAsia="en-AU"/>
              </w:rPr>
            </w:pPr>
            <w:r w:rsidRPr="00023820">
              <w:rPr>
                <w:rFonts w:eastAsiaTheme="minorEastAsia" w:cs="Calibri"/>
                <w:color w:val="000000"/>
                <w:szCs w:val="16"/>
                <w:lang w:eastAsia="en-AU"/>
              </w:rPr>
              <w:t>Sales of goods and services</w:t>
            </w:r>
          </w:p>
        </w:tc>
        <w:tc>
          <w:tcPr>
            <w:tcW w:w="850" w:type="dxa"/>
            <w:gridSpan w:val="2"/>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023820">
              <w:rPr>
                <w:rFonts w:eastAsiaTheme="minorEastAsia" w:cs="Arial"/>
                <w:color w:val="000000"/>
                <w:szCs w:val="18"/>
                <w:lang w:eastAsia="en-AU"/>
              </w:rPr>
              <w:t>6 507</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023820">
              <w:rPr>
                <w:rFonts w:eastAsiaTheme="minorEastAsia" w:cs="Arial"/>
                <w:color w:val="000000"/>
                <w:szCs w:val="18"/>
                <w:lang w:eastAsia="en-AU"/>
              </w:rPr>
              <w:t>6 683</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023820">
              <w:rPr>
                <w:rFonts w:eastAsiaTheme="minorEastAsia" w:cs="Arial"/>
                <w:color w:val="000000"/>
                <w:szCs w:val="18"/>
                <w:lang w:eastAsia="en-AU"/>
              </w:rPr>
              <w:t>6 788</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023820">
              <w:rPr>
                <w:rFonts w:eastAsiaTheme="minorEastAsia" w:cs="Arial"/>
                <w:color w:val="000000"/>
                <w:szCs w:val="18"/>
                <w:lang w:eastAsia="en-AU"/>
              </w:rPr>
              <w:t>6 830</w:t>
            </w:r>
          </w:p>
        </w:tc>
        <w:tc>
          <w:tcPr>
            <w:tcW w:w="852"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023820">
              <w:rPr>
                <w:rFonts w:eastAsiaTheme="minorEastAsia" w:cs="Arial"/>
                <w:color w:val="000000"/>
                <w:szCs w:val="18"/>
                <w:lang w:eastAsia="en-AU"/>
              </w:rPr>
              <w:t>7 275</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A46DCA" w:rsidRPr="00023820" w:rsidRDefault="00A46DCA" w:rsidP="00A26D04">
            <w:pPr>
              <w:keepLines w:val="0"/>
              <w:autoSpaceDE w:val="0"/>
              <w:autoSpaceDN w:val="0"/>
              <w:adjustRightInd w:val="0"/>
              <w:rPr>
                <w:rFonts w:eastAsiaTheme="minorEastAsia" w:cs="Calibri"/>
                <w:color w:val="000000"/>
                <w:szCs w:val="16"/>
                <w:lang w:eastAsia="en-AU"/>
              </w:rPr>
            </w:pPr>
            <w:r w:rsidRPr="00023820">
              <w:rPr>
                <w:rFonts w:eastAsiaTheme="minorEastAsia" w:cs="Calibri"/>
                <w:color w:val="000000"/>
                <w:szCs w:val="16"/>
                <w:lang w:eastAsia="en-AU"/>
              </w:rPr>
              <w:t>Grant revenue</w:t>
            </w:r>
          </w:p>
        </w:tc>
        <w:tc>
          <w:tcPr>
            <w:tcW w:w="850" w:type="dxa"/>
            <w:gridSpan w:val="2"/>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023820">
              <w:rPr>
                <w:rFonts w:eastAsiaTheme="minorEastAsia" w:cs="Arial"/>
                <w:color w:val="000000"/>
                <w:szCs w:val="18"/>
                <w:lang w:eastAsia="en-AU"/>
              </w:rPr>
              <w:t>3 450</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023820">
              <w:rPr>
                <w:rFonts w:eastAsiaTheme="minorEastAsia" w:cs="Arial"/>
                <w:color w:val="000000"/>
                <w:szCs w:val="18"/>
                <w:lang w:eastAsia="en-AU"/>
              </w:rPr>
              <w:t>3 540</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023820">
              <w:rPr>
                <w:rFonts w:eastAsiaTheme="minorEastAsia" w:cs="Arial"/>
                <w:color w:val="000000"/>
                <w:szCs w:val="18"/>
                <w:lang w:eastAsia="en-AU"/>
              </w:rPr>
              <w:t>3 509</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023820">
              <w:rPr>
                <w:rFonts w:eastAsiaTheme="minorEastAsia" w:cs="Arial"/>
                <w:color w:val="000000"/>
                <w:szCs w:val="18"/>
                <w:lang w:eastAsia="en-AU"/>
              </w:rPr>
              <w:t>3 539</w:t>
            </w:r>
          </w:p>
        </w:tc>
        <w:tc>
          <w:tcPr>
            <w:tcW w:w="852"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023820">
              <w:rPr>
                <w:rFonts w:eastAsiaTheme="minorEastAsia" w:cs="Arial"/>
                <w:color w:val="000000"/>
                <w:szCs w:val="18"/>
                <w:lang w:eastAsia="en-AU"/>
              </w:rPr>
              <w:t>3 534</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single" w:sz="6" w:space="0" w:color="000000"/>
              <w:right w:val="nil"/>
            </w:tcBorders>
          </w:tcPr>
          <w:p w:rsidR="00A46DCA" w:rsidRPr="00023820" w:rsidRDefault="00A46DCA" w:rsidP="00A26D04">
            <w:pPr>
              <w:keepLines w:val="0"/>
              <w:autoSpaceDE w:val="0"/>
              <w:autoSpaceDN w:val="0"/>
              <w:adjustRightInd w:val="0"/>
              <w:rPr>
                <w:rFonts w:eastAsiaTheme="minorEastAsia" w:cs="Calibri"/>
                <w:color w:val="000000"/>
                <w:szCs w:val="16"/>
                <w:lang w:eastAsia="en-AU"/>
              </w:rPr>
            </w:pPr>
            <w:r w:rsidRPr="00023820">
              <w:rPr>
                <w:rFonts w:eastAsiaTheme="minorEastAsia" w:cs="Calibri"/>
                <w:color w:val="000000"/>
                <w:szCs w:val="16"/>
                <w:lang w:eastAsia="en-AU"/>
              </w:rPr>
              <w:t>Other revenue</w:t>
            </w:r>
          </w:p>
        </w:tc>
        <w:tc>
          <w:tcPr>
            <w:tcW w:w="850" w:type="dxa"/>
            <w:gridSpan w:val="2"/>
            <w:tcBorders>
              <w:top w:val="nil"/>
              <w:left w:val="nil"/>
              <w:bottom w:val="single" w:sz="6" w:space="0" w:color="000000"/>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590</w:t>
            </w:r>
          </w:p>
        </w:tc>
        <w:tc>
          <w:tcPr>
            <w:tcW w:w="850" w:type="dxa"/>
            <w:tcBorders>
              <w:top w:val="nil"/>
              <w:left w:val="nil"/>
              <w:bottom w:val="single" w:sz="6" w:space="0" w:color="000000"/>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627</w:t>
            </w:r>
          </w:p>
        </w:tc>
        <w:tc>
          <w:tcPr>
            <w:tcW w:w="850" w:type="dxa"/>
            <w:tcBorders>
              <w:top w:val="nil"/>
              <w:left w:val="nil"/>
              <w:bottom w:val="single" w:sz="6" w:space="0" w:color="000000"/>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579</w:t>
            </w:r>
          </w:p>
        </w:tc>
        <w:tc>
          <w:tcPr>
            <w:tcW w:w="850" w:type="dxa"/>
            <w:tcBorders>
              <w:top w:val="nil"/>
              <w:left w:val="nil"/>
              <w:bottom w:val="single" w:sz="6" w:space="0" w:color="000000"/>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584</w:t>
            </w:r>
          </w:p>
        </w:tc>
        <w:tc>
          <w:tcPr>
            <w:tcW w:w="852" w:type="dxa"/>
            <w:tcBorders>
              <w:top w:val="nil"/>
              <w:left w:val="nil"/>
              <w:bottom w:val="single" w:sz="6" w:space="0" w:color="000000"/>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585</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A46DCA" w:rsidRPr="00023820" w:rsidRDefault="00A46DCA" w:rsidP="00A26D04">
            <w:pPr>
              <w:keepLines w:val="0"/>
              <w:autoSpaceDE w:val="0"/>
              <w:autoSpaceDN w:val="0"/>
              <w:adjustRightInd w:val="0"/>
              <w:rPr>
                <w:rFonts w:eastAsiaTheme="minorEastAsia" w:cs="Calibri"/>
                <w:b/>
                <w:bCs/>
                <w:color w:val="000000"/>
                <w:szCs w:val="16"/>
                <w:lang w:eastAsia="en-AU"/>
              </w:rPr>
            </w:pPr>
            <w:r w:rsidRPr="00023820">
              <w:rPr>
                <w:rFonts w:eastAsiaTheme="minorEastAsia" w:cs="Calibri"/>
                <w:b/>
                <w:bCs/>
                <w:color w:val="000000"/>
                <w:szCs w:val="16"/>
                <w:lang w:eastAsia="en-AU"/>
              </w:rPr>
              <w:t>Total revenue from transactions</w:t>
            </w:r>
          </w:p>
        </w:tc>
        <w:tc>
          <w:tcPr>
            <w:tcW w:w="850" w:type="dxa"/>
            <w:gridSpan w:val="2"/>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sidRPr="00023820">
              <w:rPr>
                <w:rFonts w:eastAsiaTheme="minorEastAsia" w:cs="Arial"/>
                <w:b/>
                <w:bCs/>
                <w:color w:val="000000"/>
                <w:szCs w:val="18"/>
                <w:lang w:eastAsia="en-AU"/>
              </w:rPr>
              <w:t>10 720</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sidRPr="00023820">
              <w:rPr>
                <w:rFonts w:eastAsiaTheme="minorEastAsia" w:cs="Arial"/>
                <w:b/>
                <w:bCs/>
                <w:color w:val="000000"/>
                <w:szCs w:val="18"/>
                <w:lang w:eastAsia="en-AU"/>
              </w:rPr>
              <w:t>11 031</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sidRPr="00023820">
              <w:rPr>
                <w:rFonts w:eastAsiaTheme="minorEastAsia" w:cs="Arial"/>
                <w:b/>
                <w:bCs/>
                <w:color w:val="000000"/>
                <w:szCs w:val="18"/>
                <w:lang w:eastAsia="en-AU"/>
              </w:rPr>
              <w:t>11 010</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sidRPr="00023820">
              <w:rPr>
                <w:rFonts w:eastAsiaTheme="minorEastAsia" w:cs="Arial"/>
                <w:b/>
                <w:bCs/>
                <w:color w:val="000000"/>
                <w:szCs w:val="18"/>
                <w:lang w:eastAsia="en-AU"/>
              </w:rPr>
              <w:t>11 055</w:t>
            </w:r>
          </w:p>
        </w:tc>
        <w:tc>
          <w:tcPr>
            <w:tcW w:w="852"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sidRPr="00023820">
              <w:rPr>
                <w:rFonts w:eastAsiaTheme="minorEastAsia" w:cs="Arial"/>
                <w:b/>
                <w:bCs/>
                <w:color w:val="000000"/>
                <w:szCs w:val="18"/>
                <w:lang w:eastAsia="en-AU"/>
              </w:rPr>
              <w:t>11 468</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A46DCA" w:rsidRPr="00023820" w:rsidRDefault="00A46DCA" w:rsidP="00A26D04">
            <w:pPr>
              <w:keepLines w:val="0"/>
              <w:autoSpaceDE w:val="0"/>
              <w:autoSpaceDN w:val="0"/>
              <w:adjustRightInd w:val="0"/>
              <w:rPr>
                <w:rFonts w:eastAsiaTheme="minorEastAsia" w:cs="Calibri"/>
                <w:b/>
                <w:bCs/>
                <w:color w:val="000000"/>
                <w:szCs w:val="16"/>
                <w:lang w:eastAsia="en-AU"/>
              </w:rPr>
            </w:pPr>
            <w:r w:rsidRPr="00023820">
              <w:rPr>
                <w:rFonts w:eastAsiaTheme="minorEastAsia" w:cs="Calibri"/>
                <w:b/>
                <w:bCs/>
                <w:color w:val="000000"/>
                <w:szCs w:val="16"/>
                <w:lang w:eastAsia="en-AU"/>
              </w:rPr>
              <w:t>Expenses from transactions</w:t>
            </w:r>
          </w:p>
        </w:tc>
        <w:tc>
          <w:tcPr>
            <w:tcW w:w="850" w:type="dxa"/>
            <w:gridSpan w:val="2"/>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023820">
              <w:rPr>
                <w:rFonts w:eastAsiaTheme="minorEastAsia" w:cs="Calibri"/>
                <w:b/>
                <w:bCs/>
                <w:color w:val="000000"/>
                <w:lang w:eastAsia="en-AU"/>
              </w:rPr>
              <w:t xml:space="preserve"> </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023820">
              <w:rPr>
                <w:rFonts w:eastAsiaTheme="minorEastAsia" w:cs="Calibri"/>
                <w:b/>
                <w:bCs/>
                <w:color w:val="000000"/>
                <w:lang w:eastAsia="en-AU"/>
              </w:rPr>
              <w:t xml:space="preserve"> </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023820">
              <w:rPr>
                <w:rFonts w:eastAsiaTheme="minorEastAsia" w:cs="Calibri"/>
                <w:b/>
                <w:bCs/>
                <w:color w:val="000000"/>
                <w:lang w:eastAsia="en-AU"/>
              </w:rPr>
              <w:t xml:space="preserve"> </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023820">
              <w:rPr>
                <w:rFonts w:eastAsiaTheme="minorEastAsia" w:cs="Calibri"/>
                <w:b/>
                <w:bCs/>
                <w:color w:val="000000"/>
                <w:lang w:eastAsia="en-AU"/>
              </w:rPr>
              <w:t xml:space="preserve"> </w:t>
            </w:r>
          </w:p>
        </w:tc>
        <w:tc>
          <w:tcPr>
            <w:tcW w:w="852"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023820">
              <w:rPr>
                <w:rFonts w:eastAsiaTheme="minorEastAsia" w:cs="Calibri"/>
                <w:b/>
                <w:bCs/>
                <w:color w:val="000000"/>
                <w:lang w:eastAsia="en-AU"/>
              </w:rPr>
              <w:t xml:space="preserve"> </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A46DCA" w:rsidRPr="00023820" w:rsidRDefault="00A46DCA" w:rsidP="00A26D04">
            <w:pPr>
              <w:keepLines w:val="0"/>
              <w:autoSpaceDE w:val="0"/>
              <w:autoSpaceDN w:val="0"/>
              <w:adjustRightInd w:val="0"/>
              <w:rPr>
                <w:rFonts w:eastAsiaTheme="minorEastAsia" w:cs="Calibri"/>
                <w:color w:val="000000"/>
                <w:szCs w:val="16"/>
                <w:lang w:eastAsia="en-AU"/>
              </w:rPr>
            </w:pPr>
            <w:r w:rsidRPr="00023820">
              <w:rPr>
                <w:rFonts w:eastAsiaTheme="minorEastAsia" w:cs="Calibri"/>
                <w:color w:val="000000"/>
                <w:szCs w:val="16"/>
                <w:lang w:eastAsia="en-AU"/>
              </w:rPr>
              <w:t>Employee expenses</w:t>
            </w:r>
          </w:p>
        </w:tc>
        <w:tc>
          <w:tcPr>
            <w:tcW w:w="850" w:type="dxa"/>
            <w:gridSpan w:val="2"/>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023820">
              <w:rPr>
                <w:rFonts w:eastAsiaTheme="minorEastAsia" w:cs="Arial"/>
                <w:color w:val="000000"/>
                <w:szCs w:val="18"/>
                <w:lang w:eastAsia="en-AU"/>
              </w:rPr>
              <w:t>1 246</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023820">
              <w:rPr>
                <w:rFonts w:eastAsiaTheme="minorEastAsia" w:cs="Arial"/>
                <w:color w:val="000000"/>
                <w:szCs w:val="18"/>
                <w:lang w:eastAsia="en-AU"/>
              </w:rPr>
              <w:t>1 246</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023820">
              <w:rPr>
                <w:rFonts w:eastAsiaTheme="minorEastAsia" w:cs="Arial"/>
                <w:color w:val="000000"/>
                <w:szCs w:val="18"/>
                <w:lang w:eastAsia="en-AU"/>
              </w:rPr>
              <w:t>1 285</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023820">
              <w:rPr>
                <w:rFonts w:eastAsiaTheme="minorEastAsia" w:cs="Arial"/>
                <w:color w:val="000000"/>
                <w:szCs w:val="18"/>
                <w:lang w:eastAsia="en-AU"/>
              </w:rPr>
              <w:t>1 323</w:t>
            </w:r>
          </w:p>
        </w:tc>
        <w:tc>
          <w:tcPr>
            <w:tcW w:w="852"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023820">
              <w:rPr>
                <w:rFonts w:eastAsiaTheme="minorEastAsia" w:cs="Arial"/>
                <w:color w:val="000000"/>
                <w:szCs w:val="18"/>
                <w:lang w:eastAsia="en-AU"/>
              </w:rPr>
              <w:t>1 356</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A46DCA" w:rsidRPr="00023820" w:rsidRDefault="00A46DCA" w:rsidP="00A26D04">
            <w:pPr>
              <w:keepLines w:val="0"/>
              <w:autoSpaceDE w:val="0"/>
              <w:autoSpaceDN w:val="0"/>
              <w:adjustRightInd w:val="0"/>
              <w:rPr>
                <w:rFonts w:eastAsiaTheme="minorEastAsia" w:cs="Calibri"/>
                <w:color w:val="000000"/>
                <w:szCs w:val="16"/>
                <w:lang w:eastAsia="en-AU"/>
              </w:rPr>
            </w:pPr>
            <w:r w:rsidRPr="00023820">
              <w:rPr>
                <w:rFonts w:eastAsiaTheme="minorEastAsia" w:cs="Calibri"/>
                <w:color w:val="000000"/>
                <w:szCs w:val="16"/>
                <w:lang w:eastAsia="en-AU"/>
              </w:rPr>
              <w:t>Other superannuation</w:t>
            </w:r>
          </w:p>
        </w:tc>
        <w:tc>
          <w:tcPr>
            <w:tcW w:w="850" w:type="dxa"/>
            <w:gridSpan w:val="2"/>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111</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119</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120</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124</w:t>
            </w:r>
          </w:p>
        </w:tc>
        <w:tc>
          <w:tcPr>
            <w:tcW w:w="852"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127</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A46DCA" w:rsidRPr="00023820" w:rsidRDefault="00A46DCA" w:rsidP="00A26D04">
            <w:pPr>
              <w:keepLines w:val="0"/>
              <w:autoSpaceDE w:val="0"/>
              <w:autoSpaceDN w:val="0"/>
              <w:adjustRightInd w:val="0"/>
              <w:rPr>
                <w:rFonts w:eastAsiaTheme="minorEastAsia" w:cs="Calibri"/>
                <w:color w:val="000000"/>
                <w:szCs w:val="16"/>
                <w:lang w:eastAsia="en-AU"/>
              </w:rPr>
            </w:pPr>
            <w:r w:rsidRPr="00023820">
              <w:rPr>
                <w:rFonts w:eastAsiaTheme="minorEastAsia" w:cs="Calibri"/>
                <w:color w:val="000000"/>
                <w:szCs w:val="16"/>
                <w:lang w:eastAsia="en-AU"/>
              </w:rPr>
              <w:t>Depreciation</w:t>
            </w:r>
          </w:p>
        </w:tc>
        <w:tc>
          <w:tcPr>
            <w:tcW w:w="850" w:type="dxa"/>
            <w:gridSpan w:val="2"/>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023820">
              <w:rPr>
                <w:rFonts w:eastAsiaTheme="minorEastAsia" w:cs="Arial"/>
                <w:color w:val="000000"/>
                <w:szCs w:val="18"/>
                <w:lang w:eastAsia="en-AU"/>
              </w:rPr>
              <w:t>2 409</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023820">
              <w:rPr>
                <w:rFonts w:eastAsiaTheme="minorEastAsia" w:cs="Arial"/>
                <w:color w:val="000000"/>
                <w:szCs w:val="18"/>
                <w:lang w:eastAsia="en-AU"/>
              </w:rPr>
              <w:t>2 274</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023820">
              <w:rPr>
                <w:rFonts w:eastAsiaTheme="minorEastAsia" w:cs="Arial"/>
                <w:color w:val="000000"/>
                <w:szCs w:val="18"/>
                <w:lang w:eastAsia="en-AU"/>
              </w:rPr>
              <w:t>2 324</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023820">
              <w:rPr>
                <w:rFonts w:eastAsiaTheme="minorEastAsia" w:cs="Arial"/>
                <w:color w:val="000000"/>
                <w:szCs w:val="18"/>
                <w:lang w:eastAsia="en-AU"/>
              </w:rPr>
              <w:t>2 412</w:t>
            </w:r>
          </w:p>
        </w:tc>
        <w:tc>
          <w:tcPr>
            <w:tcW w:w="852"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023820">
              <w:rPr>
                <w:rFonts w:eastAsiaTheme="minorEastAsia" w:cs="Arial"/>
                <w:color w:val="000000"/>
                <w:szCs w:val="18"/>
                <w:lang w:eastAsia="en-AU"/>
              </w:rPr>
              <w:t>2 536</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A46DCA" w:rsidRPr="00023820" w:rsidRDefault="00A46DCA" w:rsidP="00A26D04">
            <w:pPr>
              <w:keepLines w:val="0"/>
              <w:autoSpaceDE w:val="0"/>
              <w:autoSpaceDN w:val="0"/>
              <w:adjustRightInd w:val="0"/>
              <w:rPr>
                <w:rFonts w:eastAsiaTheme="minorEastAsia" w:cs="Calibri"/>
                <w:color w:val="000000"/>
                <w:szCs w:val="16"/>
                <w:lang w:eastAsia="en-AU"/>
              </w:rPr>
            </w:pPr>
            <w:r w:rsidRPr="00023820">
              <w:rPr>
                <w:rFonts w:eastAsiaTheme="minorEastAsia" w:cs="Calibri"/>
                <w:color w:val="000000"/>
                <w:szCs w:val="16"/>
                <w:lang w:eastAsia="en-AU"/>
              </w:rPr>
              <w:t>Interest expense</w:t>
            </w:r>
          </w:p>
        </w:tc>
        <w:tc>
          <w:tcPr>
            <w:tcW w:w="850" w:type="dxa"/>
            <w:gridSpan w:val="2"/>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023820">
              <w:rPr>
                <w:rFonts w:eastAsiaTheme="minorEastAsia" w:cs="Arial"/>
                <w:color w:val="000000"/>
                <w:szCs w:val="18"/>
                <w:lang w:eastAsia="en-AU"/>
              </w:rPr>
              <w:t>1 134</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023820">
              <w:rPr>
                <w:rFonts w:eastAsiaTheme="minorEastAsia" w:cs="Arial"/>
                <w:color w:val="000000"/>
                <w:szCs w:val="18"/>
                <w:lang w:eastAsia="en-AU"/>
              </w:rPr>
              <w:t>1 121</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023820">
              <w:rPr>
                <w:rFonts w:eastAsiaTheme="minorEastAsia" w:cs="Arial"/>
                <w:color w:val="000000"/>
                <w:szCs w:val="18"/>
                <w:lang w:eastAsia="en-AU"/>
              </w:rPr>
              <w:t>1 091</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023820">
              <w:rPr>
                <w:rFonts w:eastAsiaTheme="minorEastAsia" w:cs="Arial"/>
                <w:color w:val="000000"/>
                <w:szCs w:val="18"/>
                <w:lang w:eastAsia="en-AU"/>
              </w:rPr>
              <w:t>1 074</w:t>
            </w:r>
          </w:p>
        </w:tc>
        <w:tc>
          <w:tcPr>
            <w:tcW w:w="852"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023820">
              <w:rPr>
                <w:rFonts w:eastAsiaTheme="minorEastAsia" w:cs="Arial"/>
                <w:color w:val="000000"/>
                <w:szCs w:val="18"/>
                <w:lang w:eastAsia="en-AU"/>
              </w:rPr>
              <w:t>1 068</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A46DCA" w:rsidRPr="00023820" w:rsidRDefault="00A46DCA" w:rsidP="00A26D04">
            <w:pPr>
              <w:keepLines w:val="0"/>
              <w:autoSpaceDE w:val="0"/>
              <w:autoSpaceDN w:val="0"/>
              <w:adjustRightInd w:val="0"/>
              <w:rPr>
                <w:rFonts w:eastAsiaTheme="minorEastAsia" w:cs="Calibri"/>
                <w:color w:val="000000"/>
                <w:szCs w:val="16"/>
                <w:lang w:eastAsia="en-AU"/>
              </w:rPr>
            </w:pPr>
            <w:r w:rsidRPr="00023820">
              <w:rPr>
                <w:rFonts w:eastAsiaTheme="minorEastAsia" w:cs="Calibri"/>
                <w:color w:val="000000"/>
                <w:szCs w:val="16"/>
                <w:lang w:eastAsia="en-AU"/>
              </w:rPr>
              <w:t>Grant expense</w:t>
            </w:r>
          </w:p>
        </w:tc>
        <w:tc>
          <w:tcPr>
            <w:tcW w:w="850" w:type="dxa"/>
            <w:gridSpan w:val="2"/>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383</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349</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392</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267</w:t>
            </w:r>
          </w:p>
        </w:tc>
        <w:tc>
          <w:tcPr>
            <w:tcW w:w="852"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89</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A46DCA" w:rsidRPr="00023820" w:rsidRDefault="00A46DCA" w:rsidP="00A26D04">
            <w:pPr>
              <w:keepLines w:val="0"/>
              <w:autoSpaceDE w:val="0"/>
              <w:autoSpaceDN w:val="0"/>
              <w:adjustRightInd w:val="0"/>
              <w:rPr>
                <w:rFonts w:eastAsiaTheme="minorEastAsia" w:cs="Calibri"/>
                <w:color w:val="000000"/>
                <w:szCs w:val="16"/>
                <w:lang w:eastAsia="en-AU"/>
              </w:rPr>
            </w:pPr>
            <w:r w:rsidRPr="00023820">
              <w:rPr>
                <w:rFonts w:eastAsiaTheme="minorEastAsia" w:cs="Calibri"/>
                <w:color w:val="000000"/>
                <w:szCs w:val="16"/>
                <w:lang w:eastAsia="en-AU"/>
              </w:rPr>
              <w:t>Other operating expenses</w:t>
            </w:r>
          </w:p>
        </w:tc>
        <w:tc>
          <w:tcPr>
            <w:tcW w:w="850" w:type="dxa"/>
            <w:gridSpan w:val="2"/>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023820">
              <w:rPr>
                <w:rFonts w:eastAsiaTheme="minorEastAsia" w:cs="Arial"/>
                <w:color w:val="000000"/>
                <w:szCs w:val="18"/>
                <w:lang w:eastAsia="en-AU"/>
              </w:rPr>
              <w:t>5 812</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023820">
              <w:rPr>
                <w:rFonts w:eastAsiaTheme="minorEastAsia" w:cs="Arial"/>
                <w:color w:val="000000"/>
                <w:szCs w:val="18"/>
                <w:lang w:eastAsia="en-AU"/>
              </w:rPr>
              <w:t>6 166</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023820">
              <w:rPr>
                <w:rFonts w:eastAsiaTheme="minorEastAsia" w:cs="Arial"/>
                <w:color w:val="000000"/>
                <w:szCs w:val="18"/>
                <w:lang w:eastAsia="en-AU"/>
              </w:rPr>
              <w:t>6 079</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023820">
              <w:rPr>
                <w:rFonts w:eastAsiaTheme="minorEastAsia" w:cs="Arial"/>
                <w:color w:val="000000"/>
                <w:szCs w:val="18"/>
                <w:lang w:eastAsia="en-AU"/>
              </w:rPr>
              <w:t>6 090</w:t>
            </w:r>
          </w:p>
        </w:tc>
        <w:tc>
          <w:tcPr>
            <w:tcW w:w="852"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023820">
              <w:rPr>
                <w:rFonts w:eastAsiaTheme="minorEastAsia" w:cs="Arial"/>
                <w:color w:val="000000"/>
                <w:szCs w:val="18"/>
                <w:lang w:eastAsia="en-AU"/>
              </w:rPr>
              <w:t>6 622</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A46DCA" w:rsidRPr="00023820" w:rsidRDefault="00A46DCA" w:rsidP="00A26D04">
            <w:pPr>
              <w:keepLines w:val="0"/>
              <w:autoSpaceDE w:val="0"/>
              <w:autoSpaceDN w:val="0"/>
              <w:adjustRightInd w:val="0"/>
              <w:rPr>
                <w:rFonts w:eastAsiaTheme="minorEastAsia" w:cs="Calibri"/>
                <w:color w:val="000000"/>
                <w:szCs w:val="16"/>
                <w:lang w:eastAsia="en-AU"/>
              </w:rPr>
            </w:pPr>
            <w:r w:rsidRPr="00023820">
              <w:rPr>
                <w:rFonts w:eastAsiaTheme="minorEastAsia" w:cs="Calibri"/>
                <w:color w:val="000000"/>
                <w:szCs w:val="16"/>
                <w:lang w:eastAsia="en-AU"/>
              </w:rPr>
              <w:t>Other property expenses</w:t>
            </w:r>
          </w:p>
        </w:tc>
        <w:tc>
          <w:tcPr>
            <w:tcW w:w="850" w:type="dxa"/>
            <w:gridSpan w:val="2"/>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205</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232</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166</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170</w:t>
            </w:r>
          </w:p>
        </w:tc>
        <w:tc>
          <w:tcPr>
            <w:tcW w:w="852"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209</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3515" w:type="dxa"/>
            <w:tcBorders>
              <w:top w:val="single" w:sz="6" w:space="0" w:color="000000"/>
              <w:left w:val="nil"/>
              <w:bottom w:val="nil"/>
              <w:right w:val="nil"/>
            </w:tcBorders>
          </w:tcPr>
          <w:p w:rsidR="00A46DCA" w:rsidRPr="00023820" w:rsidRDefault="00A46DCA" w:rsidP="00A26D04">
            <w:pPr>
              <w:keepLines w:val="0"/>
              <w:autoSpaceDE w:val="0"/>
              <w:autoSpaceDN w:val="0"/>
              <w:adjustRightInd w:val="0"/>
              <w:rPr>
                <w:rFonts w:eastAsiaTheme="minorEastAsia" w:cs="Calibri"/>
                <w:b/>
                <w:bCs/>
                <w:color w:val="000000"/>
                <w:szCs w:val="16"/>
                <w:lang w:eastAsia="en-AU"/>
              </w:rPr>
            </w:pPr>
            <w:r w:rsidRPr="00023820">
              <w:rPr>
                <w:rFonts w:eastAsiaTheme="minorEastAsia" w:cs="Calibri"/>
                <w:b/>
                <w:bCs/>
                <w:color w:val="000000"/>
                <w:szCs w:val="16"/>
                <w:lang w:eastAsia="en-AU"/>
              </w:rPr>
              <w:t>Total expenses from transactions</w:t>
            </w:r>
          </w:p>
        </w:tc>
        <w:tc>
          <w:tcPr>
            <w:tcW w:w="850" w:type="dxa"/>
            <w:gridSpan w:val="2"/>
            <w:tcBorders>
              <w:top w:val="single" w:sz="6" w:space="0" w:color="000000"/>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sidRPr="00023820">
              <w:rPr>
                <w:rFonts w:eastAsiaTheme="minorEastAsia" w:cs="Arial"/>
                <w:b/>
                <w:bCs/>
                <w:color w:val="000000"/>
                <w:szCs w:val="18"/>
                <w:lang w:eastAsia="en-AU"/>
              </w:rPr>
              <w:t>11 301</w:t>
            </w:r>
          </w:p>
        </w:tc>
        <w:tc>
          <w:tcPr>
            <w:tcW w:w="850" w:type="dxa"/>
            <w:tcBorders>
              <w:top w:val="single" w:sz="6" w:space="0" w:color="000000"/>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sidRPr="00023820">
              <w:rPr>
                <w:rFonts w:eastAsiaTheme="minorEastAsia" w:cs="Arial"/>
                <w:b/>
                <w:bCs/>
                <w:color w:val="000000"/>
                <w:szCs w:val="18"/>
                <w:lang w:eastAsia="en-AU"/>
              </w:rPr>
              <w:t>11 508</w:t>
            </w:r>
          </w:p>
        </w:tc>
        <w:tc>
          <w:tcPr>
            <w:tcW w:w="850" w:type="dxa"/>
            <w:tcBorders>
              <w:top w:val="single" w:sz="6" w:space="0" w:color="000000"/>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sidRPr="00023820">
              <w:rPr>
                <w:rFonts w:eastAsiaTheme="minorEastAsia" w:cs="Arial"/>
                <w:b/>
                <w:bCs/>
                <w:color w:val="000000"/>
                <w:szCs w:val="18"/>
                <w:lang w:eastAsia="en-AU"/>
              </w:rPr>
              <w:t>11 456</w:t>
            </w:r>
          </w:p>
        </w:tc>
        <w:tc>
          <w:tcPr>
            <w:tcW w:w="850" w:type="dxa"/>
            <w:tcBorders>
              <w:top w:val="single" w:sz="6" w:space="0" w:color="000000"/>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sidRPr="00023820">
              <w:rPr>
                <w:rFonts w:eastAsiaTheme="minorEastAsia" w:cs="Arial"/>
                <w:b/>
                <w:bCs/>
                <w:color w:val="000000"/>
                <w:szCs w:val="18"/>
                <w:lang w:eastAsia="en-AU"/>
              </w:rPr>
              <w:t>11 461</w:t>
            </w:r>
          </w:p>
        </w:tc>
        <w:tc>
          <w:tcPr>
            <w:tcW w:w="852" w:type="dxa"/>
            <w:tcBorders>
              <w:top w:val="single" w:sz="6" w:space="0" w:color="000000"/>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sidRPr="00023820">
              <w:rPr>
                <w:rFonts w:eastAsiaTheme="minorEastAsia" w:cs="Arial"/>
                <w:b/>
                <w:bCs/>
                <w:color w:val="000000"/>
                <w:szCs w:val="18"/>
                <w:lang w:eastAsia="en-AU"/>
              </w:rPr>
              <w:t>12 007</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3515" w:type="dxa"/>
            <w:tcBorders>
              <w:top w:val="single" w:sz="6" w:space="0" w:color="000000"/>
              <w:left w:val="nil"/>
              <w:bottom w:val="nil"/>
              <w:right w:val="nil"/>
            </w:tcBorders>
          </w:tcPr>
          <w:p w:rsidR="00A46DCA" w:rsidRPr="00023820" w:rsidRDefault="00A46DCA" w:rsidP="00A26D04">
            <w:pPr>
              <w:keepLines w:val="0"/>
              <w:autoSpaceDE w:val="0"/>
              <w:autoSpaceDN w:val="0"/>
              <w:adjustRightInd w:val="0"/>
              <w:rPr>
                <w:rFonts w:eastAsiaTheme="minorEastAsia" w:cs="Calibri"/>
                <w:b/>
                <w:bCs/>
                <w:color w:val="000000"/>
                <w:szCs w:val="16"/>
                <w:lang w:eastAsia="en-AU"/>
              </w:rPr>
            </w:pPr>
            <w:r w:rsidRPr="00023820">
              <w:rPr>
                <w:rFonts w:eastAsiaTheme="minorEastAsia" w:cs="Calibri"/>
                <w:b/>
                <w:bCs/>
                <w:color w:val="000000"/>
                <w:szCs w:val="16"/>
                <w:lang w:eastAsia="en-AU"/>
              </w:rPr>
              <w:t xml:space="preserve">Net result from transactions – </w:t>
            </w:r>
            <w:r>
              <w:rPr>
                <w:rFonts w:eastAsiaTheme="minorEastAsia" w:cs="Calibri"/>
                <w:b/>
                <w:bCs/>
                <w:color w:val="000000"/>
                <w:szCs w:val="16"/>
                <w:lang w:eastAsia="en-AU"/>
              </w:rPr>
              <w:br/>
            </w:r>
            <w:r w:rsidRPr="00023820">
              <w:rPr>
                <w:rFonts w:eastAsiaTheme="minorEastAsia" w:cs="Calibri"/>
                <w:b/>
                <w:bCs/>
                <w:color w:val="000000"/>
                <w:szCs w:val="16"/>
                <w:lang w:eastAsia="en-AU"/>
              </w:rPr>
              <w:t>net operating balance</w:t>
            </w:r>
          </w:p>
        </w:tc>
        <w:tc>
          <w:tcPr>
            <w:tcW w:w="850" w:type="dxa"/>
            <w:gridSpan w:val="2"/>
            <w:tcBorders>
              <w:top w:val="single" w:sz="6" w:space="0" w:color="000000"/>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Pr>
                <w:rFonts w:eastAsiaTheme="minorEastAsia" w:cs="Arial"/>
                <w:b/>
                <w:bCs/>
                <w:color w:val="000000"/>
                <w:szCs w:val="18"/>
                <w:lang w:eastAsia="en-AU"/>
              </w:rPr>
              <w:t>(581)</w:t>
            </w:r>
          </w:p>
        </w:tc>
        <w:tc>
          <w:tcPr>
            <w:tcW w:w="850" w:type="dxa"/>
            <w:tcBorders>
              <w:top w:val="single" w:sz="6" w:space="0" w:color="000000"/>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Pr>
                <w:rFonts w:eastAsiaTheme="minorEastAsia" w:cs="Arial"/>
                <w:b/>
                <w:bCs/>
                <w:color w:val="000000"/>
                <w:szCs w:val="18"/>
                <w:lang w:eastAsia="en-AU"/>
              </w:rPr>
              <w:t>(477)</w:t>
            </w:r>
          </w:p>
        </w:tc>
        <w:tc>
          <w:tcPr>
            <w:tcW w:w="850" w:type="dxa"/>
            <w:tcBorders>
              <w:top w:val="single" w:sz="6" w:space="0" w:color="000000"/>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Pr>
                <w:rFonts w:eastAsiaTheme="minorEastAsia" w:cs="Arial"/>
                <w:b/>
                <w:bCs/>
                <w:color w:val="000000"/>
                <w:szCs w:val="18"/>
                <w:lang w:eastAsia="en-AU"/>
              </w:rPr>
              <w:t>(446)</w:t>
            </w:r>
          </w:p>
        </w:tc>
        <w:tc>
          <w:tcPr>
            <w:tcW w:w="850" w:type="dxa"/>
            <w:tcBorders>
              <w:top w:val="single" w:sz="6" w:space="0" w:color="000000"/>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Pr>
                <w:rFonts w:eastAsiaTheme="minorEastAsia" w:cs="Arial"/>
                <w:b/>
                <w:bCs/>
                <w:color w:val="000000"/>
                <w:szCs w:val="18"/>
                <w:lang w:eastAsia="en-AU"/>
              </w:rPr>
              <w:t>(405)</w:t>
            </w:r>
          </w:p>
        </w:tc>
        <w:tc>
          <w:tcPr>
            <w:tcW w:w="852" w:type="dxa"/>
            <w:tcBorders>
              <w:top w:val="single" w:sz="6" w:space="0" w:color="000000"/>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Pr>
                <w:rFonts w:eastAsiaTheme="minorEastAsia" w:cs="Arial"/>
                <w:b/>
                <w:bCs/>
                <w:color w:val="000000"/>
                <w:szCs w:val="18"/>
                <w:lang w:eastAsia="en-AU"/>
              </w:rPr>
              <w:t>(539)</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3696" w:type="dxa"/>
            <w:gridSpan w:val="2"/>
            <w:tcBorders>
              <w:top w:val="single" w:sz="12" w:space="0" w:color="000000"/>
              <w:left w:val="nil"/>
              <w:bottom w:val="nil"/>
              <w:right w:val="nil"/>
            </w:tcBorders>
          </w:tcPr>
          <w:p w:rsidR="00A46DCA" w:rsidRPr="00023820" w:rsidRDefault="00A46DCA" w:rsidP="00A26D04">
            <w:pPr>
              <w:keepLines w:val="0"/>
              <w:autoSpaceDE w:val="0"/>
              <w:autoSpaceDN w:val="0"/>
              <w:adjustRightInd w:val="0"/>
              <w:rPr>
                <w:rFonts w:eastAsiaTheme="minorEastAsia" w:cs="Calibri"/>
                <w:b/>
                <w:bCs/>
                <w:color w:val="000000"/>
                <w:szCs w:val="16"/>
                <w:lang w:eastAsia="en-AU"/>
              </w:rPr>
            </w:pPr>
            <w:r w:rsidRPr="00023820">
              <w:rPr>
                <w:rFonts w:eastAsiaTheme="minorEastAsia" w:cs="Calibri"/>
                <w:b/>
                <w:bCs/>
                <w:color w:val="000000"/>
                <w:szCs w:val="16"/>
                <w:lang w:eastAsia="en-AU"/>
              </w:rPr>
              <w:t>Total other economic flows included in net result</w:t>
            </w:r>
          </w:p>
        </w:tc>
        <w:tc>
          <w:tcPr>
            <w:tcW w:w="669" w:type="dxa"/>
            <w:tcBorders>
              <w:top w:val="single" w:sz="12" w:space="0" w:color="000000"/>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Pr>
                <w:rFonts w:eastAsiaTheme="minorEastAsia" w:cs="Arial"/>
                <w:b/>
                <w:bCs/>
                <w:color w:val="000000"/>
                <w:szCs w:val="18"/>
                <w:lang w:eastAsia="en-AU"/>
              </w:rPr>
              <w:t>286</w:t>
            </w:r>
          </w:p>
        </w:tc>
        <w:tc>
          <w:tcPr>
            <w:tcW w:w="850" w:type="dxa"/>
            <w:tcBorders>
              <w:top w:val="single" w:sz="12" w:space="0" w:color="000000"/>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Pr>
                <w:rFonts w:eastAsiaTheme="minorEastAsia" w:cs="Arial"/>
                <w:b/>
                <w:bCs/>
                <w:color w:val="000000"/>
                <w:szCs w:val="18"/>
                <w:lang w:eastAsia="en-AU"/>
              </w:rPr>
              <w:t>357</w:t>
            </w:r>
          </w:p>
        </w:tc>
        <w:tc>
          <w:tcPr>
            <w:tcW w:w="850" w:type="dxa"/>
            <w:tcBorders>
              <w:top w:val="single" w:sz="12" w:space="0" w:color="000000"/>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Pr>
                <w:rFonts w:eastAsiaTheme="minorEastAsia" w:cs="Arial"/>
                <w:b/>
                <w:bCs/>
                <w:color w:val="000000"/>
                <w:szCs w:val="18"/>
                <w:lang w:eastAsia="en-AU"/>
              </w:rPr>
              <w:t>300</w:t>
            </w:r>
          </w:p>
        </w:tc>
        <w:tc>
          <w:tcPr>
            <w:tcW w:w="850" w:type="dxa"/>
            <w:tcBorders>
              <w:top w:val="single" w:sz="12" w:space="0" w:color="000000"/>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Pr>
                <w:rFonts w:eastAsiaTheme="minorEastAsia" w:cs="Arial"/>
                <w:b/>
                <w:bCs/>
                <w:color w:val="000000"/>
                <w:szCs w:val="18"/>
                <w:lang w:eastAsia="en-AU"/>
              </w:rPr>
              <w:t>330</w:t>
            </w:r>
          </w:p>
        </w:tc>
        <w:tc>
          <w:tcPr>
            <w:tcW w:w="852" w:type="dxa"/>
            <w:tcBorders>
              <w:top w:val="single" w:sz="12" w:space="0" w:color="000000"/>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Pr>
                <w:rFonts w:eastAsiaTheme="minorEastAsia" w:cs="Arial"/>
                <w:b/>
                <w:bCs/>
                <w:color w:val="000000"/>
                <w:szCs w:val="18"/>
                <w:lang w:eastAsia="en-AU"/>
              </w:rPr>
              <w:t>50</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3515" w:type="dxa"/>
            <w:tcBorders>
              <w:top w:val="single" w:sz="6" w:space="0" w:color="000000"/>
              <w:left w:val="nil"/>
              <w:bottom w:val="single" w:sz="12" w:space="0" w:color="000000"/>
              <w:right w:val="nil"/>
            </w:tcBorders>
          </w:tcPr>
          <w:p w:rsidR="00A46DCA" w:rsidRPr="00023820" w:rsidRDefault="00A46DCA" w:rsidP="00A26D04">
            <w:pPr>
              <w:keepLines w:val="0"/>
              <w:autoSpaceDE w:val="0"/>
              <w:autoSpaceDN w:val="0"/>
              <w:adjustRightInd w:val="0"/>
              <w:rPr>
                <w:rFonts w:eastAsiaTheme="minorEastAsia" w:cs="Calibri"/>
                <w:b/>
                <w:bCs/>
                <w:color w:val="000000"/>
                <w:szCs w:val="16"/>
                <w:lang w:eastAsia="en-AU"/>
              </w:rPr>
            </w:pPr>
            <w:r w:rsidRPr="00023820">
              <w:rPr>
                <w:rFonts w:eastAsiaTheme="minorEastAsia" w:cs="Calibri"/>
                <w:b/>
                <w:bCs/>
                <w:color w:val="000000"/>
                <w:szCs w:val="16"/>
                <w:lang w:eastAsia="en-AU"/>
              </w:rPr>
              <w:t>Net result</w:t>
            </w:r>
          </w:p>
        </w:tc>
        <w:tc>
          <w:tcPr>
            <w:tcW w:w="850" w:type="dxa"/>
            <w:gridSpan w:val="2"/>
            <w:tcBorders>
              <w:top w:val="single" w:sz="6" w:space="0" w:color="000000"/>
              <w:left w:val="nil"/>
              <w:bottom w:val="single" w:sz="12" w:space="0" w:color="000000"/>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Pr>
                <w:rFonts w:eastAsiaTheme="minorEastAsia" w:cs="Arial"/>
                <w:b/>
                <w:bCs/>
                <w:color w:val="000000"/>
                <w:szCs w:val="18"/>
                <w:lang w:eastAsia="en-AU"/>
              </w:rPr>
              <w:t>(295)</w:t>
            </w:r>
          </w:p>
        </w:tc>
        <w:tc>
          <w:tcPr>
            <w:tcW w:w="850" w:type="dxa"/>
            <w:tcBorders>
              <w:top w:val="single" w:sz="6" w:space="0" w:color="000000"/>
              <w:left w:val="nil"/>
              <w:bottom w:val="single" w:sz="12" w:space="0" w:color="000000"/>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Pr>
                <w:rFonts w:eastAsiaTheme="minorEastAsia" w:cs="Arial"/>
                <w:b/>
                <w:bCs/>
                <w:color w:val="000000"/>
                <w:szCs w:val="18"/>
                <w:lang w:eastAsia="en-AU"/>
              </w:rPr>
              <w:t>(121)</w:t>
            </w:r>
          </w:p>
        </w:tc>
        <w:tc>
          <w:tcPr>
            <w:tcW w:w="850" w:type="dxa"/>
            <w:tcBorders>
              <w:top w:val="single" w:sz="6" w:space="0" w:color="000000"/>
              <w:left w:val="nil"/>
              <w:bottom w:val="single" w:sz="12" w:space="0" w:color="000000"/>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Pr>
                <w:rFonts w:eastAsiaTheme="minorEastAsia" w:cs="Arial"/>
                <w:b/>
                <w:bCs/>
                <w:color w:val="000000"/>
                <w:szCs w:val="18"/>
                <w:lang w:eastAsia="en-AU"/>
              </w:rPr>
              <w:t>(146)</w:t>
            </w:r>
          </w:p>
        </w:tc>
        <w:tc>
          <w:tcPr>
            <w:tcW w:w="850" w:type="dxa"/>
            <w:tcBorders>
              <w:top w:val="single" w:sz="6" w:space="0" w:color="000000"/>
              <w:left w:val="nil"/>
              <w:bottom w:val="single" w:sz="12" w:space="0" w:color="000000"/>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Pr>
                <w:rFonts w:eastAsiaTheme="minorEastAsia" w:cs="Arial"/>
                <w:b/>
                <w:bCs/>
                <w:color w:val="000000"/>
                <w:szCs w:val="18"/>
                <w:lang w:eastAsia="en-AU"/>
              </w:rPr>
              <w:t>(75)</w:t>
            </w:r>
          </w:p>
        </w:tc>
        <w:tc>
          <w:tcPr>
            <w:tcW w:w="852" w:type="dxa"/>
            <w:tcBorders>
              <w:top w:val="single" w:sz="6" w:space="0" w:color="000000"/>
              <w:left w:val="nil"/>
              <w:bottom w:val="single" w:sz="12" w:space="0" w:color="000000"/>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Pr>
                <w:rFonts w:eastAsiaTheme="minorEastAsia" w:cs="Arial"/>
                <w:b/>
                <w:bCs/>
                <w:color w:val="000000"/>
                <w:szCs w:val="18"/>
                <w:lang w:eastAsia="en-AU"/>
              </w:rPr>
              <w:t>(489)</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7767" w:type="dxa"/>
            <w:gridSpan w:val="7"/>
            <w:tcBorders>
              <w:top w:val="nil"/>
              <w:left w:val="nil"/>
              <w:bottom w:val="nil"/>
              <w:right w:val="nil"/>
            </w:tcBorders>
          </w:tcPr>
          <w:p w:rsidR="00A46DCA" w:rsidRPr="00023820" w:rsidRDefault="00A46DCA" w:rsidP="00A26D04">
            <w:pPr>
              <w:keepLines w:val="0"/>
              <w:autoSpaceDE w:val="0"/>
              <w:autoSpaceDN w:val="0"/>
              <w:adjustRightInd w:val="0"/>
              <w:rPr>
                <w:rFonts w:eastAsiaTheme="minorEastAsia" w:cs="Calibri"/>
                <w:b/>
                <w:bCs/>
                <w:color w:val="000000"/>
                <w:lang w:eastAsia="en-AU"/>
              </w:rPr>
            </w:pPr>
            <w:r w:rsidRPr="00023820">
              <w:rPr>
                <w:rFonts w:eastAsiaTheme="minorEastAsia" w:cs="Calibri"/>
                <w:b/>
                <w:bCs/>
                <w:color w:val="000000"/>
                <w:szCs w:val="16"/>
                <w:lang w:eastAsia="en-AU"/>
              </w:rPr>
              <w:t>Other economic flows – other comprehensive income</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7767" w:type="dxa"/>
            <w:gridSpan w:val="7"/>
            <w:tcBorders>
              <w:top w:val="nil"/>
              <w:left w:val="nil"/>
              <w:bottom w:val="nil"/>
              <w:right w:val="nil"/>
            </w:tcBorders>
          </w:tcPr>
          <w:p w:rsidR="00A46DCA" w:rsidRPr="00023820" w:rsidRDefault="00A46DCA" w:rsidP="00A26D04">
            <w:pPr>
              <w:keepLines w:val="0"/>
              <w:autoSpaceDE w:val="0"/>
              <w:autoSpaceDN w:val="0"/>
              <w:adjustRightInd w:val="0"/>
              <w:rPr>
                <w:rFonts w:eastAsiaTheme="minorEastAsia" w:cs="Calibri"/>
                <w:b/>
                <w:bCs/>
                <w:color w:val="000000"/>
                <w:lang w:eastAsia="en-AU"/>
              </w:rPr>
            </w:pPr>
            <w:r w:rsidRPr="00023820">
              <w:rPr>
                <w:rFonts w:eastAsiaTheme="minorEastAsia" w:cs="Calibri"/>
                <w:b/>
                <w:bCs/>
                <w:color w:val="000000"/>
                <w:szCs w:val="16"/>
                <w:lang w:eastAsia="en-AU"/>
              </w:rPr>
              <w:t>Items that will not be reclassified to net result</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3696" w:type="dxa"/>
            <w:gridSpan w:val="2"/>
            <w:tcBorders>
              <w:top w:val="nil"/>
              <w:left w:val="nil"/>
              <w:bottom w:val="nil"/>
              <w:right w:val="nil"/>
            </w:tcBorders>
          </w:tcPr>
          <w:p w:rsidR="00A46DCA" w:rsidRPr="00023820" w:rsidRDefault="00A46DCA" w:rsidP="00A26D04">
            <w:pPr>
              <w:keepLines w:val="0"/>
              <w:autoSpaceDE w:val="0"/>
              <w:autoSpaceDN w:val="0"/>
              <w:adjustRightInd w:val="0"/>
              <w:rPr>
                <w:rFonts w:eastAsiaTheme="minorEastAsia" w:cs="Calibri"/>
                <w:color w:val="000000"/>
                <w:szCs w:val="16"/>
                <w:lang w:eastAsia="en-AU"/>
              </w:rPr>
            </w:pPr>
            <w:r w:rsidRPr="00023820">
              <w:rPr>
                <w:rFonts w:eastAsiaTheme="minorEastAsia" w:cs="Calibri"/>
                <w:color w:val="000000"/>
                <w:szCs w:val="16"/>
                <w:lang w:eastAsia="en-AU"/>
              </w:rPr>
              <w:t>Changes in non-financial assets revaluation surplus</w:t>
            </w:r>
          </w:p>
        </w:tc>
        <w:tc>
          <w:tcPr>
            <w:tcW w:w="669"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2</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023820">
              <w:rPr>
                <w:rFonts w:eastAsiaTheme="minorEastAsia" w:cs="Arial"/>
                <w:color w:val="000000"/>
                <w:szCs w:val="18"/>
                <w:lang w:eastAsia="en-AU"/>
              </w:rPr>
              <w:t>1 172</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023820">
              <w:rPr>
                <w:rFonts w:eastAsiaTheme="minorEastAsia" w:cs="Arial"/>
                <w:color w:val="000000"/>
                <w:szCs w:val="18"/>
                <w:lang w:eastAsia="en-AU"/>
              </w:rPr>
              <w:t>1 128</w:t>
            </w:r>
          </w:p>
        </w:tc>
        <w:tc>
          <w:tcPr>
            <w:tcW w:w="852"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023820">
              <w:rPr>
                <w:rFonts w:eastAsiaTheme="minorEastAsia" w:cs="Arial"/>
                <w:color w:val="000000"/>
                <w:szCs w:val="18"/>
                <w:lang w:eastAsia="en-AU"/>
              </w:rPr>
              <w:t>1 077</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A46DCA" w:rsidRPr="00023820" w:rsidRDefault="00A46DCA" w:rsidP="00A26D04">
            <w:pPr>
              <w:keepLines w:val="0"/>
              <w:autoSpaceDE w:val="0"/>
              <w:autoSpaceDN w:val="0"/>
              <w:adjustRightInd w:val="0"/>
              <w:rPr>
                <w:rFonts w:eastAsiaTheme="minorEastAsia" w:cs="Calibri"/>
                <w:color w:val="000000"/>
                <w:szCs w:val="16"/>
                <w:lang w:eastAsia="en-AU"/>
              </w:rPr>
            </w:pPr>
            <w:proofErr w:type="spellStart"/>
            <w:r w:rsidRPr="00023820">
              <w:rPr>
                <w:rFonts w:eastAsiaTheme="minorEastAsia" w:cs="Calibri"/>
                <w:color w:val="000000"/>
                <w:szCs w:val="16"/>
                <w:lang w:eastAsia="en-AU"/>
              </w:rPr>
              <w:t>Remeasurement</w:t>
            </w:r>
            <w:proofErr w:type="spellEnd"/>
            <w:r w:rsidRPr="00023820">
              <w:rPr>
                <w:rFonts w:eastAsiaTheme="minorEastAsia" w:cs="Calibri"/>
                <w:color w:val="000000"/>
                <w:szCs w:val="16"/>
                <w:lang w:eastAsia="en-AU"/>
              </w:rPr>
              <w:t xml:space="preserve"> of superannuation defined benefits plans</w:t>
            </w:r>
          </w:p>
        </w:tc>
        <w:tc>
          <w:tcPr>
            <w:tcW w:w="850" w:type="dxa"/>
            <w:gridSpan w:val="2"/>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(4)</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(1)</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(4)</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(4)</w:t>
            </w:r>
          </w:p>
        </w:tc>
        <w:tc>
          <w:tcPr>
            <w:tcW w:w="852"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(4)</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A46DCA" w:rsidRPr="00023820" w:rsidRDefault="00A46DCA" w:rsidP="00A26D04">
            <w:pPr>
              <w:keepLines w:val="0"/>
              <w:autoSpaceDE w:val="0"/>
              <w:autoSpaceDN w:val="0"/>
              <w:adjustRightInd w:val="0"/>
              <w:rPr>
                <w:rFonts w:eastAsiaTheme="minorEastAsia" w:cs="Calibri"/>
                <w:color w:val="000000"/>
                <w:szCs w:val="16"/>
                <w:lang w:eastAsia="en-AU"/>
              </w:rPr>
            </w:pPr>
            <w:r w:rsidRPr="00023820">
              <w:rPr>
                <w:rFonts w:eastAsiaTheme="minorEastAsia" w:cs="Calibri"/>
                <w:color w:val="000000"/>
                <w:szCs w:val="16"/>
                <w:lang w:eastAsia="en-AU"/>
              </w:rPr>
              <w:t>Other movements in equity</w:t>
            </w:r>
          </w:p>
        </w:tc>
        <w:tc>
          <w:tcPr>
            <w:tcW w:w="850" w:type="dxa"/>
            <w:gridSpan w:val="2"/>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(15)</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6</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(3)</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(4)</w:t>
            </w:r>
          </w:p>
        </w:tc>
        <w:tc>
          <w:tcPr>
            <w:tcW w:w="852"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(5)</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7767" w:type="dxa"/>
            <w:gridSpan w:val="7"/>
            <w:tcBorders>
              <w:top w:val="nil"/>
              <w:left w:val="nil"/>
              <w:bottom w:val="nil"/>
              <w:right w:val="nil"/>
            </w:tcBorders>
          </w:tcPr>
          <w:p w:rsidR="00A46DCA" w:rsidRPr="00023820" w:rsidRDefault="00A46DCA" w:rsidP="00A26D04">
            <w:pPr>
              <w:keepLines w:val="0"/>
              <w:autoSpaceDE w:val="0"/>
              <w:autoSpaceDN w:val="0"/>
              <w:adjustRightInd w:val="0"/>
              <w:rPr>
                <w:rFonts w:eastAsiaTheme="minorEastAsia" w:cs="Calibri"/>
                <w:b/>
                <w:bCs/>
                <w:color w:val="000000"/>
                <w:lang w:eastAsia="en-AU"/>
              </w:rPr>
            </w:pPr>
            <w:r w:rsidRPr="00023820">
              <w:rPr>
                <w:rFonts w:eastAsiaTheme="minorEastAsia" w:cs="Calibri"/>
                <w:b/>
                <w:bCs/>
                <w:color w:val="000000"/>
                <w:szCs w:val="16"/>
                <w:lang w:eastAsia="en-AU"/>
              </w:rPr>
              <w:t>Items that may be reclassified subsequently to net result</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A46DCA" w:rsidRPr="00023820" w:rsidRDefault="00A46DCA" w:rsidP="00A26D04">
            <w:pPr>
              <w:keepLines w:val="0"/>
              <w:autoSpaceDE w:val="0"/>
              <w:autoSpaceDN w:val="0"/>
              <w:adjustRightInd w:val="0"/>
              <w:rPr>
                <w:rFonts w:eastAsiaTheme="minorEastAsia" w:cs="Calibri"/>
                <w:color w:val="000000"/>
                <w:szCs w:val="16"/>
                <w:lang w:eastAsia="en-AU"/>
              </w:rPr>
            </w:pPr>
            <w:r w:rsidRPr="00023820">
              <w:rPr>
                <w:rFonts w:eastAsiaTheme="minorEastAsia" w:cs="Calibri"/>
                <w:color w:val="000000"/>
                <w:szCs w:val="16"/>
                <w:lang w:eastAsia="en-AU"/>
              </w:rPr>
              <w:t>Net gain/(loss) on financial assets at fair value</w:t>
            </w:r>
          </w:p>
        </w:tc>
        <w:tc>
          <w:tcPr>
            <w:tcW w:w="850" w:type="dxa"/>
            <w:gridSpan w:val="2"/>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1</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32</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(8)</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1</w:t>
            </w:r>
          </w:p>
        </w:tc>
        <w:tc>
          <w:tcPr>
            <w:tcW w:w="852"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(14)</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3515" w:type="dxa"/>
            <w:tcBorders>
              <w:top w:val="single" w:sz="6" w:space="0" w:color="000000"/>
              <w:left w:val="nil"/>
              <w:bottom w:val="nil"/>
              <w:right w:val="nil"/>
            </w:tcBorders>
          </w:tcPr>
          <w:p w:rsidR="00A46DCA" w:rsidRPr="00023820" w:rsidRDefault="00A46DCA" w:rsidP="00A26D04">
            <w:pPr>
              <w:keepLines w:val="0"/>
              <w:autoSpaceDE w:val="0"/>
              <w:autoSpaceDN w:val="0"/>
              <w:adjustRightInd w:val="0"/>
              <w:rPr>
                <w:rFonts w:eastAsiaTheme="minorEastAsia" w:cs="Calibri"/>
                <w:b/>
                <w:bCs/>
                <w:color w:val="000000"/>
                <w:szCs w:val="16"/>
                <w:lang w:eastAsia="en-AU"/>
              </w:rPr>
            </w:pPr>
            <w:r w:rsidRPr="00023820">
              <w:rPr>
                <w:rFonts w:eastAsiaTheme="minorEastAsia" w:cs="Calibri"/>
                <w:b/>
                <w:bCs/>
                <w:color w:val="000000"/>
                <w:szCs w:val="16"/>
                <w:lang w:eastAsia="en-AU"/>
              </w:rPr>
              <w:t xml:space="preserve">Total other economic flows – </w:t>
            </w:r>
            <w:r>
              <w:rPr>
                <w:rFonts w:eastAsiaTheme="minorEastAsia" w:cs="Calibri"/>
                <w:b/>
                <w:bCs/>
                <w:color w:val="000000"/>
                <w:szCs w:val="16"/>
                <w:lang w:eastAsia="en-AU"/>
              </w:rPr>
              <w:br/>
            </w:r>
            <w:r w:rsidRPr="00023820">
              <w:rPr>
                <w:rFonts w:eastAsiaTheme="minorEastAsia" w:cs="Calibri"/>
                <w:b/>
                <w:bCs/>
                <w:color w:val="000000"/>
                <w:szCs w:val="16"/>
                <w:lang w:eastAsia="en-AU"/>
              </w:rPr>
              <w:t>other comprehensive income</w:t>
            </w:r>
          </w:p>
        </w:tc>
        <w:tc>
          <w:tcPr>
            <w:tcW w:w="850" w:type="dxa"/>
            <w:gridSpan w:val="2"/>
            <w:tcBorders>
              <w:top w:val="single" w:sz="6" w:space="0" w:color="000000"/>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Pr>
                <w:rFonts w:eastAsiaTheme="minorEastAsia" w:cs="Arial"/>
                <w:b/>
                <w:bCs/>
                <w:color w:val="000000"/>
                <w:szCs w:val="18"/>
                <w:lang w:eastAsia="en-AU"/>
              </w:rPr>
              <w:t>(17)</w:t>
            </w:r>
          </w:p>
        </w:tc>
        <w:tc>
          <w:tcPr>
            <w:tcW w:w="850" w:type="dxa"/>
            <w:tcBorders>
              <w:top w:val="single" w:sz="6" w:space="0" w:color="000000"/>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Pr>
                <w:rFonts w:eastAsiaTheme="minorEastAsia" w:cs="Arial"/>
                <w:b/>
                <w:bCs/>
                <w:color w:val="000000"/>
                <w:szCs w:val="18"/>
                <w:lang w:eastAsia="en-AU"/>
              </w:rPr>
              <w:t>38</w:t>
            </w:r>
          </w:p>
        </w:tc>
        <w:tc>
          <w:tcPr>
            <w:tcW w:w="850" w:type="dxa"/>
            <w:tcBorders>
              <w:top w:val="single" w:sz="6" w:space="0" w:color="000000"/>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sidRPr="00023820">
              <w:rPr>
                <w:rFonts w:eastAsiaTheme="minorEastAsia" w:cs="Arial"/>
                <w:b/>
                <w:bCs/>
                <w:color w:val="000000"/>
                <w:szCs w:val="18"/>
                <w:lang w:eastAsia="en-AU"/>
              </w:rPr>
              <w:t>1 156</w:t>
            </w:r>
          </w:p>
        </w:tc>
        <w:tc>
          <w:tcPr>
            <w:tcW w:w="850" w:type="dxa"/>
            <w:tcBorders>
              <w:top w:val="single" w:sz="6" w:space="0" w:color="000000"/>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sidRPr="00023820">
              <w:rPr>
                <w:rFonts w:eastAsiaTheme="minorEastAsia" w:cs="Arial"/>
                <w:b/>
                <w:bCs/>
                <w:color w:val="000000"/>
                <w:szCs w:val="18"/>
                <w:lang w:eastAsia="en-AU"/>
              </w:rPr>
              <w:t>1 120</w:t>
            </w:r>
          </w:p>
        </w:tc>
        <w:tc>
          <w:tcPr>
            <w:tcW w:w="852" w:type="dxa"/>
            <w:tcBorders>
              <w:top w:val="single" w:sz="6" w:space="0" w:color="000000"/>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sidRPr="00023820">
              <w:rPr>
                <w:rFonts w:eastAsiaTheme="minorEastAsia" w:cs="Arial"/>
                <w:b/>
                <w:bCs/>
                <w:color w:val="000000"/>
                <w:szCs w:val="18"/>
                <w:lang w:eastAsia="en-AU"/>
              </w:rPr>
              <w:t>1 054</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3515" w:type="dxa"/>
            <w:tcBorders>
              <w:top w:val="single" w:sz="6" w:space="0" w:color="000000"/>
              <w:left w:val="nil"/>
              <w:bottom w:val="single" w:sz="12" w:space="0" w:color="000000"/>
              <w:right w:val="nil"/>
            </w:tcBorders>
          </w:tcPr>
          <w:p w:rsidR="00A46DCA" w:rsidRPr="00023820" w:rsidRDefault="00A46DCA" w:rsidP="00A26D04">
            <w:pPr>
              <w:keepLines w:val="0"/>
              <w:autoSpaceDE w:val="0"/>
              <w:autoSpaceDN w:val="0"/>
              <w:adjustRightInd w:val="0"/>
              <w:rPr>
                <w:rFonts w:eastAsiaTheme="minorEastAsia" w:cs="Calibri"/>
                <w:b/>
                <w:bCs/>
                <w:color w:val="000000"/>
                <w:szCs w:val="16"/>
                <w:lang w:eastAsia="en-AU"/>
              </w:rPr>
            </w:pPr>
            <w:r w:rsidRPr="00023820">
              <w:rPr>
                <w:rFonts w:eastAsiaTheme="minorEastAsia" w:cs="Calibri"/>
                <w:b/>
                <w:bCs/>
                <w:color w:val="000000"/>
                <w:szCs w:val="16"/>
                <w:lang w:eastAsia="en-AU"/>
              </w:rPr>
              <w:t xml:space="preserve">Comprehensive result – </w:t>
            </w:r>
            <w:r>
              <w:rPr>
                <w:rFonts w:eastAsiaTheme="minorEastAsia" w:cs="Calibri"/>
                <w:b/>
                <w:bCs/>
                <w:color w:val="000000"/>
                <w:szCs w:val="16"/>
                <w:lang w:eastAsia="en-AU"/>
              </w:rPr>
              <w:br/>
            </w:r>
            <w:r w:rsidRPr="00023820">
              <w:rPr>
                <w:rFonts w:eastAsiaTheme="minorEastAsia" w:cs="Calibri"/>
                <w:b/>
                <w:bCs/>
                <w:color w:val="000000"/>
                <w:szCs w:val="16"/>
                <w:lang w:eastAsia="en-AU"/>
              </w:rPr>
              <w:t>total change in net worth</w:t>
            </w:r>
          </w:p>
        </w:tc>
        <w:tc>
          <w:tcPr>
            <w:tcW w:w="850" w:type="dxa"/>
            <w:gridSpan w:val="2"/>
            <w:tcBorders>
              <w:top w:val="single" w:sz="6" w:space="0" w:color="000000"/>
              <w:left w:val="nil"/>
              <w:bottom w:val="single" w:sz="12" w:space="0" w:color="000000"/>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Pr>
                <w:rFonts w:eastAsiaTheme="minorEastAsia" w:cs="Arial"/>
                <w:b/>
                <w:bCs/>
                <w:color w:val="000000"/>
                <w:szCs w:val="18"/>
                <w:lang w:eastAsia="en-AU"/>
              </w:rPr>
              <w:t>(312)</w:t>
            </w:r>
          </w:p>
        </w:tc>
        <w:tc>
          <w:tcPr>
            <w:tcW w:w="850" w:type="dxa"/>
            <w:tcBorders>
              <w:top w:val="single" w:sz="6" w:space="0" w:color="000000"/>
              <w:left w:val="nil"/>
              <w:bottom w:val="single" w:sz="12" w:space="0" w:color="000000"/>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Pr>
                <w:rFonts w:eastAsiaTheme="minorEastAsia" w:cs="Arial"/>
                <w:b/>
                <w:bCs/>
                <w:color w:val="000000"/>
                <w:szCs w:val="18"/>
                <w:lang w:eastAsia="en-AU"/>
              </w:rPr>
              <w:t>(83)</w:t>
            </w:r>
          </w:p>
        </w:tc>
        <w:tc>
          <w:tcPr>
            <w:tcW w:w="850" w:type="dxa"/>
            <w:tcBorders>
              <w:top w:val="single" w:sz="6" w:space="0" w:color="000000"/>
              <w:left w:val="nil"/>
              <w:bottom w:val="single" w:sz="12" w:space="0" w:color="000000"/>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sidRPr="00023820">
              <w:rPr>
                <w:rFonts w:eastAsiaTheme="minorEastAsia" w:cs="Arial"/>
                <w:b/>
                <w:bCs/>
                <w:color w:val="000000"/>
                <w:szCs w:val="18"/>
                <w:lang w:eastAsia="en-AU"/>
              </w:rPr>
              <w:t>1 011</w:t>
            </w:r>
          </w:p>
        </w:tc>
        <w:tc>
          <w:tcPr>
            <w:tcW w:w="850" w:type="dxa"/>
            <w:tcBorders>
              <w:top w:val="single" w:sz="6" w:space="0" w:color="000000"/>
              <w:left w:val="nil"/>
              <w:bottom w:val="single" w:sz="12" w:space="0" w:color="000000"/>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sidRPr="00023820">
              <w:rPr>
                <w:rFonts w:eastAsiaTheme="minorEastAsia" w:cs="Arial"/>
                <w:b/>
                <w:bCs/>
                <w:color w:val="000000"/>
                <w:szCs w:val="18"/>
                <w:lang w:eastAsia="en-AU"/>
              </w:rPr>
              <w:t>1 045</w:t>
            </w:r>
          </w:p>
        </w:tc>
        <w:tc>
          <w:tcPr>
            <w:tcW w:w="852" w:type="dxa"/>
            <w:tcBorders>
              <w:top w:val="single" w:sz="6" w:space="0" w:color="000000"/>
              <w:left w:val="nil"/>
              <w:bottom w:val="single" w:sz="12" w:space="0" w:color="000000"/>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Pr>
                <w:rFonts w:eastAsiaTheme="minorEastAsia" w:cs="Arial"/>
                <w:b/>
                <w:bCs/>
                <w:color w:val="000000"/>
                <w:szCs w:val="18"/>
                <w:lang w:eastAsia="en-AU"/>
              </w:rPr>
              <w:t>565</w:t>
            </w:r>
          </w:p>
        </w:tc>
      </w:tr>
      <w:tr w:rsidR="00A46DCA" w:rsidRPr="00023820" w:rsidTr="00A26D04">
        <w:trPr>
          <w:cnfStyle w:val="010000000000" w:firstRow="0" w:lastRow="1" w:firstColumn="0" w:lastColumn="0" w:oddVBand="0" w:evenVBand="0" w:oddHBand="0" w:evenHBand="0" w:firstRowFirstColumn="0" w:firstRowLastColumn="0" w:lastRowFirstColumn="0" w:lastRowLastColumn="0"/>
          <w:trHeight w:hRule="exact" w:val="120"/>
        </w:trPr>
        <w:tc>
          <w:tcPr>
            <w:cnfStyle w:val="001000000000" w:firstRow="0" w:lastRow="0" w:firstColumn="1" w:lastColumn="0" w:oddVBand="0" w:evenVBand="0" w:oddHBand="0" w:evenHBand="0" w:firstRowFirstColumn="0" w:firstRowLastColumn="0" w:lastRowFirstColumn="0" w:lastRowLastColumn="0"/>
            <w:tcW w:w="3515" w:type="dxa"/>
            <w:tcBorders>
              <w:top w:val="nil"/>
              <w:bottom w:val="nil"/>
            </w:tcBorders>
          </w:tcPr>
          <w:p w:rsidR="00A46DCA" w:rsidRPr="00023820" w:rsidRDefault="00A46DCA" w:rsidP="00A26D04">
            <w:pPr>
              <w:keepLines w:val="0"/>
              <w:autoSpaceDE w:val="0"/>
              <w:autoSpaceDN w:val="0"/>
              <w:adjustRightInd w:val="0"/>
              <w:rPr>
                <w:rFonts w:eastAsiaTheme="minorEastAsia" w:cs="Calibri"/>
                <w:color w:val="000000"/>
                <w:lang w:eastAsia="en-AU"/>
              </w:rPr>
            </w:pPr>
            <w:r w:rsidRPr="00023820">
              <w:rPr>
                <w:rFonts w:eastAsiaTheme="minorEastAsia" w:cs="Calibri"/>
                <w:color w:val="000000"/>
                <w:lang w:eastAsia="en-AU"/>
              </w:rPr>
              <w:t xml:space="preserve"> </w:t>
            </w:r>
          </w:p>
        </w:tc>
        <w:tc>
          <w:tcPr>
            <w:tcW w:w="850" w:type="dxa"/>
            <w:gridSpan w:val="2"/>
            <w:tcBorders>
              <w:top w:val="nil"/>
              <w:bottom w:val="nil"/>
            </w:tcBorders>
          </w:tcPr>
          <w:p w:rsidR="00A46DCA" w:rsidRPr="00023820" w:rsidRDefault="00A46DCA" w:rsidP="00A26D0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color w:val="000000"/>
                <w:lang w:eastAsia="en-AU"/>
              </w:rPr>
            </w:pPr>
            <w:r w:rsidRPr="00023820">
              <w:rPr>
                <w:rFonts w:eastAsiaTheme="minorEastAsia" w:cs="Calibri"/>
                <w:color w:val="000000"/>
                <w:lang w:eastAsia="en-AU"/>
              </w:rPr>
              <w:t xml:space="preserve"> </w:t>
            </w:r>
          </w:p>
        </w:tc>
        <w:tc>
          <w:tcPr>
            <w:tcW w:w="850" w:type="dxa"/>
            <w:tcBorders>
              <w:top w:val="nil"/>
              <w:bottom w:val="nil"/>
            </w:tcBorders>
          </w:tcPr>
          <w:p w:rsidR="00A46DCA" w:rsidRPr="00023820" w:rsidRDefault="00A46DCA" w:rsidP="00A26D0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color w:val="000000"/>
                <w:lang w:eastAsia="en-AU"/>
              </w:rPr>
            </w:pPr>
            <w:r w:rsidRPr="00023820">
              <w:rPr>
                <w:rFonts w:eastAsiaTheme="minorEastAsia" w:cs="Calibri"/>
                <w:color w:val="000000"/>
                <w:lang w:eastAsia="en-AU"/>
              </w:rPr>
              <w:t xml:space="preserve"> </w:t>
            </w:r>
          </w:p>
        </w:tc>
        <w:tc>
          <w:tcPr>
            <w:tcW w:w="850" w:type="dxa"/>
            <w:tcBorders>
              <w:top w:val="nil"/>
              <w:bottom w:val="nil"/>
            </w:tcBorders>
          </w:tcPr>
          <w:p w:rsidR="00A46DCA" w:rsidRPr="00023820" w:rsidRDefault="00A46DCA" w:rsidP="00A26D0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color w:val="000000"/>
                <w:lang w:eastAsia="en-AU"/>
              </w:rPr>
            </w:pPr>
            <w:r w:rsidRPr="00023820">
              <w:rPr>
                <w:rFonts w:eastAsiaTheme="minorEastAsia" w:cs="Calibri"/>
                <w:color w:val="000000"/>
                <w:lang w:eastAsia="en-AU"/>
              </w:rPr>
              <w:t xml:space="preserve"> </w:t>
            </w:r>
          </w:p>
        </w:tc>
        <w:tc>
          <w:tcPr>
            <w:tcW w:w="850" w:type="dxa"/>
            <w:tcBorders>
              <w:top w:val="nil"/>
              <w:bottom w:val="nil"/>
            </w:tcBorders>
          </w:tcPr>
          <w:p w:rsidR="00A46DCA" w:rsidRPr="00023820" w:rsidRDefault="00A46DCA" w:rsidP="00A26D0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color w:val="000000"/>
                <w:lang w:eastAsia="en-AU"/>
              </w:rPr>
            </w:pPr>
            <w:r w:rsidRPr="00023820">
              <w:rPr>
                <w:rFonts w:eastAsiaTheme="minorEastAsia" w:cs="Calibri"/>
                <w:color w:val="000000"/>
                <w:lang w:eastAsia="en-AU"/>
              </w:rPr>
              <w:t xml:space="preserve"> </w:t>
            </w:r>
          </w:p>
        </w:tc>
        <w:tc>
          <w:tcPr>
            <w:tcW w:w="852" w:type="dxa"/>
            <w:tcBorders>
              <w:top w:val="nil"/>
              <w:bottom w:val="nil"/>
            </w:tcBorders>
          </w:tcPr>
          <w:p w:rsidR="00A46DCA" w:rsidRPr="00023820" w:rsidRDefault="00A46DCA" w:rsidP="00A26D0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color w:val="000000"/>
                <w:lang w:eastAsia="en-AU"/>
              </w:rPr>
            </w:pPr>
            <w:r w:rsidRPr="00023820">
              <w:rPr>
                <w:rFonts w:eastAsiaTheme="minorEastAsia" w:cs="Calibri"/>
                <w:color w:val="000000"/>
                <w:lang w:eastAsia="en-AU"/>
              </w:rPr>
              <w:t xml:space="preserve"> </w:t>
            </w:r>
          </w:p>
        </w:tc>
      </w:tr>
    </w:tbl>
    <w:p w:rsidR="008110D9" w:rsidRDefault="008110D9"/>
    <w:p w:rsidR="008110D9" w:rsidRPr="00023820" w:rsidRDefault="008110D9" w:rsidP="008110D9">
      <w:pPr>
        <w:pStyle w:val="TableHeading"/>
        <w:rPr>
          <w:bCs/>
          <w:lang w:val="en-US"/>
        </w:rPr>
      </w:pPr>
      <w:r>
        <w:lastRenderedPageBreak/>
        <w:t>Table 5.1:</w:t>
      </w:r>
      <w:r>
        <w:tab/>
        <w:t xml:space="preserve">Public non-financial corporations sector comprehensive operating </w:t>
      </w:r>
      <w:r w:rsidR="006A017C">
        <w:br/>
      </w:r>
      <w:r>
        <w:t xml:space="preserve">statement for the financial year ended 30 June </w:t>
      </w:r>
      <w:r w:rsidRPr="008110D9">
        <w:rPr>
          <w:i/>
        </w:rPr>
        <w:t>(continued)</w:t>
      </w:r>
      <w:r>
        <w:t xml:space="preserve"> </w:t>
      </w:r>
      <w:r>
        <w:tab/>
        <w:t>($ million)</w:t>
      </w:r>
    </w:p>
    <w:tbl>
      <w:tblPr>
        <w:tblStyle w:val="DTFTable"/>
        <w:tblW w:w="7767" w:type="dxa"/>
        <w:tblInd w:w="45" w:type="dxa"/>
        <w:tblLayout w:type="fixed"/>
        <w:tblCellMar>
          <w:left w:w="45" w:type="dxa"/>
          <w:right w:w="45" w:type="dxa"/>
        </w:tblCellMar>
        <w:tblLook w:val="06E0" w:firstRow="1" w:lastRow="1" w:firstColumn="1" w:lastColumn="0" w:noHBand="1" w:noVBand="1"/>
      </w:tblPr>
      <w:tblGrid>
        <w:gridCol w:w="3515"/>
        <w:gridCol w:w="850"/>
        <w:gridCol w:w="850"/>
        <w:gridCol w:w="850"/>
        <w:gridCol w:w="850"/>
        <w:gridCol w:w="852"/>
      </w:tblGrid>
      <w:tr w:rsidR="008110D9" w:rsidRPr="00023820" w:rsidTr="004906A4">
        <w:trPr>
          <w:cnfStyle w:val="100000000000" w:firstRow="1" w:lastRow="0" w:firstColumn="0" w:lastColumn="0" w:oddVBand="0" w:evenVBand="0" w:oddHBand="0" w:evenHBand="0" w:firstRowFirstColumn="0" w:firstRowLastColumn="0" w:lastRowFirstColumn="0" w:lastRowLastColumn="0"/>
          <w:trHeight w:val="70"/>
          <w:tblHeader/>
        </w:trPr>
        <w:tc>
          <w:tcPr>
            <w:cnfStyle w:val="001000000000" w:firstRow="0" w:lastRow="0" w:firstColumn="1" w:lastColumn="0" w:oddVBand="0" w:evenVBand="0" w:oddHBand="0" w:evenHBand="0" w:firstRowFirstColumn="0" w:firstRowLastColumn="0" w:lastRowFirstColumn="0" w:lastRowLastColumn="0"/>
            <w:tcW w:w="3515" w:type="dxa"/>
            <w:tcBorders>
              <w:top w:val="nil"/>
              <w:left w:val="nil"/>
              <w:right w:val="nil"/>
            </w:tcBorders>
            <w:shd w:val="solid" w:color="000000" w:fill="auto"/>
          </w:tcPr>
          <w:p w:rsidR="008110D9" w:rsidRPr="00023820" w:rsidRDefault="008110D9" w:rsidP="004906A4">
            <w:pPr>
              <w:autoSpaceDE w:val="0"/>
              <w:autoSpaceDN w:val="0"/>
              <w:adjustRightInd w:val="0"/>
              <w:rPr>
                <w:rFonts w:eastAsiaTheme="minorEastAsia" w:cs="Calibri"/>
                <w:iCs/>
                <w:color w:val="FFFFFF"/>
                <w:lang w:eastAsia="en-AU"/>
              </w:rPr>
            </w:pPr>
            <w:r w:rsidRPr="00023820">
              <w:rPr>
                <w:rFonts w:eastAsiaTheme="minorEastAsia" w:cs="Calibri"/>
                <w:iCs/>
                <w:color w:val="FFFFFF"/>
                <w:lang w:eastAsia="en-AU"/>
              </w:rPr>
              <w:t xml:space="preserve">  </w:t>
            </w:r>
          </w:p>
        </w:tc>
        <w:tc>
          <w:tcPr>
            <w:tcW w:w="850" w:type="dxa"/>
            <w:tcBorders>
              <w:top w:val="nil"/>
              <w:left w:val="nil"/>
              <w:right w:val="nil"/>
            </w:tcBorders>
            <w:shd w:val="solid" w:color="000000" w:fill="auto"/>
          </w:tcPr>
          <w:p w:rsidR="008110D9" w:rsidRPr="00023820" w:rsidRDefault="008110D9" w:rsidP="004906A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023820">
              <w:rPr>
                <w:rFonts w:eastAsiaTheme="minorEastAsia" w:cs="Calibri"/>
                <w:iCs/>
                <w:color w:val="FFFFFF"/>
                <w:szCs w:val="16"/>
                <w:lang w:eastAsia="en-AU"/>
              </w:rPr>
              <w:t>2017-18</w:t>
            </w:r>
            <w:r>
              <w:rPr>
                <w:rFonts w:eastAsiaTheme="minorEastAsia" w:cs="Calibri"/>
                <w:iCs/>
                <w:color w:val="FFFFFF"/>
                <w:szCs w:val="16"/>
                <w:lang w:eastAsia="en-AU"/>
              </w:rPr>
              <w:br/>
            </w:r>
            <w:r w:rsidRPr="00023820">
              <w:rPr>
                <w:rFonts w:eastAsiaTheme="minorEastAsia" w:cs="Calibri"/>
                <w:iCs/>
                <w:color w:val="FFFFFF"/>
                <w:szCs w:val="16"/>
                <w:lang w:eastAsia="en-AU"/>
              </w:rPr>
              <w:t>budget</w:t>
            </w:r>
          </w:p>
        </w:tc>
        <w:tc>
          <w:tcPr>
            <w:tcW w:w="850" w:type="dxa"/>
            <w:tcBorders>
              <w:top w:val="nil"/>
              <w:left w:val="nil"/>
              <w:right w:val="nil"/>
            </w:tcBorders>
            <w:shd w:val="solid" w:color="000000" w:fill="auto"/>
          </w:tcPr>
          <w:p w:rsidR="008110D9" w:rsidRPr="00023820" w:rsidRDefault="008110D9" w:rsidP="004906A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023820">
              <w:rPr>
                <w:rFonts w:eastAsiaTheme="minorEastAsia" w:cs="Calibri"/>
                <w:iCs/>
                <w:color w:val="FFFFFF"/>
                <w:szCs w:val="16"/>
                <w:lang w:eastAsia="en-AU"/>
              </w:rPr>
              <w:t>2017-18</w:t>
            </w:r>
            <w:r>
              <w:rPr>
                <w:rFonts w:eastAsiaTheme="minorEastAsia" w:cs="Calibri"/>
                <w:iCs/>
                <w:color w:val="FFFFFF"/>
                <w:szCs w:val="16"/>
                <w:lang w:eastAsia="en-AU"/>
              </w:rPr>
              <w:br/>
            </w:r>
            <w:r w:rsidRPr="00023820">
              <w:rPr>
                <w:rFonts w:eastAsiaTheme="minorEastAsia" w:cs="Calibri"/>
                <w:iCs/>
                <w:color w:val="FFFFFF"/>
                <w:szCs w:val="16"/>
                <w:lang w:eastAsia="en-AU"/>
              </w:rPr>
              <w:t>revised</w:t>
            </w:r>
          </w:p>
        </w:tc>
        <w:tc>
          <w:tcPr>
            <w:tcW w:w="850" w:type="dxa"/>
            <w:tcBorders>
              <w:top w:val="nil"/>
              <w:left w:val="nil"/>
              <w:right w:val="nil"/>
            </w:tcBorders>
            <w:shd w:val="solid" w:color="000000" w:fill="auto"/>
          </w:tcPr>
          <w:p w:rsidR="008110D9" w:rsidRPr="00023820" w:rsidRDefault="008110D9" w:rsidP="004906A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023820">
              <w:rPr>
                <w:rFonts w:eastAsiaTheme="minorEastAsia" w:cs="Calibri"/>
                <w:iCs/>
                <w:color w:val="FFFFFF"/>
                <w:szCs w:val="16"/>
                <w:lang w:eastAsia="en-AU"/>
              </w:rPr>
              <w:t>2018-19</w:t>
            </w:r>
            <w:r>
              <w:rPr>
                <w:rFonts w:eastAsiaTheme="minorEastAsia" w:cs="Calibri"/>
                <w:iCs/>
                <w:color w:val="FFFFFF"/>
                <w:szCs w:val="16"/>
                <w:lang w:eastAsia="en-AU"/>
              </w:rPr>
              <w:br/>
            </w:r>
            <w:r w:rsidRPr="00023820">
              <w:rPr>
                <w:rFonts w:eastAsiaTheme="minorEastAsia" w:cs="Calibri"/>
                <w:iCs/>
                <w:color w:val="FFFFFF"/>
                <w:szCs w:val="16"/>
                <w:lang w:eastAsia="en-AU"/>
              </w:rPr>
              <w:t>estimate</w:t>
            </w:r>
          </w:p>
        </w:tc>
        <w:tc>
          <w:tcPr>
            <w:tcW w:w="850" w:type="dxa"/>
            <w:tcBorders>
              <w:top w:val="nil"/>
              <w:left w:val="nil"/>
              <w:right w:val="nil"/>
            </w:tcBorders>
            <w:shd w:val="solid" w:color="000000" w:fill="auto"/>
          </w:tcPr>
          <w:p w:rsidR="008110D9" w:rsidRPr="00023820" w:rsidRDefault="008110D9" w:rsidP="004906A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023820">
              <w:rPr>
                <w:rFonts w:eastAsiaTheme="minorEastAsia" w:cs="Calibri"/>
                <w:iCs/>
                <w:color w:val="FFFFFF"/>
                <w:szCs w:val="16"/>
                <w:lang w:eastAsia="en-AU"/>
              </w:rPr>
              <w:t>2019-20</w:t>
            </w:r>
            <w:r>
              <w:rPr>
                <w:rFonts w:eastAsiaTheme="minorEastAsia" w:cs="Calibri"/>
                <w:iCs/>
                <w:color w:val="FFFFFF"/>
                <w:szCs w:val="16"/>
                <w:lang w:eastAsia="en-AU"/>
              </w:rPr>
              <w:br/>
            </w:r>
            <w:r w:rsidRPr="00023820">
              <w:rPr>
                <w:rFonts w:eastAsiaTheme="minorEastAsia" w:cs="Calibri"/>
                <w:iCs/>
                <w:color w:val="FFFFFF"/>
                <w:szCs w:val="16"/>
                <w:lang w:eastAsia="en-AU"/>
              </w:rPr>
              <w:t>estimate</w:t>
            </w:r>
          </w:p>
        </w:tc>
        <w:tc>
          <w:tcPr>
            <w:tcW w:w="852" w:type="dxa"/>
            <w:tcBorders>
              <w:top w:val="nil"/>
              <w:left w:val="nil"/>
              <w:right w:val="nil"/>
            </w:tcBorders>
            <w:shd w:val="solid" w:color="000000" w:fill="auto"/>
          </w:tcPr>
          <w:p w:rsidR="008110D9" w:rsidRPr="00023820" w:rsidRDefault="008110D9" w:rsidP="004906A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023820">
              <w:rPr>
                <w:rFonts w:eastAsiaTheme="minorEastAsia" w:cs="Calibri"/>
                <w:iCs/>
                <w:color w:val="FFFFFF"/>
                <w:szCs w:val="16"/>
                <w:lang w:eastAsia="en-AU"/>
              </w:rPr>
              <w:t>2020-21</w:t>
            </w:r>
            <w:r>
              <w:rPr>
                <w:rFonts w:eastAsiaTheme="minorEastAsia" w:cs="Calibri"/>
                <w:iCs/>
                <w:color w:val="FFFFFF"/>
                <w:szCs w:val="16"/>
                <w:lang w:eastAsia="en-AU"/>
              </w:rPr>
              <w:br/>
            </w:r>
            <w:r w:rsidRPr="00023820">
              <w:rPr>
                <w:rFonts w:eastAsiaTheme="minorEastAsia" w:cs="Calibri"/>
                <w:iCs/>
                <w:color w:val="FFFFFF"/>
                <w:szCs w:val="16"/>
                <w:lang w:eastAsia="en-AU"/>
              </w:rPr>
              <w:t>estimate</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A46DCA" w:rsidRPr="00023820" w:rsidRDefault="00A46DCA" w:rsidP="008110D9">
            <w:pPr>
              <w:keepLines w:val="0"/>
              <w:autoSpaceDE w:val="0"/>
              <w:autoSpaceDN w:val="0"/>
              <w:adjustRightInd w:val="0"/>
              <w:rPr>
                <w:rFonts w:eastAsiaTheme="minorEastAsia" w:cs="Calibri"/>
                <w:b/>
                <w:bCs/>
                <w:color w:val="000000"/>
                <w:szCs w:val="16"/>
                <w:lang w:eastAsia="en-AU"/>
              </w:rPr>
            </w:pPr>
            <w:r w:rsidRPr="00023820">
              <w:rPr>
                <w:rFonts w:eastAsiaTheme="minorEastAsia" w:cs="Calibri"/>
                <w:b/>
                <w:bCs/>
                <w:color w:val="000000"/>
                <w:szCs w:val="16"/>
                <w:lang w:eastAsia="en-AU"/>
              </w:rPr>
              <w:t>KEY FISCAL AGGREGATES</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023820">
              <w:rPr>
                <w:rFonts w:eastAsiaTheme="minorEastAsia" w:cs="Calibri"/>
                <w:b/>
                <w:bCs/>
                <w:color w:val="000000"/>
                <w:lang w:eastAsia="en-AU"/>
              </w:rPr>
              <w:t xml:space="preserve"> </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023820">
              <w:rPr>
                <w:rFonts w:eastAsiaTheme="minorEastAsia" w:cs="Calibri"/>
                <w:b/>
                <w:bCs/>
                <w:color w:val="000000"/>
                <w:lang w:eastAsia="en-AU"/>
              </w:rPr>
              <w:t xml:space="preserve"> </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023820">
              <w:rPr>
                <w:rFonts w:eastAsiaTheme="minorEastAsia" w:cs="Calibri"/>
                <w:b/>
                <w:bCs/>
                <w:color w:val="000000"/>
                <w:lang w:eastAsia="en-AU"/>
              </w:rPr>
              <w:t xml:space="preserve"> </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023820">
              <w:rPr>
                <w:rFonts w:eastAsiaTheme="minorEastAsia" w:cs="Calibri"/>
                <w:b/>
                <w:bCs/>
                <w:color w:val="000000"/>
                <w:lang w:eastAsia="en-AU"/>
              </w:rPr>
              <w:t xml:space="preserve"> </w:t>
            </w:r>
          </w:p>
        </w:tc>
        <w:tc>
          <w:tcPr>
            <w:tcW w:w="852"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023820">
              <w:rPr>
                <w:rFonts w:eastAsiaTheme="minorEastAsia" w:cs="Calibri"/>
                <w:b/>
                <w:bCs/>
                <w:color w:val="000000"/>
                <w:lang w:eastAsia="en-AU"/>
              </w:rPr>
              <w:t xml:space="preserve"> </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A46DCA" w:rsidRPr="00023820" w:rsidRDefault="00A46DCA" w:rsidP="00A26D04">
            <w:pPr>
              <w:keepLines w:val="0"/>
              <w:autoSpaceDE w:val="0"/>
              <w:autoSpaceDN w:val="0"/>
              <w:adjustRightInd w:val="0"/>
              <w:rPr>
                <w:rFonts w:eastAsiaTheme="minorEastAsia" w:cs="Calibri"/>
                <w:b/>
                <w:bCs/>
                <w:color w:val="000000"/>
                <w:szCs w:val="16"/>
                <w:lang w:eastAsia="en-AU"/>
              </w:rPr>
            </w:pPr>
            <w:r w:rsidRPr="00023820">
              <w:rPr>
                <w:rFonts w:eastAsiaTheme="minorEastAsia" w:cs="Calibri"/>
                <w:b/>
                <w:bCs/>
                <w:color w:val="000000"/>
                <w:szCs w:val="16"/>
                <w:lang w:eastAsia="en-AU"/>
              </w:rPr>
              <w:t>Net operating balance</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Pr>
                <w:rFonts w:eastAsiaTheme="minorEastAsia" w:cs="Calibri"/>
                <w:b/>
                <w:bCs/>
                <w:color w:val="000000"/>
                <w:szCs w:val="16"/>
                <w:lang w:eastAsia="en-AU"/>
              </w:rPr>
              <w:t>(581)</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Pr>
                <w:rFonts w:eastAsiaTheme="minorEastAsia" w:cs="Calibri"/>
                <w:b/>
                <w:bCs/>
                <w:color w:val="000000"/>
                <w:szCs w:val="16"/>
                <w:lang w:eastAsia="en-AU"/>
              </w:rPr>
              <w:t>(477)</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Pr>
                <w:rFonts w:eastAsiaTheme="minorEastAsia" w:cs="Calibri"/>
                <w:b/>
                <w:bCs/>
                <w:color w:val="000000"/>
                <w:szCs w:val="16"/>
                <w:lang w:eastAsia="en-AU"/>
              </w:rPr>
              <w:t>(446)</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Pr>
                <w:rFonts w:eastAsiaTheme="minorEastAsia" w:cs="Calibri"/>
                <w:b/>
                <w:bCs/>
                <w:color w:val="000000"/>
                <w:szCs w:val="16"/>
                <w:lang w:eastAsia="en-AU"/>
              </w:rPr>
              <w:t>(405)</w:t>
            </w:r>
          </w:p>
        </w:tc>
        <w:tc>
          <w:tcPr>
            <w:tcW w:w="852"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Pr>
                <w:rFonts w:eastAsiaTheme="minorEastAsia" w:cs="Calibri"/>
                <w:b/>
                <w:bCs/>
                <w:color w:val="000000"/>
                <w:szCs w:val="16"/>
                <w:lang w:eastAsia="en-AU"/>
              </w:rPr>
              <w:t>(539)</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A46DCA" w:rsidRPr="00023820" w:rsidRDefault="00A46DCA" w:rsidP="00A26D04">
            <w:pPr>
              <w:keepLines w:val="0"/>
              <w:autoSpaceDE w:val="0"/>
              <w:autoSpaceDN w:val="0"/>
              <w:adjustRightInd w:val="0"/>
              <w:rPr>
                <w:rFonts w:eastAsiaTheme="minorEastAsia" w:cs="Calibri"/>
                <w:color w:val="000000"/>
                <w:szCs w:val="16"/>
                <w:lang w:eastAsia="en-AU"/>
              </w:rPr>
            </w:pPr>
            <w:r w:rsidRPr="00023820">
              <w:rPr>
                <w:rFonts w:eastAsiaTheme="minorEastAsia" w:cs="Calibri"/>
                <w:color w:val="000000"/>
                <w:szCs w:val="16"/>
                <w:lang w:eastAsia="en-AU"/>
              </w:rPr>
              <w:t>Less: Net acquisition of non-financial assets from transactions</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023820">
              <w:rPr>
                <w:rFonts w:eastAsiaTheme="minorEastAsia" w:cs="Calibri"/>
                <w:color w:val="000000"/>
                <w:szCs w:val="16"/>
                <w:lang w:eastAsia="en-AU"/>
              </w:rPr>
              <w:t>4 991</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023820">
              <w:rPr>
                <w:rFonts w:eastAsiaTheme="minorEastAsia" w:cs="Calibri"/>
                <w:color w:val="000000"/>
                <w:szCs w:val="16"/>
                <w:lang w:eastAsia="en-AU"/>
              </w:rPr>
              <w:t>5 352</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023820">
              <w:rPr>
                <w:rFonts w:eastAsiaTheme="minorEastAsia" w:cs="Calibri"/>
                <w:color w:val="000000"/>
                <w:szCs w:val="16"/>
                <w:lang w:eastAsia="en-AU"/>
              </w:rPr>
              <w:t>5 025</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023820">
              <w:rPr>
                <w:rFonts w:eastAsiaTheme="minorEastAsia" w:cs="Calibri"/>
                <w:color w:val="000000"/>
                <w:szCs w:val="16"/>
                <w:lang w:eastAsia="en-AU"/>
              </w:rPr>
              <w:t>3 688</w:t>
            </w:r>
          </w:p>
        </w:tc>
        <w:tc>
          <w:tcPr>
            <w:tcW w:w="852"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023820">
              <w:rPr>
                <w:rFonts w:eastAsiaTheme="minorEastAsia" w:cs="Calibri"/>
                <w:color w:val="000000"/>
                <w:szCs w:val="16"/>
                <w:lang w:eastAsia="en-AU"/>
              </w:rPr>
              <w:t>3 375</w:t>
            </w:r>
          </w:p>
        </w:tc>
      </w:tr>
      <w:tr w:rsidR="00A46DCA" w:rsidRPr="00023820" w:rsidTr="00A26D04">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5" w:type="dxa"/>
            <w:tcBorders>
              <w:top w:val="single" w:sz="6" w:space="0" w:color="000000"/>
              <w:bottom w:val="single" w:sz="12" w:space="0" w:color="000000"/>
            </w:tcBorders>
          </w:tcPr>
          <w:p w:rsidR="00A46DCA" w:rsidRPr="00023820" w:rsidRDefault="00A46DCA" w:rsidP="00A26D04">
            <w:pPr>
              <w:keepLines w:val="0"/>
              <w:autoSpaceDE w:val="0"/>
              <w:autoSpaceDN w:val="0"/>
              <w:adjustRightInd w:val="0"/>
              <w:rPr>
                <w:rFonts w:eastAsiaTheme="minorEastAsia" w:cs="Calibri"/>
                <w:bCs/>
                <w:color w:val="000000"/>
                <w:szCs w:val="16"/>
                <w:lang w:eastAsia="en-AU"/>
              </w:rPr>
            </w:pPr>
            <w:r w:rsidRPr="00023820">
              <w:rPr>
                <w:rFonts w:eastAsiaTheme="minorEastAsia" w:cs="Calibri"/>
                <w:bCs/>
                <w:color w:val="000000"/>
                <w:szCs w:val="16"/>
                <w:lang w:eastAsia="en-AU"/>
              </w:rPr>
              <w:t>Net lending/(borrowing)</w:t>
            </w:r>
          </w:p>
        </w:tc>
        <w:tc>
          <w:tcPr>
            <w:tcW w:w="850" w:type="dxa"/>
            <w:tcBorders>
              <w:top w:val="single" w:sz="6" w:space="0" w:color="000000"/>
              <w:bottom w:val="single" w:sz="12" w:space="0" w:color="000000"/>
            </w:tcBorders>
          </w:tcPr>
          <w:p w:rsidR="00A46DCA" w:rsidRPr="00023820" w:rsidRDefault="00A46DCA" w:rsidP="00A26D0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6"/>
                <w:lang w:eastAsia="en-AU"/>
              </w:rPr>
            </w:pPr>
            <w:r>
              <w:rPr>
                <w:rFonts w:eastAsiaTheme="minorEastAsia" w:cs="Calibri"/>
                <w:bCs/>
                <w:color w:val="000000"/>
                <w:szCs w:val="16"/>
                <w:lang w:eastAsia="en-AU"/>
              </w:rPr>
              <w:t>(5 572)</w:t>
            </w:r>
          </w:p>
        </w:tc>
        <w:tc>
          <w:tcPr>
            <w:tcW w:w="850" w:type="dxa"/>
            <w:tcBorders>
              <w:top w:val="single" w:sz="6" w:space="0" w:color="000000"/>
              <w:bottom w:val="single" w:sz="12" w:space="0" w:color="000000"/>
            </w:tcBorders>
          </w:tcPr>
          <w:p w:rsidR="00A46DCA" w:rsidRPr="00023820" w:rsidRDefault="00A46DCA" w:rsidP="00A26D0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6"/>
                <w:lang w:eastAsia="en-AU"/>
              </w:rPr>
            </w:pPr>
            <w:r>
              <w:rPr>
                <w:rFonts w:eastAsiaTheme="minorEastAsia" w:cs="Calibri"/>
                <w:bCs/>
                <w:color w:val="000000"/>
                <w:szCs w:val="16"/>
                <w:lang w:eastAsia="en-AU"/>
              </w:rPr>
              <w:t>(5 829)</w:t>
            </w:r>
          </w:p>
        </w:tc>
        <w:tc>
          <w:tcPr>
            <w:tcW w:w="850" w:type="dxa"/>
            <w:tcBorders>
              <w:top w:val="single" w:sz="6" w:space="0" w:color="000000"/>
              <w:bottom w:val="single" w:sz="12" w:space="0" w:color="000000"/>
            </w:tcBorders>
          </w:tcPr>
          <w:p w:rsidR="00A46DCA" w:rsidRPr="00023820" w:rsidRDefault="00A46DCA" w:rsidP="00A26D0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6"/>
                <w:lang w:eastAsia="en-AU"/>
              </w:rPr>
            </w:pPr>
            <w:r>
              <w:rPr>
                <w:rFonts w:eastAsiaTheme="minorEastAsia" w:cs="Calibri"/>
                <w:bCs/>
                <w:color w:val="000000"/>
                <w:szCs w:val="16"/>
                <w:lang w:eastAsia="en-AU"/>
              </w:rPr>
              <w:t>(5 471)</w:t>
            </w:r>
          </w:p>
        </w:tc>
        <w:tc>
          <w:tcPr>
            <w:tcW w:w="850" w:type="dxa"/>
            <w:tcBorders>
              <w:top w:val="single" w:sz="6" w:space="0" w:color="000000"/>
              <w:bottom w:val="single" w:sz="12" w:space="0" w:color="000000"/>
            </w:tcBorders>
          </w:tcPr>
          <w:p w:rsidR="00A46DCA" w:rsidRPr="00023820" w:rsidRDefault="00A46DCA" w:rsidP="00A26D0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6"/>
                <w:lang w:eastAsia="en-AU"/>
              </w:rPr>
            </w:pPr>
            <w:r>
              <w:rPr>
                <w:rFonts w:eastAsiaTheme="minorEastAsia" w:cs="Calibri"/>
                <w:bCs/>
                <w:color w:val="000000"/>
                <w:szCs w:val="16"/>
                <w:lang w:eastAsia="en-AU"/>
              </w:rPr>
              <w:t>(4 094)</w:t>
            </w:r>
          </w:p>
        </w:tc>
        <w:tc>
          <w:tcPr>
            <w:tcW w:w="852" w:type="dxa"/>
            <w:tcBorders>
              <w:top w:val="single" w:sz="6" w:space="0" w:color="000000"/>
              <w:bottom w:val="single" w:sz="12" w:space="0" w:color="000000"/>
            </w:tcBorders>
          </w:tcPr>
          <w:p w:rsidR="00A46DCA" w:rsidRPr="00023820" w:rsidRDefault="00A46DCA" w:rsidP="00A26D0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6"/>
                <w:lang w:eastAsia="en-AU"/>
              </w:rPr>
            </w:pPr>
            <w:r>
              <w:rPr>
                <w:rFonts w:eastAsiaTheme="minorEastAsia" w:cs="Calibri"/>
                <w:bCs/>
                <w:color w:val="000000"/>
                <w:szCs w:val="16"/>
                <w:lang w:eastAsia="en-AU"/>
              </w:rPr>
              <w:t>(3 914)</w:t>
            </w:r>
          </w:p>
        </w:tc>
      </w:tr>
    </w:tbl>
    <w:p w:rsidR="00A46DCA" w:rsidRDefault="00A46DCA" w:rsidP="00A26D04">
      <w:pPr>
        <w:pStyle w:val="Source"/>
      </w:pPr>
      <w:r w:rsidRPr="00D87D22">
        <w:t>Source: Dep</w:t>
      </w:r>
      <w:r>
        <w:t>artment of Treasury and Finance</w:t>
      </w:r>
      <w:r w:rsidRPr="00352C54">
        <w:t xml:space="preserve"> </w:t>
      </w:r>
    </w:p>
    <w:p w:rsidR="00A46DCA" w:rsidRDefault="00A46DCA" w:rsidP="00A26D04">
      <w:pPr>
        <w:pStyle w:val="Note"/>
      </w:pPr>
      <w:r>
        <w:t>Note:</w:t>
      </w:r>
    </w:p>
    <w:p w:rsidR="00A46DCA" w:rsidRPr="00CE5088" w:rsidRDefault="00A46DCA" w:rsidP="00A26D04">
      <w:pPr>
        <w:pStyle w:val="Note"/>
        <w:rPr>
          <w:b/>
        </w:rPr>
      </w:pPr>
      <w:r>
        <w:t>(a)</w:t>
      </w:r>
      <w:r>
        <w:tab/>
      </w:r>
      <w:r w:rsidRPr="00995E6E">
        <w:rPr>
          <w:rFonts w:cs="Times New Roman"/>
          <w:lang w:eastAsia="en-AU"/>
        </w:rPr>
        <w:t>Certain line items have been aggregated in the table above due to</w:t>
      </w:r>
      <w:r>
        <w:rPr>
          <w:rFonts w:cs="Times New Roman"/>
          <w:lang w:eastAsia="en-AU"/>
        </w:rPr>
        <w:t xml:space="preserve"> </w:t>
      </w:r>
      <w:r w:rsidRPr="00995E6E">
        <w:rPr>
          <w:rFonts w:cs="Times New Roman"/>
          <w:lang w:eastAsia="en-AU"/>
        </w:rPr>
        <w:t>commercial sensitivities</w:t>
      </w:r>
      <w:r>
        <w:rPr>
          <w:rFonts w:cs="Times New Roman"/>
          <w:lang w:eastAsia="en-AU"/>
        </w:rPr>
        <w:t>.</w:t>
      </w:r>
    </w:p>
    <w:p w:rsidR="00A46DCA" w:rsidRDefault="00A46DCA" w:rsidP="00A26D04"/>
    <w:p w:rsidR="00A46DCA" w:rsidRDefault="00A46DCA" w:rsidP="00A26D04">
      <w:pPr>
        <w:pStyle w:val="Heading10"/>
      </w:pPr>
      <w:r>
        <w:br w:type="page"/>
      </w:r>
    </w:p>
    <w:p w:rsidR="00A46DCA" w:rsidRPr="00023820" w:rsidRDefault="00A46DCA" w:rsidP="00A26D04">
      <w:pPr>
        <w:pStyle w:val="TableHeading"/>
        <w:rPr>
          <w:bCs/>
          <w:lang w:val="en-US"/>
        </w:rPr>
      </w:pPr>
      <w:r>
        <w:lastRenderedPageBreak/>
        <w:t>Table 5.2</w:t>
      </w:r>
      <w:r w:rsidR="008110D9">
        <w:t>:</w:t>
      </w:r>
      <w:r>
        <w:tab/>
        <w:t>Public non-financial corporations sector balance sheet as at 30 June</w:t>
      </w:r>
      <w:r>
        <w:tab/>
        <w:t>($ million)</w:t>
      </w:r>
    </w:p>
    <w:tbl>
      <w:tblPr>
        <w:tblStyle w:val="DTFTable"/>
        <w:tblW w:w="7764" w:type="dxa"/>
        <w:tblInd w:w="45" w:type="dxa"/>
        <w:tblLayout w:type="fixed"/>
        <w:tblCellMar>
          <w:left w:w="45" w:type="dxa"/>
          <w:right w:w="45" w:type="dxa"/>
        </w:tblCellMar>
        <w:tblLook w:val="06A0" w:firstRow="1" w:lastRow="0" w:firstColumn="1" w:lastColumn="0" w:noHBand="1" w:noVBand="1"/>
      </w:tblPr>
      <w:tblGrid>
        <w:gridCol w:w="3657"/>
        <w:gridCol w:w="822"/>
        <w:gridCol w:w="822"/>
        <w:gridCol w:w="821"/>
        <w:gridCol w:w="821"/>
        <w:gridCol w:w="821"/>
      </w:tblGrid>
      <w:tr w:rsidR="00A26D04" w:rsidRPr="00023820" w:rsidTr="008110D9">
        <w:trPr>
          <w:cnfStyle w:val="100000000000" w:firstRow="1" w:lastRow="0" w:firstColumn="0" w:lastColumn="0" w:oddVBand="0" w:evenVBand="0" w:oddHBand="0" w:evenHBand="0" w:firstRowFirstColumn="0" w:firstRowLastColumn="0" w:lastRowFirstColumn="0" w:lastRowLastColumn="0"/>
          <w:trHeight w:val="70"/>
          <w:tblHeader/>
        </w:trPr>
        <w:tc>
          <w:tcPr>
            <w:cnfStyle w:val="001000000000" w:firstRow="0" w:lastRow="0" w:firstColumn="1" w:lastColumn="0" w:oddVBand="0" w:evenVBand="0" w:oddHBand="0" w:evenHBand="0" w:firstRowFirstColumn="0" w:firstRowLastColumn="0" w:lastRowFirstColumn="0" w:lastRowLastColumn="0"/>
            <w:tcW w:w="3657" w:type="dxa"/>
            <w:tcBorders>
              <w:top w:val="nil"/>
              <w:left w:val="nil"/>
              <w:right w:val="nil"/>
            </w:tcBorders>
            <w:shd w:val="solid" w:color="000000" w:fill="auto"/>
          </w:tcPr>
          <w:p w:rsidR="00A26D04" w:rsidRPr="00023820" w:rsidRDefault="00A26D04" w:rsidP="00A26D04">
            <w:pPr>
              <w:autoSpaceDE w:val="0"/>
              <w:autoSpaceDN w:val="0"/>
              <w:adjustRightInd w:val="0"/>
              <w:rPr>
                <w:rFonts w:eastAsiaTheme="minorEastAsia" w:cs="Calibri"/>
                <w:iCs/>
                <w:color w:val="FFFFFF"/>
                <w:lang w:eastAsia="en-AU"/>
              </w:rPr>
            </w:pPr>
            <w:r w:rsidRPr="00023820">
              <w:rPr>
                <w:rFonts w:eastAsiaTheme="minorEastAsia" w:cs="Calibri"/>
                <w:iCs/>
                <w:color w:val="FFFFFF"/>
                <w:lang w:eastAsia="en-AU"/>
              </w:rPr>
              <w:t xml:space="preserve">  </w:t>
            </w:r>
          </w:p>
        </w:tc>
        <w:tc>
          <w:tcPr>
            <w:tcW w:w="822" w:type="dxa"/>
            <w:tcBorders>
              <w:top w:val="nil"/>
              <w:left w:val="nil"/>
              <w:right w:val="nil"/>
            </w:tcBorders>
            <w:shd w:val="solid" w:color="000000" w:fill="auto"/>
          </w:tcPr>
          <w:p w:rsidR="00A26D04" w:rsidRPr="00023820" w:rsidRDefault="00A26D04" w:rsidP="00A26D0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023820">
              <w:rPr>
                <w:rFonts w:eastAsiaTheme="minorEastAsia" w:cs="Calibri"/>
                <w:iCs/>
                <w:color w:val="FFFFFF"/>
                <w:szCs w:val="16"/>
                <w:lang w:eastAsia="en-AU"/>
              </w:rPr>
              <w:t>2018</w:t>
            </w:r>
            <w:r>
              <w:rPr>
                <w:rFonts w:eastAsiaTheme="minorEastAsia" w:cs="Calibri"/>
                <w:iCs/>
                <w:color w:val="FFFFFF"/>
                <w:szCs w:val="16"/>
                <w:lang w:eastAsia="en-AU"/>
              </w:rPr>
              <w:br/>
            </w:r>
            <w:r w:rsidRPr="00023820">
              <w:rPr>
                <w:rFonts w:eastAsiaTheme="minorEastAsia" w:cs="Calibri"/>
                <w:iCs/>
                <w:color w:val="FFFFFF"/>
                <w:szCs w:val="16"/>
                <w:lang w:eastAsia="en-AU"/>
              </w:rPr>
              <w:t xml:space="preserve">budget </w:t>
            </w:r>
            <w:r w:rsidRPr="00023820">
              <w:rPr>
                <w:rFonts w:eastAsiaTheme="minorEastAsia" w:cs="Calibri"/>
                <w:iCs/>
                <w:color w:val="FFFFFF"/>
                <w:szCs w:val="16"/>
                <w:vertAlign w:val="superscript"/>
                <w:lang w:eastAsia="en-AU"/>
              </w:rPr>
              <w:t>(a)</w:t>
            </w:r>
          </w:p>
        </w:tc>
        <w:tc>
          <w:tcPr>
            <w:tcW w:w="822" w:type="dxa"/>
            <w:tcBorders>
              <w:top w:val="nil"/>
              <w:left w:val="nil"/>
              <w:right w:val="nil"/>
            </w:tcBorders>
            <w:shd w:val="solid" w:color="000000" w:fill="auto"/>
          </w:tcPr>
          <w:p w:rsidR="00A26D04" w:rsidRPr="00023820" w:rsidRDefault="00A26D04" w:rsidP="00A26D0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023820">
              <w:rPr>
                <w:rFonts w:eastAsiaTheme="minorEastAsia" w:cs="Calibri"/>
                <w:iCs/>
                <w:color w:val="FFFFFF"/>
                <w:szCs w:val="16"/>
                <w:lang w:eastAsia="en-AU"/>
              </w:rPr>
              <w:t>2018</w:t>
            </w:r>
            <w:r>
              <w:rPr>
                <w:rFonts w:eastAsiaTheme="minorEastAsia" w:cs="Calibri"/>
                <w:iCs/>
                <w:color w:val="FFFFFF"/>
                <w:szCs w:val="16"/>
                <w:lang w:eastAsia="en-AU"/>
              </w:rPr>
              <w:br/>
            </w:r>
            <w:r w:rsidRPr="00023820">
              <w:rPr>
                <w:rFonts w:eastAsiaTheme="minorEastAsia" w:cs="Calibri"/>
                <w:iCs/>
                <w:color w:val="FFFFFF"/>
                <w:szCs w:val="16"/>
                <w:lang w:eastAsia="en-AU"/>
              </w:rPr>
              <w:t>revised</w:t>
            </w:r>
          </w:p>
        </w:tc>
        <w:tc>
          <w:tcPr>
            <w:tcW w:w="821" w:type="dxa"/>
            <w:tcBorders>
              <w:top w:val="nil"/>
              <w:left w:val="nil"/>
              <w:right w:val="nil"/>
            </w:tcBorders>
            <w:shd w:val="solid" w:color="000000" w:fill="auto"/>
          </w:tcPr>
          <w:p w:rsidR="00A26D04" w:rsidRPr="00023820" w:rsidRDefault="00A26D04" w:rsidP="00A26D0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023820">
              <w:rPr>
                <w:rFonts w:eastAsiaTheme="minorEastAsia" w:cs="Calibri"/>
                <w:iCs/>
                <w:color w:val="FFFFFF"/>
                <w:szCs w:val="16"/>
                <w:lang w:eastAsia="en-AU"/>
              </w:rPr>
              <w:t>2019</w:t>
            </w:r>
            <w:r>
              <w:rPr>
                <w:rFonts w:eastAsiaTheme="minorEastAsia" w:cs="Calibri"/>
                <w:iCs/>
                <w:color w:val="FFFFFF"/>
                <w:szCs w:val="16"/>
                <w:lang w:eastAsia="en-AU"/>
              </w:rPr>
              <w:br/>
            </w:r>
            <w:r w:rsidRPr="00023820">
              <w:rPr>
                <w:rFonts w:eastAsiaTheme="minorEastAsia" w:cs="Calibri"/>
                <w:iCs/>
                <w:color w:val="FFFFFF"/>
                <w:szCs w:val="16"/>
                <w:lang w:eastAsia="en-AU"/>
              </w:rPr>
              <w:t>estimate</w:t>
            </w:r>
          </w:p>
        </w:tc>
        <w:tc>
          <w:tcPr>
            <w:tcW w:w="821" w:type="dxa"/>
            <w:tcBorders>
              <w:top w:val="nil"/>
              <w:left w:val="nil"/>
              <w:right w:val="nil"/>
            </w:tcBorders>
            <w:shd w:val="solid" w:color="000000" w:fill="auto"/>
          </w:tcPr>
          <w:p w:rsidR="00A26D04" w:rsidRPr="00023820" w:rsidRDefault="00A26D04" w:rsidP="00A26D0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023820">
              <w:rPr>
                <w:rFonts w:eastAsiaTheme="minorEastAsia" w:cs="Calibri"/>
                <w:iCs/>
                <w:color w:val="FFFFFF"/>
                <w:szCs w:val="16"/>
                <w:lang w:eastAsia="en-AU"/>
              </w:rPr>
              <w:t>2020</w:t>
            </w:r>
            <w:r>
              <w:rPr>
                <w:rFonts w:eastAsiaTheme="minorEastAsia" w:cs="Calibri"/>
                <w:iCs/>
                <w:color w:val="FFFFFF"/>
                <w:szCs w:val="16"/>
                <w:lang w:eastAsia="en-AU"/>
              </w:rPr>
              <w:br/>
            </w:r>
            <w:r w:rsidRPr="00023820">
              <w:rPr>
                <w:rFonts w:eastAsiaTheme="minorEastAsia" w:cs="Calibri"/>
                <w:iCs/>
                <w:color w:val="FFFFFF"/>
                <w:szCs w:val="16"/>
                <w:lang w:eastAsia="en-AU"/>
              </w:rPr>
              <w:t>estimate</w:t>
            </w:r>
          </w:p>
        </w:tc>
        <w:tc>
          <w:tcPr>
            <w:tcW w:w="821" w:type="dxa"/>
            <w:tcBorders>
              <w:top w:val="nil"/>
              <w:left w:val="nil"/>
              <w:right w:val="nil"/>
            </w:tcBorders>
            <w:shd w:val="solid" w:color="000000" w:fill="auto"/>
          </w:tcPr>
          <w:p w:rsidR="00A26D04" w:rsidRPr="00023820" w:rsidRDefault="00A26D04" w:rsidP="00A26D0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023820">
              <w:rPr>
                <w:rFonts w:eastAsiaTheme="minorEastAsia" w:cs="Calibri"/>
                <w:iCs/>
                <w:color w:val="FFFFFF"/>
                <w:szCs w:val="16"/>
                <w:lang w:eastAsia="en-AU"/>
              </w:rPr>
              <w:t>2021</w:t>
            </w:r>
            <w:r>
              <w:rPr>
                <w:rFonts w:eastAsiaTheme="minorEastAsia" w:cs="Calibri"/>
                <w:iCs/>
                <w:color w:val="FFFFFF"/>
                <w:szCs w:val="16"/>
                <w:lang w:eastAsia="en-AU"/>
              </w:rPr>
              <w:br/>
            </w:r>
            <w:r w:rsidRPr="00023820">
              <w:rPr>
                <w:rFonts w:eastAsiaTheme="minorEastAsia" w:cs="Calibri"/>
                <w:iCs/>
                <w:color w:val="FFFFFF"/>
                <w:szCs w:val="16"/>
                <w:lang w:eastAsia="en-AU"/>
              </w:rPr>
              <w:t>estimate</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3657" w:type="dxa"/>
            <w:tcBorders>
              <w:top w:val="nil"/>
              <w:left w:val="nil"/>
              <w:bottom w:val="nil"/>
              <w:right w:val="nil"/>
            </w:tcBorders>
          </w:tcPr>
          <w:p w:rsidR="00A46DCA" w:rsidRPr="00023820" w:rsidRDefault="00A46DCA" w:rsidP="00A26D04">
            <w:pPr>
              <w:keepLines w:val="0"/>
              <w:autoSpaceDE w:val="0"/>
              <w:autoSpaceDN w:val="0"/>
              <w:adjustRightInd w:val="0"/>
              <w:rPr>
                <w:rFonts w:eastAsiaTheme="minorEastAsia" w:cs="Calibri"/>
                <w:b/>
                <w:bCs/>
                <w:color w:val="000000"/>
                <w:szCs w:val="16"/>
                <w:lang w:eastAsia="en-AU"/>
              </w:rPr>
            </w:pPr>
            <w:r w:rsidRPr="00023820">
              <w:rPr>
                <w:rFonts w:eastAsiaTheme="minorEastAsia" w:cs="Calibri"/>
                <w:b/>
                <w:bCs/>
                <w:color w:val="000000"/>
                <w:szCs w:val="16"/>
                <w:lang w:eastAsia="en-AU"/>
              </w:rPr>
              <w:t>Assets</w:t>
            </w:r>
          </w:p>
        </w:tc>
        <w:tc>
          <w:tcPr>
            <w:tcW w:w="822"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023820">
              <w:rPr>
                <w:rFonts w:eastAsiaTheme="minorEastAsia" w:cs="Calibri"/>
                <w:b/>
                <w:bCs/>
                <w:color w:val="000000"/>
                <w:lang w:eastAsia="en-AU"/>
              </w:rPr>
              <w:t xml:space="preserve"> </w:t>
            </w:r>
          </w:p>
        </w:tc>
        <w:tc>
          <w:tcPr>
            <w:tcW w:w="822"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023820">
              <w:rPr>
                <w:rFonts w:eastAsiaTheme="minorEastAsia" w:cs="Calibri"/>
                <w:b/>
                <w:bCs/>
                <w:color w:val="000000"/>
                <w:lang w:eastAsia="en-AU"/>
              </w:rPr>
              <w:t xml:space="preserve"> </w:t>
            </w:r>
          </w:p>
        </w:tc>
        <w:tc>
          <w:tcPr>
            <w:tcW w:w="821"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023820">
              <w:rPr>
                <w:rFonts w:eastAsiaTheme="minorEastAsia" w:cs="Calibri"/>
                <w:b/>
                <w:bCs/>
                <w:color w:val="000000"/>
                <w:lang w:eastAsia="en-AU"/>
              </w:rPr>
              <w:t xml:space="preserve"> </w:t>
            </w:r>
          </w:p>
        </w:tc>
        <w:tc>
          <w:tcPr>
            <w:tcW w:w="821"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023820">
              <w:rPr>
                <w:rFonts w:eastAsiaTheme="minorEastAsia" w:cs="Calibri"/>
                <w:b/>
                <w:bCs/>
                <w:color w:val="000000"/>
                <w:lang w:eastAsia="en-AU"/>
              </w:rPr>
              <w:t xml:space="preserve"> </w:t>
            </w:r>
          </w:p>
        </w:tc>
        <w:tc>
          <w:tcPr>
            <w:tcW w:w="821"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023820">
              <w:rPr>
                <w:rFonts w:eastAsiaTheme="minorEastAsia" w:cs="Calibri"/>
                <w:b/>
                <w:bCs/>
                <w:color w:val="000000"/>
                <w:lang w:eastAsia="en-AU"/>
              </w:rPr>
              <w:t xml:space="preserve"> </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3657" w:type="dxa"/>
            <w:tcBorders>
              <w:top w:val="nil"/>
              <w:left w:val="nil"/>
              <w:bottom w:val="nil"/>
              <w:right w:val="nil"/>
            </w:tcBorders>
          </w:tcPr>
          <w:p w:rsidR="00A46DCA" w:rsidRPr="00023820" w:rsidRDefault="00A46DCA" w:rsidP="00A26D04">
            <w:pPr>
              <w:keepLines w:val="0"/>
              <w:autoSpaceDE w:val="0"/>
              <w:autoSpaceDN w:val="0"/>
              <w:adjustRightInd w:val="0"/>
              <w:rPr>
                <w:rFonts w:eastAsiaTheme="minorEastAsia" w:cs="Calibri"/>
                <w:b/>
                <w:bCs/>
                <w:color w:val="000000"/>
                <w:szCs w:val="16"/>
                <w:lang w:eastAsia="en-AU"/>
              </w:rPr>
            </w:pPr>
            <w:r w:rsidRPr="00023820">
              <w:rPr>
                <w:rFonts w:eastAsiaTheme="minorEastAsia" w:cs="Calibri"/>
                <w:b/>
                <w:bCs/>
                <w:color w:val="000000"/>
                <w:szCs w:val="16"/>
                <w:lang w:eastAsia="en-AU"/>
              </w:rPr>
              <w:t>Financial assets</w:t>
            </w:r>
          </w:p>
        </w:tc>
        <w:tc>
          <w:tcPr>
            <w:tcW w:w="822"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023820">
              <w:rPr>
                <w:rFonts w:eastAsiaTheme="minorEastAsia" w:cs="Calibri"/>
                <w:b/>
                <w:bCs/>
                <w:color w:val="000000"/>
                <w:lang w:eastAsia="en-AU"/>
              </w:rPr>
              <w:t xml:space="preserve"> </w:t>
            </w:r>
          </w:p>
        </w:tc>
        <w:tc>
          <w:tcPr>
            <w:tcW w:w="822"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023820">
              <w:rPr>
                <w:rFonts w:eastAsiaTheme="minorEastAsia" w:cs="Calibri"/>
                <w:b/>
                <w:bCs/>
                <w:color w:val="000000"/>
                <w:lang w:eastAsia="en-AU"/>
              </w:rPr>
              <w:t xml:space="preserve"> </w:t>
            </w:r>
          </w:p>
        </w:tc>
        <w:tc>
          <w:tcPr>
            <w:tcW w:w="821"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023820">
              <w:rPr>
                <w:rFonts w:eastAsiaTheme="minorEastAsia" w:cs="Calibri"/>
                <w:b/>
                <w:bCs/>
                <w:color w:val="000000"/>
                <w:lang w:eastAsia="en-AU"/>
              </w:rPr>
              <w:t xml:space="preserve"> </w:t>
            </w:r>
          </w:p>
        </w:tc>
        <w:tc>
          <w:tcPr>
            <w:tcW w:w="821"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023820">
              <w:rPr>
                <w:rFonts w:eastAsiaTheme="minorEastAsia" w:cs="Calibri"/>
                <w:b/>
                <w:bCs/>
                <w:color w:val="000000"/>
                <w:lang w:eastAsia="en-AU"/>
              </w:rPr>
              <w:t xml:space="preserve"> </w:t>
            </w:r>
          </w:p>
        </w:tc>
        <w:tc>
          <w:tcPr>
            <w:tcW w:w="821"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023820">
              <w:rPr>
                <w:rFonts w:eastAsiaTheme="minorEastAsia" w:cs="Calibri"/>
                <w:b/>
                <w:bCs/>
                <w:color w:val="000000"/>
                <w:lang w:eastAsia="en-AU"/>
              </w:rPr>
              <w:t xml:space="preserve"> </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3657" w:type="dxa"/>
            <w:tcBorders>
              <w:top w:val="nil"/>
              <w:left w:val="nil"/>
              <w:bottom w:val="nil"/>
              <w:right w:val="nil"/>
            </w:tcBorders>
          </w:tcPr>
          <w:p w:rsidR="00A46DCA" w:rsidRPr="00023820" w:rsidRDefault="00A46DCA" w:rsidP="00A26D04">
            <w:pPr>
              <w:keepLines w:val="0"/>
              <w:autoSpaceDE w:val="0"/>
              <w:autoSpaceDN w:val="0"/>
              <w:adjustRightInd w:val="0"/>
              <w:rPr>
                <w:rFonts w:eastAsiaTheme="minorEastAsia" w:cs="Calibri"/>
                <w:color w:val="000000"/>
                <w:szCs w:val="16"/>
                <w:lang w:eastAsia="en-AU"/>
              </w:rPr>
            </w:pPr>
            <w:r w:rsidRPr="00023820">
              <w:rPr>
                <w:rFonts w:eastAsiaTheme="minorEastAsia" w:cs="Calibri"/>
                <w:color w:val="000000"/>
                <w:szCs w:val="16"/>
                <w:lang w:eastAsia="en-AU"/>
              </w:rPr>
              <w:t>Cash and deposits</w:t>
            </w:r>
          </w:p>
        </w:tc>
        <w:tc>
          <w:tcPr>
            <w:tcW w:w="822"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874</w:t>
            </w:r>
          </w:p>
        </w:tc>
        <w:tc>
          <w:tcPr>
            <w:tcW w:w="822"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819</w:t>
            </w:r>
          </w:p>
        </w:tc>
        <w:tc>
          <w:tcPr>
            <w:tcW w:w="821"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812</w:t>
            </w:r>
          </w:p>
        </w:tc>
        <w:tc>
          <w:tcPr>
            <w:tcW w:w="821"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678</w:t>
            </w:r>
          </w:p>
        </w:tc>
        <w:tc>
          <w:tcPr>
            <w:tcW w:w="821"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756</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3657" w:type="dxa"/>
            <w:tcBorders>
              <w:top w:val="nil"/>
              <w:left w:val="nil"/>
              <w:bottom w:val="nil"/>
              <w:right w:val="nil"/>
            </w:tcBorders>
          </w:tcPr>
          <w:p w:rsidR="00A46DCA" w:rsidRPr="00023820" w:rsidRDefault="00A46DCA" w:rsidP="00A26D04">
            <w:pPr>
              <w:keepLines w:val="0"/>
              <w:autoSpaceDE w:val="0"/>
              <w:autoSpaceDN w:val="0"/>
              <w:adjustRightInd w:val="0"/>
              <w:rPr>
                <w:rFonts w:eastAsiaTheme="minorEastAsia" w:cs="Calibri"/>
                <w:color w:val="000000"/>
                <w:szCs w:val="16"/>
                <w:lang w:eastAsia="en-AU"/>
              </w:rPr>
            </w:pPr>
            <w:r w:rsidRPr="00023820">
              <w:rPr>
                <w:rFonts w:eastAsiaTheme="minorEastAsia" w:cs="Calibri"/>
                <w:color w:val="000000"/>
                <w:szCs w:val="16"/>
                <w:lang w:eastAsia="en-AU"/>
              </w:rPr>
              <w:t>Advances paid</w:t>
            </w:r>
          </w:p>
        </w:tc>
        <w:tc>
          <w:tcPr>
            <w:tcW w:w="822"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023820">
              <w:rPr>
                <w:rFonts w:eastAsiaTheme="minorEastAsia" w:cs="Calibri"/>
                <w:color w:val="000000"/>
                <w:szCs w:val="16"/>
                <w:lang w:eastAsia="en-AU"/>
              </w:rPr>
              <w:t>5 769</w:t>
            </w:r>
          </w:p>
        </w:tc>
        <w:tc>
          <w:tcPr>
            <w:tcW w:w="822"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023820">
              <w:rPr>
                <w:rFonts w:eastAsiaTheme="minorEastAsia" w:cs="Calibri"/>
                <w:color w:val="000000"/>
                <w:szCs w:val="16"/>
                <w:lang w:eastAsia="en-AU"/>
              </w:rPr>
              <w:t>5 406</w:t>
            </w:r>
          </w:p>
        </w:tc>
        <w:tc>
          <w:tcPr>
            <w:tcW w:w="821"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023820">
              <w:rPr>
                <w:rFonts w:eastAsiaTheme="minorEastAsia" w:cs="Calibri"/>
                <w:color w:val="000000"/>
                <w:szCs w:val="16"/>
                <w:lang w:eastAsia="en-AU"/>
              </w:rPr>
              <w:t>3 757</w:t>
            </w:r>
          </w:p>
        </w:tc>
        <w:tc>
          <w:tcPr>
            <w:tcW w:w="821"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023820">
              <w:rPr>
                <w:rFonts w:eastAsiaTheme="minorEastAsia" w:cs="Calibri"/>
                <w:color w:val="000000"/>
                <w:szCs w:val="16"/>
                <w:lang w:eastAsia="en-AU"/>
              </w:rPr>
              <w:t>2 211</w:t>
            </w:r>
          </w:p>
        </w:tc>
        <w:tc>
          <w:tcPr>
            <w:tcW w:w="821"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610</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3657" w:type="dxa"/>
            <w:tcBorders>
              <w:top w:val="nil"/>
              <w:left w:val="nil"/>
              <w:bottom w:val="nil"/>
              <w:right w:val="nil"/>
            </w:tcBorders>
          </w:tcPr>
          <w:p w:rsidR="00A46DCA" w:rsidRPr="00023820" w:rsidRDefault="00A46DCA" w:rsidP="00A26D04">
            <w:pPr>
              <w:keepLines w:val="0"/>
              <w:autoSpaceDE w:val="0"/>
              <w:autoSpaceDN w:val="0"/>
              <w:adjustRightInd w:val="0"/>
              <w:rPr>
                <w:rFonts w:eastAsiaTheme="minorEastAsia" w:cs="Calibri"/>
                <w:color w:val="000000"/>
                <w:szCs w:val="16"/>
                <w:lang w:eastAsia="en-AU"/>
              </w:rPr>
            </w:pPr>
            <w:r w:rsidRPr="00023820">
              <w:rPr>
                <w:rFonts w:eastAsiaTheme="minorEastAsia" w:cs="Calibri"/>
                <w:color w:val="000000"/>
                <w:szCs w:val="16"/>
                <w:lang w:eastAsia="en-AU"/>
              </w:rPr>
              <w:t>Receivables</w:t>
            </w:r>
          </w:p>
        </w:tc>
        <w:tc>
          <w:tcPr>
            <w:tcW w:w="822"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023820">
              <w:rPr>
                <w:rFonts w:eastAsiaTheme="minorEastAsia" w:cs="Calibri"/>
                <w:color w:val="000000"/>
                <w:szCs w:val="16"/>
                <w:lang w:eastAsia="en-AU"/>
              </w:rPr>
              <w:t>1 610</w:t>
            </w:r>
          </w:p>
        </w:tc>
        <w:tc>
          <w:tcPr>
            <w:tcW w:w="822"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023820">
              <w:rPr>
                <w:rFonts w:eastAsiaTheme="minorEastAsia" w:cs="Calibri"/>
                <w:color w:val="000000"/>
                <w:szCs w:val="16"/>
                <w:lang w:eastAsia="en-AU"/>
              </w:rPr>
              <w:t>1 632</w:t>
            </w:r>
          </w:p>
        </w:tc>
        <w:tc>
          <w:tcPr>
            <w:tcW w:w="821"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023820">
              <w:rPr>
                <w:rFonts w:eastAsiaTheme="minorEastAsia" w:cs="Calibri"/>
                <w:color w:val="000000"/>
                <w:szCs w:val="16"/>
                <w:lang w:eastAsia="en-AU"/>
              </w:rPr>
              <w:t>1 716</w:t>
            </w:r>
          </w:p>
        </w:tc>
        <w:tc>
          <w:tcPr>
            <w:tcW w:w="821"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023820">
              <w:rPr>
                <w:rFonts w:eastAsiaTheme="minorEastAsia" w:cs="Calibri"/>
                <w:color w:val="000000"/>
                <w:szCs w:val="16"/>
                <w:lang w:eastAsia="en-AU"/>
              </w:rPr>
              <w:t>1 848</w:t>
            </w:r>
          </w:p>
        </w:tc>
        <w:tc>
          <w:tcPr>
            <w:tcW w:w="821"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023820">
              <w:rPr>
                <w:rFonts w:eastAsiaTheme="minorEastAsia" w:cs="Calibri"/>
                <w:color w:val="000000"/>
                <w:szCs w:val="16"/>
                <w:lang w:eastAsia="en-AU"/>
              </w:rPr>
              <w:t>1 828</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3657" w:type="dxa"/>
            <w:tcBorders>
              <w:top w:val="nil"/>
              <w:left w:val="nil"/>
              <w:bottom w:val="nil"/>
              <w:right w:val="nil"/>
            </w:tcBorders>
          </w:tcPr>
          <w:p w:rsidR="00A46DCA" w:rsidRPr="00023820" w:rsidRDefault="00A46DCA" w:rsidP="00A26D04">
            <w:pPr>
              <w:keepLines w:val="0"/>
              <w:autoSpaceDE w:val="0"/>
              <w:autoSpaceDN w:val="0"/>
              <w:adjustRightInd w:val="0"/>
              <w:rPr>
                <w:rFonts w:eastAsiaTheme="minorEastAsia" w:cs="Calibri"/>
                <w:color w:val="000000"/>
                <w:szCs w:val="16"/>
                <w:lang w:eastAsia="en-AU"/>
              </w:rPr>
            </w:pPr>
            <w:r w:rsidRPr="00023820">
              <w:rPr>
                <w:rFonts w:eastAsiaTheme="minorEastAsia" w:cs="Calibri"/>
                <w:color w:val="000000"/>
                <w:szCs w:val="16"/>
                <w:lang w:eastAsia="en-AU"/>
              </w:rPr>
              <w:t>Investments, loans and placements</w:t>
            </w:r>
          </w:p>
        </w:tc>
        <w:tc>
          <w:tcPr>
            <w:tcW w:w="822"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979</w:t>
            </w:r>
          </w:p>
        </w:tc>
        <w:tc>
          <w:tcPr>
            <w:tcW w:w="822"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023820">
              <w:rPr>
                <w:rFonts w:eastAsiaTheme="minorEastAsia" w:cs="Calibri"/>
                <w:color w:val="000000"/>
                <w:szCs w:val="16"/>
                <w:lang w:eastAsia="en-AU"/>
              </w:rPr>
              <w:t>1 051</w:t>
            </w:r>
          </w:p>
        </w:tc>
        <w:tc>
          <w:tcPr>
            <w:tcW w:w="821"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023820">
              <w:rPr>
                <w:rFonts w:eastAsiaTheme="minorEastAsia" w:cs="Calibri"/>
                <w:color w:val="000000"/>
                <w:szCs w:val="16"/>
                <w:lang w:eastAsia="en-AU"/>
              </w:rPr>
              <w:t>1 024</w:t>
            </w:r>
          </w:p>
        </w:tc>
        <w:tc>
          <w:tcPr>
            <w:tcW w:w="821"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023820">
              <w:rPr>
                <w:rFonts w:eastAsiaTheme="minorEastAsia" w:cs="Calibri"/>
                <w:color w:val="000000"/>
                <w:szCs w:val="16"/>
                <w:lang w:eastAsia="en-AU"/>
              </w:rPr>
              <w:t>1 032</w:t>
            </w:r>
          </w:p>
        </w:tc>
        <w:tc>
          <w:tcPr>
            <w:tcW w:w="821"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892</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3657" w:type="dxa"/>
            <w:tcBorders>
              <w:top w:val="nil"/>
              <w:left w:val="nil"/>
              <w:bottom w:val="single" w:sz="6" w:space="0" w:color="000000"/>
              <w:right w:val="nil"/>
            </w:tcBorders>
          </w:tcPr>
          <w:p w:rsidR="00A46DCA" w:rsidRPr="00023820" w:rsidRDefault="00A46DCA" w:rsidP="00A26D04">
            <w:pPr>
              <w:keepLines w:val="0"/>
              <w:autoSpaceDE w:val="0"/>
              <w:autoSpaceDN w:val="0"/>
              <w:adjustRightInd w:val="0"/>
              <w:rPr>
                <w:rFonts w:eastAsiaTheme="minorEastAsia" w:cs="Calibri"/>
                <w:color w:val="000000"/>
                <w:szCs w:val="16"/>
                <w:lang w:eastAsia="en-AU"/>
              </w:rPr>
            </w:pPr>
            <w:r w:rsidRPr="00023820">
              <w:rPr>
                <w:rFonts w:eastAsiaTheme="minorEastAsia" w:cs="Calibri"/>
                <w:color w:val="000000"/>
                <w:szCs w:val="16"/>
                <w:lang w:eastAsia="en-AU"/>
              </w:rPr>
              <w:t>Investments accounted for using equity method</w:t>
            </w:r>
          </w:p>
        </w:tc>
        <w:tc>
          <w:tcPr>
            <w:tcW w:w="822" w:type="dxa"/>
            <w:tcBorders>
              <w:top w:val="nil"/>
              <w:left w:val="nil"/>
              <w:bottom w:val="single" w:sz="6" w:space="0" w:color="000000"/>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023820">
              <w:rPr>
                <w:rFonts w:eastAsiaTheme="minorEastAsia" w:cs="Calibri"/>
                <w:color w:val="000000"/>
                <w:szCs w:val="16"/>
                <w:lang w:eastAsia="en-AU"/>
              </w:rPr>
              <w:t>1 661</w:t>
            </w:r>
          </w:p>
        </w:tc>
        <w:tc>
          <w:tcPr>
            <w:tcW w:w="822" w:type="dxa"/>
            <w:tcBorders>
              <w:top w:val="nil"/>
              <w:left w:val="nil"/>
              <w:bottom w:val="single" w:sz="6" w:space="0" w:color="000000"/>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023820">
              <w:rPr>
                <w:rFonts w:eastAsiaTheme="minorEastAsia" w:cs="Calibri"/>
                <w:color w:val="000000"/>
                <w:szCs w:val="16"/>
                <w:lang w:eastAsia="en-AU"/>
              </w:rPr>
              <w:t>1 675</w:t>
            </w:r>
          </w:p>
        </w:tc>
        <w:tc>
          <w:tcPr>
            <w:tcW w:w="821" w:type="dxa"/>
            <w:tcBorders>
              <w:top w:val="nil"/>
              <w:left w:val="nil"/>
              <w:bottom w:val="single" w:sz="6" w:space="0" w:color="000000"/>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023820">
              <w:rPr>
                <w:rFonts w:eastAsiaTheme="minorEastAsia" w:cs="Calibri"/>
                <w:color w:val="000000"/>
                <w:szCs w:val="16"/>
                <w:lang w:eastAsia="en-AU"/>
              </w:rPr>
              <w:t>1 708</w:t>
            </w:r>
          </w:p>
        </w:tc>
        <w:tc>
          <w:tcPr>
            <w:tcW w:w="821" w:type="dxa"/>
            <w:tcBorders>
              <w:top w:val="nil"/>
              <w:left w:val="nil"/>
              <w:bottom w:val="single" w:sz="6" w:space="0" w:color="000000"/>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023820">
              <w:rPr>
                <w:rFonts w:eastAsiaTheme="minorEastAsia" w:cs="Calibri"/>
                <w:color w:val="000000"/>
                <w:szCs w:val="16"/>
                <w:lang w:eastAsia="en-AU"/>
              </w:rPr>
              <w:t>1 742</w:t>
            </w:r>
          </w:p>
        </w:tc>
        <w:tc>
          <w:tcPr>
            <w:tcW w:w="821" w:type="dxa"/>
            <w:tcBorders>
              <w:top w:val="nil"/>
              <w:left w:val="nil"/>
              <w:bottom w:val="single" w:sz="6" w:space="0" w:color="000000"/>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023820">
              <w:rPr>
                <w:rFonts w:eastAsiaTheme="minorEastAsia" w:cs="Calibri"/>
                <w:color w:val="000000"/>
                <w:szCs w:val="16"/>
                <w:lang w:eastAsia="en-AU"/>
              </w:rPr>
              <w:t>1 786</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3657" w:type="dxa"/>
            <w:tcBorders>
              <w:top w:val="nil"/>
              <w:left w:val="nil"/>
              <w:bottom w:val="nil"/>
              <w:right w:val="nil"/>
            </w:tcBorders>
          </w:tcPr>
          <w:p w:rsidR="00A46DCA" w:rsidRPr="00023820" w:rsidRDefault="00A46DCA" w:rsidP="00A26D04">
            <w:pPr>
              <w:keepLines w:val="0"/>
              <w:autoSpaceDE w:val="0"/>
              <w:autoSpaceDN w:val="0"/>
              <w:adjustRightInd w:val="0"/>
              <w:rPr>
                <w:rFonts w:eastAsiaTheme="minorEastAsia" w:cs="Calibri"/>
                <w:b/>
                <w:bCs/>
                <w:color w:val="000000"/>
                <w:szCs w:val="16"/>
                <w:lang w:eastAsia="en-AU"/>
              </w:rPr>
            </w:pPr>
            <w:r w:rsidRPr="00023820">
              <w:rPr>
                <w:rFonts w:eastAsiaTheme="minorEastAsia" w:cs="Calibri"/>
                <w:b/>
                <w:bCs/>
                <w:color w:val="000000"/>
                <w:szCs w:val="16"/>
                <w:lang w:eastAsia="en-AU"/>
              </w:rPr>
              <w:t>Total financial assets</w:t>
            </w:r>
          </w:p>
        </w:tc>
        <w:tc>
          <w:tcPr>
            <w:tcW w:w="822"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023820">
              <w:rPr>
                <w:rFonts w:eastAsiaTheme="minorEastAsia" w:cs="Calibri"/>
                <w:b/>
                <w:bCs/>
                <w:color w:val="000000"/>
                <w:szCs w:val="16"/>
                <w:lang w:eastAsia="en-AU"/>
              </w:rPr>
              <w:t>10 893</w:t>
            </w:r>
          </w:p>
        </w:tc>
        <w:tc>
          <w:tcPr>
            <w:tcW w:w="822"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023820">
              <w:rPr>
                <w:rFonts w:eastAsiaTheme="minorEastAsia" w:cs="Calibri"/>
                <w:b/>
                <w:bCs/>
                <w:color w:val="000000"/>
                <w:szCs w:val="16"/>
                <w:lang w:eastAsia="en-AU"/>
              </w:rPr>
              <w:t>10 583</w:t>
            </w:r>
          </w:p>
        </w:tc>
        <w:tc>
          <w:tcPr>
            <w:tcW w:w="821"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023820">
              <w:rPr>
                <w:rFonts w:eastAsiaTheme="minorEastAsia" w:cs="Calibri"/>
                <w:b/>
                <w:bCs/>
                <w:color w:val="000000"/>
                <w:szCs w:val="16"/>
                <w:lang w:eastAsia="en-AU"/>
              </w:rPr>
              <w:t>9 016</w:t>
            </w:r>
          </w:p>
        </w:tc>
        <w:tc>
          <w:tcPr>
            <w:tcW w:w="821"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023820">
              <w:rPr>
                <w:rFonts w:eastAsiaTheme="minorEastAsia" w:cs="Calibri"/>
                <w:b/>
                <w:bCs/>
                <w:color w:val="000000"/>
                <w:szCs w:val="16"/>
                <w:lang w:eastAsia="en-AU"/>
              </w:rPr>
              <w:t>7 510</w:t>
            </w:r>
          </w:p>
        </w:tc>
        <w:tc>
          <w:tcPr>
            <w:tcW w:w="821"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023820">
              <w:rPr>
                <w:rFonts w:eastAsiaTheme="minorEastAsia" w:cs="Calibri"/>
                <w:b/>
                <w:bCs/>
                <w:color w:val="000000"/>
                <w:szCs w:val="16"/>
                <w:lang w:eastAsia="en-AU"/>
              </w:rPr>
              <w:t>5 873</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3657" w:type="dxa"/>
            <w:tcBorders>
              <w:top w:val="nil"/>
              <w:left w:val="nil"/>
              <w:bottom w:val="nil"/>
              <w:right w:val="nil"/>
            </w:tcBorders>
          </w:tcPr>
          <w:p w:rsidR="00A46DCA" w:rsidRPr="00023820" w:rsidRDefault="00A46DCA" w:rsidP="00A26D04">
            <w:pPr>
              <w:keepLines w:val="0"/>
              <w:autoSpaceDE w:val="0"/>
              <w:autoSpaceDN w:val="0"/>
              <w:adjustRightInd w:val="0"/>
              <w:rPr>
                <w:rFonts w:eastAsiaTheme="minorEastAsia" w:cs="Calibri"/>
                <w:b/>
                <w:bCs/>
                <w:color w:val="000000"/>
                <w:szCs w:val="16"/>
                <w:lang w:eastAsia="en-AU"/>
              </w:rPr>
            </w:pPr>
            <w:r w:rsidRPr="00023820">
              <w:rPr>
                <w:rFonts w:eastAsiaTheme="minorEastAsia" w:cs="Calibri"/>
                <w:b/>
                <w:bCs/>
                <w:color w:val="000000"/>
                <w:szCs w:val="16"/>
                <w:lang w:eastAsia="en-AU"/>
              </w:rPr>
              <w:t>Non-financial assets</w:t>
            </w:r>
          </w:p>
        </w:tc>
        <w:tc>
          <w:tcPr>
            <w:tcW w:w="822"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023820">
              <w:rPr>
                <w:rFonts w:eastAsiaTheme="minorEastAsia" w:cs="Calibri"/>
                <w:b/>
                <w:bCs/>
                <w:color w:val="000000"/>
                <w:lang w:eastAsia="en-AU"/>
              </w:rPr>
              <w:t xml:space="preserve"> </w:t>
            </w:r>
          </w:p>
        </w:tc>
        <w:tc>
          <w:tcPr>
            <w:tcW w:w="822"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023820">
              <w:rPr>
                <w:rFonts w:eastAsiaTheme="minorEastAsia" w:cs="Calibri"/>
                <w:b/>
                <w:bCs/>
                <w:color w:val="000000"/>
                <w:lang w:eastAsia="en-AU"/>
              </w:rPr>
              <w:t xml:space="preserve"> </w:t>
            </w:r>
          </w:p>
        </w:tc>
        <w:tc>
          <w:tcPr>
            <w:tcW w:w="821"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023820">
              <w:rPr>
                <w:rFonts w:eastAsiaTheme="minorEastAsia" w:cs="Calibri"/>
                <w:b/>
                <w:bCs/>
                <w:color w:val="000000"/>
                <w:lang w:eastAsia="en-AU"/>
              </w:rPr>
              <w:t xml:space="preserve"> </w:t>
            </w:r>
          </w:p>
        </w:tc>
        <w:tc>
          <w:tcPr>
            <w:tcW w:w="821"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023820">
              <w:rPr>
                <w:rFonts w:eastAsiaTheme="minorEastAsia" w:cs="Calibri"/>
                <w:b/>
                <w:bCs/>
                <w:color w:val="000000"/>
                <w:lang w:eastAsia="en-AU"/>
              </w:rPr>
              <w:t xml:space="preserve"> </w:t>
            </w:r>
          </w:p>
        </w:tc>
        <w:tc>
          <w:tcPr>
            <w:tcW w:w="821"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023820">
              <w:rPr>
                <w:rFonts w:eastAsiaTheme="minorEastAsia" w:cs="Calibri"/>
                <w:b/>
                <w:bCs/>
                <w:color w:val="000000"/>
                <w:lang w:eastAsia="en-AU"/>
              </w:rPr>
              <w:t xml:space="preserve"> </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3657" w:type="dxa"/>
            <w:tcBorders>
              <w:top w:val="nil"/>
              <w:left w:val="nil"/>
              <w:bottom w:val="nil"/>
              <w:right w:val="nil"/>
            </w:tcBorders>
          </w:tcPr>
          <w:p w:rsidR="00A46DCA" w:rsidRPr="00023820" w:rsidRDefault="00A46DCA" w:rsidP="00A26D04">
            <w:pPr>
              <w:keepLines w:val="0"/>
              <w:autoSpaceDE w:val="0"/>
              <w:autoSpaceDN w:val="0"/>
              <w:adjustRightInd w:val="0"/>
              <w:rPr>
                <w:rFonts w:eastAsiaTheme="minorEastAsia" w:cs="Calibri"/>
                <w:color w:val="000000"/>
                <w:szCs w:val="16"/>
                <w:lang w:eastAsia="en-AU"/>
              </w:rPr>
            </w:pPr>
            <w:r w:rsidRPr="00023820">
              <w:rPr>
                <w:rFonts w:eastAsiaTheme="minorEastAsia" w:cs="Calibri"/>
                <w:color w:val="000000"/>
                <w:szCs w:val="16"/>
                <w:lang w:eastAsia="en-AU"/>
              </w:rPr>
              <w:t>Inventories</w:t>
            </w:r>
          </w:p>
        </w:tc>
        <w:tc>
          <w:tcPr>
            <w:tcW w:w="822"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981</w:t>
            </w:r>
          </w:p>
        </w:tc>
        <w:tc>
          <w:tcPr>
            <w:tcW w:w="822"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760</w:t>
            </w:r>
          </w:p>
        </w:tc>
        <w:tc>
          <w:tcPr>
            <w:tcW w:w="821"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023820">
              <w:rPr>
                <w:rFonts w:eastAsiaTheme="minorEastAsia" w:cs="Calibri"/>
                <w:color w:val="000000"/>
                <w:szCs w:val="16"/>
                <w:lang w:eastAsia="en-AU"/>
              </w:rPr>
              <w:t>1 006</w:t>
            </w:r>
          </w:p>
        </w:tc>
        <w:tc>
          <w:tcPr>
            <w:tcW w:w="821"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023820">
              <w:rPr>
                <w:rFonts w:eastAsiaTheme="minorEastAsia" w:cs="Calibri"/>
                <w:color w:val="000000"/>
                <w:szCs w:val="16"/>
                <w:lang w:eastAsia="en-AU"/>
              </w:rPr>
              <w:t>1 275</w:t>
            </w:r>
          </w:p>
        </w:tc>
        <w:tc>
          <w:tcPr>
            <w:tcW w:w="821"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023820">
              <w:rPr>
                <w:rFonts w:eastAsiaTheme="minorEastAsia" w:cs="Calibri"/>
                <w:color w:val="000000"/>
                <w:szCs w:val="16"/>
                <w:lang w:eastAsia="en-AU"/>
              </w:rPr>
              <w:t>1 134</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3657" w:type="dxa"/>
            <w:tcBorders>
              <w:top w:val="nil"/>
              <w:left w:val="nil"/>
              <w:bottom w:val="nil"/>
              <w:right w:val="nil"/>
            </w:tcBorders>
          </w:tcPr>
          <w:p w:rsidR="00A46DCA" w:rsidRPr="00023820" w:rsidRDefault="00A46DCA" w:rsidP="00A26D04">
            <w:pPr>
              <w:keepLines w:val="0"/>
              <w:autoSpaceDE w:val="0"/>
              <w:autoSpaceDN w:val="0"/>
              <w:adjustRightInd w:val="0"/>
              <w:rPr>
                <w:rFonts w:eastAsiaTheme="minorEastAsia" w:cs="Calibri"/>
                <w:color w:val="000000"/>
                <w:szCs w:val="16"/>
                <w:lang w:eastAsia="en-AU"/>
              </w:rPr>
            </w:pPr>
            <w:r w:rsidRPr="00023820">
              <w:rPr>
                <w:rFonts w:eastAsiaTheme="minorEastAsia" w:cs="Calibri"/>
                <w:color w:val="000000"/>
                <w:szCs w:val="16"/>
                <w:lang w:eastAsia="en-AU"/>
              </w:rPr>
              <w:t>Non-financial assets held for sale</w:t>
            </w:r>
          </w:p>
        </w:tc>
        <w:tc>
          <w:tcPr>
            <w:tcW w:w="822"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29</w:t>
            </w:r>
          </w:p>
        </w:tc>
        <w:tc>
          <w:tcPr>
            <w:tcW w:w="822"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23</w:t>
            </w:r>
          </w:p>
        </w:tc>
        <w:tc>
          <w:tcPr>
            <w:tcW w:w="821"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22</w:t>
            </w:r>
          </w:p>
        </w:tc>
        <w:tc>
          <w:tcPr>
            <w:tcW w:w="821"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22</w:t>
            </w:r>
          </w:p>
        </w:tc>
        <w:tc>
          <w:tcPr>
            <w:tcW w:w="821"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22</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3657" w:type="dxa"/>
            <w:tcBorders>
              <w:top w:val="nil"/>
              <w:left w:val="nil"/>
              <w:bottom w:val="nil"/>
              <w:right w:val="nil"/>
            </w:tcBorders>
          </w:tcPr>
          <w:p w:rsidR="00A46DCA" w:rsidRPr="00023820" w:rsidRDefault="00A46DCA" w:rsidP="00A26D04">
            <w:pPr>
              <w:keepLines w:val="0"/>
              <w:autoSpaceDE w:val="0"/>
              <w:autoSpaceDN w:val="0"/>
              <w:adjustRightInd w:val="0"/>
              <w:rPr>
                <w:rFonts w:eastAsiaTheme="minorEastAsia" w:cs="Calibri"/>
                <w:color w:val="000000"/>
                <w:szCs w:val="16"/>
                <w:lang w:eastAsia="en-AU"/>
              </w:rPr>
            </w:pPr>
            <w:r w:rsidRPr="00023820">
              <w:rPr>
                <w:rFonts w:eastAsiaTheme="minorEastAsia" w:cs="Calibri"/>
                <w:color w:val="000000"/>
                <w:szCs w:val="16"/>
                <w:lang w:eastAsia="en-AU"/>
              </w:rPr>
              <w:t>Land, buildings, infrastructure, plant and equipment</w:t>
            </w:r>
          </w:p>
        </w:tc>
        <w:tc>
          <w:tcPr>
            <w:tcW w:w="822"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023820">
              <w:rPr>
                <w:rFonts w:eastAsiaTheme="minorEastAsia" w:cs="Calibri"/>
                <w:color w:val="000000"/>
                <w:szCs w:val="16"/>
                <w:lang w:eastAsia="en-AU"/>
              </w:rPr>
              <w:t>121 455</w:t>
            </w:r>
          </w:p>
        </w:tc>
        <w:tc>
          <w:tcPr>
            <w:tcW w:w="822"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023820">
              <w:rPr>
                <w:rFonts w:eastAsiaTheme="minorEastAsia" w:cs="Calibri"/>
                <w:color w:val="000000"/>
                <w:szCs w:val="16"/>
                <w:lang w:eastAsia="en-AU"/>
              </w:rPr>
              <w:t>122 019</w:t>
            </w:r>
          </w:p>
        </w:tc>
        <w:tc>
          <w:tcPr>
            <w:tcW w:w="821"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023820">
              <w:rPr>
                <w:rFonts w:eastAsiaTheme="minorEastAsia" w:cs="Calibri"/>
                <w:color w:val="000000"/>
                <w:szCs w:val="16"/>
                <w:lang w:eastAsia="en-AU"/>
              </w:rPr>
              <w:t>127 910</w:t>
            </w:r>
          </w:p>
        </w:tc>
        <w:tc>
          <w:tcPr>
            <w:tcW w:w="821"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023820">
              <w:rPr>
                <w:rFonts w:eastAsiaTheme="minorEastAsia" w:cs="Calibri"/>
                <w:color w:val="000000"/>
                <w:szCs w:val="16"/>
                <w:lang w:eastAsia="en-AU"/>
              </w:rPr>
              <w:t>132 935</w:t>
            </w:r>
          </w:p>
        </w:tc>
        <w:tc>
          <w:tcPr>
            <w:tcW w:w="821"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023820">
              <w:rPr>
                <w:rFonts w:eastAsiaTheme="minorEastAsia" w:cs="Calibri"/>
                <w:color w:val="000000"/>
                <w:szCs w:val="16"/>
                <w:lang w:eastAsia="en-AU"/>
              </w:rPr>
              <w:t>137 517</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3657" w:type="dxa"/>
            <w:tcBorders>
              <w:top w:val="nil"/>
              <w:left w:val="nil"/>
              <w:bottom w:val="nil"/>
              <w:right w:val="nil"/>
            </w:tcBorders>
          </w:tcPr>
          <w:p w:rsidR="00A46DCA" w:rsidRPr="00023820" w:rsidRDefault="00A46DCA" w:rsidP="00A26D04">
            <w:pPr>
              <w:keepLines w:val="0"/>
              <w:autoSpaceDE w:val="0"/>
              <w:autoSpaceDN w:val="0"/>
              <w:adjustRightInd w:val="0"/>
              <w:rPr>
                <w:rFonts w:eastAsiaTheme="minorEastAsia" w:cs="Calibri"/>
                <w:color w:val="000000"/>
                <w:szCs w:val="16"/>
                <w:lang w:eastAsia="en-AU"/>
              </w:rPr>
            </w:pPr>
            <w:r w:rsidRPr="00023820">
              <w:rPr>
                <w:rFonts w:eastAsiaTheme="minorEastAsia" w:cs="Calibri"/>
                <w:color w:val="000000"/>
                <w:szCs w:val="16"/>
                <w:lang w:eastAsia="en-AU"/>
              </w:rPr>
              <w:t>Other non-financial assets</w:t>
            </w:r>
          </w:p>
        </w:tc>
        <w:tc>
          <w:tcPr>
            <w:tcW w:w="822"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023820">
              <w:rPr>
                <w:rFonts w:eastAsiaTheme="minorEastAsia" w:cs="Calibri"/>
                <w:color w:val="000000"/>
                <w:szCs w:val="16"/>
                <w:lang w:eastAsia="en-AU"/>
              </w:rPr>
              <w:t>1 491</w:t>
            </w:r>
          </w:p>
        </w:tc>
        <w:tc>
          <w:tcPr>
            <w:tcW w:w="822"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023820">
              <w:rPr>
                <w:rFonts w:eastAsiaTheme="minorEastAsia" w:cs="Calibri"/>
                <w:color w:val="000000"/>
                <w:szCs w:val="16"/>
                <w:lang w:eastAsia="en-AU"/>
              </w:rPr>
              <w:t>1 389</w:t>
            </w:r>
          </w:p>
        </w:tc>
        <w:tc>
          <w:tcPr>
            <w:tcW w:w="821"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023820">
              <w:rPr>
                <w:rFonts w:eastAsiaTheme="minorEastAsia" w:cs="Calibri"/>
                <w:color w:val="000000"/>
                <w:szCs w:val="16"/>
                <w:lang w:eastAsia="en-AU"/>
              </w:rPr>
              <w:t>1 357</w:t>
            </w:r>
          </w:p>
        </w:tc>
        <w:tc>
          <w:tcPr>
            <w:tcW w:w="821"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023820">
              <w:rPr>
                <w:rFonts w:eastAsiaTheme="minorEastAsia" w:cs="Calibri"/>
                <w:color w:val="000000"/>
                <w:szCs w:val="16"/>
                <w:lang w:eastAsia="en-AU"/>
              </w:rPr>
              <w:t>1 299</w:t>
            </w:r>
          </w:p>
        </w:tc>
        <w:tc>
          <w:tcPr>
            <w:tcW w:w="821"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023820">
              <w:rPr>
                <w:rFonts w:eastAsiaTheme="minorEastAsia" w:cs="Calibri"/>
                <w:color w:val="000000"/>
                <w:szCs w:val="16"/>
                <w:lang w:eastAsia="en-AU"/>
              </w:rPr>
              <w:t>1 295</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3657" w:type="dxa"/>
            <w:tcBorders>
              <w:top w:val="single" w:sz="6" w:space="0" w:color="000000"/>
              <w:left w:val="nil"/>
              <w:bottom w:val="single" w:sz="6" w:space="0" w:color="000000"/>
              <w:right w:val="nil"/>
            </w:tcBorders>
          </w:tcPr>
          <w:p w:rsidR="00A46DCA" w:rsidRPr="00023820" w:rsidRDefault="00A46DCA" w:rsidP="00A26D04">
            <w:pPr>
              <w:keepLines w:val="0"/>
              <w:autoSpaceDE w:val="0"/>
              <w:autoSpaceDN w:val="0"/>
              <w:adjustRightInd w:val="0"/>
              <w:rPr>
                <w:rFonts w:eastAsiaTheme="minorEastAsia" w:cs="Calibri"/>
                <w:b/>
                <w:bCs/>
                <w:color w:val="000000"/>
                <w:szCs w:val="16"/>
                <w:lang w:eastAsia="en-AU"/>
              </w:rPr>
            </w:pPr>
            <w:r w:rsidRPr="00023820">
              <w:rPr>
                <w:rFonts w:eastAsiaTheme="minorEastAsia" w:cs="Calibri"/>
                <w:b/>
                <w:bCs/>
                <w:color w:val="000000"/>
                <w:szCs w:val="16"/>
                <w:lang w:eastAsia="en-AU"/>
              </w:rPr>
              <w:t>Total non-financial assets</w:t>
            </w:r>
          </w:p>
        </w:tc>
        <w:tc>
          <w:tcPr>
            <w:tcW w:w="822" w:type="dxa"/>
            <w:tcBorders>
              <w:top w:val="single" w:sz="6" w:space="0" w:color="000000"/>
              <w:left w:val="nil"/>
              <w:bottom w:val="single" w:sz="6" w:space="0" w:color="000000"/>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023820">
              <w:rPr>
                <w:rFonts w:eastAsiaTheme="minorEastAsia" w:cs="Calibri"/>
                <w:b/>
                <w:bCs/>
                <w:color w:val="000000"/>
                <w:szCs w:val="16"/>
                <w:lang w:eastAsia="en-AU"/>
              </w:rPr>
              <w:t>123 955</w:t>
            </w:r>
          </w:p>
        </w:tc>
        <w:tc>
          <w:tcPr>
            <w:tcW w:w="822" w:type="dxa"/>
            <w:tcBorders>
              <w:top w:val="single" w:sz="6" w:space="0" w:color="000000"/>
              <w:left w:val="nil"/>
              <w:bottom w:val="single" w:sz="6" w:space="0" w:color="000000"/>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023820">
              <w:rPr>
                <w:rFonts w:eastAsiaTheme="minorEastAsia" w:cs="Calibri"/>
                <w:b/>
                <w:bCs/>
                <w:color w:val="000000"/>
                <w:szCs w:val="16"/>
                <w:lang w:eastAsia="en-AU"/>
              </w:rPr>
              <w:t>124 190</w:t>
            </w:r>
          </w:p>
        </w:tc>
        <w:tc>
          <w:tcPr>
            <w:tcW w:w="821" w:type="dxa"/>
            <w:tcBorders>
              <w:top w:val="single" w:sz="6" w:space="0" w:color="000000"/>
              <w:left w:val="nil"/>
              <w:bottom w:val="single" w:sz="6" w:space="0" w:color="000000"/>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023820">
              <w:rPr>
                <w:rFonts w:eastAsiaTheme="minorEastAsia" w:cs="Calibri"/>
                <w:b/>
                <w:bCs/>
                <w:color w:val="000000"/>
                <w:szCs w:val="16"/>
                <w:lang w:eastAsia="en-AU"/>
              </w:rPr>
              <w:t>130 296</w:t>
            </w:r>
          </w:p>
        </w:tc>
        <w:tc>
          <w:tcPr>
            <w:tcW w:w="821" w:type="dxa"/>
            <w:tcBorders>
              <w:top w:val="single" w:sz="6" w:space="0" w:color="000000"/>
              <w:left w:val="nil"/>
              <w:bottom w:val="single" w:sz="6" w:space="0" w:color="000000"/>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023820">
              <w:rPr>
                <w:rFonts w:eastAsiaTheme="minorEastAsia" w:cs="Calibri"/>
                <w:b/>
                <w:bCs/>
                <w:color w:val="000000"/>
                <w:szCs w:val="16"/>
                <w:lang w:eastAsia="en-AU"/>
              </w:rPr>
              <w:t>135 532</w:t>
            </w:r>
          </w:p>
        </w:tc>
        <w:tc>
          <w:tcPr>
            <w:tcW w:w="821" w:type="dxa"/>
            <w:tcBorders>
              <w:top w:val="single" w:sz="6" w:space="0" w:color="000000"/>
              <w:left w:val="nil"/>
              <w:bottom w:val="single" w:sz="6" w:space="0" w:color="000000"/>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023820">
              <w:rPr>
                <w:rFonts w:eastAsiaTheme="minorEastAsia" w:cs="Calibri"/>
                <w:b/>
                <w:bCs/>
                <w:color w:val="000000"/>
                <w:szCs w:val="16"/>
                <w:lang w:eastAsia="en-AU"/>
              </w:rPr>
              <w:t>139 968</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3657" w:type="dxa"/>
            <w:tcBorders>
              <w:top w:val="nil"/>
              <w:left w:val="nil"/>
              <w:bottom w:val="nil"/>
              <w:right w:val="nil"/>
            </w:tcBorders>
          </w:tcPr>
          <w:p w:rsidR="00A46DCA" w:rsidRPr="00023820" w:rsidRDefault="00A46DCA" w:rsidP="00A26D04">
            <w:pPr>
              <w:keepLines w:val="0"/>
              <w:autoSpaceDE w:val="0"/>
              <w:autoSpaceDN w:val="0"/>
              <w:adjustRightInd w:val="0"/>
              <w:rPr>
                <w:rFonts w:eastAsiaTheme="minorEastAsia" w:cs="Calibri"/>
                <w:b/>
                <w:bCs/>
                <w:color w:val="000000"/>
                <w:szCs w:val="16"/>
                <w:lang w:eastAsia="en-AU"/>
              </w:rPr>
            </w:pPr>
            <w:r w:rsidRPr="00023820">
              <w:rPr>
                <w:rFonts w:eastAsiaTheme="minorEastAsia" w:cs="Calibri"/>
                <w:b/>
                <w:bCs/>
                <w:color w:val="000000"/>
                <w:szCs w:val="16"/>
                <w:lang w:eastAsia="en-AU"/>
              </w:rPr>
              <w:t>Total assets</w:t>
            </w:r>
          </w:p>
        </w:tc>
        <w:tc>
          <w:tcPr>
            <w:tcW w:w="822"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023820">
              <w:rPr>
                <w:rFonts w:eastAsiaTheme="minorEastAsia" w:cs="Calibri"/>
                <w:b/>
                <w:bCs/>
                <w:color w:val="000000"/>
                <w:szCs w:val="16"/>
                <w:lang w:eastAsia="en-AU"/>
              </w:rPr>
              <w:t>134 848</w:t>
            </w:r>
          </w:p>
        </w:tc>
        <w:tc>
          <w:tcPr>
            <w:tcW w:w="822"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023820">
              <w:rPr>
                <w:rFonts w:eastAsiaTheme="minorEastAsia" w:cs="Calibri"/>
                <w:b/>
                <w:bCs/>
                <w:color w:val="000000"/>
                <w:szCs w:val="16"/>
                <w:lang w:eastAsia="en-AU"/>
              </w:rPr>
              <w:t>134 774</w:t>
            </w:r>
          </w:p>
        </w:tc>
        <w:tc>
          <w:tcPr>
            <w:tcW w:w="821"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023820">
              <w:rPr>
                <w:rFonts w:eastAsiaTheme="minorEastAsia" w:cs="Calibri"/>
                <w:b/>
                <w:bCs/>
                <w:color w:val="000000"/>
                <w:szCs w:val="16"/>
                <w:lang w:eastAsia="en-AU"/>
              </w:rPr>
              <w:t>139 312</w:t>
            </w:r>
          </w:p>
        </w:tc>
        <w:tc>
          <w:tcPr>
            <w:tcW w:w="821"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023820">
              <w:rPr>
                <w:rFonts w:eastAsiaTheme="minorEastAsia" w:cs="Calibri"/>
                <w:b/>
                <w:bCs/>
                <w:color w:val="000000"/>
                <w:szCs w:val="16"/>
                <w:lang w:eastAsia="en-AU"/>
              </w:rPr>
              <w:t>143 042</w:t>
            </w:r>
          </w:p>
        </w:tc>
        <w:tc>
          <w:tcPr>
            <w:tcW w:w="821"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023820">
              <w:rPr>
                <w:rFonts w:eastAsiaTheme="minorEastAsia" w:cs="Calibri"/>
                <w:b/>
                <w:bCs/>
                <w:color w:val="000000"/>
                <w:szCs w:val="16"/>
                <w:lang w:eastAsia="en-AU"/>
              </w:rPr>
              <w:t>145 840</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3657" w:type="dxa"/>
            <w:tcBorders>
              <w:top w:val="nil"/>
              <w:left w:val="nil"/>
              <w:bottom w:val="nil"/>
              <w:right w:val="nil"/>
            </w:tcBorders>
          </w:tcPr>
          <w:p w:rsidR="00A46DCA" w:rsidRPr="00023820" w:rsidRDefault="00A46DCA" w:rsidP="00A26D04">
            <w:pPr>
              <w:keepLines w:val="0"/>
              <w:autoSpaceDE w:val="0"/>
              <w:autoSpaceDN w:val="0"/>
              <w:adjustRightInd w:val="0"/>
              <w:rPr>
                <w:rFonts w:eastAsiaTheme="minorEastAsia" w:cs="Calibri"/>
                <w:b/>
                <w:bCs/>
                <w:color w:val="000000"/>
                <w:szCs w:val="16"/>
                <w:lang w:eastAsia="en-AU"/>
              </w:rPr>
            </w:pPr>
            <w:r w:rsidRPr="00023820">
              <w:rPr>
                <w:rFonts w:eastAsiaTheme="minorEastAsia" w:cs="Calibri"/>
                <w:b/>
                <w:bCs/>
                <w:color w:val="000000"/>
                <w:szCs w:val="16"/>
                <w:lang w:eastAsia="en-AU"/>
              </w:rPr>
              <w:t>Liabilities</w:t>
            </w:r>
          </w:p>
        </w:tc>
        <w:tc>
          <w:tcPr>
            <w:tcW w:w="822"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023820">
              <w:rPr>
                <w:rFonts w:eastAsiaTheme="minorEastAsia" w:cs="Calibri"/>
                <w:b/>
                <w:bCs/>
                <w:color w:val="000000"/>
                <w:lang w:eastAsia="en-AU"/>
              </w:rPr>
              <w:t xml:space="preserve"> </w:t>
            </w:r>
          </w:p>
        </w:tc>
        <w:tc>
          <w:tcPr>
            <w:tcW w:w="822"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023820">
              <w:rPr>
                <w:rFonts w:eastAsiaTheme="minorEastAsia" w:cs="Calibri"/>
                <w:b/>
                <w:bCs/>
                <w:color w:val="000000"/>
                <w:lang w:eastAsia="en-AU"/>
              </w:rPr>
              <w:t xml:space="preserve"> </w:t>
            </w:r>
          </w:p>
        </w:tc>
        <w:tc>
          <w:tcPr>
            <w:tcW w:w="821"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023820">
              <w:rPr>
                <w:rFonts w:eastAsiaTheme="minorEastAsia" w:cs="Calibri"/>
                <w:b/>
                <w:bCs/>
                <w:color w:val="000000"/>
                <w:lang w:eastAsia="en-AU"/>
              </w:rPr>
              <w:t xml:space="preserve"> </w:t>
            </w:r>
          </w:p>
        </w:tc>
        <w:tc>
          <w:tcPr>
            <w:tcW w:w="821"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023820">
              <w:rPr>
                <w:rFonts w:eastAsiaTheme="minorEastAsia" w:cs="Calibri"/>
                <w:b/>
                <w:bCs/>
                <w:color w:val="000000"/>
                <w:lang w:eastAsia="en-AU"/>
              </w:rPr>
              <w:t xml:space="preserve"> </w:t>
            </w:r>
          </w:p>
        </w:tc>
        <w:tc>
          <w:tcPr>
            <w:tcW w:w="821"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023820">
              <w:rPr>
                <w:rFonts w:eastAsiaTheme="minorEastAsia" w:cs="Calibri"/>
                <w:b/>
                <w:bCs/>
                <w:color w:val="000000"/>
                <w:lang w:eastAsia="en-AU"/>
              </w:rPr>
              <w:t xml:space="preserve"> </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3657" w:type="dxa"/>
            <w:tcBorders>
              <w:top w:val="nil"/>
              <w:left w:val="nil"/>
              <w:bottom w:val="nil"/>
              <w:right w:val="nil"/>
            </w:tcBorders>
          </w:tcPr>
          <w:p w:rsidR="00A46DCA" w:rsidRPr="00023820" w:rsidRDefault="00A46DCA" w:rsidP="00A26D04">
            <w:pPr>
              <w:keepLines w:val="0"/>
              <w:autoSpaceDE w:val="0"/>
              <w:autoSpaceDN w:val="0"/>
              <w:adjustRightInd w:val="0"/>
              <w:rPr>
                <w:rFonts w:eastAsiaTheme="minorEastAsia" w:cs="Calibri"/>
                <w:color w:val="000000"/>
                <w:szCs w:val="16"/>
                <w:lang w:eastAsia="en-AU"/>
              </w:rPr>
            </w:pPr>
            <w:r w:rsidRPr="00023820">
              <w:rPr>
                <w:rFonts w:eastAsiaTheme="minorEastAsia" w:cs="Calibri"/>
                <w:color w:val="000000"/>
                <w:szCs w:val="16"/>
                <w:lang w:eastAsia="en-AU"/>
              </w:rPr>
              <w:t>Deposits held and advances received</w:t>
            </w:r>
          </w:p>
        </w:tc>
        <w:tc>
          <w:tcPr>
            <w:tcW w:w="822"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023820">
              <w:rPr>
                <w:rFonts w:eastAsiaTheme="minorEastAsia" w:cs="Calibri"/>
                <w:color w:val="000000"/>
                <w:szCs w:val="16"/>
                <w:lang w:eastAsia="en-AU"/>
              </w:rPr>
              <w:t>6 221</w:t>
            </w:r>
          </w:p>
        </w:tc>
        <w:tc>
          <w:tcPr>
            <w:tcW w:w="822"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023820">
              <w:rPr>
                <w:rFonts w:eastAsiaTheme="minorEastAsia" w:cs="Calibri"/>
                <w:color w:val="000000"/>
                <w:szCs w:val="16"/>
                <w:lang w:eastAsia="en-AU"/>
              </w:rPr>
              <w:t>5 790</w:t>
            </w:r>
          </w:p>
        </w:tc>
        <w:tc>
          <w:tcPr>
            <w:tcW w:w="821"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023820">
              <w:rPr>
                <w:rFonts w:eastAsiaTheme="minorEastAsia" w:cs="Calibri"/>
                <w:color w:val="000000"/>
                <w:szCs w:val="16"/>
                <w:lang w:eastAsia="en-AU"/>
              </w:rPr>
              <w:t>4 138</w:t>
            </w:r>
          </w:p>
        </w:tc>
        <w:tc>
          <w:tcPr>
            <w:tcW w:w="821"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023820">
              <w:rPr>
                <w:rFonts w:eastAsiaTheme="minorEastAsia" w:cs="Calibri"/>
                <w:color w:val="000000"/>
                <w:szCs w:val="16"/>
                <w:lang w:eastAsia="en-AU"/>
              </w:rPr>
              <w:t>2 609</w:t>
            </w:r>
          </w:p>
        </w:tc>
        <w:tc>
          <w:tcPr>
            <w:tcW w:w="821"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023820">
              <w:rPr>
                <w:rFonts w:eastAsiaTheme="minorEastAsia" w:cs="Calibri"/>
                <w:color w:val="000000"/>
                <w:szCs w:val="16"/>
                <w:lang w:eastAsia="en-AU"/>
              </w:rPr>
              <w:t>1 009</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3657" w:type="dxa"/>
            <w:tcBorders>
              <w:top w:val="nil"/>
              <w:left w:val="nil"/>
              <w:bottom w:val="nil"/>
              <w:right w:val="nil"/>
            </w:tcBorders>
          </w:tcPr>
          <w:p w:rsidR="00A46DCA" w:rsidRPr="00023820" w:rsidRDefault="00A46DCA" w:rsidP="00A26D04">
            <w:pPr>
              <w:keepLines w:val="0"/>
              <w:autoSpaceDE w:val="0"/>
              <w:autoSpaceDN w:val="0"/>
              <w:adjustRightInd w:val="0"/>
              <w:rPr>
                <w:rFonts w:eastAsiaTheme="minorEastAsia" w:cs="Calibri"/>
                <w:color w:val="000000"/>
                <w:szCs w:val="16"/>
                <w:lang w:eastAsia="en-AU"/>
              </w:rPr>
            </w:pPr>
            <w:r w:rsidRPr="00023820">
              <w:rPr>
                <w:rFonts w:eastAsiaTheme="minorEastAsia" w:cs="Calibri"/>
                <w:color w:val="000000"/>
                <w:szCs w:val="16"/>
                <w:lang w:eastAsia="en-AU"/>
              </w:rPr>
              <w:t>Payables</w:t>
            </w:r>
          </w:p>
        </w:tc>
        <w:tc>
          <w:tcPr>
            <w:tcW w:w="822"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023820">
              <w:rPr>
                <w:rFonts w:eastAsiaTheme="minorEastAsia" w:cs="Calibri"/>
                <w:color w:val="000000"/>
                <w:szCs w:val="16"/>
                <w:lang w:eastAsia="en-AU"/>
              </w:rPr>
              <w:t>9 998</w:t>
            </w:r>
          </w:p>
        </w:tc>
        <w:tc>
          <w:tcPr>
            <w:tcW w:w="822"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023820">
              <w:rPr>
                <w:rFonts w:eastAsiaTheme="minorEastAsia" w:cs="Calibri"/>
                <w:color w:val="000000"/>
                <w:szCs w:val="16"/>
                <w:lang w:eastAsia="en-AU"/>
              </w:rPr>
              <w:t>9 904</w:t>
            </w:r>
          </w:p>
        </w:tc>
        <w:tc>
          <w:tcPr>
            <w:tcW w:w="821"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023820">
              <w:rPr>
                <w:rFonts w:eastAsiaTheme="minorEastAsia" w:cs="Calibri"/>
                <w:color w:val="000000"/>
                <w:szCs w:val="16"/>
                <w:lang w:eastAsia="en-AU"/>
              </w:rPr>
              <w:t>9 737</w:t>
            </w:r>
          </w:p>
        </w:tc>
        <w:tc>
          <w:tcPr>
            <w:tcW w:w="821"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023820">
              <w:rPr>
                <w:rFonts w:eastAsiaTheme="minorEastAsia" w:cs="Calibri"/>
                <w:color w:val="000000"/>
                <w:szCs w:val="16"/>
                <w:lang w:eastAsia="en-AU"/>
              </w:rPr>
              <w:t>9 522</w:t>
            </w:r>
          </w:p>
        </w:tc>
        <w:tc>
          <w:tcPr>
            <w:tcW w:w="821"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023820">
              <w:rPr>
                <w:rFonts w:eastAsiaTheme="minorEastAsia" w:cs="Calibri"/>
                <w:color w:val="000000"/>
                <w:szCs w:val="16"/>
                <w:lang w:eastAsia="en-AU"/>
              </w:rPr>
              <w:t>9 360</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3657" w:type="dxa"/>
            <w:tcBorders>
              <w:top w:val="nil"/>
              <w:left w:val="nil"/>
              <w:bottom w:val="nil"/>
              <w:right w:val="nil"/>
            </w:tcBorders>
          </w:tcPr>
          <w:p w:rsidR="00A46DCA" w:rsidRPr="00023820" w:rsidRDefault="00A46DCA" w:rsidP="00A26D04">
            <w:pPr>
              <w:keepLines w:val="0"/>
              <w:autoSpaceDE w:val="0"/>
              <w:autoSpaceDN w:val="0"/>
              <w:adjustRightInd w:val="0"/>
              <w:rPr>
                <w:rFonts w:eastAsiaTheme="minorEastAsia" w:cs="Calibri"/>
                <w:color w:val="000000"/>
                <w:szCs w:val="16"/>
                <w:lang w:eastAsia="en-AU"/>
              </w:rPr>
            </w:pPr>
            <w:r w:rsidRPr="00023820">
              <w:rPr>
                <w:rFonts w:eastAsiaTheme="minorEastAsia" w:cs="Calibri"/>
                <w:color w:val="000000"/>
                <w:szCs w:val="16"/>
                <w:lang w:eastAsia="en-AU"/>
              </w:rPr>
              <w:t>Borrowings</w:t>
            </w:r>
          </w:p>
        </w:tc>
        <w:tc>
          <w:tcPr>
            <w:tcW w:w="822"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023820">
              <w:rPr>
                <w:rFonts w:eastAsiaTheme="minorEastAsia" w:cs="Calibri"/>
                <w:color w:val="000000"/>
                <w:szCs w:val="16"/>
                <w:lang w:eastAsia="en-AU"/>
              </w:rPr>
              <w:t>17 016</w:t>
            </w:r>
          </w:p>
        </w:tc>
        <w:tc>
          <w:tcPr>
            <w:tcW w:w="822"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023820">
              <w:rPr>
                <w:rFonts w:eastAsiaTheme="minorEastAsia" w:cs="Calibri"/>
                <w:color w:val="000000"/>
                <w:szCs w:val="16"/>
                <w:lang w:eastAsia="en-AU"/>
              </w:rPr>
              <w:t>16 871</w:t>
            </w:r>
          </w:p>
        </w:tc>
        <w:tc>
          <w:tcPr>
            <w:tcW w:w="821"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023820">
              <w:rPr>
                <w:rFonts w:eastAsiaTheme="minorEastAsia" w:cs="Calibri"/>
                <w:color w:val="000000"/>
                <w:szCs w:val="16"/>
                <w:lang w:eastAsia="en-AU"/>
              </w:rPr>
              <w:t>17 829</w:t>
            </w:r>
          </w:p>
        </w:tc>
        <w:tc>
          <w:tcPr>
            <w:tcW w:w="821"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023820">
              <w:rPr>
                <w:rFonts w:eastAsiaTheme="minorEastAsia" w:cs="Calibri"/>
                <w:color w:val="000000"/>
                <w:szCs w:val="16"/>
                <w:lang w:eastAsia="en-AU"/>
              </w:rPr>
              <w:t>18 620</w:t>
            </w:r>
          </w:p>
        </w:tc>
        <w:tc>
          <w:tcPr>
            <w:tcW w:w="821"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023820">
              <w:rPr>
                <w:rFonts w:eastAsiaTheme="minorEastAsia" w:cs="Calibri"/>
                <w:color w:val="000000"/>
                <w:szCs w:val="16"/>
                <w:lang w:eastAsia="en-AU"/>
              </w:rPr>
              <w:t>18 937</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3657" w:type="dxa"/>
            <w:tcBorders>
              <w:top w:val="nil"/>
              <w:left w:val="nil"/>
              <w:bottom w:val="nil"/>
              <w:right w:val="nil"/>
            </w:tcBorders>
          </w:tcPr>
          <w:p w:rsidR="00A46DCA" w:rsidRPr="00023820" w:rsidRDefault="00A46DCA" w:rsidP="00A26D04">
            <w:pPr>
              <w:keepLines w:val="0"/>
              <w:autoSpaceDE w:val="0"/>
              <w:autoSpaceDN w:val="0"/>
              <w:adjustRightInd w:val="0"/>
              <w:rPr>
                <w:rFonts w:eastAsiaTheme="minorEastAsia" w:cs="Calibri"/>
                <w:color w:val="000000"/>
                <w:szCs w:val="16"/>
                <w:lang w:eastAsia="en-AU"/>
              </w:rPr>
            </w:pPr>
            <w:r w:rsidRPr="00023820">
              <w:rPr>
                <w:rFonts w:eastAsiaTheme="minorEastAsia" w:cs="Calibri"/>
                <w:color w:val="000000"/>
                <w:szCs w:val="16"/>
                <w:lang w:eastAsia="en-AU"/>
              </w:rPr>
              <w:t>Employee benefits</w:t>
            </w:r>
          </w:p>
        </w:tc>
        <w:tc>
          <w:tcPr>
            <w:tcW w:w="822"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431</w:t>
            </w:r>
          </w:p>
        </w:tc>
        <w:tc>
          <w:tcPr>
            <w:tcW w:w="822"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437</w:t>
            </w:r>
          </w:p>
        </w:tc>
        <w:tc>
          <w:tcPr>
            <w:tcW w:w="821"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434</w:t>
            </w:r>
          </w:p>
        </w:tc>
        <w:tc>
          <w:tcPr>
            <w:tcW w:w="821"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447</w:t>
            </w:r>
          </w:p>
        </w:tc>
        <w:tc>
          <w:tcPr>
            <w:tcW w:w="821"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458</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3657" w:type="dxa"/>
            <w:tcBorders>
              <w:top w:val="nil"/>
              <w:left w:val="nil"/>
              <w:bottom w:val="nil"/>
              <w:right w:val="nil"/>
            </w:tcBorders>
          </w:tcPr>
          <w:p w:rsidR="00A46DCA" w:rsidRPr="00023820" w:rsidRDefault="00A46DCA" w:rsidP="00A26D04">
            <w:pPr>
              <w:keepLines w:val="0"/>
              <w:autoSpaceDE w:val="0"/>
              <w:autoSpaceDN w:val="0"/>
              <w:adjustRightInd w:val="0"/>
              <w:rPr>
                <w:rFonts w:eastAsiaTheme="minorEastAsia" w:cs="Calibri"/>
                <w:color w:val="000000"/>
                <w:szCs w:val="16"/>
                <w:lang w:eastAsia="en-AU"/>
              </w:rPr>
            </w:pPr>
            <w:r w:rsidRPr="00023820">
              <w:rPr>
                <w:rFonts w:eastAsiaTheme="minorEastAsia" w:cs="Calibri"/>
                <w:color w:val="000000"/>
                <w:szCs w:val="16"/>
                <w:lang w:eastAsia="en-AU"/>
              </w:rPr>
              <w:t>Superannuation</w:t>
            </w:r>
          </w:p>
        </w:tc>
        <w:tc>
          <w:tcPr>
            <w:tcW w:w="822"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37</w:t>
            </w:r>
          </w:p>
        </w:tc>
        <w:tc>
          <w:tcPr>
            <w:tcW w:w="822"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37</w:t>
            </w:r>
          </w:p>
        </w:tc>
        <w:tc>
          <w:tcPr>
            <w:tcW w:w="821"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37</w:t>
            </w:r>
          </w:p>
        </w:tc>
        <w:tc>
          <w:tcPr>
            <w:tcW w:w="821"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37</w:t>
            </w:r>
          </w:p>
        </w:tc>
        <w:tc>
          <w:tcPr>
            <w:tcW w:w="821"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37</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3657" w:type="dxa"/>
            <w:tcBorders>
              <w:top w:val="nil"/>
              <w:left w:val="nil"/>
              <w:bottom w:val="nil"/>
              <w:right w:val="nil"/>
            </w:tcBorders>
          </w:tcPr>
          <w:p w:rsidR="00A46DCA" w:rsidRPr="00023820" w:rsidRDefault="00A46DCA" w:rsidP="00A26D04">
            <w:pPr>
              <w:keepLines w:val="0"/>
              <w:autoSpaceDE w:val="0"/>
              <w:autoSpaceDN w:val="0"/>
              <w:adjustRightInd w:val="0"/>
              <w:rPr>
                <w:rFonts w:eastAsiaTheme="minorEastAsia" w:cs="Calibri"/>
                <w:color w:val="000000"/>
                <w:szCs w:val="16"/>
                <w:lang w:eastAsia="en-AU"/>
              </w:rPr>
            </w:pPr>
            <w:r w:rsidRPr="00023820">
              <w:rPr>
                <w:rFonts w:eastAsiaTheme="minorEastAsia" w:cs="Calibri"/>
                <w:color w:val="000000"/>
                <w:szCs w:val="16"/>
                <w:lang w:eastAsia="en-AU"/>
              </w:rPr>
              <w:t>Other provisions</w:t>
            </w:r>
          </w:p>
        </w:tc>
        <w:tc>
          <w:tcPr>
            <w:tcW w:w="822"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023820">
              <w:rPr>
                <w:rFonts w:eastAsiaTheme="minorEastAsia" w:cs="Calibri"/>
                <w:color w:val="000000"/>
                <w:szCs w:val="16"/>
                <w:lang w:eastAsia="en-AU"/>
              </w:rPr>
              <w:t>8 128</w:t>
            </w:r>
          </w:p>
        </w:tc>
        <w:tc>
          <w:tcPr>
            <w:tcW w:w="822"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023820">
              <w:rPr>
                <w:rFonts w:eastAsiaTheme="minorEastAsia" w:cs="Calibri"/>
                <w:color w:val="000000"/>
                <w:szCs w:val="16"/>
                <w:lang w:eastAsia="en-AU"/>
              </w:rPr>
              <w:t>8 035</w:t>
            </w:r>
          </w:p>
        </w:tc>
        <w:tc>
          <w:tcPr>
            <w:tcW w:w="821"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023820">
              <w:rPr>
                <w:rFonts w:eastAsiaTheme="minorEastAsia" w:cs="Calibri"/>
                <w:color w:val="000000"/>
                <w:szCs w:val="16"/>
                <w:lang w:eastAsia="en-AU"/>
              </w:rPr>
              <w:t>7 723</w:t>
            </w:r>
          </w:p>
        </w:tc>
        <w:tc>
          <w:tcPr>
            <w:tcW w:w="821"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023820">
              <w:rPr>
                <w:rFonts w:eastAsiaTheme="minorEastAsia" w:cs="Calibri"/>
                <w:color w:val="000000"/>
                <w:szCs w:val="16"/>
                <w:lang w:eastAsia="en-AU"/>
              </w:rPr>
              <w:t>7 919</w:t>
            </w:r>
          </w:p>
        </w:tc>
        <w:tc>
          <w:tcPr>
            <w:tcW w:w="821"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023820">
              <w:rPr>
                <w:rFonts w:eastAsiaTheme="minorEastAsia" w:cs="Calibri"/>
                <w:color w:val="000000"/>
                <w:szCs w:val="16"/>
                <w:lang w:eastAsia="en-AU"/>
              </w:rPr>
              <w:t>7 953</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3657" w:type="dxa"/>
            <w:tcBorders>
              <w:top w:val="single" w:sz="6" w:space="0" w:color="000000"/>
              <w:left w:val="nil"/>
              <w:bottom w:val="nil"/>
              <w:right w:val="nil"/>
            </w:tcBorders>
          </w:tcPr>
          <w:p w:rsidR="00A46DCA" w:rsidRPr="00023820" w:rsidRDefault="00A46DCA" w:rsidP="00A26D04">
            <w:pPr>
              <w:keepLines w:val="0"/>
              <w:autoSpaceDE w:val="0"/>
              <w:autoSpaceDN w:val="0"/>
              <w:adjustRightInd w:val="0"/>
              <w:rPr>
                <w:rFonts w:eastAsiaTheme="minorEastAsia" w:cs="Calibri"/>
                <w:b/>
                <w:bCs/>
                <w:color w:val="000000"/>
                <w:szCs w:val="16"/>
                <w:lang w:eastAsia="en-AU"/>
              </w:rPr>
            </w:pPr>
            <w:r w:rsidRPr="00023820">
              <w:rPr>
                <w:rFonts w:eastAsiaTheme="minorEastAsia" w:cs="Calibri"/>
                <w:b/>
                <w:bCs/>
                <w:color w:val="000000"/>
                <w:szCs w:val="16"/>
                <w:lang w:eastAsia="en-AU"/>
              </w:rPr>
              <w:t>Total liabilities</w:t>
            </w:r>
          </w:p>
        </w:tc>
        <w:tc>
          <w:tcPr>
            <w:tcW w:w="822" w:type="dxa"/>
            <w:tcBorders>
              <w:top w:val="single" w:sz="6" w:space="0" w:color="000000"/>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023820">
              <w:rPr>
                <w:rFonts w:eastAsiaTheme="minorEastAsia" w:cs="Calibri"/>
                <w:b/>
                <w:bCs/>
                <w:color w:val="000000"/>
                <w:szCs w:val="16"/>
                <w:lang w:eastAsia="en-AU"/>
              </w:rPr>
              <w:t>41 832</w:t>
            </w:r>
          </w:p>
        </w:tc>
        <w:tc>
          <w:tcPr>
            <w:tcW w:w="822" w:type="dxa"/>
            <w:tcBorders>
              <w:top w:val="single" w:sz="6" w:space="0" w:color="000000"/>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023820">
              <w:rPr>
                <w:rFonts w:eastAsiaTheme="minorEastAsia" w:cs="Calibri"/>
                <w:b/>
                <w:bCs/>
                <w:color w:val="000000"/>
                <w:szCs w:val="16"/>
                <w:lang w:eastAsia="en-AU"/>
              </w:rPr>
              <w:t>41 075</w:t>
            </w:r>
          </w:p>
        </w:tc>
        <w:tc>
          <w:tcPr>
            <w:tcW w:w="821" w:type="dxa"/>
            <w:tcBorders>
              <w:top w:val="single" w:sz="6" w:space="0" w:color="000000"/>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023820">
              <w:rPr>
                <w:rFonts w:eastAsiaTheme="minorEastAsia" w:cs="Calibri"/>
                <w:b/>
                <w:bCs/>
                <w:color w:val="000000"/>
                <w:szCs w:val="16"/>
                <w:lang w:eastAsia="en-AU"/>
              </w:rPr>
              <w:t>39 899</w:t>
            </w:r>
          </w:p>
        </w:tc>
        <w:tc>
          <w:tcPr>
            <w:tcW w:w="821" w:type="dxa"/>
            <w:tcBorders>
              <w:top w:val="single" w:sz="6" w:space="0" w:color="000000"/>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023820">
              <w:rPr>
                <w:rFonts w:eastAsiaTheme="minorEastAsia" w:cs="Calibri"/>
                <w:b/>
                <w:bCs/>
                <w:color w:val="000000"/>
                <w:szCs w:val="16"/>
                <w:lang w:eastAsia="en-AU"/>
              </w:rPr>
              <w:t>39 154</w:t>
            </w:r>
          </w:p>
        </w:tc>
        <w:tc>
          <w:tcPr>
            <w:tcW w:w="821" w:type="dxa"/>
            <w:tcBorders>
              <w:top w:val="single" w:sz="6" w:space="0" w:color="000000"/>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023820">
              <w:rPr>
                <w:rFonts w:eastAsiaTheme="minorEastAsia" w:cs="Calibri"/>
                <w:b/>
                <w:bCs/>
                <w:color w:val="000000"/>
                <w:szCs w:val="16"/>
                <w:lang w:eastAsia="en-AU"/>
              </w:rPr>
              <w:t>37 753</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3657" w:type="dxa"/>
            <w:tcBorders>
              <w:top w:val="single" w:sz="6" w:space="0" w:color="000000"/>
              <w:left w:val="nil"/>
              <w:bottom w:val="single" w:sz="12" w:space="0" w:color="000000"/>
              <w:right w:val="nil"/>
            </w:tcBorders>
          </w:tcPr>
          <w:p w:rsidR="00A46DCA" w:rsidRPr="00023820" w:rsidRDefault="00A46DCA" w:rsidP="00A26D04">
            <w:pPr>
              <w:keepLines w:val="0"/>
              <w:autoSpaceDE w:val="0"/>
              <w:autoSpaceDN w:val="0"/>
              <w:adjustRightInd w:val="0"/>
              <w:rPr>
                <w:rFonts w:eastAsiaTheme="minorEastAsia" w:cs="Calibri"/>
                <w:b/>
                <w:bCs/>
                <w:color w:val="000000"/>
                <w:szCs w:val="16"/>
                <w:lang w:eastAsia="en-AU"/>
              </w:rPr>
            </w:pPr>
            <w:r w:rsidRPr="00023820">
              <w:rPr>
                <w:rFonts w:eastAsiaTheme="minorEastAsia" w:cs="Calibri"/>
                <w:b/>
                <w:bCs/>
                <w:color w:val="000000"/>
                <w:szCs w:val="16"/>
                <w:lang w:eastAsia="en-AU"/>
              </w:rPr>
              <w:t>Net assets</w:t>
            </w:r>
          </w:p>
        </w:tc>
        <w:tc>
          <w:tcPr>
            <w:tcW w:w="822" w:type="dxa"/>
            <w:tcBorders>
              <w:top w:val="single" w:sz="6" w:space="0" w:color="000000"/>
              <w:left w:val="nil"/>
              <w:bottom w:val="single" w:sz="12" w:space="0" w:color="000000"/>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023820">
              <w:rPr>
                <w:rFonts w:eastAsiaTheme="minorEastAsia" w:cs="Calibri"/>
                <w:b/>
                <w:bCs/>
                <w:color w:val="000000"/>
                <w:szCs w:val="16"/>
                <w:lang w:eastAsia="en-AU"/>
              </w:rPr>
              <w:t>93 016</w:t>
            </w:r>
          </w:p>
        </w:tc>
        <w:tc>
          <w:tcPr>
            <w:tcW w:w="822" w:type="dxa"/>
            <w:tcBorders>
              <w:top w:val="single" w:sz="6" w:space="0" w:color="000000"/>
              <w:left w:val="nil"/>
              <w:bottom w:val="single" w:sz="12" w:space="0" w:color="000000"/>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023820">
              <w:rPr>
                <w:rFonts w:eastAsiaTheme="minorEastAsia" w:cs="Calibri"/>
                <w:b/>
                <w:bCs/>
                <w:color w:val="000000"/>
                <w:szCs w:val="16"/>
                <w:lang w:eastAsia="en-AU"/>
              </w:rPr>
              <w:t>93 699</w:t>
            </w:r>
          </w:p>
        </w:tc>
        <w:tc>
          <w:tcPr>
            <w:tcW w:w="821" w:type="dxa"/>
            <w:tcBorders>
              <w:top w:val="single" w:sz="6" w:space="0" w:color="000000"/>
              <w:left w:val="nil"/>
              <w:bottom w:val="single" w:sz="12" w:space="0" w:color="000000"/>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023820">
              <w:rPr>
                <w:rFonts w:eastAsiaTheme="minorEastAsia" w:cs="Calibri"/>
                <w:b/>
                <w:bCs/>
                <w:color w:val="000000"/>
                <w:szCs w:val="16"/>
                <w:lang w:eastAsia="en-AU"/>
              </w:rPr>
              <w:t>99 413</w:t>
            </w:r>
          </w:p>
        </w:tc>
        <w:tc>
          <w:tcPr>
            <w:tcW w:w="821" w:type="dxa"/>
            <w:tcBorders>
              <w:top w:val="single" w:sz="6" w:space="0" w:color="000000"/>
              <w:left w:val="nil"/>
              <w:bottom w:val="single" w:sz="12" w:space="0" w:color="000000"/>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023820">
              <w:rPr>
                <w:rFonts w:eastAsiaTheme="minorEastAsia" w:cs="Calibri"/>
                <w:b/>
                <w:bCs/>
                <w:color w:val="000000"/>
                <w:szCs w:val="16"/>
                <w:lang w:eastAsia="en-AU"/>
              </w:rPr>
              <w:t>103 888</w:t>
            </w:r>
          </w:p>
        </w:tc>
        <w:tc>
          <w:tcPr>
            <w:tcW w:w="821" w:type="dxa"/>
            <w:tcBorders>
              <w:top w:val="single" w:sz="6" w:space="0" w:color="000000"/>
              <w:left w:val="nil"/>
              <w:bottom w:val="single" w:sz="12" w:space="0" w:color="000000"/>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023820">
              <w:rPr>
                <w:rFonts w:eastAsiaTheme="minorEastAsia" w:cs="Calibri"/>
                <w:b/>
                <w:bCs/>
                <w:color w:val="000000"/>
                <w:szCs w:val="16"/>
                <w:lang w:eastAsia="en-AU"/>
              </w:rPr>
              <w:t>108 087</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3657" w:type="dxa"/>
            <w:tcBorders>
              <w:top w:val="nil"/>
              <w:left w:val="nil"/>
              <w:bottom w:val="nil"/>
              <w:right w:val="nil"/>
            </w:tcBorders>
          </w:tcPr>
          <w:p w:rsidR="00A46DCA" w:rsidRPr="00023820" w:rsidRDefault="00A46DCA" w:rsidP="00A26D04">
            <w:pPr>
              <w:keepLines w:val="0"/>
              <w:autoSpaceDE w:val="0"/>
              <w:autoSpaceDN w:val="0"/>
              <w:adjustRightInd w:val="0"/>
              <w:rPr>
                <w:rFonts w:eastAsiaTheme="minorEastAsia" w:cs="Calibri"/>
                <w:color w:val="000000"/>
                <w:szCs w:val="16"/>
                <w:lang w:eastAsia="en-AU"/>
              </w:rPr>
            </w:pPr>
            <w:r w:rsidRPr="00023820">
              <w:rPr>
                <w:rFonts w:eastAsiaTheme="minorEastAsia" w:cs="Calibri"/>
                <w:color w:val="000000"/>
                <w:szCs w:val="16"/>
                <w:lang w:eastAsia="en-AU"/>
              </w:rPr>
              <w:t>Accumulated surplus/(deficit)</w:t>
            </w:r>
          </w:p>
        </w:tc>
        <w:tc>
          <w:tcPr>
            <w:tcW w:w="822"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023820">
              <w:rPr>
                <w:rFonts w:eastAsiaTheme="minorEastAsia" w:cs="Calibri"/>
                <w:color w:val="000000"/>
                <w:szCs w:val="16"/>
                <w:lang w:eastAsia="en-AU"/>
              </w:rPr>
              <w:t>2 960</w:t>
            </w:r>
          </w:p>
        </w:tc>
        <w:tc>
          <w:tcPr>
            <w:tcW w:w="822"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023820">
              <w:rPr>
                <w:rFonts w:eastAsiaTheme="minorEastAsia" w:cs="Calibri"/>
                <w:color w:val="000000"/>
                <w:szCs w:val="16"/>
                <w:lang w:eastAsia="en-AU"/>
              </w:rPr>
              <w:t>3 060</w:t>
            </w:r>
          </w:p>
        </w:tc>
        <w:tc>
          <w:tcPr>
            <w:tcW w:w="821"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023820">
              <w:rPr>
                <w:rFonts w:eastAsiaTheme="minorEastAsia" w:cs="Calibri"/>
                <w:color w:val="000000"/>
                <w:szCs w:val="16"/>
                <w:lang w:eastAsia="en-AU"/>
              </w:rPr>
              <w:t>2 647</w:t>
            </w:r>
          </w:p>
        </w:tc>
        <w:tc>
          <w:tcPr>
            <w:tcW w:w="821"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023820">
              <w:rPr>
                <w:rFonts w:eastAsiaTheme="minorEastAsia" w:cs="Calibri"/>
                <w:color w:val="000000"/>
                <w:szCs w:val="16"/>
                <w:lang w:eastAsia="en-AU"/>
              </w:rPr>
              <w:t>2 385</w:t>
            </w:r>
          </w:p>
        </w:tc>
        <w:tc>
          <w:tcPr>
            <w:tcW w:w="821"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023820">
              <w:rPr>
                <w:rFonts w:eastAsiaTheme="minorEastAsia" w:cs="Calibri"/>
                <w:color w:val="000000"/>
                <w:szCs w:val="16"/>
                <w:lang w:eastAsia="en-AU"/>
              </w:rPr>
              <w:t>1 659</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3657" w:type="dxa"/>
            <w:tcBorders>
              <w:top w:val="nil"/>
              <w:left w:val="nil"/>
              <w:bottom w:val="nil"/>
              <w:right w:val="nil"/>
            </w:tcBorders>
          </w:tcPr>
          <w:p w:rsidR="00A46DCA" w:rsidRPr="00023820" w:rsidRDefault="00A46DCA" w:rsidP="00A26D04">
            <w:pPr>
              <w:keepLines w:val="0"/>
              <w:autoSpaceDE w:val="0"/>
              <w:autoSpaceDN w:val="0"/>
              <w:adjustRightInd w:val="0"/>
              <w:rPr>
                <w:rFonts w:eastAsiaTheme="minorEastAsia" w:cs="Calibri"/>
                <w:color w:val="000000"/>
                <w:szCs w:val="16"/>
                <w:lang w:eastAsia="en-AU"/>
              </w:rPr>
            </w:pPr>
            <w:r w:rsidRPr="00023820">
              <w:rPr>
                <w:rFonts w:eastAsiaTheme="minorEastAsia" w:cs="Calibri"/>
                <w:color w:val="000000"/>
                <w:szCs w:val="16"/>
                <w:lang w:eastAsia="en-AU"/>
              </w:rPr>
              <w:t>Reserves</w:t>
            </w:r>
          </w:p>
        </w:tc>
        <w:tc>
          <w:tcPr>
            <w:tcW w:w="822"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023820">
              <w:rPr>
                <w:rFonts w:eastAsiaTheme="minorEastAsia" w:cs="Calibri"/>
                <w:color w:val="000000"/>
                <w:szCs w:val="16"/>
                <w:lang w:eastAsia="en-AU"/>
              </w:rPr>
              <w:t>90 057</w:t>
            </w:r>
          </w:p>
        </w:tc>
        <w:tc>
          <w:tcPr>
            <w:tcW w:w="822"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023820">
              <w:rPr>
                <w:rFonts w:eastAsiaTheme="minorEastAsia" w:cs="Calibri"/>
                <w:color w:val="000000"/>
                <w:szCs w:val="16"/>
                <w:lang w:eastAsia="en-AU"/>
              </w:rPr>
              <w:t>90 639</w:t>
            </w:r>
          </w:p>
        </w:tc>
        <w:tc>
          <w:tcPr>
            <w:tcW w:w="821"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023820">
              <w:rPr>
                <w:rFonts w:eastAsiaTheme="minorEastAsia" w:cs="Calibri"/>
                <w:color w:val="000000"/>
                <w:szCs w:val="16"/>
                <w:lang w:eastAsia="en-AU"/>
              </w:rPr>
              <w:t>96 766</w:t>
            </w:r>
          </w:p>
        </w:tc>
        <w:tc>
          <w:tcPr>
            <w:tcW w:w="821"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023820">
              <w:rPr>
                <w:rFonts w:eastAsiaTheme="minorEastAsia" w:cs="Calibri"/>
                <w:color w:val="000000"/>
                <w:szCs w:val="16"/>
                <w:lang w:eastAsia="en-AU"/>
              </w:rPr>
              <w:t>101 504</w:t>
            </w:r>
          </w:p>
        </w:tc>
        <w:tc>
          <w:tcPr>
            <w:tcW w:w="821"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023820">
              <w:rPr>
                <w:rFonts w:eastAsiaTheme="minorEastAsia" w:cs="Calibri"/>
                <w:color w:val="000000"/>
                <w:szCs w:val="16"/>
                <w:lang w:eastAsia="en-AU"/>
              </w:rPr>
              <w:t>106 428</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3657" w:type="dxa"/>
            <w:tcBorders>
              <w:top w:val="single" w:sz="6" w:space="0" w:color="000000"/>
              <w:left w:val="nil"/>
              <w:bottom w:val="single" w:sz="12" w:space="0" w:color="000000"/>
              <w:right w:val="nil"/>
            </w:tcBorders>
          </w:tcPr>
          <w:p w:rsidR="00A46DCA" w:rsidRPr="00023820" w:rsidRDefault="00A46DCA" w:rsidP="00A26D04">
            <w:pPr>
              <w:keepLines w:val="0"/>
              <w:autoSpaceDE w:val="0"/>
              <w:autoSpaceDN w:val="0"/>
              <w:adjustRightInd w:val="0"/>
              <w:rPr>
                <w:rFonts w:eastAsiaTheme="minorEastAsia" w:cs="Calibri"/>
                <w:b/>
                <w:bCs/>
                <w:color w:val="000000"/>
                <w:szCs w:val="16"/>
                <w:lang w:eastAsia="en-AU"/>
              </w:rPr>
            </w:pPr>
            <w:r w:rsidRPr="00023820">
              <w:rPr>
                <w:rFonts w:eastAsiaTheme="minorEastAsia" w:cs="Calibri"/>
                <w:b/>
                <w:bCs/>
                <w:color w:val="000000"/>
                <w:szCs w:val="16"/>
                <w:lang w:eastAsia="en-AU"/>
              </w:rPr>
              <w:t>Net worth</w:t>
            </w:r>
          </w:p>
        </w:tc>
        <w:tc>
          <w:tcPr>
            <w:tcW w:w="822" w:type="dxa"/>
            <w:tcBorders>
              <w:top w:val="single" w:sz="6" w:space="0" w:color="000000"/>
              <w:left w:val="nil"/>
              <w:bottom w:val="single" w:sz="12" w:space="0" w:color="000000"/>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023820">
              <w:rPr>
                <w:rFonts w:eastAsiaTheme="minorEastAsia" w:cs="Calibri"/>
                <w:b/>
                <w:bCs/>
                <w:color w:val="000000"/>
                <w:szCs w:val="16"/>
                <w:lang w:eastAsia="en-AU"/>
              </w:rPr>
              <w:t>93 016</w:t>
            </w:r>
          </w:p>
        </w:tc>
        <w:tc>
          <w:tcPr>
            <w:tcW w:w="822" w:type="dxa"/>
            <w:tcBorders>
              <w:top w:val="single" w:sz="6" w:space="0" w:color="000000"/>
              <w:left w:val="nil"/>
              <w:bottom w:val="single" w:sz="12" w:space="0" w:color="000000"/>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023820">
              <w:rPr>
                <w:rFonts w:eastAsiaTheme="minorEastAsia" w:cs="Calibri"/>
                <w:b/>
                <w:bCs/>
                <w:color w:val="000000"/>
                <w:szCs w:val="16"/>
                <w:lang w:eastAsia="en-AU"/>
              </w:rPr>
              <w:t>93 699</w:t>
            </w:r>
          </w:p>
        </w:tc>
        <w:tc>
          <w:tcPr>
            <w:tcW w:w="821" w:type="dxa"/>
            <w:tcBorders>
              <w:top w:val="single" w:sz="6" w:space="0" w:color="000000"/>
              <w:left w:val="nil"/>
              <w:bottom w:val="single" w:sz="12" w:space="0" w:color="000000"/>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023820">
              <w:rPr>
                <w:rFonts w:eastAsiaTheme="minorEastAsia" w:cs="Calibri"/>
                <w:b/>
                <w:bCs/>
                <w:color w:val="000000"/>
                <w:szCs w:val="16"/>
                <w:lang w:eastAsia="en-AU"/>
              </w:rPr>
              <w:t>99 413</w:t>
            </w:r>
          </w:p>
        </w:tc>
        <w:tc>
          <w:tcPr>
            <w:tcW w:w="821" w:type="dxa"/>
            <w:tcBorders>
              <w:top w:val="single" w:sz="6" w:space="0" w:color="000000"/>
              <w:left w:val="nil"/>
              <w:bottom w:val="single" w:sz="12" w:space="0" w:color="000000"/>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023820">
              <w:rPr>
                <w:rFonts w:eastAsiaTheme="minorEastAsia" w:cs="Calibri"/>
                <w:b/>
                <w:bCs/>
                <w:color w:val="000000"/>
                <w:szCs w:val="16"/>
                <w:lang w:eastAsia="en-AU"/>
              </w:rPr>
              <w:t>103 888</w:t>
            </w:r>
          </w:p>
        </w:tc>
        <w:tc>
          <w:tcPr>
            <w:tcW w:w="821" w:type="dxa"/>
            <w:tcBorders>
              <w:top w:val="single" w:sz="6" w:space="0" w:color="000000"/>
              <w:left w:val="nil"/>
              <w:bottom w:val="single" w:sz="12" w:space="0" w:color="000000"/>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023820">
              <w:rPr>
                <w:rFonts w:eastAsiaTheme="minorEastAsia" w:cs="Calibri"/>
                <w:b/>
                <w:bCs/>
                <w:color w:val="000000"/>
                <w:szCs w:val="16"/>
                <w:lang w:eastAsia="en-AU"/>
              </w:rPr>
              <w:t>108 087</w:t>
            </w:r>
          </w:p>
        </w:tc>
      </w:tr>
      <w:tr w:rsidR="00A46DCA" w:rsidRPr="00023820" w:rsidTr="00A26D04">
        <w:trPr>
          <w:trHeight w:hRule="exact" w:val="120"/>
        </w:trPr>
        <w:tc>
          <w:tcPr>
            <w:cnfStyle w:val="001000000000" w:firstRow="0" w:lastRow="0" w:firstColumn="1" w:lastColumn="0" w:oddVBand="0" w:evenVBand="0" w:oddHBand="0" w:evenHBand="0" w:firstRowFirstColumn="0" w:firstRowLastColumn="0" w:lastRowFirstColumn="0" w:lastRowLastColumn="0"/>
            <w:tcW w:w="3657" w:type="dxa"/>
            <w:tcBorders>
              <w:top w:val="nil"/>
              <w:left w:val="nil"/>
              <w:bottom w:val="nil"/>
              <w:right w:val="nil"/>
            </w:tcBorders>
          </w:tcPr>
          <w:p w:rsidR="00A46DCA" w:rsidRPr="00023820" w:rsidRDefault="00A46DCA" w:rsidP="00A26D04">
            <w:pPr>
              <w:keepLines w:val="0"/>
              <w:autoSpaceDE w:val="0"/>
              <w:autoSpaceDN w:val="0"/>
              <w:adjustRightInd w:val="0"/>
              <w:rPr>
                <w:rFonts w:eastAsiaTheme="minorEastAsia" w:cs="Calibri"/>
                <w:color w:val="000000"/>
                <w:lang w:eastAsia="en-AU"/>
              </w:rPr>
            </w:pPr>
            <w:r w:rsidRPr="00023820">
              <w:rPr>
                <w:rFonts w:eastAsiaTheme="minorEastAsia" w:cs="Calibri"/>
                <w:color w:val="000000"/>
                <w:lang w:eastAsia="en-AU"/>
              </w:rPr>
              <w:t xml:space="preserve"> </w:t>
            </w:r>
          </w:p>
        </w:tc>
        <w:tc>
          <w:tcPr>
            <w:tcW w:w="822"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023820">
              <w:rPr>
                <w:rFonts w:eastAsiaTheme="minorEastAsia" w:cs="Calibri"/>
                <w:color w:val="000000"/>
                <w:lang w:eastAsia="en-AU"/>
              </w:rPr>
              <w:t xml:space="preserve"> </w:t>
            </w:r>
          </w:p>
        </w:tc>
        <w:tc>
          <w:tcPr>
            <w:tcW w:w="822"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023820">
              <w:rPr>
                <w:rFonts w:eastAsiaTheme="minorEastAsia" w:cs="Calibri"/>
                <w:color w:val="000000"/>
                <w:lang w:eastAsia="en-AU"/>
              </w:rPr>
              <w:t xml:space="preserve"> </w:t>
            </w:r>
          </w:p>
        </w:tc>
        <w:tc>
          <w:tcPr>
            <w:tcW w:w="821"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023820">
              <w:rPr>
                <w:rFonts w:eastAsiaTheme="minorEastAsia" w:cs="Calibri"/>
                <w:color w:val="000000"/>
                <w:lang w:eastAsia="en-AU"/>
              </w:rPr>
              <w:t xml:space="preserve"> </w:t>
            </w:r>
          </w:p>
        </w:tc>
        <w:tc>
          <w:tcPr>
            <w:tcW w:w="821"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023820">
              <w:rPr>
                <w:rFonts w:eastAsiaTheme="minorEastAsia" w:cs="Calibri"/>
                <w:color w:val="000000"/>
                <w:lang w:eastAsia="en-AU"/>
              </w:rPr>
              <w:t xml:space="preserve"> </w:t>
            </w:r>
          </w:p>
        </w:tc>
        <w:tc>
          <w:tcPr>
            <w:tcW w:w="821"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023820">
              <w:rPr>
                <w:rFonts w:eastAsiaTheme="minorEastAsia" w:cs="Calibri"/>
                <w:color w:val="000000"/>
                <w:lang w:eastAsia="en-AU"/>
              </w:rPr>
              <w:t xml:space="preserve"> </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3657" w:type="dxa"/>
            <w:tcBorders>
              <w:top w:val="nil"/>
              <w:left w:val="nil"/>
              <w:bottom w:val="nil"/>
              <w:right w:val="nil"/>
            </w:tcBorders>
          </w:tcPr>
          <w:p w:rsidR="00A46DCA" w:rsidRPr="00023820" w:rsidRDefault="00A46DCA" w:rsidP="00A26D04">
            <w:pPr>
              <w:keepLines w:val="0"/>
              <w:autoSpaceDE w:val="0"/>
              <w:autoSpaceDN w:val="0"/>
              <w:adjustRightInd w:val="0"/>
              <w:rPr>
                <w:rFonts w:eastAsiaTheme="minorEastAsia" w:cs="Calibri"/>
                <w:b/>
                <w:bCs/>
                <w:color w:val="000000"/>
                <w:szCs w:val="16"/>
                <w:lang w:eastAsia="en-AU"/>
              </w:rPr>
            </w:pPr>
            <w:r w:rsidRPr="00023820">
              <w:rPr>
                <w:rFonts w:eastAsiaTheme="minorEastAsia" w:cs="Calibri"/>
                <w:b/>
                <w:bCs/>
                <w:color w:val="000000"/>
                <w:szCs w:val="16"/>
                <w:lang w:eastAsia="en-AU"/>
              </w:rPr>
              <w:t>FISCAL AGGREGATES</w:t>
            </w:r>
          </w:p>
        </w:tc>
        <w:tc>
          <w:tcPr>
            <w:tcW w:w="822"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023820">
              <w:rPr>
                <w:rFonts w:eastAsiaTheme="minorEastAsia" w:cs="Calibri"/>
                <w:b/>
                <w:bCs/>
                <w:color w:val="000000"/>
                <w:lang w:eastAsia="en-AU"/>
              </w:rPr>
              <w:t xml:space="preserve"> </w:t>
            </w:r>
          </w:p>
        </w:tc>
        <w:tc>
          <w:tcPr>
            <w:tcW w:w="822"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023820">
              <w:rPr>
                <w:rFonts w:eastAsiaTheme="minorEastAsia" w:cs="Calibri"/>
                <w:b/>
                <w:bCs/>
                <w:color w:val="000000"/>
                <w:lang w:eastAsia="en-AU"/>
              </w:rPr>
              <w:t xml:space="preserve"> </w:t>
            </w:r>
          </w:p>
        </w:tc>
        <w:tc>
          <w:tcPr>
            <w:tcW w:w="821"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023820">
              <w:rPr>
                <w:rFonts w:eastAsiaTheme="minorEastAsia" w:cs="Calibri"/>
                <w:b/>
                <w:bCs/>
                <w:color w:val="000000"/>
                <w:lang w:eastAsia="en-AU"/>
              </w:rPr>
              <w:t xml:space="preserve"> </w:t>
            </w:r>
          </w:p>
        </w:tc>
        <w:tc>
          <w:tcPr>
            <w:tcW w:w="821"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023820">
              <w:rPr>
                <w:rFonts w:eastAsiaTheme="minorEastAsia" w:cs="Calibri"/>
                <w:b/>
                <w:bCs/>
                <w:color w:val="000000"/>
                <w:lang w:eastAsia="en-AU"/>
              </w:rPr>
              <w:t xml:space="preserve"> </w:t>
            </w:r>
          </w:p>
        </w:tc>
        <w:tc>
          <w:tcPr>
            <w:tcW w:w="821"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023820">
              <w:rPr>
                <w:rFonts w:eastAsiaTheme="minorEastAsia" w:cs="Calibri"/>
                <w:b/>
                <w:bCs/>
                <w:color w:val="000000"/>
                <w:lang w:eastAsia="en-AU"/>
              </w:rPr>
              <w:t xml:space="preserve"> </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3657" w:type="dxa"/>
            <w:tcBorders>
              <w:top w:val="nil"/>
              <w:left w:val="nil"/>
              <w:bottom w:val="nil"/>
              <w:right w:val="nil"/>
            </w:tcBorders>
          </w:tcPr>
          <w:p w:rsidR="00A46DCA" w:rsidRPr="00023820" w:rsidRDefault="00A46DCA" w:rsidP="00A26D04">
            <w:pPr>
              <w:keepLines w:val="0"/>
              <w:autoSpaceDE w:val="0"/>
              <w:autoSpaceDN w:val="0"/>
              <w:adjustRightInd w:val="0"/>
              <w:rPr>
                <w:rFonts w:eastAsiaTheme="minorEastAsia" w:cs="Calibri"/>
                <w:color w:val="000000"/>
                <w:szCs w:val="16"/>
                <w:lang w:eastAsia="en-AU"/>
              </w:rPr>
            </w:pPr>
            <w:r w:rsidRPr="00023820">
              <w:rPr>
                <w:rFonts w:eastAsiaTheme="minorEastAsia" w:cs="Calibri"/>
                <w:color w:val="000000"/>
                <w:szCs w:val="16"/>
                <w:lang w:eastAsia="en-AU"/>
              </w:rPr>
              <w:t>Net financial worth</w:t>
            </w:r>
          </w:p>
        </w:tc>
        <w:tc>
          <w:tcPr>
            <w:tcW w:w="822"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(30 939)</w:t>
            </w:r>
          </w:p>
        </w:tc>
        <w:tc>
          <w:tcPr>
            <w:tcW w:w="822"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(30 491)</w:t>
            </w:r>
          </w:p>
        </w:tc>
        <w:tc>
          <w:tcPr>
            <w:tcW w:w="821"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(30 883)</w:t>
            </w:r>
          </w:p>
        </w:tc>
        <w:tc>
          <w:tcPr>
            <w:tcW w:w="821"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(31 643)</w:t>
            </w:r>
          </w:p>
        </w:tc>
        <w:tc>
          <w:tcPr>
            <w:tcW w:w="821"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(31 881)</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3657" w:type="dxa"/>
            <w:tcBorders>
              <w:top w:val="nil"/>
              <w:left w:val="nil"/>
              <w:bottom w:val="nil"/>
              <w:right w:val="nil"/>
            </w:tcBorders>
          </w:tcPr>
          <w:p w:rsidR="00A46DCA" w:rsidRPr="00023820" w:rsidRDefault="00A46DCA" w:rsidP="00A26D04">
            <w:pPr>
              <w:keepLines w:val="0"/>
              <w:autoSpaceDE w:val="0"/>
              <w:autoSpaceDN w:val="0"/>
              <w:adjustRightInd w:val="0"/>
              <w:rPr>
                <w:rFonts w:eastAsiaTheme="minorEastAsia" w:cs="Calibri"/>
                <w:color w:val="000000"/>
                <w:szCs w:val="16"/>
                <w:lang w:eastAsia="en-AU"/>
              </w:rPr>
            </w:pPr>
            <w:r w:rsidRPr="00023820">
              <w:rPr>
                <w:rFonts w:eastAsiaTheme="minorEastAsia" w:cs="Calibri"/>
                <w:color w:val="000000"/>
                <w:szCs w:val="16"/>
                <w:lang w:eastAsia="en-AU"/>
              </w:rPr>
              <w:t>Net financial liabilities</w:t>
            </w:r>
          </w:p>
        </w:tc>
        <w:tc>
          <w:tcPr>
            <w:tcW w:w="822"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023820">
              <w:rPr>
                <w:rFonts w:eastAsiaTheme="minorEastAsia" w:cs="Calibri"/>
                <w:color w:val="000000"/>
                <w:szCs w:val="16"/>
                <w:lang w:eastAsia="en-AU"/>
              </w:rPr>
              <w:t>30 939</w:t>
            </w:r>
          </w:p>
        </w:tc>
        <w:tc>
          <w:tcPr>
            <w:tcW w:w="822"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023820">
              <w:rPr>
                <w:rFonts w:eastAsiaTheme="minorEastAsia" w:cs="Calibri"/>
                <w:color w:val="000000"/>
                <w:szCs w:val="16"/>
                <w:lang w:eastAsia="en-AU"/>
              </w:rPr>
              <w:t>30 491</w:t>
            </w:r>
          </w:p>
        </w:tc>
        <w:tc>
          <w:tcPr>
            <w:tcW w:w="821"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023820">
              <w:rPr>
                <w:rFonts w:eastAsiaTheme="minorEastAsia" w:cs="Calibri"/>
                <w:color w:val="000000"/>
                <w:szCs w:val="16"/>
                <w:lang w:eastAsia="en-AU"/>
              </w:rPr>
              <w:t>30 883</w:t>
            </w:r>
          </w:p>
        </w:tc>
        <w:tc>
          <w:tcPr>
            <w:tcW w:w="821"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023820">
              <w:rPr>
                <w:rFonts w:eastAsiaTheme="minorEastAsia" w:cs="Calibri"/>
                <w:color w:val="000000"/>
                <w:szCs w:val="16"/>
                <w:lang w:eastAsia="en-AU"/>
              </w:rPr>
              <w:t>31 643</w:t>
            </w:r>
          </w:p>
        </w:tc>
        <w:tc>
          <w:tcPr>
            <w:tcW w:w="821"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023820">
              <w:rPr>
                <w:rFonts w:eastAsiaTheme="minorEastAsia" w:cs="Calibri"/>
                <w:color w:val="000000"/>
                <w:szCs w:val="16"/>
                <w:lang w:eastAsia="en-AU"/>
              </w:rPr>
              <w:t>31 881</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3657" w:type="dxa"/>
            <w:tcBorders>
              <w:top w:val="nil"/>
              <w:left w:val="nil"/>
              <w:bottom w:val="single" w:sz="12" w:space="0" w:color="000000"/>
              <w:right w:val="nil"/>
            </w:tcBorders>
          </w:tcPr>
          <w:p w:rsidR="00A46DCA" w:rsidRPr="00023820" w:rsidRDefault="00A46DCA" w:rsidP="00A26D04">
            <w:pPr>
              <w:keepLines w:val="0"/>
              <w:autoSpaceDE w:val="0"/>
              <w:autoSpaceDN w:val="0"/>
              <w:adjustRightInd w:val="0"/>
              <w:rPr>
                <w:rFonts w:eastAsiaTheme="minorEastAsia" w:cs="Calibri"/>
                <w:color w:val="000000"/>
                <w:szCs w:val="16"/>
                <w:lang w:eastAsia="en-AU"/>
              </w:rPr>
            </w:pPr>
            <w:r w:rsidRPr="00023820">
              <w:rPr>
                <w:rFonts w:eastAsiaTheme="minorEastAsia" w:cs="Calibri"/>
                <w:color w:val="000000"/>
                <w:szCs w:val="16"/>
                <w:lang w:eastAsia="en-AU"/>
              </w:rPr>
              <w:t>Net debt</w:t>
            </w:r>
          </w:p>
        </w:tc>
        <w:tc>
          <w:tcPr>
            <w:tcW w:w="822" w:type="dxa"/>
            <w:tcBorders>
              <w:top w:val="nil"/>
              <w:left w:val="nil"/>
              <w:bottom w:val="single" w:sz="12" w:space="0" w:color="000000"/>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023820">
              <w:rPr>
                <w:rFonts w:eastAsiaTheme="minorEastAsia" w:cs="Calibri"/>
                <w:color w:val="000000"/>
                <w:szCs w:val="16"/>
                <w:lang w:eastAsia="en-AU"/>
              </w:rPr>
              <w:t>15 616</w:t>
            </w:r>
          </w:p>
        </w:tc>
        <w:tc>
          <w:tcPr>
            <w:tcW w:w="822" w:type="dxa"/>
            <w:tcBorders>
              <w:top w:val="nil"/>
              <w:left w:val="nil"/>
              <w:bottom w:val="single" w:sz="12" w:space="0" w:color="000000"/>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023820">
              <w:rPr>
                <w:rFonts w:eastAsiaTheme="minorEastAsia" w:cs="Calibri"/>
                <w:color w:val="000000"/>
                <w:szCs w:val="16"/>
                <w:lang w:eastAsia="en-AU"/>
              </w:rPr>
              <w:t>15 385</w:t>
            </w:r>
          </w:p>
        </w:tc>
        <w:tc>
          <w:tcPr>
            <w:tcW w:w="821" w:type="dxa"/>
            <w:tcBorders>
              <w:top w:val="nil"/>
              <w:left w:val="nil"/>
              <w:bottom w:val="single" w:sz="12" w:space="0" w:color="000000"/>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023820">
              <w:rPr>
                <w:rFonts w:eastAsiaTheme="minorEastAsia" w:cs="Calibri"/>
                <w:color w:val="000000"/>
                <w:szCs w:val="16"/>
                <w:lang w:eastAsia="en-AU"/>
              </w:rPr>
              <w:t>16 375</w:t>
            </w:r>
          </w:p>
        </w:tc>
        <w:tc>
          <w:tcPr>
            <w:tcW w:w="821" w:type="dxa"/>
            <w:tcBorders>
              <w:top w:val="nil"/>
              <w:left w:val="nil"/>
              <w:bottom w:val="single" w:sz="12" w:space="0" w:color="000000"/>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023820">
              <w:rPr>
                <w:rFonts w:eastAsiaTheme="minorEastAsia" w:cs="Calibri"/>
                <w:color w:val="000000"/>
                <w:szCs w:val="16"/>
                <w:lang w:eastAsia="en-AU"/>
              </w:rPr>
              <w:t>17 309</w:t>
            </w:r>
          </w:p>
        </w:tc>
        <w:tc>
          <w:tcPr>
            <w:tcW w:w="821" w:type="dxa"/>
            <w:tcBorders>
              <w:top w:val="nil"/>
              <w:left w:val="nil"/>
              <w:bottom w:val="single" w:sz="12" w:space="0" w:color="000000"/>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023820">
              <w:rPr>
                <w:rFonts w:eastAsiaTheme="minorEastAsia" w:cs="Calibri"/>
                <w:color w:val="000000"/>
                <w:szCs w:val="16"/>
                <w:lang w:eastAsia="en-AU"/>
              </w:rPr>
              <w:t>17 687</w:t>
            </w:r>
          </w:p>
        </w:tc>
      </w:tr>
    </w:tbl>
    <w:p w:rsidR="00A46DCA" w:rsidRDefault="00A46DCA" w:rsidP="00A26D04">
      <w:pPr>
        <w:pStyle w:val="Source"/>
      </w:pPr>
      <w:r w:rsidRPr="00D87D22">
        <w:t>Source: Dep</w:t>
      </w:r>
      <w:r>
        <w:t>artment of Treasury and Finance</w:t>
      </w:r>
      <w:r w:rsidRPr="00352C54">
        <w:t xml:space="preserve"> </w:t>
      </w:r>
    </w:p>
    <w:p w:rsidR="00A46DCA" w:rsidRPr="005F55F3" w:rsidRDefault="00A46DCA" w:rsidP="00A26D04">
      <w:pPr>
        <w:pStyle w:val="Note"/>
      </w:pPr>
      <w:r>
        <w:t>Note:</w:t>
      </w:r>
    </w:p>
    <w:p w:rsidR="00A46DCA" w:rsidRPr="00926603" w:rsidRDefault="00A46DCA" w:rsidP="00A26D04">
      <w:pPr>
        <w:pStyle w:val="Note"/>
      </w:pPr>
      <w:r w:rsidRPr="00926603">
        <w:t>(a)</w:t>
      </w:r>
      <w:r w:rsidRPr="00926603">
        <w:tab/>
        <w:t>Balances represent actual</w:t>
      </w:r>
      <w:r>
        <w:t xml:space="preserve"> opening balances at 1 July 2017 plus 2017-18</w:t>
      </w:r>
      <w:r w:rsidRPr="00926603">
        <w:t xml:space="preserve"> budgeted movements.</w:t>
      </w:r>
    </w:p>
    <w:p w:rsidR="00A46DCA" w:rsidRDefault="00A46DCA" w:rsidP="00A26D04"/>
    <w:p w:rsidR="00A46DCA" w:rsidRDefault="00A46DCA" w:rsidP="00A26D04">
      <w:pPr>
        <w:pStyle w:val="Heading10"/>
      </w:pPr>
      <w:r>
        <w:br w:type="page"/>
      </w:r>
    </w:p>
    <w:p w:rsidR="00A46DCA" w:rsidRPr="00023820" w:rsidRDefault="00A46DCA" w:rsidP="00A26D04">
      <w:pPr>
        <w:pStyle w:val="TableHeading"/>
        <w:rPr>
          <w:bCs/>
          <w:lang w:val="en-US"/>
        </w:rPr>
      </w:pPr>
      <w:r>
        <w:lastRenderedPageBreak/>
        <w:t>Table 5.3</w:t>
      </w:r>
      <w:r w:rsidR="008110D9">
        <w:t>:</w:t>
      </w:r>
      <w:r>
        <w:tab/>
        <w:t xml:space="preserve">Public non-financial corporations sector cash flow statement </w:t>
      </w:r>
      <w:r w:rsidR="006A017C">
        <w:br/>
      </w:r>
      <w:r>
        <w:t xml:space="preserve">for the financial year ended 30 June </w:t>
      </w:r>
      <w:r w:rsidRPr="0058569A">
        <w:rPr>
          <w:vertAlign w:val="superscript"/>
        </w:rPr>
        <w:t>(a)</w:t>
      </w:r>
      <w:r>
        <w:tab/>
        <w:t>($ million)</w:t>
      </w:r>
    </w:p>
    <w:tbl>
      <w:tblPr>
        <w:tblStyle w:val="DTFTable"/>
        <w:tblW w:w="7765" w:type="dxa"/>
        <w:tblInd w:w="45" w:type="dxa"/>
        <w:tblLayout w:type="fixed"/>
        <w:tblCellMar>
          <w:left w:w="45" w:type="dxa"/>
          <w:right w:w="45" w:type="dxa"/>
        </w:tblCellMar>
        <w:tblLook w:val="06E0" w:firstRow="1" w:lastRow="1" w:firstColumn="1" w:lastColumn="0" w:noHBand="1" w:noVBand="1"/>
      </w:tblPr>
      <w:tblGrid>
        <w:gridCol w:w="3515"/>
        <w:gridCol w:w="850"/>
        <w:gridCol w:w="850"/>
        <w:gridCol w:w="850"/>
        <w:gridCol w:w="850"/>
        <w:gridCol w:w="850"/>
      </w:tblGrid>
      <w:tr w:rsidR="00A26D04" w:rsidRPr="00023820" w:rsidTr="008110D9">
        <w:trPr>
          <w:cnfStyle w:val="100000000000" w:firstRow="1" w:lastRow="0" w:firstColumn="0" w:lastColumn="0" w:oddVBand="0" w:evenVBand="0" w:oddHBand="0" w:evenHBand="0" w:firstRowFirstColumn="0" w:firstRowLastColumn="0" w:lastRowFirstColumn="0" w:lastRowLastColumn="0"/>
          <w:trHeight w:val="101"/>
          <w:tblHeader/>
        </w:trPr>
        <w:tc>
          <w:tcPr>
            <w:cnfStyle w:val="001000000000" w:firstRow="0" w:lastRow="0" w:firstColumn="1" w:lastColumn="0" w:oddVBand="0" w:evenVBand="0" w:oddHBand="0" w:evenHBand="0" w:firstRowFirstColumn="0" w:firstRowLastColumn="0" w:lastRowFirstColumn="0" w:lastRowLastColumn="0"/>
            <w:tcW w:w="3515" w:type="dxa"/>
            <w:tcBorders>
              <w:top w:val="nil"/>
              <w:left w:val="nil"/>
              <w:right w:val="nil"/>
            </w:tcBorders>
            <w:shd w:val="solid" w:color="000000" w:fill="auto"/>
          </w:tcPr>
          <w:p w:rsidR="00A26D04" w:rsidRPr="00023820" w:rsidRDefault="00A26D04" w:rsidP="00A26D04">
            <w:pPr>
              <w:autoSpaceDE w:val="0"/>
              <w:autoSpaceDN w:val="0"/>
              <w:adjustRightInd w:val="0"/>
              <w:rPr>
                <w:rFonts w:eastAsiaTheme="minorEastAsia" w:cs="Calibri"/>
                <w:iCs/>
                <w:color w:val="FFFFFF"/>
                <w:lang w:eastAsia="en-AU"/>
              </w:rPr>
            </w:pPr>
            <w:r w:rsidRPr="00023820">
              <w:rPr>
                <w:rFonts w:eastAsiaTheme="minorEastAsia" w:cs="Calibri"/>
                <w:iCs/>
                <w:color w:val="FFFFFF"/>
                <w:lang w:eastAsia="en-AU"/>
              </w:rPr>
              <w:t xml:space="preserve">  </w:t>
            </w:r>
          </w:p>
        </w:tc>
        <w:tc>
          <w:tcPr>
            <w:tcW w:w="850" w:type="dxa"/>
            <w:tcBorders>
              <w:top w:val="nil"/>
              <w:left w:val="nil"/>
              <w:right w:val="nil"/>
            </w:tcBorders>
            <w:shd w:val="solid" w:color="000000" w:fill="auto"/>
          </w:tcPr>
          <w:p w:rsidR="00A26D04" w:rsidRPr="00023820" w:rsidRDefault="00A26D04" w:rsidP="00A26D0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023820">
              <w:rPr>
                <w:rFonts w:eastAsiaTheme="minorEastAsia" w:cs="Calibri"/>
                <w:iCs/>
                <w:color w:val="FFFFFF"/>
                <w:szCs w:val="16"/>
                <w:lang w:eastAsia="en-AU"/>
              </w:rPr>
              <w:t>2017-18</w:t>
            </w:r>
            <w:r>
              <w:rPr>
                <w:rFonts w:eastAsiaTheme="minorEastAsia" w:cs="Calibri"/>
                <w:iCs/>
                <w:color w:val="FFFFFF"/>
                <w:szCs w:val="16"/>
                <w:lang w:eastAsia="en-AU"/>
              </w:rPr>
              <w:br/>
            </w:r>
            <w:r w:rsidRPr="00023820">
              <w:rPr>
                <w:rFonts w:eastAsiaTheme="minorEastAsia" w:cs="Calibri"/>
                <w:iCs/>
                <w:color w:val="FFFFFF"/>
                <w:szCs w:val="16"/>
                <w:lang w:eastAsia="en-AU"/>
              </w:rPr>
              <w:t>budget</w:t>
            </w:r>
          </w:p>
        </w:tc>
        <w:tc>
          <w:tcPr>
            <w:tcW w:w="850" w:type="dxa"/>
            <w:tcBorders>
              <w:top w:val="nil"/>
              <w:left w:val="nil"/>
              <w:right w:val="nil"/>
            </w:tcBorders>
            <w:shd w:val="solid" w:color="000000" w:fill="auto"/>
          </w:tcPr>
          <w:p w:rsidR="00A26D04" w:rsidRPr="00023820" w:rsidRDefault="00A26D04" w:rsidP="00A26D0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023820">
              <w:rPr>
                <w:rFonts w:eastAsiaTheme="minorEastAsia" w:cs="Calibri"/>
                <w:iCs/>
                <w:color w:val="FFFFFF"/>
                <w:szCs w:val="16"/>
                <w:lang w:eastAsia="en-AU"/>
              </w:rPr>
              <w:t>2017-18</w:t>
            </w:r>
            <w:r>
              <w:rPr>
                <w:rFonts w:eastAsiaTheme="minorEastAsia" w:cs="Calibri"/>
                <w:iCs/>
                <w:color w:val="FFFFFF"/>
                <w:szCs w:val="16"/>
                <w:lang w:eastAsia="en-AU"/>
              </w:rPr>
              <w:br/>
            </w:r>
            <w:r w:rsidRPr="00023820">
              <w:rPr>
                <w:rFonts w:eastAsiaTheme="minorEastAsia" w:cs="Calibri"/>
                <w:iCs/>
                <w:color w:val="FFFFFF"/>
                <w:szCs w:val="16"/>
                <w:lang w:eastAsia="en-AU"/>
              </w:rPr>
              <w:t>revised</w:t>
            </w:r>
          </w:p>
        </w:tc>
        <w:tc>
          <w:tcPr>
            <w:tcW w:w="850" w:type="dxa"/>
            <w:tcBorders>
              <w:top w:val="nil"/>
              <w:left w:val="nil"/>
              <w:right w:val="nil"/>
            </w:tcBorders>
            <w:shd w:val="solid" w:color="000000" w:fill="auto"/>
          </w:tcPr>
          <w:p w:rsidR="00A26D04" w:rsidRPr="00023820" w:rsidRDefault="00A26D04" w:rsidP="00A26D0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023820">
              <w:rPr>
                <w:rFonts w:eastAsiaTheme="minorEastAsia" w:cs="Calibri"/>
                <w:iCs/>
                <w:color w:val="FFFFFF"/>
                <w:szCs w:val="16"/>
                <w:lang w:eastAsia="en-AU"/>
              </w:rPr>
              <w:t>2018-19</w:t>
            </w:r>
            <w:r>
              <w:rPr>
                <w:rFonts w:eastAsiaTheme="minorEastAsia" w:cs="Calibri"/>
                <w:iCs/>
                <w:color w:val="FFFFFF"/>
                <w:szCs w:val="16"/>
                <w:lang w:eastAsia="en-AU"/>
              </w:rPr>
              <w:br/>
            </w:r>
            <w:r w:rsidRPr="00023820">
              <w:rPr>
                <w:rFonts w:eastAsiaTheme="minorEastAsia" w:cs="Calibri"/>
                <w:iCs/>
                <w:color w:val="FFFFFF"/>
                <w:szCs w:val="16"/>
                <w:lang w:eastAsia="en-AU"/>
              </w:rPr>
              <w:t>estimate</w:t>
            </w:r>
          </w:p>
        </w:tc>
        <w:tc>
          <w:tcPr>
            <w:tcW w:w="850" w:type="dxa"/>
            <w:tcBorders>
              <w:top w:val="nil"/>
              <w:left w:val="nil"/>
              <w:right w:val="nil"/>
            </w:tcBorders>
            <w:shd w:val="solid" w:color="000000" w:fill="auto"/>
          </w:tcPr>
          <w:p w:rsidR="00A26D04" w:rsidRPr="00023820" w:rsidRDefault="00A26D04" w:rsidP="00A26D0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023820">
              <w:rPr>
                <w:rFonts w:eastAsiaTheme="minorEastAsia" w:cs="Calibri"/>
                <w:iCs/>
                <w:color w:val="FFFFFF"/>
                <w:szCs w:val="16"/>
                <w:lang w:eastAsia="en-AU"/>
              </w:rPr>
              <w:t>2019-20</w:t>
            </w:r>
            <w:r>
              <w:rPr>
                <w:rFonts w:eastAsiaTheme="minorEastAsia" w:cs="Calibri"/>
                <w:iCs/>
                <w:color w:val="FFFFFF"/>
                <w:szCs w:val="16"/>
                <w:lang w:eastAsia="en-AU"/>
              </w:rPr>
              <w:br/>
            </w:r>
            <w:r w:rsidRPr="00023820">
              <w:rPr>
                <w:rFonts w:eastAsiaTheme="minorEastAsia" w:cs="Calibri"/>
                <w:iCs/>
                <w:color w:val="FFFFFF"/>
                <w:szCs w:val="16"/>
                <w:lang w:eastAsia="en-AU"/>
              </w:rPr>
              <w:t>estimate</w:t>
            </w:r>
          </w:p>
        </w:tc>
        <w:tc>
          <w:tcPr>
            <w:tcW w:w="850" w:type="dxa"/>
            <w:tcBorders>
              <w:top w:val="nil"/>
              <w:left w:val="nil"/>
              <w:right w:val="nil"/>
            </w:tcBorders>
            <w:shd w:val="solid" w:color="000000" w:fill="auto"/>
          </w:tcPr>
          <w:p w:rsidR="00A26D04" w:rsidRPr="00023820" w:rsidRDefault="00A26D04" w:rsidP="00A26D0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023820">
              <w:rPr>
                <w:rFonts w:eastAsiaTheme="minorEastAsia" w:cs="Calibri"/>
                <w:iCs/>
                <w:color w:val="FFFFFF"/>
                <w:szCs w:val="16"/>
                <w:lang w:eastAsia="en-AU"/>
              </w:rPr>
              <w:t>2020-21</w:t>
            </w:r>
            <w:r>
              <w:rPr>
                <w:rFonts w:eastAsiaTheme="minorEastAsia" w:cs="Calibri"/>
                <w:iCs/>
                <w:color w:val="FFFFFF"/>
                <w:szCs w:val="16"/>
                <w:lang w:eastAsia="en-AU"/>
              </w:rPr>
              <w:br/>
            </w:r>
            <w:r w:rsidRPr="00023820">
              <w:rPr>
                <w:rFonts w:eastAsiaTheme="minorEastAsia" w:cs="Calibri"/>
                <w:iCs/>
                <w:color w:val="FFFFFF"/>
                <w:szCs w:val="16"/>
                <w:lang w:eastAsia="en-AU"/>
              </w:rPr>
              <w:t>estimate</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A46DCA" w:rsidRPr="00023820" w:rsidRDefault="00A46DCA" w:rsidP="00A26D04">
            <w:pPr>
              <w:keepLines w:val="0"/>
              <w:autoSpaceDE w:val="0"/>
              <w:autoSpaceDN w:val="0"/>
              <w:adjustRightInd w:val="0"/>
              <w:rPr>
                <w:rFonts w:eastAsiaTheme="minorEastAsia" w:cs="Calibri"/>
                <w:b/>
                <w:bCs/>
                <w:color w:val="000000"/>
                <w:szCs w:val="16"/>
                <w:lang w:eastAsia="en-AU"/>
              </w:rPr>
            </w:pPr>
            <w:r w:rsidRPr="00023820">
              <w:rPr>
                <w:rFonts w:eastAsiaTheme="minorEastAsia" w:cs="Calibri"/>
                <w:b/>
                <w:bCs/>
                <w:color w:val="000000"/>
                <w:szCs w:val="16"/>
                <w:lang w:eastAsia="en-AU"/>
              </w:rPr>
              <w:t>Cash flows from operating activities</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023820">
              <w:rPr>
                <w:rFonts w:eastAsiaTheme="minorEastAsia" w:cs="Calibri"/>
                <w:b/>
                <w:bCs/>
                <w:color w:val="000000"/>
                <w:lang w:eastAsia="en-AU"/>
              </w:rPr>
              <w:t xml:space="preserve"> </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023820">
              <w:rPr>
                <w:rFonts w:eastAsiaTheme="minorEastAsia" w:cs="Calibri"/>
                <w:b/>
                <w:bCs/>
                <w:color w:val="000000"/>
                <w:lang w:eastAsia="en-AU"/>
              </w:rPr>
              <w:t xml:space="preserve"> </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023820">
              <w:rPr>
                <w:rFonts w:eastAsiaTheme="minorEastAsia" w:cs="Calibri"/>
                <w:b/>
                <w:bCs/>
                <w:color w:val="000000"/>
                <w:lang w:eastAsia="en-AU"/>
              </w:rPr>
              <w:t xml:space="preserve"> </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023820">
              <w:rPr>
                <w:rFonts w:eastAsiaTheme="minorEastAsia" w:cs="Calibri"/>
                <w:b/>
                <w:bCs/>
                <w:color w:val="000000"/>
                <w:lang w:eastAsia="en-AU"/>
              </w:rPr>
              <w:t xml:space="preserve"> </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023820">
              <w:rPr>
                <w:rFonts w:eastAsiaTheme="minorEastAsia" w:cs="Calibri"/>
                <w:b/>
                <w:bCs/>
                <w:color w:val="000000"/>
                <w:lang w:eastAsia="en-AU"/>
              </w:rPr>
              <w:t xml:space="preserve"> </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A46DCA" w:rsidRPr="00023820" w:rsidRDefault="00A46DCA" w:rsidP="00A26D04">
            <w:pPr>
              <w:keepLines w:val="0"/>
              <w:autoSpaceDE w:val="0"/>
              <w:autoSpaceDN w:val="0"/>
              <w:adjustRightInd w:val="0"/>
              <w:rPr>
                <w:rFonts w:eastAsiaTheme="minorEastAsia" w:cs="Calibri"/>
                <w:b/>
                <w:bCs/>
                <w:color w:val="000000"/>
                <w:szCs w:val="16"/>
                <w:lang w:eastAsia="en-AU"/>
              </w:rPr>
            </w:pPr>
            <w:r w:rsidRPr="00023820">
              <w:rPr>
                <w:rFonts w:eastAsiaTheme="minorEastAsia" w:cs="Calibri"/>
                <w:b/>
                <w:bCs/>
                <w:color w:val="000000"/>
                <w:szCs w:val="16"/>
                <w:lang w:eastAsia="en-AU"/>
              </w:rPr>
              <w:t>Receipts</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023820">
              <w:rPr>
                <w:rFonts w:eastAsiaTheme="minorEastAsia" w:cs="Calibri"/>
                <w:b/>
                <w:bCs/>
                <w:color w:val="000000"/>
                <w:lang w:eastAsia="en-AU"/>
              </w:rPr>
              <w:t xml:space="preserve"> </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023820">
              <w:rPr>
                <w:rFonts w:eastAsiaTheme="minorEastAsia" w:cs="Calibri"/>
                <w:b/>
                <w:bCs/>
                <w:color w:val="000000"/>
                <w:lang w:eastAsia="en-AU"/>
              </w:rPr>
              <w:t xml:space="preserve"> </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023820">
              <w:rPr>
                <w:rFonts w:eastAsiaTheme="minorEastAsia" w:cs="Calibri"/>
                <w:b/>
                <w:bCs/>
                <w:color w:val="000000"/>
                <w:lang w:eastAsia="en-AU"/>
              </w:rPr>
              <w:t xml:space="preserve"> </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023820">
              <w:rPr>
                <w:rFonts w:eastAsiaTheme="minorEastAsia" w:cs="Calibri"/>
                <w:b/>
                <w:bCs/>
                <w:color w:val="000000"/>
                <w:lang w:eastAsia="en-AU"/>
              </w:rPr>
              <w:t xml:space="preserve"> </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023820">
              <w:rPr>
                <w:rFonts w:eastAsiaTheme="minorEastAsia" w:cs="Calibri"/>
                <w:b/>
                <w:bCs/>
                <w:color w:val="000000"/>
                <w:lang w:eastAsia="en-AU"/>
              </w:rPr>
              <w:t xml:space="preserve"> </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A46DCA" w:rsidRPr="00023820" w:rsidRDefault="00A46DCA" w:rsidP="00A26D04">
            <w:pPr>
              <w:keepLines w:val="0"/>
              <w:autoSpaceDE w:val="0"/>
              <w:autoSpaceDN w:val="0"/>
              <w:adjustRightInd w:val="0"/>
              <w:rPr>
                <w:rFonts w:eastAsiaTheme="minorEastAsia" w:cs="Calibri"/>
                <w:color w:val="000000"/>
                <w:szCs w:val="16"/>
                <w:lang w:eastAsia="en-AU"/>
              </w:rPr>
            </w:pPr>
            <w:r w:rsidRPr="00023820">
              <w:rPr>
                <w:rFonts w:eastAsiaTheme="minorEastAsia" w:cs="Calibri"/>
                <w:color w:val="000000"/>
                <w:szCs w:val="16"/>
                <w:lang w:eastAsia="en-AU"/>
              </w:rPr>
              <w:t>Grants</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023820">
              <w:rPr>
                <w:rFonts w:eastAsiaTheme="minorEastAsia" w:cs="Calibri"/>
                <w:color w:val="000000"/>
                <w:szCs w:val="16"/>
                <w:lang w:eastAsia="en-AU"/>
              </w:rPr>
              <w:t>3 439</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023820">
              <w:rPr>
                <w:rFonts w:eastAsiaTheme="minorEastAsia" w:cs="Calibri"/>
                <w:color w:val="000000"/>
                <w:szCs w:val="16"/>
                <w:lang w:eastAsia="en-AU"/>
              </w:rPr>
              <w:t>3 529</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023820">
              <w:rPr>
                <w:rFonts w:eastAsiaTheme="minorEastAsia" w:cs="Calibri"/>
                <w:color w:val="000000"/>
                <w:szCs w:val="16"/>
                <w:lang w:eastAsia="en-AU"/>
              </w:rPr>
              <w:t>3 475</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023820">
              <w:rPr>
                <w:rFonts w:eastAsiaTheme="minorEastAsia" w:cs="Calibri"/>
                <w:color w:val="000000"/>
                <w:szCs w:val="16"/>
                <w:lang w:eastAsia="en-AU"/>
              </w:rPr>
              <w:t>3 539</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023820">
              <w:rPr>
                <w:rFonts w:eastAsiaTheme="minorEastAsia" w:cs="Calibri"/>
                <w:color w:val="000000"/>
                <w:szCs w:val="16"/>
                <w:lang w:eastAsia="en-AU"/>
              </w:rPr>
              <w:t>3 534</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A46DCA" w:rsidRPr="00023820" w:rsidRDefault="00A46DCA" w:rsidP="00A26D04">
            <w:pPr>
              <w:keepLines w:val="0"/>
              <w:autoSpaceDE w:val="0"/>
              <w:autoSpaceDN w:val="0"/>
              <w:adjustRightInd w:val="0"/>
              <w:rPr>
                <w:rFonts w:eastAsiaTheme="minorEastAsia" w:cs="Calibri"/>
                <w:color w:val="000000"/>
                <w:szCs w:val="16"/>
                <w:vertAlign w:val="superscript"/>
                <w:lang w:eastAsia="en-AU"/>
              </w:rPr>
            </w:pPr>
            <w:r w:rsidRPr="00023820">
              <w:rPr>
                <w:rFonts w:eastAsiaTheme="minorEastAsia" w:cs="Calibri"/>
                <w:color w:val="000000"/>
                <w:szCs w:val="16"/>
                <w:lang w:eastAsia="en-AU"/>
              </w:rPr>
              <w:t xml:space="preserve">Sales of goods and services </w:t>
            </w:r>
            <w:r w:rsidRPr="00023820">
              <w:rPr>
                <w:rFonts w:eastAsiaTheme="minorEastAsia" w:cs="Calibri"/>
                <w:color w:val="000000"/>
                <w:szCs w:val="16"/>
                <w:vertAlign w:val="superscript"/>
                <w:lang w:eastAsia="en-AU"/>
              </w:rPr>
              <w:t>(b)</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023820">
              <w:rPr>
                <w:rFonts w:eastAsiaTheme="minorEastAsia" w:cs="Calibri"/>
                <w:color w:val="000000"/>
                <w:szCs w:val="16"/>
                <w:lang w:eastAsia="en-AU"/>
              </w:rPr>
              <w:t>6 957</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023820">
              <w:rPr>
                <w:rFonts w:eastAsiaTheme="minorEastAsia" w:cs="Calibri"/>
                <w:color w:val="000000"/>
                <w:szCs w:val="16"/>
                <w:lang w:eastAsia="en-AU"/>
              </w:rPr>
              <w:t>7 085</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023820">
              <w:rPr>
                <w:rFonts w:eastAsiaTheme="minorEastAsia" w:cs="Calibri"/>
                <w:color w:val="000000"/>
                <w:szCs w:val="16"/>
                <w:lang w:eastAsia="en-AU"/>
              </w:rPr>
              <w:t>7 209</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023820">
              <w:rPr>
                <w:rFonts w:eastAsiaTheme="minorEastAsia" w:cs="Calibri"/>
                <w:color w:val="000000"/>
                <w:szCs w:val="16"/>
                <w:lang w:eastAsia="en-AU"/>
              </w:rPr>
              <w:t>7 233</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023820">
              <w:rPr>
                <w:rFonts w:eastAsiaTheme="minorEastAsia" w:cs="Calibri"/>
                <w:color w:val="000000"/>
                <w:szCs w:val="16"/>
                <w:lang w:eastAsia="en-AU"/>
              </w:rPr>
              <w:t>7 829</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A46DCA" w:rsidRPr="00023820" w:rsidRDefault="00A46DCA" w:rsidP="00A26D04">
            <w:pPr>
              <w:keepLines w:val="0"/>
              <w:autoSpaceDE w:val="0"/>
              <w:autoSpaceDN w:val="0"/>
              <w:adjustRightInd w:val="0"/>
              <w:rPr>
                <w:rFonts w:eastAsiaTheme="minorEastAsia" w:cs="Calibri"/>
                <w:color w:val="000000"/>
                <w:szCs w:val="16"/>
                <w:lang w:eastAsia="en-AU"/>
              </w:rPr>
            </w:pPr>
            <w:r w:rsidRPr="00023820">
              <w:rPr>
                <w:rFonts w:eastAsiaTheme="minorEastAsia" w:cs="Calibri"/>
                <w:color w:val="000000"/>
                <w:szCs w:val="16"/>
                <w:lang w:eastAsia="en-AU"/>
              </w:rPr>
              <w:t>Interest received</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167</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188</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129</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99</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58</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A46DCA" w:rsidRPr="00023820" w:rsidRDefault="00A46DCA" w:rsidP="00A26D04">
            <w:pPr>
              <w:keepLines w:val="0"/>
              <w:autoSpaceDE w:val="0"/>
              <w:autoSpaceDN w:val="0"/>
              <w:adjustRightInd w:val="0"/>
              <w:rPr>
                <w:rFonts w:eastAsiaTheme="minorEastAsia" w:cs="Calibri"/>
                <w:color w:val="000000"/>
                <w:szCs w:val="16"/>
                <w:lang w:eastAsia="en-AU"/>
              </w:rPr>
            </w:pPr>
            <w:r w:rsidRPr="00023820">
              <w:rPr>
                <w:rFonts w:eastAsiaTheme="minorEastAsia" w:cs="Calibri"/>
                <w:color w:val="000000"/>
                <w:szCs w:val="16"/>
                <w:lang w:eastAsia="en-AU"/>
              </w:rPr>
              <w:t>Dividend receipts</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18</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15</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15</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16</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16</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single" w:sz="6" w:space="0" w:color="000000"/>
              <w:right w:val="nil"/>
            </w:tcBorders>
          </w:tcPr>
          <w:p w:rsidR="00A46DCA" w:rsidRPr="00023820" w:rsidRDefault="00A46DCA" w:rsidP="00A26D04">
            <w:pPr>
              <w:keepLines w:val="0"/>
              <w:autoSpaceDE w:val="0"/>
              <w:autoSpaceDN w:val="0"/>
              <w:adjustRightInd w:val="0"/>
              <w:rPr>
                <w:rFonts w:eastAsiaTheme="minorEastAsia" w:cs="Calibri"/>
                <w:color w:val="000000"/>
                <w:szCs w:val="16"/>
                <w:lang w:eastAsia="en-AU"/>
              </w:rPr>
            </w:pPr>
            <w:r w:rsidRPr="00023820">
              <w:rPr>
                <w:rFonts w:eastAsiaTheme="minorEastAsia" w:cs="Calibri"/>
                <w:color w:val="000000"/>
                <w:szCs w:val="16"/>
                <w:lang w:eastAsia="en-AU"/>
              </w:rPr>
              <w:t>Other receipts</w:t>
            </w:r>
          </w:p>
        </w:tc>
        <w:tc>
          <w:tcPr>
            <w:tcW w:w="850" w:type="dxa"/>
            <w:tcBorders>
              <w:top w:val="nil"/>
              <w:left w:val="nil"/>
              <w:bottom w:val="single" w:sz="6" w:space="0" w:color="000000"/>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506</w:t>
            </w:r>
          </w:p>
        </w:tc>
        <w:tc>
          <w:tcPr>
            <w:tcW w:w="850" w:type="dxa"/>
            <w:tcBorders>
              <w:top w:val="nil"/>
              <w:left w:val="nil"/>
              <w:bottom w:val="single" w:sz="6" w:space="0" w:color="000000"/>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466</w:t>
            </w:r>
          </w:p>
        </w:tc>
        <w:tc>
          <w:tcPr>
            <w:tcW w:w="850" w:type="dxa"/>
            <w:tcBorders>
              <w:top w:val="nil"/>
              <w:left w:val="nil"/>
              <w:bottom w:val="single" w:sz="6" w:space="0" w:color="000000"/>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302</w:t>
            </w:r>
          </w:p>
        </w:tc>
        <w:tc>
          <w:tcPr>
            <w:tcW w:w="850" w:type="dxa"/>
            <w:tcBorders>
              <w:top w:val="nil"/>
              <w:left w:val="nil"/>
              <w:bottom w:val="single" w:sz="6" w:space="0" w:color="000000"/>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226</w:t>
            </w:r>
          </w:p>
        </w:tc>
        <w:tc>
          <w:tcPr>
            <w:tcW w:w="850" w:type="dxa"/>
            <w:tcBorders>
              <w:top w:val="nil"/>
              <w:left w:val="nil"/>
              <w:bottom w:val="single" w:sz="6" w:space="0" w:color="000000"/>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322</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A46DCA" w:rsidRPr="00023820" w:rsidRDefault="00A46DCA" w:rsidP="00A26D04">
            <w:pPr>
              <w:keepLines w:val="0"/>
              <w:autoSpaceDE w:val="0"/>
              <w:autoSpaceDN w:val="0"/>
              <w:adjustRightInd w:val="0"/>
              <w:rPr>
                <w:rFonts w:eastAsiaTheme="minorEastAsia" w:cs="Calibri"/>
                <w:b/>
                <w:bCs/>
                <w:color w:val="000000"/>
                <w:szCs w:val="16"/>
                <w:lang w:eastAsia="en-AU"/>
              </w:rPr>
            </w:pPr>
            <w:r w:rsidRPr="00023820">
              <w:rPr>
                <w:rFonts w:eastAsiaTheme="minorEastAsia" w:cs="Calibri"/>
                <w:b/>
                <w:bCs/>
                <w:color w:val="000000"/>
                <w:szCs w:val="16"/>
                <w:lang w:eastAsia="en-AU"/>
              </w:rPr>
              <w:t>Total receipts</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023820">
              <w:rPr>
                <w:rFonts w:eastAsiaTheme="minorEastAsia" w:cs="Calibri"/>
                <w:b/>
                <w:bCs/>
                <w:color w:val="000000"/>
                <w:szCs w:val="16"/>
                <w:lang w:eastAsia="en-AU"/>
              </w:rPr>
              <w:t>11 086</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023820">
              <w:rPr>
                <w:rFonts w:eastAsiaTheme="minorEastAsia" w:cs="Calibri"/>
                <w:b/>
                <w:bCs/>
                <w:color w:val="000000"/>
                <w:szCs w:val="16"/>
                <w:lang w:eastAsia="en-AU"/>
              </w:rPr>
              <w:t>11 282</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023820">
              <w:rPr>
                <w:rFonts w:eastAsiaTheme="minorEastAsia" w:cs="Calibri"/>
                <w:b/>
                <w:bCs/>
                <w:color w:val="000000"/>
                <w:szCs w:val="16"/>
                <w:lang w:eastAsia="en-AU"/>
              </w:rPr>
              <w:t>11 130</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023820">
              <w:rPr>
                <w:rFonts w:eastAsiaTheme="minorEastAsia" w:cs="Calibri"/>
                <w:b/>
                <w:bCs/>
                <w:color w:val="000000"/>
                <w:szCs w:val="16"/>
                <w:lang w:eastAsia="en-AU"/>
              </w:rPr>
              <w:t>11 112</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023820">
              <w:rPr>
                <w:rFonts w:eastAsiaTheme="minorEastAsia" w:cs="Calibri"/>
                <w:b/>
                <w:bCs/>
                <w:color w:val="000000"/>
                <w:szCs w:val="16"/>
                <w:lang w:eastAsia="en-AU"/>
              </w:rPr>
              <w:t>11 760</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A46DCA" w:rsidRPr="00023820" w:rsidRDefault="00A46DCA" w:rsidP="00A26D04">
            <w:pPr>
              <w:keepLines w:val="0"/>
              <w:autoSpaceDE w:val="0"/>
              <w:autoSpaceDN w:val="0"/>
              <w:adjustRightInd w:val="0"/>
              <w:rPr>
                <w:rFonts w:eastAsiaTheme="minorEastAsia" w:cs="Calibri"/>
                <w:b/>
                <w:bCs/>
                <w:color w:val="000000"/>
                <w:szCs w:val="16"/>
                <w:lang w:eastAsia="en-AU"/>
              </w:rPr>
            </w:pPr>
            <w:r w:rsidRPr="00023820">
              <w:rPr>
                <w:rFonts w:eastAsiaTheme="minorEastAsia" w:cs="Calibri"/>
                <w:b/>
                <w:bCs/>
                <w:color w:val="000000"/>
                <w:szCs w:val="16"/>
                <w:lang w:eastAsia="en-AU"/>
              </w:rPr>
              <w:t>Payments</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023820">
              <w:rPr>
                <w:rFonts w:eastAsiaTheme="minorEastAsia" w:cs="Calibri"/>
                <w:b/>
                <w:bCs/>
                <w:color w:val="000000"/>
                <w:lang w:eastAsia="en-AU"/>
              </w:rPr>
              <w:t xml:space="preserve"> </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023820">
              <w:rPr>
                <w:rFonts w:eastAsiaTheme="minorEastAsia" w:cs="Calibri"/>
                <w:b/>
                <w:bCs/>
                <w:color w:val="000000"/>
                <w:lang w:eastAsia="en-AU"/>
              </w:rPr>
              <w:t xml:space="preserve"> </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023820">
              <w:rPr>
                <w:rFonts w:eastAsiaTheme="minorEastAsia" w:cs="Calibri"/>
                <w:b/>
                <w:bCs/>
                <w:color w:val="000000"/>
                <w:lang w:eastAsia="en-AU"/>
              </w:rPr>
              <w:t xml:space="preserve"> </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023820">
              <w:rPr>
                <w:rFonts w:eastAsiaTheme="minorEastAsia" w:cs="Calibri"/>
                <w:b/>
                <w:bCs/>
                <w:color w:val="000000"/>
                <w:lang w:eastAsia="en-AU"/>
              </w:rPr>
              <w:t xml:space="preserve"> </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023820">
              <w:rPr>
                <w:rFonts w:eastAsiaTheme="minorEastAsia" w:cs="Calibri"/>
                <w:b/>
                <w:bCs/>
                <w:color w:val="000000"/>
                <w:lang w:eastAsia="en-AU"/>
              </w:rPr>
              <w:t xml:space="preserve"> </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A46DCA" w:rsidRPr="00023820" w:rsidRDefault="00A46DCA" w:rsidP="00A26D04">
            <w:pPr>
              <w:keepLines w:val="0"/>
              <w:autoSpaceDE w:val="0"/>
              <w:autoSpaceDN w:val="0"/>
              <w:adjustRightInd w:val="0"/>
              <w:rPr>
                <w:rFonts w:eastAsiaTheme="minorEastAsia" w:cs="Calibri"/>
                <w:color w:val="000000"/>
                <w:szCs w:val="16"/>
                <w:lang w:eastAsia="en-AU"/>
              </w:rPr>
            </w:pPr>
            <w:r w:rsidRPr="00023820">
              <w:rPr>
                <w:rFonts w:eastAsiaTheme="minorEastAsia" w:cs="Calibri"/>
                <w:color w:val="000000"/>
                <w:szCs w:val="16"/>
                <w:lang w:eastAsia="en-AU"/>
              </w:rPr>
              <w:t>Payments for employees</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(1 240)</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(1 234)</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(1 290)</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(1 315)</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(1 346)</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A46DCA" w:rsidRPr="00023820" w:rsidRDefault="00A46DCA" w:rsidP="00A26D04">
            <w:pPr>
              <w:keepLines w:val="0"/>
              <w:autoSpaceDE w:val="0"/>
              <w:autoSpaceDN w:val="0"/>
              <w:adjustRightInd w:val="0"/>
              <w:rPr>
                <w:rFonts w:eastAsiaTheme="minorEastAsia" w:cs="Calibri"/>
                <w:color w:val="000000"/>
                <w:szCs w:val="16"/>
                <w:lang w:eastAsia="en-AU"/>
              </w:rPr>
            </w:pPr>
            <w:r w:rsidRPr="00023820">
              <w:rPr>
                <w:rFonts w:eastAsiaTheme="minorEastAsia" w:cs="Calibri"/>
                <w:color w:val="000000"/>
                <w:szCs w:val="16"/>
                <w:lang w:eastAsia="en-AU"/>
              </w:rPr>
              <w:t>Superannuation</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(116)</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(120)</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(125)</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(129)</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(131)</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A46DCA" w:rsidRPr="00023820" w:rsidRDefault="00A46DCA" w:rsidP="00A26D04">
            <w:pPr>
              <w:keepLines w:val="0"/>
              <w:autoSpaceDE w:val="0"/>
              <w:autoSpaceDN w:val="0"/>
              <w:adjustRightInd w:val="0"/>
              <w:rPr>
                <w:rFonts w:eastAsiaTheme="minorEastAsia" w:cs="Calibri"/>
                <w:color w:val="000000"/>
                <w:szCs w:val="16"/>
                <w:lang w:eastAsia="en-AU"/>
              </w:rPr>
            </w:pPr>
            <w:r w:rsidRPr="00023820">
              <w:rPr>
                <w:rFonts w:eastAsiaTheme="minorEastAsia" w:cs="Calibri"/>
                <w:color w:val="000000"/>
                <w:szCs w:val="16"/>
                <w:lang w:eastAsia="en-AU"/>
              </w:rPr>
              <w:t>Interest paid</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(1 129)</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(1 124)</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(1 082)</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(1 070)</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(1 066)</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A46DCA" w:rsidRPr="00023820" w:rsidRDefault="00A46DCA" w:rsidP="00A26D04">
            <w:pPr>
              <w:keepLines w:val="0"/>
              <w:autoSpaceDE w:val="0"/>
              <w:autoSpaceDN w:val="0"/>
              <w:adjustRightInd w:val="0"/>
              <w:rPr>
                <w:rFonts w:eastAsiaTheme="minorEastAsia" w:cs="Calibri"/>
                <w:color w:val="000000"/>
                <w:szCs w:val="16"/>
                <w:lang w:eastAsia="en-AU"/>
              </w:rPr>
            </w:pPr>
            <w:r w:rsidRPr="00023820">
              <w:rPr>
                <w:rFonts w:eastAsiaTheme="minorEastAsia" w:cs="Calibri"/>
                <w:color w:val="000000"/>
                <w:szCs w:val="16"/>
                <w:lang w:eastAsia="en-AU"/>
              </w:rPr>
              <w:t>Grants and subsidies</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(137)</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(91)</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(74)</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(60)</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(38)</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A46DCA" w:rsidRPr="00023820" w:rsidRDefault="00A46DCA" w:rsidP="00A26D04">
            <w:pPr>
              <w:keepLines w:val="0"/>
              <w:autoSpaceDE w:val="0"/>
              <w:autoSpaceDN w:val="0"/>
              <w:adjustRightInd w:val="0"/>
              <w:rPr>
                <w:rFonts w:eastAsiaTheme="minorEastAsia" w:cs="Calibri"/>
                <w:color w:val="000000"/>
                <w:szCs w:val="16"/>
                <w:vertAlign w:val="superscript"/>
                <w:lang w:eastAsia="en-AU"/>
              </w:rPr>
            </w:pPr>
            <w:r w:rsidRPr="00023820">
              <w:rPr>
                <w:rFonts w:eastAsiaTheme="minorEastAsia" w:cs="Calibri"/>
                <w:color w:val="000000"/>
                <w:szCs w:val="16"/>
                <w:lang w:eastAsia="en-AU"/>
              </w:rPr>
              <w:t xml:space="preserve">Goods and services </w:t>
            </w:r>
            <w:r w:rsidRPr="00023820">
              <w:rPr>
                <w:rFonts w:eastAsiaTheme="minorEastAsia" w:cs="Calibri"/>
                <w:color w:val="000000"/>
                <w:szCs w:val="16"/>
                <w:vertAlign w:val="superscript"/>
                <w:lang w:eastAsia="en-AU"/>
              </w:rPr>
              <w:t>(b)</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(4 561)</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(4 812)</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(4 438)</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(4 384)</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(4 949)</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A46DCA" w:rsidRPr="00023820" w:rsidRDefault="00A46DCA" w:rsidP="00A26D04">
            <w:pPr>
              <w:keepLines w:val="0"/>
              <w:autoSpaceDE w:val="0"/>
              <w:autoSpaceDN w:val="0"/>
              <w:adjustRightInd w:val="0"/>
              <w:rPr>
                <w:rFonts w:eastAsiaTheme="minorEastAsia" w:cs="Calibri"/>
                <w:color w:val="000000"/>
                <w:szCs w:val="16"/>
                <w:lang w:eastAsia="en-AU"/>
              </w:rPr>
            </w:pPr>
            <w:r w:rsidRPr="00023820">
              <w:rPr>
                <w:rFonts w:eastAsiaTheme="minorEastAsia" w:cs="Calibri"/>
                <w:color w:val="000000"/>
                <w:szCs w:val="16"/>
                <w:lang w:eastAsia="en-AU"/>
              </w:rPr>
              <w:t>Other payments</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(2 323)</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(2 417)</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(2 568)</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(2 634)</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(2 564)</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3515" w:type="dxa"/>
            <w:tcBorders>
              <w:top w:val="single" w:sz="6" w:space="0" w:color="000000"/>
              <w:left w:val="nil"/>
              <w:bottom w:val="single" w:sz="6" w:space="0" w:color="000000"/>
              <w:right w:val="nil"/>
            </w:tcBorders>
          </w:tcPr>
          <w:p w:rsidR="00A46DCA" w:rsidRPr="00023820" w:rsidRDefault="00A46DCA" w:rsidP="00A26D04">
            <w:pPr>
              <w:keepLines w:val="0"/>
              <w:autoSpaceDE w:val="0"/>
              <w:autoSpaceDN w:val="0"/>
              <w:adjustRightInd w:val="0"/>
              <w:rPr>
                <w:rFonts w:eastAsiaTheme="minorEastAsia" w:cs="Calibri"/>
                <w:b/>
                <w:bCs/>
                <w:color w:val="000000"/>
                <w:szCs w:val="16"/>
                <w:lang w:eastAsia="en-AU"/>
              </w:rPr>
            </w:pPr>
            <w:r w:rsidRPr="00023820">
              <w:rPr>
                <w:rFonts w:eastAsiaTheme="minorEastAsia" w:cs="Calibri"/>
                <w:b/>
                <w:bCs/>
                <w:color w:val="000000"/>
                <w:szCs w:val="16"/>
                <w:lang w:eastAsia="en-AU"/>
              </w:rPr>
              <w:t>Total payments</w:t>
            </w:r>
          </w:p>
        </w:tc>
        <w:tc>
          <w:tcPr>
            <w:tcW w:w="850" w:type="dxa"/>
            <w:tcBorders>
              <w:top w:val="single" w:sz="6" w:space="0" w:color="000000"/>
              <w:left w:val="nil"/>
              <w:bottom w:val="single" w:sz="6" w:space="0" w:color="000000"/>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Pr>
                <w:rFonts w:eastAsiaTheme="minorEastAsia" w:cs="Calibri"/>
                <w:b/>
                <w:bCs/>
                <w:color w:val="000000"/>
                <w:szCs w:val="16"/>
                <w:lang w:eastAsia="en-AU"/>
              </w:rPr>
              <w:t>(9 506)</w:t>
            </w:r>
          </w:p>
        </w:tc>
        <w:tc>
          <w:tcPr>
            <w:tcW w:w="850" w:type="dxa"/>
            <w:tcBorders>
              <w:top w:val="single" w:sz="6" w:space="0" w:color="000000"/>
              <w:left w:val="nil"/>
              <w:bottom w:val="single" w:sz="6" w:space="0" w:color="000000"/>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Pr>
                <w:rFonts w:eastAsiaTheme="minorEastAsia" w:cs="Calibri"/>
                <w:b/>
                <w:bCs/>
                <w:color w:val="000000"/>
                <w:szCs w:val="16"/>
                <w:lang w:eastAsia="en-AU"/>
              </w:rPr>
              <w:t>(9 798)</w:t>
            </w:r>
          </w:p>
        </w:tc>
        <w:tc>
          <w:tcPr>
            <w:tcW w:w="850" w:type="dxa"/>
            <w:tcBorders>
              <w:top w:val="single" w:sz="6" w:space="0" w:color="000000"/>
              <w:left w:val="nil"/>
              <w:bottom w:val="single" w:sz="6" w:space="0" w:color="000000"/>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Pr>
                <w:rFonts w:eastAsiaTheme="minorEastAsia" w:cs="Calibri"/>
                <w:b/>
                <w:bCs/>
                <w:color w:val="000000"/>
                <w:szCs w:val="16"/>
                <w:lang w:eastAsia="en-AU"/>
              </w:rPr>
              <w:t>(9 578)</w:t>
            </w:r>
          </w:p>
        </w:tc>
        <w:tc>
          <w:tcPr>
            <w:tcW w:w="850" w:type="dxa"/>
            <w:tcBorders>
              <w:top w:val="single" w:sz="6" w:space="0" w:color="000000"/>
              <w:left w:val="nil"/>
              <w:bottom w:val="single" w:sz="6" w:space="0" w:color="000000"/>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Pr>
                <w:rFonts w:eastAsiaTheme="minorEastAsia" w:cs="Calibri"/>
                <w:b/>
                <w:bCs/>
                <w:color w:val="000000"/>
                <w:szCs w:val="16"/>
                <w:lang w:eastAsia="en-AU"/>
              </w:rPr>
              <w:t>(9 591)</w:t>
            </w:r>
          </w:p>
        </w:tc>
        <w:tc>
          <w:tcPr>
            <w:tcW w:w="850" w:type="dxa"/>
            <w:tcBorders>
              <w:top w:val="single" w:sz="6" w:space="0" w:color="000000"/>
              <w:left w:val="nil"/>
              <w:bottom w:val="single" w:sz="6" w:space="0" w:color="000000"/>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Pr>
                <w:rFonts w:eastAsiaTheme="minorEastAsia" w:cs="Calibri"/>
                <w:b/>
                <w:bCs/>
                <w:color w:val="000000"/>
                <w:szCs w:val="16"/>
                <w:lang w:eastAsia="en-AU"/>
              </w:rPr>
              <w:t>(10 095)</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A46DCA" w:rsidRPr="00023820" w:rsidRDefault="00A46DCA" w:rsidP="00A26D04">
            <w:pPr>
              <w:keepLines w:val="0"/>
              <w:autoSpaceDE w:val="0"/>
              <w:autoSpaceDN w:val="0"/>
              <w:adjustRightInd w:val="0"/>
              <w:rPr>
                <w:rFonts w:eastAsiaTheme="minorEastAsia" w:cs="Calibri"/>
                <w:b/>
                <w:bCs/>
                <w:color w:val="000000"/>
                <w:szCs w:val="16"/>
                <w:lang w:eastAsia="en-AU"/>
              </w:rPr>
            </w:pPr>
            <w:r w:rsidRPr="00023820">
              <w:rPr>
                <w:rFonts w:eastAsiaTheme="minorEastAsia" w:cs="Calibri"/>
                <w:b/>
                <w:bCs/>
                <w:color w:val="000000"/>
                <w:szCs w:val="16"/>
                <w:lang w:eastAsia="en-AU"/>
              </w:rPr>
              <w:t>Net cash flows from operating activities</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023820">
              <w:rPr>
                <w:rFonts w:eastAsiaTheme="minorEastAsia" w:cs="Calibri"/>
                <w:b/>
                <w:bCs/>
                <w:color w:val="000000"/>
                <w:szCs w:val="16"/>
                <w:lang w:eastAsia="en-AU"/>
              </w:rPr>
              <w:t>1 580</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023820">
              <w:rPr>
                <w:rFonts w:eastAsiaTheme="minorEastAsia" w:cs="Calibri"/>
                <w:b/>
                <w:bCs/>
                <w:color w:val="000000"/>
                <w:szCs w:val="16"/>
                <w:lang w:eastAsia="en-AU"/>
              </w:rPr>
              <w:t>1 484</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023820">
              <w:rPr>
                <w:rFonts w:eastAsiaTheme="minorEastAsia" w:cs="Calibri"/>
                <w:b/>
                <w:bCs/>
                <w:color w:val="000000"/>
                <w:szCs w:val="16"/>
                <w:lang w:eastAsia="en-AU"/>
              </w:rPr>
              <w:t>1 552</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023820">
              <w:rPr>
                <w:rFonts w:eastAsiaTheme="minorEastAsia" w:cs="Calibri"/>
                <w:b/>
                <w:bCs/>
                <w:color w:val="000000"/>
                <w:szCs w:val="16"/>
                <w:lang w:eastAsia="en-AU"/>
              </w:rPr>
              <w:t>1 521</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023820">
              <w:rPr>
                <w:rFonts w:eastAsiaTheme="minorEastAsia" w:cs="Calibri"/>
                <w:b/>
                <w:bCs/>
                <w:color w:val="000000"/>
                <w:szCs w:val="16"/>
                <w:lang w:eastAsia="en-AU"/>
              </w:rPr>
              <w:t>1 665</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A46DCA" w:rsidRPr="00023820" w:rsidRDefault="00A46DCA" w:rsidP="00A26D04">
            <w:pPr>
              <w:keepLines w:val="0"/>
              <w:autoSpaceDE w:val="0"/>
              <w:autoSpaceDN w:val="0"/>
              <w:adjustRightInd w:val="0"/>
              <w:rPr>
                <w:rFonts w:eastAsiaTheme="minorEastAsia" w:cs="Calibri"/>
                <w:b/>
                <w:bCs/>
                <w:color w:val="000000"/>
                <w:szCs w:val="16"/>
                <w:lang w:eastAsia="en-AU"/>
              </w:rPr>
            </w:pPr>
            <w:r w:rsidRPr="00023820">
              <w:rPr>
                <w:rFonts w:eastAsiaTheme="minorEastAsia" w:cs="Calibri"/>
                <w:b/>
                <w:bCs/>
                <w:color w:val="000000"/>
                <w:szCs w:val="16"/>
                <w:lang w:eastAsia="en-AU"/>
              </w:rPr>
              <w:t>Cash flows from investing activities</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023820">
              <w:rPr>
                <w:rFonts w:eastAsiaTheme="minorEastAsia" w:cs="Calibri"/>
                <w:b/>
                <w:bCs/>
                <w:color w:val="000000"/>
                <w:lang w:eastAsia="en-AU"/>
              </w:rPr>
              <w:t xml:space="preserve"> </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023820">
              <w:rPr>
                <w:rFonts w:eastAsiaTheme="minorEastAsia" w:cs="Calibri"/>
                <w:b/>
                <w:bCs/>
                <w:color w:val="000000"/>
                <w:lang w:eastAsia="en-AU"/>
              </w:rPr>
              <w:t xml:space="preserve"> </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023820">
              <w:rPr>
                <w:rFonts w:eastAsiaTheme="minorEastAsia" w:cs="Calibri"/>
                <w:b/>
                <w:bCs/>
                <w:color w:val="000000"/>
                <w:lang w:eastAsia="en-AU"/>
              </w:rPr>
              <w:t xml:space="preserve"> </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023820">
              <w:rPr>
                <w:rFonts w:eastAsiaTheme="minorEastAsia" w:cs="Calibri"/>
                <w:b/>
                <w:bCs/>
                <w:color w:val="000000"/>
                <w:lang w:eastAsia="en-AU"/>
              </w:rPr>
              <w:t xml:space="preserve"> </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023820">
              <w:rPr>
                <w:rFonts w:eastAsiaTheme="minorEastAsia" w:cs="Calibri"/>
                <w:b/>
                <w:bCs/>
                <w:color w:val="000000"/>
                <w:lang w:eastAsia="en-AU"/>
              </w:rPr>
              <w:t xml:space="preserve"> </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A46DCA" w:rsidRPr="00023820" w:rsidRDefault="00A46DCA" w:rsidP="00A26D04">
            <w:pPr>
              <w:keepLines w:val="0"/>
              <w:autoSpaceDE w:val="0"/>
              <w:autoSpaceDN w:val="0"/>
              <w:adjustRightInd w:val="0"/>
              <w:rPr>
                <w:rFonts w:eastAsiaTheme="minorEastAsia" w:cs="Calibri"/>
                <w:color w:val="000000"/>
                <w:szCs w:val="16"/>
                <w:lang w:eastAsia="en-AU"/>
              </w:rPr>
            </w:pPr>
            <w:r w:rsidRPr="00023820">
              <w:rPr>
                <w:rFonts w:eastAsiaTheme="minorEastAsia" w:cs="Calibri"/>
                <w:color w:val="000000"/>
                <w:szCs w:val="16"/>
                <w:lang w:eastAsia="en-AU"/>
              </w:rPr>
              <w:t xml:space="preserve">Net cash flows from investments in </w:t>
            </w:r>
            <w:r>
              <w:rPr>
                <w:rFonts w:eastAsiaTheme="minorEastAsia" w:cs="Calibri"/>
                <w:color w:val="000000"/>
                <w:szCs w:val="16"/>
                <w:lang w:eastAsia="en-AU"/>
              </w:rPr>
              <w:br/>
            </w:r>
            <w:r w:rsidRPr="00023820">
              <w:rPr>
                <w:rFonts w:eastAsiaTheme="minorEastAsia" w:cs="Calibri"/>
                <w:color w:val="000000"/>
                <w:szCs w:val="16"/>
                <w:lang w:eastAsia="en-AU"/>
              </w:rPr>
              <w:t>non-financial assets</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(3 051)</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(2 759)</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(2 742)</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(2 589)</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(1 750)</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A46DCA" w:rsidRPr="00023820" w:rsidRDefault="00A46DCA" w:rsidP="00A26D04">
            <w:pPr>
              <w:keepLines w:val="0"/>
              <w:autoSpaceDE w:val="0"/>
              <w:autoSpaceDN w:val="0"/>
              <w:adjustRightInd w:val="0"/>
              <w:rPr>
                <w:rFonts w:eastAsiaTheme="minorEastAsia" w:cs="Calibri"/>
                <w:color w:val="000000"/>
                <w:szCs w:val="16"/>
                <w:lang w:eastAsia="en-AU"/>
              </w:rPr>
            </w:pPr>
            <w:r w:rsidRPr="00023820">
              <w:rPr>
                <w:rFonts w:eastAsiaTheme="minorEastAsia" w:cs="Calibri"/>
                <w:color w:val="000000"/>
                <w:szCs w:val="16"/>
                <w:lang w:eastAsia="en-AU"/>
              </w:rPr>
              <w:t xml:space="preserve">Net cash flows from investments in </w:t>
            </w:r>
            <w:r>
              <w:rPr>
                <w:rFonts w:eastAsiaTheme="minorEastAsia" w:cs="Calibri"/>
                <w:color w:val="000000"/>
                <w:szCs w:val="16"/>
                <w:lang w:eastAsia="en-AU"/>
              </w:rPr>
              <w:br/>
            </w:r>
            <w:r w:rsidRPr="00023820">
              <w:rPr>
                <w:rFonts w:eastAsiaTheme="minorEastAsia" w:cs="Calibri"/>
                <w:color w:val="000000"/>
                <w:szCs w:val="16"/>
                <w:lang w:eastAsia="en-AU"/>
              </w:rPr>
              <w:t>financial assets for policy purposes</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023820">
              <w:rPr>
                <w:rFonts w:eastAsiaTheme="minorEastAsia" w:cs="Calibri"/>
                <w:color w:val="000000"/>
                <w:szCs w:val="16"/>
                <w:lang w:eastAsia="en-AU"/>
              </w:rPr>
              <w:t>2 586</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023820">
              <w:rPr>
                <w:rFonts w:eastAsiaTheme="minorEastAsia" w:cs="Calibri"/>
                <w:color w:val="000000"/>
                <w:szCs w:val="16"/>
                <w:lang w:eastAsia="en-AU"/>
              </w:rPr>
              <w:t>2 981</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023820">
              <w:rPr>
                <w:rFonts w:eastAsiaTheme="minorEastAsia" w:cs="Calibri"/>
                <w:color w:val="000000"/>
                <w:szCs w:val="16"/>
                <w:lang w:eastAsia="en-AU"/>
              </w:rPr>
              <w:t>1 709</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023820">
              <w:rPr>
                <w:rFonts w:eastAsiaTheme="minorEastAsia" w:cs="Calibri"/>
                <w:color w:val="000000"/>
                <w:szCs w:val="16"/>
                <w:lang w:eastAsia="en-AU"/>
              </w:rPr>
              <w:t>1 588</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023820">
              <w:rPr>
                <w:rFonts w:eastAsiaTheme="minorEastAsia" w:cs="Calibri"/>
                <w:color w:val="000000"/>
                <w:szCs w:val="16"/>
                <w:lang w:eastAsia="en-AU"/>
              </w:rPr>
              <w:t>1 684</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single" w:sz="6" w:space="0" w:color="000000"/>
              <w:right w:val="nil"/>
            </w:tcBorders>
          </w:tcPr>
          <w:p w:rsidR="00A46DCA" w:rsidRPr="00023820" w:rsidRDefault="00A46DCA" w:rsidP="00A26D04">
            <w:pPr>
              <w:keepLines w:val="0"/>
              <w:autoSpaceDE w:val="0"/>
              <w:autoSpaceDN w:val="0"/>
              <w:adjustRightInd w:val="0"/>
              <w:rPr>
                <w:rFonts w:eastAsiaTheme="minorEastAsia" w:cs="Calibri"/>
                <w:color w:val="000000"/>
                <w:szCs w:val="16"/>
                <w:lang w:eastAsia="en-AU"/>
              </w:rPr>
            </w:pPr>
            <w:r w:rsidRPr="00023820">
              <w:rPr>
                <w:rFonts w:eastAsiaTheme="minorEastAsia" w:cs="Calibri"/>
                <w:color w:val="000000"/>
                <w:szCs w:val="16"/>
                <w:lang w:eastAsia="en-AU"/>
              </w:rPr>
              <w:t>Net cash flows from investment in financial assets for liquidity management purposes</w:t>
            </w:r>
          </w:p>
        </w:tc>
        <w:tc>
          <w:tcPr>
            <w:tcW w:w="850" w:type="dxa"/>
            <w:tcBorders>
              <w:top w:val="nil"/>
              <w:left w:val="nil"/>
              <w:bottom w:val="single" w:sz="6" w:space="0" w:color="000000"/>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139</w:t>
            </w:r>
          </w:p>
        </w:tc>
        <w:tc>
          <w:tcPr>
            <w:tcW w:w="850" w:type="dxa"/>
            <w:tcBorders>
              <w:top w:val="nil"/>
              <w:left w:val="nil"/>
              <w:bottom w:val="single" w:sz="6" w:space="0" w:color="000000"/>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98</w:t>
            </w:r>
          </w:p>
        </w:tc>
        <w:tc>
          <w:tcPr>
            <w:tcW w:w="850" w:type="dxa"/>
            <w:tcBorders>
              <w:top w:val="nil"/>
              <w:left w:val="nil"/>
              <w:bottom w:val="single" w:sz="6" w:space="0" w:color="000000"/>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20</w:t>
            </w:r>
          </w:p>
        </w:tc>
        <w:tc>
          <w:tcPr>
            <w:tcW w:w="850" w:type="dxa"/>
            <w:tcBorders>
              <w:top w:val="nil"/>
              <w:left w:val="nil"/>
              <w:bottom w:val="single" w:sz="6" w:space="0" w:color="000000"/>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12</w:t>
            </w:r>
          </w:p>
        </w:tc>
        <w:tc>
          <w:tcPr>
            <w:tcW w:w="850" w:type="dxa"/>
            <w:tcBorders>
              <w:top w:val="nil"/>
              <w:left w:val="nil"/>
              <w:bottom w:val="single" w:sz="6" w:space="0" w:color="000000"/>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134</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A46DCA" w:rsidRPr="00023820" w:rsidRDefault="00A46DCA" w:rsidP="00A26D04">
            <w:pPr>
              <w:keepLines w:val="0"/>
              <w:autoSpaceDE w:val="0"/>
              <w:autoSpaceDN w:val="0"/>
              <w:adjustRightInd w:val="0"/>
              <w:rPr>
                <w:rFonts w:eastAsiaTheme="minorEastAsia" w:cs="Calibri"/>
                <w:b/>
                <w:bCs/>
                <w:color w:val="000000"/>
                <w:szCs w:val="16"/>
                <w:lang w:eastAsia="en-AU"/>
              </w:rPr>
            </w:pPr>
            <w:r w:rsidRPr="00023820">
              <w:rPr>
                <w:rFonts w:eastAsiaTheme="minorEastAsia" w:cs="Calibri"/>
                <w:b/>
                <w:bCs/>
                <w:color w:val="000000"/>
                <w:szCs w:val="16"/>
                <w:lang w:eastAsia="en-AU"/>
              </w:rPr>
              <w:t>Net cash flows from investing activities</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Pr>
                <w:rFonts w:eastAsiaTheme="minorEastAsia" w:cs="Calibri"/>
                <w:b/>
                <w:bCs/>
                <w:color w:val="000000"/>
                <w:szCs w:val="16"/>
                <w:lang w:eastAsia="en-AU"/>
              </w:rPr>
              <w:t>(325)</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Pr>
                <w:rFonts w:eastAsiaTheme="minorEastAsia" w:cs="Calibri"/>
                <w:b/>
                <w:bCs/>
                <w:color w:val="000000"/>
                <w:szCs w:val="16"/>
                <w:lang w:eastAsia="en-AU"/>
              </w:rPr>
              <w:t>320</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Pr>
                <w:rFonts w:eastAsiaTheme="minorEastAsia" w:cs="Calibri"/>
                <w:b/>
                <w:bCs/>
                <w:color w:val="000000"/>
                <w:szCs w:val="16"/>
                <w:lang w:eastAsia="en-AU"/>
              </w:rPr>
              <w:t>(1 013)</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Pr>
                <w:rFonts w:eastAsiaTheme="minorEastAsia" w:cs="Calibri"/>
                <w:b/>
                <w:bCs/>
                <w:color w:val="000000"/>
                <w:szCs w:val="16"/>
                <w:lang w:eastAsia="en-AU"/>
              </w:rPr>
              <w:t>(990)</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Pr>
                <w:rFonts w:eastAsiaTheme="minorEastAsia" w:cs="Calibri"/>
                <w:b/>
                <w:bCs/>
                <w:color w:val="000000"/>
                <w:szCs w:val="16"/>
                <w:lang w:eastAsia="en-AU"/>
              </w:rPr>
              <w:t>67</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A46DCA" w:rsidRPr="00023820" w:rsidRDefault="00A46DCA" w:rsidP="00A26D04">
            <w:pPr>
              <w:keepLines w:val="0"/>
              <w:autoSpaceDE w:val="0"/>
              <w:autoSpaceDN w:val="0"/>
              <w:adjustRightInd w:val="0"/>
              <w:rPr>
                <w:rFonts w:eastAsiaTheme="minorEastAsia" w:cs="Calibri"/>
                <w:b/>
                <w:bCs/>
                <w:color w:val="000000"/>
                <w:szCs w:val="16"/>
                <w:lang w:eastAsia="en-AU"/>
              </w:rPr>
            </w:pPr>
            <w:r w:rsidRPr="00023820">
              <w:rPr>
                <w:rFonts w:eastAsiaTheme="minorEastAsia" w:cs="Calibri"/>
                <w:b/>
                <w:bCs/>
                <w:color w:val="000000"/>
                <w:szCs w:val="16"/>
                <w:lang w:eastAsia="en-AU"/>
              </w:rPr>
              <w:t>Cash flows from financing activities</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023820">
              <w:rPr>
                <w:rFonts w:eastAsiaTheme="minorEastAsia" w:cs="Calibri"/>
                <w:b/>
                <w:bCs/>
                <w:color w:val="000000"/>
                <w:lang w:eastAsia="en-AU"/>
              </w:rPr>
              <w:t xml:space="preserve"> </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023820">
              <w:rPr>
                <w:rFonts w:eastAsiaTheme="minorEastAsia" w:cs="Calibri"/>
                <w:b/>
                <w:bCs/>
                <w:color w:val="000000"/>
                <w:lang w:eastAsia="en-AU"/>
              </w:rPr>
              <w:t xml:space="preserve"> </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023820">
              <w:rPr>
                <w:rFonts w:eastAsiaTheme="minorEastAsia" w:cs="Calibri"/>
                <w:b/>
                <w:bCs/>
                <w:color w:val="000000"/>
                <w:lang w:eastAsia="en-AU"/>
              </w:rPr>
              <w:t xml:space="preserve"> </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023820">
              <w:rPr>
                <w:rFonts w:eastAsiaTheme="minorEastAsia" w:cs="Calibri"/>
                <w:b/>
                <w:bCs/>
                <w:color w:val="000000"/>
                <w:lang w:eastAsia="en-AU"/>
              </w:rPr>
              <w:t xml:space="preserve"> </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023820">
              <w:rPr>
                <w:rFonts w:eastAsiaTheme="minorEastAsia" w:cs="Calibri"/>
                <w:b/>
                <w:bCs/>
                <w:color w:val="000000"/>
                <w:lang w:eastAsia="en-AU"/>
              </w:rPr>
              <w:t xml:space="preserve"> </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A46DCA" w:rsidRPr="00023820" w:rsidRDefault="00A46DCA" w:rsidP="00A26D04">
            <w:pPr>
              <w:keepLines w:val="0"/>
              <w:autoSpaceDE w:val="0"/>
              <w:autoSpaceDN w:val="0"/>
              <w:adjustRightInd w:val="0"/>
              <w:rPr>
                <w:rFonts w:eastAsiaTheme="minorEastAsia" w:cs="Calibri"/>
                <w:color w:val="000000"/>
                <w:szCs w:val="16"/>
                <w:lang w:eastAsia="en-AU"/>
              </w:rPr>
            </w:pPr>
            <w:r w:rsidRPr="00023820">
              <w:rPr>
                <w:rFonts w:eastAsiaTheme="minorEastAsia" w:cs="Calibri"/>
                <w:color w:val="000000"/>
                <w:szCs w:val="16"/>
                <w:lang w:eastAsia="en-AU"/>
              </w:rPr>
              <w:t>Advances received (net)</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(2 539)</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(2 907)</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(1 648)</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(1 529)</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(1 600)</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A46DCA" w:rsidRPr="00023820" w:rsidRDefault="00A46DCA" w:rsidP="00A26D04">
            <w:pPr>
              <w:keepLines w:val="0"/>
              <w:autoSpaceDE w:val="0"/>
              <w:autoSpaceDN w:val="0"/>
              <w:adjustRightInd w:val="0"/>
              <w:rPr>
                <w:rFonts w:eastAsiaTheme="minorEastAsia" w:cs="Calibri"/>
                <w:color w:val="000000"/>
                <w:szCs w:val="16"/>
                <w:lang w:eastAsia="en-AU"/>
              </w:rPr>
            </w:pPr>
            <w:r w:rsidRPr="00023820">
              <w:rPr>
                <w:rFonts w:eastAsiaTheme="minorEastAsia" w:cs="Calibri"/>
                <w:color w:val="000000"/>
                <w:szCs w:val="16"/>
                <w:lang w:eastAsia="en-AU"/>
              </w:rPr>
              <w:t>Net borrowings</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023820">
              <w:rPr>
                <w:rFonts w:eastAsiaTheme="minorEastAsia" w:cs="Calibri"/>
                <w:color w:val="000000"/>
                <w:szCs w:val="16"/>
                <w:lang w:eastAsia="en-AU"/>
              </w:rPr>
              <w:t>1 091</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947</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958</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791</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316</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A46DCA" w:rsidRPr="00023820" w:rsidRDefault="00A46DCA" w:rsidP="00A26D04">
            <w:pPr>
              <w:keepLines w:val="0"/>
              <w:autoSpaceDE w:val="0"/>
              <w:autoSpaceDN w:val="0"/>
              <w:adjustRightInd w:val="0"/>
              <w:rPr>
                <w:rFonts w:eastAsiaTheme="minorEastAsia" w:cs="Calibri"/>
                <w:color w:val="000000"/>
                <w:szCs w:val="16"/>
                <w:lang w:eastAsia="en-AU"/>
              </w:rPr>
            </w:pPr>
            <w:r w:rsidRPr="00023820">
              <w:rPr>
                <w:rFonts w:eastAsiaTheme="minorEastAsia" w:cs="Calibri"/>
                <w:color w:val="000000"/>
                <w:szCs w:val="16"/>
                <w:lang w:eastAsia="en-AU"/>
              </w:rPr>
              <w:t>Deposits received (net)</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1</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(62)</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(3)</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A46DCA" w:rsidRPr="00023820" w:rsidRDefault="00A46DCA" w:rsidP="00A26D04">
            <w:pPr>
              <w:keepLines w:val="0"/>
              <w:autoSpaceDE w:val="0"/>
              <w:autoSpaceDN w:val="0"/>
              <w:adjustRightInd w:val="0"/>
              <w:rPr>
                <w:rFonts w:eastAsiaTheme="minorEastAsia" w:cs="Calibri"/>
                <w:color w:val="000000"/>
                <w:szCs w:val="16"/>
                <w:lang w:eastAsia="en-AU"/>
              </w:rPr>
            </w:pPr>
            <w:r w:rsidRPr="00023820">
              <w:rPr>
                <w:rFonts w:eastAsiaTheme="minorEastAsia" w:cs="Calibri"/>
                <w:color w:val="000000"/>
                <w:szCs w:val="16"/>
                <w:lang w:eastAsia="en-AU"/>
              </w:rPr>
              <w:t>Other financing (net)</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(87)</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(116)</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147</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74</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(370)</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3515" w:type="dxa"/>
            <w:tcBorders>
              <w:top w:val="single" w:sz="6" w:space="0" w:color="000000"/>
              <w:left w:val="nil"/>
              <w:bottom w:val="single" w:sz="6" w:space="0" w:color="000000"/>
              <w:right w:val="nil"/>
            </w:tcBorders>
          </w:tcPr>
          <w:p w:rsidR="00A46DCA" w:rsidRPr="00023820" w:rsidRDefault="00A46DCA" w:rsidP="00A26D04">
            <w:pPr>
              <w:keepLines w:val="0"/>
              <w:autoSpaceDE w:val="0"/>
              <w:autoSpaceDN w:val="0"/>
              <w:adjustRightInd w:val="0"/>
              <w:rPr>
                <w:rFonts w:eastAsiaTheme="minorEastAsia" w:cs="Calibri"/>
                <w:b/>
                <w:bCs/>
                <w:color w:val="000000"/>
                <w:szCs w:val="16"/>
                <w:lang w:eastAsia="en-AU"/>
              </w:rPr>
            </w:pPr>
            <w:r w:rsidRPr="00023820">
              <w:rPr>
                <w:rFonts w:eastAsiaTheme="minorEastAsia" w:cs="Calibri"/>
                <w:b/>
                <w:bCs/>
                <w:color w:val="000000"/>
                <w:szCs w:val="16"/>
                <w:lang w:eastAsia="en-AU"/>
              </w:rPr>
              <w:t>Net cash flows from financing activities</w:t>
            </w:r>
          </w:p>
        </w:tc>
        <w:tc>
          <w:tcPr>
            <w:tcW w:w="850" w:type="dxa"/>
            <w:tcBorders>
              <w:top w:val="single" w:sz="6" w:space="0" w:color="000000"/>
              <w:left w:val="nil"/>
              <w:bottom w:val="single" w:sz="6" w:space="0" w:color="000000"/>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Pr>
                <w:rFonts w:eastAsiaTheme="minorEastAsia" w:cs="Calibri"/>
                <w:b/>
                <w:bCs/>
                <w:color w:val="000000"/>
                <w:szCs w:val="16"/>
                <w:lang w:eastAsia="en-AU"/>
              </w:rPr>
              <w:t>(1 535)</w:t>
            </w:r>
          </w:p>
        </w:tc>
        <w:tc>
          <w:tcPr>
            <w:tcW w:w="850" w:type="dxa"/>
            <w:tcBorders>
              <w:top w:val="single" w:sz="6" w:space="0" w:color="000000"/>
              <w:left w:val="nil"/>
              <w:bottom w:val="single" w:sz="6" w:space="0" w:color="000000"/>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Pr>
                <w:rFonts w:eastAsiaTheme="minorEastAsia" w:cs="Calibri"/>
                <w:b/>
                <w:bCs/>
                <w:color w:val="000000"/>
                <w:szCs w:val="16"/>
                <w:lang w:eastAsia="en-AU"/>
              </w:rPr>
              <w:t>(2 138)</w:t>
            </w:r>
          </w:p>
        </w:tc>
        <w:tc>
          <w:tcPr>
            <w:tcW w:w="850" w:type="dxa"/>
            <w:tcBorders>
              <w:top w:val="single" w:sz="6" w:space="0" w:color="000000"/>
              <w:left w:val="nil"/>
              <w:bottom w:val="single" w:sz="6" w:space="0" w:color="000000"/>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Pr>
                <w:rFonts w:eastAsiaTheme="minorEastAsia" w:cs="Calibri"/>
                <w:b/>
                <w:bCs/>
                <w:color w:val="000000"/>
                <w:szCs w:val="16"/>
                <w:lang w:eastAsia="en-AU"/>
              </w:rPr>
              <w:t>(546)</w:t>
            </w:r>
          </w:p>
        </w:tc>
        <w:tc>
          <w:tcPr>
            <w:tcW w:w="850" w:type="dxa"/>
            <w:tcBorders>
              <w:top w:val="single" w:sz="6" w:space="0" w:color="000000"/>
              <w:left w:val="nil"/>
              <w:bottom w:val="single" w:sz="6" w:space="0" w:color="000000"/>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Pr>
                <w:rFonts w:eastAsiaTheme="minorEastAsia" w:cs="Calibri"/>
                <w:b/>
                <w:bCs/>
                <w:color w:val="000000"/>
                <w:szCs w:val="16"/>
                <w:lang w:eastAsia="en-AU"/>
              </w:rPr>
              <w:t>(664)</w:t>
            </w:r>
          </w:p>
        </w:tc>
        <w:tc>
          <w:tcPr>
            <w:tcW w:w="850" w:type="dxa"/>
            <w:tcBorders>
              <w:top w:val="single" w:sz="6" w:space="0" w:color="000000"/>
              <w:left w:val="nil"/>
              <w:bottom w:val="single" w:sz="6" w:space="0" w:color="000000"/>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Pr>
                <w:rFonts w:eastAsiaTheme="minorEastAsia" w:cs="Calibri"/>
                <w:b/>
                <w:bCs/>
                <w:color w:val="000000"/>
                <w:szCs w:val="16"/>
                <w:lang w:eastAsia="en-AU"/>
              </w:rPr>
              <w:t>(1 654)</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A46DCA" w:rsidRPr="00023820" w:rsidRDefault="00A46DCA" w:rsidP="00A26D04">
            <w:pPr>
              <w:keepLines w:val="0"/>
              <w:autoSpaceDE w:val="0"/>
              <w:autoSpaceDN w:val="0"/>
              <w:adjustRightInd w:val="0"/>
              <w:rPr>
                <w:rFonts w:eastAsiaTheme="minorEastAsia" w:cs="Calibri"/>
                <w:b/>
                <w:bCs/>
                <w:color w:val="000000"/>
                <w:szCs w:val="16"/>
                <w:lang w:eastAsia="en-AU"/>
              </w:rPr>
            </w:pPr>
            <w:r w:rsidRPr="00023820">
              <w:rPr>
                <w:rFonts w:eastAsiaTheme="minorEastAsia" w:cs="Calibri"/>
                <w:b/>
                <w:bCs/>
                <w:color w:val="000000"/>
                <w:szCs w:val="16"/>
                <w:lang w:eastAsia="en-AU"/>
              </w:rPr>
              <w:t xml:space="preserve">Net increase/(decrease) in cash and </w:t>
            </w:r>
            <w:r>
              <w:rPr>
                <w:rFonts w:eastAsiaTheme="minorEastAsia" w:cs="Calibri"/>
                <w:b/>
                <w:bCs/>
                <w:color w:val="000000"/>
                <w:szCs w:val="16"/>
                <w:lang w:eastAsia="en-AU"/>
              </w:rPr>
              <w:br/>
            </w:r>
            <w:r w:rsidRPr="00023820">
              <w:rPr>
                <w:rFonts w:eastAsiaTheme="minorEastAsia" w:cs="Calibri"/>
                <w:b/>
                <w:bCs/>
                <w:color w:val="000000"/>
                <w:szCs w:val="16"/>
                <w:lang w:eastAsia="en-AU"/>
              </w:rPr>
              <w:t>cash equivalents</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Pr>
                <w:rFonts w:eastAsiaTheme="minorEastAsia" w:cs="Calibri"/>
                <w:b/>
                <w:bCs/>
                <w:color w:val="000000"/>
                <w:szCs w:val="16"/>
                <w:lang w:eastAsia="en-AU"/>
              </w:rPr>
              <w:t>(280)</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Pr>
                <w:rFonts w:eastAsiaTheme="minorEastAsia" w:cs="Calibri"/>
                <w:b/>
                <w:bCs/>
                <w:color w:val="000000"/>
                <w:szCs w:val="16"/>
                <w:lang w:eastAsia="en-AU"/>
              </w:rPr>
              <w:t>(334)</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Pr>
                <w:rFonts w:eastAsiaTheme="minorEastAsia" w:cs="Calibri"/>
                <w:b/>
                <w:bCs/>
                <w:color w:val="000000"/>
                <w:szCs w:val="16"/>
                <w:lang w:eastAsia="en-AU"/>
              </w:rPr>
              <w:t>(7)</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Pr>
                <w:rFonts w:eastAsiaTheme="minorEastAsia" w:cs="Calibri"/>
                <w:b/>
                <w:bCs/>
                <w:color w:val="000000"/>
                <w:szCs w:val="16"/>
                <w:lang w:eastAsia="en-AU"/>
              </w:rPr>
              <w:t>(134)</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Pr>
                <w:rFonts w:eastAsiaTheme="minorEastAsia" w:cs="Calibri"/>
                <w:b/>
                <w:bCs/>
                <w:color w:val="000000"/>
                <w:szCs w:val="16"/>
                <w:lang w:eastAsia="en-AU"/>
              </w:rPr>
              <w:t>78</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A46DCA" w:rsidRPr="00023820" w:rsidRDefault="00A46DCA" w:rsidP="00A26D04">
            <w:pPr>
              <w:keepLines w:val="0"/>
              <w:autoSpaceDE w:val="0"/>
              <w:autoSpaceDN w:val="0"/>
              <w:adjustRightInd w:val="0"/>
              <w:rPr>
                <w:rFonts w:eastAsiaTheme="minorEastAsia" w:cs="Calibri"/>
                <w:color w:val="000000"/>
                <w:szCs w:val="16"/>
                <w:vertAlign w:val="superscript"/>
                <w:lang w:eastAsia="en-AU"/>
              </w:rPr>
            </w:pPr>
            <w:r w:rsidRPr="00023820">
              <w:rPr>
                <w:rFonts w:eastAsiaTheme="minorEastAsia" w:cs="Calibri"/>
                <w:color w:val="000000"/>
                <w:szCs w:val="16"/>
                <w:lang w:eastAsia="en-AU"/>
              </w:rPr>
              <w:t xml:space="preserve">Cash and cash equivalents at </w:t>
            </w:r>
            <w:r>
              <w:rPr>
                <w:rFonts w:eastAsiaTheme="minorEastAsia" w:cs="Calibri"/>
                <w:color w:val="000000"/>
                <w:szCs w:val="16"/>
                <w:lang w:eastAsia="en-AU"/>
              </w:rPr>
              <w:br/>
            </w:r>
            <w:r w:rsidRPr="00023820">
              <w:rPr>
                <w:rFonts w:eastAsiaTheme="minorEastAsia" w:cs="Calibri"/>
                <w:color w:val="000000"/>
                <w:szCs w:val="16"/>
                <w:lang w:eastAsia="en-AU"/>
              </w:rPr>
              <w:t xml:space="preserve">beginning of reporting period </w:t>
            </w:r>
            <w:r w:rsidRPr="00023820">
              <w:rPr>
                <w:rFonts w:eastAsiaTheme="minorEastAsia" w:cs="Calibri"/>
                <w:color w:val="000000"/>
                <w:szCs w:val="16"/>
                <w:vertAlign w:val="superscript"/>
                <w:lang w:eastAsia="en-AU"/>
              </w:rPr>
              <w:t>(c)</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023820">
              <w:rPr>
                <w:rFonts w:eastAsiaTheme="minorEastAsia" w:cs="Calibri"/>
                <w:color w:val="000000"/>
                <w:szCs w:val="16"/>
                <w:lang w:eastAsia="en-AU"/>
              </w:rPr>
              <w:t>1 153</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023820">
              <w:rPr>
                <w:rFonts w:eastAsiaTheme="minorEastAsia" w:cs="Calibri"/>
                <w:color w:val="000000"/>
                <w:szCs w:val="16"/>
                <w:lang w:eastAsia="en-AU"/>
              </w:rPr>
              <w:t>1 153</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819</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812</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678</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3515" w:type="dxa"/>
            <w:tcBorders>
              <w:top w:val="single" w:sz="6" w:space="0" w:color="000000"/>
              <w:left w:val="nil"/>
              <w:bottom w:val="single" w:sz="12" w:space="0" w:color="000000"/>
              <w:right w:val="nil"/>
            </w:tcBorders>
          </w:tcPr>
          <w:p w:rsidR="00A46DCA" w:rsidRPr="00023820" w:rsidRDefault="00A46DCA" w:rsidP="00A26D04">
            <w:pPr>
              <w:keepLines w:val="0"/>
              <w:autoSpaceDE w:val="0"/>
              <w:autoSpaceDN w:val="0"/>
              <w:adjustRightInd w:val="0"/>
              <w:rPr>
                <w:rFonts w:eastAsiaTheme="minorEastAsia" w:cs="Calibri"/>
                <w:b/>
                <w:bCs/>
                <w:color w:val="000000"/>
                <w:szCs w:val="16"/>
                <w:vertAlign w:val="superscript"/>
                <w:lang w:eastAsia="en-AU"/>
              </w:rPr>
            </w:pPr>
            <w:r w:rsidRPr="00023820">
              <w:rPr>
                <w:rFonts w:eastAsiaTheme="minorEastAsia" w:cs="Calibri"/>
                <w:b/>
                <w:bCs/>
                <w:color w:val="000000"/>
                <w:szCs w:val="16"/>
                <w:lang w:eastAsia="en-AU"/>
              </w:rPr>
              <w:t xml:space="preserve">Cash and cash equivalents at end of </w:t>
            </w:r>
            <w:r>
              <w:rPr>
                <w:rFonts w:eastAsiaTheme="minorEastAsia" w:cs="Calibri"/>
                <w:b/>
                <w:bCs/>
                <w:color w:val="000000"/>
                <w:szCs w:val="16"/>
                <w:lang w:eastAsia="en-AU"/>
              </w:rPr>
              <w:br/>
            </w:r>
            <w:r w:rsidRPr="00023820">
              <w:rPr>
                <w:rFonts w:eastAsiaTheme="minorEastAsia" w:cs="Calibri"/>
                <w:b/>
                <w:bCs/>
                <w:color w:val="000000"/>
                <w:szCs w:val="16"/>
                <w:lang w:eastAsia="en-AU"/>
              </w:rPr>
              <w:t xml:space="preserve">reporting period </w:t>
            </w:r>
            <w:r w:rsidRPr="00023820">
              <w:rPr>
                <w:rFonts w:eastAsiaTheme="minorEastAsia" w:cs="Calibri"/>
                <w:b/>
                <w:bCs/>
                <w:color w:val="000000"/>
                <w:szCs w:val="16"/>
                <w:vertAlign w:val="superscript"/>
                <w:lang w:eastAsia="en-AU"/>
              </w:rPr>
              <w:t>(c)</w:t>
            </w:r>
          </w:p>
        </w:tc>
        <w:tc>
          <w:tcPr>
            <w:tcW w:w="850" w:type="dxa"/>
            <w:tcBorders>
              <w:top w:val="single" w:sz="6" w:space="0" w:color="000000"/>
              <w:left w:val="nil"/>
              <w:bottom w:val="single" w:sz="12" w:space="0" w:color="000000"/>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Pr>
                <w:rFonts w:eastAsiaTheme="minorEastAsia" w:cs="Calibri"/>
                <w:b/>
                <w:bCs/>
                <w:color w:val="000000"/>
                <w:szCs w:val="16"/>
                <w:lang w:eastAsia="en-AU"/>
              </w:rPr>
              <w:t>873</w:t>
            </w:r>
          </w:p>
        </w:tc>
        <w:tc>
          <w:tcPr>
            <w:tcW w:w="850" w:type="dxa"/>
            <w:tcBorders>
              <w:top w:val="single" w:sz="6" w:space="0" w:color="000000"/>
              <w:left w:val="nil"/>
              <w:bottom w:val="single" w:sz="12" w:space="0" w:color="000000"/>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Pr>
                <w:rFonts w:eastAsiaTheme="minorEastAsia" w:cs="Calibri"/>
                <w:b/>
                <w:bCs/>
                <w:color w:val="000000"/>
                <w:szCs w:val="16"/>
                <w:lang w:eastAsia="en-AU"/>
              </w:rPr>
              <w:t>819</w:t>
            </w:r>
          </w:p>
        </w:tc>
        <w:tc>
          <w:tcPr>
            <w:tcW w:w="850" w:type="dxa"/>
            <w:tcBorders>
              <w:top w:val="single" w:sz="6" w:space="0" w:color="000000"/>
              <w:left w:val="nil"/>
              <w:bottom w:val="single" w:sz="12" w:space="0" w:color="000000"/>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Pr>
                <w:rFonts w:eastAsiaTheme="minorEastAsia" w:cs="Calibri"/>
                <w:b/>
                <w:bCs/>
                <w:color w:val="000000"/>
                <w:szCs w:val="16"/>
                <w:lang w:eastAsia="en-AU"/>
              </w:rPr>
              <w:t>812</w:t>
            </w:r>
          </w:p>
        </w:tc>
        <w:tc>
          <w:tcPr>
            <w:tcW w:w="850" w:type="dxa"/>
            <w:tcBorders>
              <w:top w:val="single" w:sz="6" w:space="0" w:color="000000"/>
              <w:left w:val="nil"/>
              <w:bottom w:val="single" w:sz="12" w:space="0" w:color="000000"/>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Pr>
                <w:rFonts w:eastAsiaTheme="minorEastAsia" w:cs="Calibri"/>
                <w:b/>
                <w:bCs/>
                <w:color w:val="000000"/>
                <w:szCs w:val="16"/>
                <w:lang w:eastAsia="en-AU"/>
              </w:rPr>
              <w:t>678</w:t>
            </w:r>
          </w:p>
        </w:tc>
        <w:tc>
          <w:tcPr>
            <w:tcW w:w="850" w:type="dxa"/>
            <w:tcBorders>
              <w:top w:val="single" w:sz="6" w:space="0" w:color="000000"/>
              <w:left w:val="nil"/>
              <w:bottom w:val="single" w:sz="12" w:space="0" w:color="000000"/>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Pr>
                <w:rFonts w:eastAsiaTheme="minorEastAsia" w:cs="Calibri"/>
                <w:b/>
                <w:bCs/>
                <w:color w:val="000000"/>
                <w:szCs w:val="16"/>
                <w:lang w:eastAsia="en-AU"/>
              </w:rPr>
              <w:t>756</w:t>
            </w:r>
          </w:p>
        </w:tc>
      </w:tr>
      <w:tr w:rsidR="00A46DCA" w:rsidRPr="00023820" w:rsidTr="00A26D04">
        <w:trPr>
          <w:cnfStyle w:val="010000000000" w:firstRow="0" w:lastRow="1" w:firstColumn="0" w:lastColumn="0" w:oddVBand="0" w:evenVBand="0" w:oddHBand="0" w:evenHBand="0" w:firstRowFirstColumn="0" w:firstRowLastColumn="0" w:lastRowFirstColumn="0" w:lastRowLastColumn="0"/>
          <w:trHeight w:hRule="exact" w:val="120"/>
        </w:trPr>
        <w:tc>
          <w:tcPr>
            <w:cnfStyle w:val="001000000000" w:firstRow="0" w:lastRow="0" w:firstColumn="1" w:lastColumn="0" w:oddVBand="0" w:evenVBand="0" w:oddHBand="0" w:evenHBand="0" w:firstRowFirstColumn="0" w:firstRowLastColumn="0" w:lastRowFirstColumn="0" w:lastRowLastColumn="0"/>
            <w:tcW w:w="3515" w:type="dxa"/>
            <w:tcBorders>
              <w:top w:val="nil"/>
              <w:bottom w:val="nil"/>
            </w:tcBorders>
          </w:tcPr>
          <w:p w:rsidR="00A46DCA" w:rsidRPr="00023820" w:rsidRDefault="00A46DCA" w:rsidP="00A26D04">
            <w:pPr>
              <w:keepLines w:val="0"/>
              <w:autoSpaceDE w:val="0"/>
              <w:autoSpaceDN w:val="0"/>
              <w:adjustRightInd w:val="0"/>
              <w:rPr>
                <w:rFonts w:eastAsiaTheme="minorEastAsia" w:cs="Calibri"/>
                <w:color w:val="000000"/>
                <w:lang w:eastAsia="en-AU"/>
              </w:rPr>
            </w:pPr>
            <w:r w:rsidRPr="00023820">
              <w:rPr>
                <w:rFonts w:eastAsiaTheme="minorEastAsia" w:cs="Calibri"/>
                <w:color w:val="000000"/>
                <w:lang w:eastAsia="en-AU"/>
              </w:rPr>
              <w:t xml:space="preserve"> </w:t>
            </w:r>
          </w:p>
        </w:tc>
        <w:tc>
          <w:tcPr>
            <w:tcW w:w="850" w:type="dxa"/>
            <w:tcBorders>
              <w:top w:val="nil"/>
              <w:bottom w:val="nil"/>
            </w:tcBorders>
          </w:tcPr>
          <w:p w:rsidR="00A46DCA" w:rsidRPr="00023820" w:rsidRDefault="00A46DCA" w:rsidP="00A26D0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color w:val="000000"/>
                <w:lang w:eastAsia="en-AU"/>
              </w:rPr>
            </w:pPr>
            <w:r w:rsidRPr="00023820">
              <w:rPr>
                <w:rFonts w:eastAsiaTheme="minorEastAsia" w:cs="Calibri"/>
                <w:color w:val="000000"/>
                <w:lang w:eastAsia="en-AU"/>
              </w:rPr>
              <w:t xml:space="preserve"> </w:t>
            </w:r>
          </w:p>
        </w:tc>
        <w:tc>
          <w:tcPr>
            <w:tcW w:w="850" w:type="dxa"/>
            <w:tcBorders>
              <w:top w:val="nil"/>
              <w:bottom w:val="nil"/>
            </w:tcBorders>
          </w:tcPr>
          <w:p w:rsidR="00A46DCA" w:rsidRPr="00023820" w:rsidRDefault="00A46DCA" w:rsidP="00A26D0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color w:val="000000"/>
                <w:lang w:eastAsia="en-AU"/>
              </w:rPr>
            </w:pPr>
            <w:r w:rsidRPr="00023820">
              <w:rPr>
                <w:rFonts w:eastAsiaTheme="minorEastAsia" w:cs="Calibri"/>
                <w:color w:val="000000"/>
                <w:lang w:eastAsia="en-AU"/>
              </w:rPr>
              <w:t xml:space="preserve"> </w:t>
            </w:r>
          </w:p>
        </w:tc>
        <w:tc>
          <w:tcPr>
            <w:tcW w:w="850" w:type="dxa"/>
            <w:tcBorders>
              <w:top w:val="nil"/>
              <w:bottom w:val="nil"/>
            </w:tcBorders>
          </w:tcPr>
          <w:p w:rsidR="00A46DCA" w:rsidRPr="00023820" w:rsidRDefault="00A46DCA" w:rsidP="00A26D0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color w:val="000000"/>
                <w:lang w:eastAsia="en-AU"/>
              </w:rPr>
            </w:pPr>
            <w:r w:rsidRPr="00023820">
              <w:rPr>
                <w:rFonts w:eastAsiaTheme="minorEastAsia" w:cs="Calibri"/>
                <w:color w:val="000000"/>
                <w:lang w:eastAsia="en-AU"/>
              </w:rPr>
              <w:t xml:space="preserve"> </w:t>
            </w:r>
          </w:p>
        </w:tc>
        <w:tc>
          <w:tcPr>
            <w:tcW w:w="850" w:type="dxa"/>
            <w:tcBorders>
              <w:top w:val="nil"/>
              <w:bottom w:val="nil"/>
            </w:tcBorders>
          </w:tcPr>
          <w:p w:rsidR="00A46DCA" w:rsidRPr="00023820" w:rsidRDefault="00A46DCA" w:rsidP="00A26D0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color w:val="000000"/>
                <w:lang w:eastAsia="en-AU"/>
              </w:rPr>
            </w:pPr>
            <w:r w:rsidRPr="00023820">
              <w:rPr>
                <w:rFonts w:eastAsiaTheme="minorEastAsia" w:cs="Calibri"/>
                <w:color w:val="000000"/>
                <w:lang w:eastAsia="en-AU"/>
              </w:rPr>
              <w:t xml:space="preserve"> </w:t>
            </w:r>
          </w:p>
        </w:tc>
        <w:tc>
          <w:tcPr>
            <w:tcW w:w="850" w:type="dxa"/>
            <w:tcBorders>
              <w:top w:val="nil"/>
              <w:bottom w:val="nil"/>
            </w:tcBorders>
          </w:tcPr>
          <w:p w:rsidR="00A46DCA" w:rsidRPr="00023820" w:rsidRDefault="00A46DCA" w:rsidP="00A26D0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color w:val="000000"/>
                <w:lang w:eastAsia="en-AU"/>
              </w:rPr>
            </w:pPr>
            <w:r w:rsidRPr="00023820">
              <w:rPr>
                <w:rFonts w:eastAsiaTheme="minorEastAsia" w:cs="Calibri"/>
                <w:color w:val="000000"/>
                <w:lang w:eastAsia="en-AU"/>
              </w:rPr>
              <w:t xml:space="preserve"> </w:t>
            </w:r>
          </w:p>
        </w:tc>
      </w:tr>
    </w:tbl>
    <w:p w:rsidR="008110D9" w:rsidRDefault="008110D9"/>
    <w:p w:rsidR="008110D9" w:rsidRDefault="008110D9"/>
    <w:p w:rsidR="008110D9" w:rsidRPr="00023820" w:rsidRDefault="008110D9" w:rsidP="008110D9">
      <w:pPr>
        <w:pStyle w:val="TableHeading"/>
        <w:rPr>
          <w:bCs/>
          <w:lang w:val="en-US"/>
        </w:rPr>
      </w:pPr>
      <w:r>
        <w:lastRenderedPageBreak/>
        <w:t>Table 5.3:</w:t>
      </w:r>
      <w:r>
        <w:tab/>
        <w:t xml:space="preserve">Public non-financial corporations sector cash flow statement </w:t>
      </w:r>
      <w:r w:rsidR="006A017C">
        <w:br/>
      </w:r>
      <w:r>
        <w:t xml:space="preserve">for the financial year ended 30 June </w:t>
      </w:r>
      <w:r w:rsidRPr="008110D9">
        <w:rPr>
          <w:i/>
        </w:rPr>
        <w:t>(continued)</w:t>
      </w:r>
      <w:r>
        <w:tab/>
        <w:t>($ million)</w:t>
      </w:r>
    </w:p>
    <w:tbl>
      <w:tblPr>
        <w:tblStyle w:val="DTFTable"/>
        <w:tblW w:w="7765" w:type="dxa"/>
        <w:tblInd w:w="45" w:type="dxa"/>
        <w:tblLayout w:type="fixed"/>
        <w:tblCellMar>
          <w:left w:w="45" w:type="dxa"/>
          <w:right w:w="45" w:type="dxa"/>
        </w:tblCellMar>
        <w:tblLook w:val="06E0" w:firstRow="1" w:lastRow="1" w:firstColumn="1" w:lastColumn="0" w:noHBand="1" w:noVBand="1"/>
      </w:tblPr>
      <w:tblGrid>
        <w:gridCol w:w="3515"/>
        <w:gridCol w:w="850"/>
        <w:gridCol w:w="850"/>
        <w:gridCol w:w="850"/>
        <w:gridCol w:w="850"/>
        <w:gridCol w:w="850"/>
      </w:tblGrid>
      <w:tr w:rsidR="008110D9" w:rsidRPr="00023820" w:rsidTr="008110D9">
        <w:trPr>
          <w:cnfStyle w:val="100000000000" w:firstRow="1" w:lastRow="0" w:firstColumn="0" w:lastColumn="0" w:oddVBand="0" w:evenVBand="0" w:oddHBand="0" w:evenHBand="0" w:firstRowFirstColumn="0" w:firstRowLastColumn="0" w:lastRowFirstColumn="0" w:lastRowLastColumn="0"/>
          <w:trHeight w:val="101"/>
          <w:tblHeader/>
        </w:trPr>
        <w:tc>
          <w:tcPr>
            <w:cnfStyle w:val="001000000000" w:firstRow="0" w:lastRow="0" w:firstColumn="1" w:lastColumn="0" w:oddVBand="0" w:evenVBand="0" w:oddHBand="0" w:evenHBand="0" w:firstRowFirstColumn="0" w:firstRowLastColumn="0" w:lastRowFirstColumn="0" w:lastRowLastColumn="0"/>
            <w:tcW w:w="3515" w:type="dxa"/>
            <w:tcBorders>
              <w:top w:val="nil"/>
              <w:left w:val="nil"/>
              <w:right w:val="nil"/>
            </w:tcBorders>
            <w:shd w:val="solid" w:color="000000" w:fill="auto"/>
          </w:tcPr>
          <w:p w:rsidR="008110D9" w:rsidRPr="00023820" w:rsidRDefault="008110D9" w:rsidP="004906A4">
            <w:pPr>
              <w:autoSpaceDE w:val="0"/>
              <w:autoSpaceDN w:val="0"/>
              <w:adjustRightInd w:val="0"/>
              <w:rPr>
                <w:rFonts w:eastAsiaTheme="minorEastAsia" w:cs="Calibri"/>
                <w:iCs/>
                <w:color w:val="FFFFFF"/>
                <w:lang w:eastAsia="en-AU"/>
              </w:rPr>
            </w:pPr>
            <w:r w:rsidRPr="00023820">
              <w:rPr>
                <w:rFonts w:eastAsiaTheme="minorEastAsia" w:cs="Calibri"/>
                <w:iCs/>
                <w:color w:val="FFFFFF"/>
                <w:lang w:eastAsia="en-AU"/>
              </w:rPr>
              <w:t xml:space="preserve">  </w:t>
            </w:r>
          </w:p>
        </w:tc>
        <w:tc>
          <w:tcPr>
            <w:tcW w:w="850" w:type="dxa"/>
            <w:tcBorders>
              <w:top w:val="nil"/>
              <w:left w:val="nil"/>
              <w:right w:val="nil"/>
            </w:tcBorders>
            <w:shd w:val="solid" w:color="000000" w:fill="auto"/>
          </w:tcPr>
          <w:p w:rsidR="008110D9" w:rsidRPr="00023820" w:rsidRDefault="008110D9" w:rsidP="004906A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023820">
              <w:rPr>
                <w:rFonts w:eastAsiaTheme="minorEastAsia" w:cs="Calibri"/>
                <w:iCs/>
                <w:color w:val="FFFFFF"/>
                <w:szCs w:val="16"/>
                <w:lang w:eastAsia="en-AU"/>
              </w:rPr>
              <w:t>2017-18</w:t>
            </w:r>
            <w:r>
              <w:rPr>
                <w:rFonts w:eastAsiaTheme="minorEastAsia" w:cs="Calibri"/>
                <w:iCs/>
                <w:color w:val="FFFFFF"/>
                <w:szCs w:val="16"/>
                <w:lang w:eastAsia="en-AU"/>
              </w:rPr>
              <w:br/>
            </w:r>
            <w:r w:rsidRPr="00023820">
              <w:rPr>
                <w:rFonts w:eastAsiaTheme="minorEastAsia" w:cs="Calibri"/>
                <w:iCs/>
                <w:color w:val="FFFFFF"/>
                <w:szCs w:val="16"/>
                <w:lang w:eastAsia="en-AU"/>
              </w:rPr>
              <w:t>budget</w:t>
            </w:r>
          </w:p>
        </w:tc>
        <w:tc>
          <w:tcPr>
            <w:tcW w:w="850" w:type="dxa"/>
            <w:tcBorders>
              <w:top w:val="nil"/>
              <w:left w:val="nil"/>
              <w:right w:val="nil"/>
            </w:tcBorders>
            <w:shd w:val="solid" w:color="000000" w:fill="auto"/>
          </w:tcPr>
          <w:p w:rsidR="008110D9" w:rsidRPr="00023820" w:rsidRDefault="008110D9" w:rsidP="004906A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023820">
              <w:rPr>
                <w:rFonts w:eastAsiaTheme="minorEastAsia" w:cs="Calibri"/>
                <w:iCs/>
                <w:color w:val="FFFFFF"/>
                <w:szCs w:val="16"/>
                <w:lang w:eastAsia="en-AU"/>
              </w:rPr>
              <w:t>2017-18</w:t>
            </w:r>
            <w:r>
              <w:rPr>
                <w:rFonts w:eastAsiaTheme="minorEastAsia" w:cs="Calibri"/>
                <w:iCs/>
                <w:color w:val="FFFFFF"/>
                <w:szCs w:val="16"/>
                <w:lang w:eastAsia="en-AU"/>
              </w:rPr>
              <w:br/>
            </w:r>
            <w:r w:rsidRPr="00023820">
              <w:rPr>
                <w:rFonts w:eastAsiaTheme="minorEastAsia" w:cs="Calibri"/>
                <w:iCs/>
                <w:color w:val="FFFFFF"/>
                <w:szCs w:val="16"/>
                <w:lang w:eastAsia="en-AU"/>
              </w:rPr>
              <w:t>revised</w:t>
            </w:r>
          </w:p>
        </w:tc>
        <w:tc>
          <w:tcPr>
            <w:tcW w:w="850" w:type="dxa"/>
            <w:tcBorders>
              <w:top w:val="nil"/>
              <w:left w:val="nil"/>
              <w:right w:val="nil"/>
            </w:tcBorders>
            <w:shd w:val="solid" w:color="000000" w:fill="auto"/>
          </w:tcPr>
          <w:p w:rsidR="008110D9" w:rsidRPr="00023820" w:rsidRDefault="008110D9" w:rsidP="004906A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023820">
              <w:rPr>
                <w:rFonts w:eastAsiaTheme="minorEastAsia" w:cs="Calibri"/>
                <w:iCs/>
                <w:color w:val="FFFFFF"/>
                <w:szCs w:val="16"/>
                <w:lang w:eastAsia="en-AU"/>
              </w:rPr>
              <w:t>2018-19</w:t>
            </w:r>
            <w:r>
              <w:rPr>
                <w:rFonts w:eastAsiaTheme="minorEastAsia" w:cs="Calibri"/>
                <w:iCs/>
                <w:color w:val="FFFFFF"/>
                <w:szCs w:val="16"/>
                <w:lang w:eastAsia="en-AU"/>
              </w:rPr>
              <w:br/>
            </w:r>
            <w:r w:rsidRPr="00023820">
              <w:rPr>
                <w:rFonts w:eastAsiaTheme="minorEastAsia" w:cs="Calibri"/>
                <w:iCs/>
                <w:color w:val="FFFFFF"/>
                <w:szCs w:val="16"/>
                <w:lang w:eastAsia="en-AU"/>
              </w:rPr>
              <w:t>estimate</w:t>
            </w:r>
          </w:p>
        </w:tc>
        <w:tc>
          <w:tcPr>
            <w:tcW w:w="850" w:type="dxa"/>
            <w:tcBorders>
              <w:top w:val="nil"/>
              <w:left w:val="nil"/>
              <w:right w:val="nil"/>
            </w:tcBorders>
            <w:shd w:val="solid" w:color="000000" w:fill="auto"/>
          </w:tcPr>
          <w:p w:rsidR="008110D9" w:rsidRPr="00023820" w:rsidRDefault="008110D9" w:rsidP="004906A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023820">
              <w:rPr>
                <w:rFonts w:eastAsiaTheme="minorEastAsia" w:cs="Calibri"/>
                <w:iCs/>
                <w:color w:val="FFFFFF"/>
                <w:szCs w:val="16"/>
                <w:lang w:eastAsia="en-AU"/>
              </w:rPr>
              <w:t>2019-20</w:t>
            </w:r>
            <w:r>
              <w:rPr>
                <w:rFonts w:eastAsiaTheme="minorEastAsia" w:cs="Calibri"/>
                <w:iCs/>
                <w:color w:val="FFFFFF"/>
                <w:szCs w:val="16"/>
                <w:lang w:eastAsia="en-AU"/>
              </w:rPr>
              <w:br/>
            </w:r>
            <w:r w:rsidRPr="00023820">
              <w:rPr>
                <w:rFonts w:eastAsiaTheme="minorEastAsia" w:cs="Calibri"/>
                <w:iCs/>
                <w:color w:val="FFFFFF"/>
                <w:szCs w:val="16"/>
                <w:lang w:eastAsia="en-AU"/>
              </w:rPr>
              <w:t>estimate</w:t>
            </w:r>
          </w:p>
        </w:tc>
        <w:tc>
          <w:tcPr>
            <w:tcW w:w="850" w:type="dxa"/>
            <w:tcBorders>
              <w:top w:val="nil"/>
              <w:left w:val="nil"/>
              <w:right w:val="nil"/>
            </w:tcBorders>
            <w:shd w:val="solid" w:color="000000" w:fill="auto"/>
          </w:tcPr>
          <w:p w:rsidR="008110D9" w:rsidRPr="00023820" w:rsidRDefault="008110D9" w:rsidP="004906A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023820">
              <w:rPr>
                <w:rFonts w:eastAsiaTheme="minorEastAsia" w:cs="Calibri"/>
                <w:iCs/>
                <w:color w:val="FFFFFF"/>
                <w:szCs w:val="16"/>
                <w:lang w:eastAsia="en-AU"/>
              </w:rPr>
              <w:t>2020-21</w:t>
            </w:r>
            <w:r>
              <w:rPr>
                <w:rFonts w:eastAsiaTheme="minorEastAsia" w:cs="Calibri"/>
                <w:iCs/>
                <w:color w:val="FFFFFF"/>
                <w:szCs w:val="16"/>
                <w:lang w:eastAsia="en-AU"/>
              </w:rPr>
              <w:br/>
            </w:r>
            <w:r w:rsidRPr="00023820">
              <w:rPr>
                <w:rFonts w:eastAsiaTheme="minorEastAsia" w:cs="Calibri"/>
                <w:iCs/>
                <w:color w:val="FFFFFF"/>
                <w:szCs w:val="16"/>
                <w:lang w:eastAsia="en-AU"/>
              </w:rPr>
              <w:t>estimate</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A46DCA" w:rsidRPr="00023820" w:rsidRDefault="00A46DCA" w:rsidP="008110D9">
            <w:pPr>
              <w:keepLines w:val="0"/>
              <w:autoSpaceDE w:val="0"/>
              <w:autoSpaceDN w:val="0"/>
              <w:adjustRightInd w:val="0"/>
              <w:rPr>
                <w:rFonts w:eastAsiaTheme="minorEastAsia" w:cs="Calibri"/>
                <w:b/>
                <w:bCs/>
                <w:color w:val="000000"/>
                <w:szCs w:val="16"/>
                <w:lang w:eastAsia="en-AU"/>
              </w:rPr>
            </w:pPr>
            <w:r w:rsidRPr="00023820">
              <w:rPr>
                <w:rFonts w:eastAsiaTheme="minorEastAsia" w:cs="Calibri"/>
                <w:b/>
                <w:bCs/>
                <w:color w:val="000000"/>
                <w:szCs w:val="16"/>
                <w:lang w:eastAsia="en-AU"/>
              </w:rPr>
              <w:t>FISCAL AGGREGATES</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023820">
              <w:rPr>
                <w:rFonts w:eastAsiaTheme="minorEastAsia" w:cs="Calibri"/>
                <w:b/>
                <w:bCs/>
                <w:color w:val="000000"/>
                <w:lang w:eastAsia="en-AU"/>
              </w:rPr>
              <w:t xml:space="preserve"> </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023820">
              <w:rPr>
                <w:rFonts w:eastAsiaTheme="minorEastAsia" w:cs="Calibri"/>
                <w:b/>
                <w:bCs/>
                <w:color w:val="000000"/>
                <w:lang w:eastAsia="en-AU"/>
              </w:rPr>
              <w:t xml:space="preserve"> </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023820">
              <w:rPr>
                <w:rFonts w:eastAsiaTheme="minorEastAsia" w:cs="Calibri"/>
                <w:b/>
                <w:bCs/>
                <w:color w:val="000000"/>
                <w:lang w:eastAsia="en-AU"/>
              </w:rPr>
              <w:t xml:space="preserve"> </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023820">
              <w:rPr>
                <w:rFonts w:eastAsiaTheme="minorEastAsia" w:cs="Calibri"/>
                <w:b/>
                <w:bCs/>
                <w:color w:val="000000"/>
                <w:lang w:eastAsia="en-AU"/>
              </w:rPr>
              <w:t xml:space="preserve"> </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023820">
              <w:rPr>
                <w:rFonts w:eastAsiaTheme="minorEastAsia" w:cs="Calibri"/>
                <w:b/>
                <w:bCs/>
                <w:color w:val="000000"/>
                <w:lang w:eastAsia="en-AU"/>
              </w:rPr>
              <w:t xml:space="preserve"> </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A46DCA" w:rsidRPr="00023820" w:rsidRDefault="00A46DCA" w:rsidP="00A26D04">
            <w:pPr>
              <w:keepLines w:val="0"/>
              <w:autoSpaceDE w:val="0"/>
              <w:autoSpaceDN w:val="0"/>
              <w:adjustRightInd w:val="0"/>
              <w:rPr>
                <w:rFonts w:eastAsiaTheme="minorEastAsia" w:cs="Calibri"/>
                <w:color w:val="000000"/>
                <w:szCs w:val="16"/>
                <w:lang w:eastAsia="en-AU"/>
              </w:rPr>
            </w:pPr>
            <w:r w:rsidRPr="00023820">
              <w:rPr>
                <w:rFonts w:eastAsiaTheme="minorEastAsia" w:cs="Calibri"/>
                <w:color w:val="000000"/>
                <w:szCs w:val="16"/>
                <w:lang w:eastAsia="en-AU"/>
              </w:rPr>
              <w:t>Net cash flows from operating activities</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023820">
              <w:rPr>
                <w:rFonts w:eastAsiaTheme="minorEastAsia" w:cs="Calibri"/>
                <w:color w:val="000000"/>
                <w:szCs w:val="16"/>
                <w:lang w:eastAsia="en-AU"/>
              </w:rPr>
              <w:t>1 580</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023820">
              <w:rPr>
                <w:rFonts w:eastAsiaTheme="minorEastAsia" w:cs="Calibri"/>
                <w:color w:val="000000"/>
                <w:szCs w:val="16"/>
                <w:lang w:eastAsia="en-AU"/>
              </w:rPr>
              <w:t>1 484</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023820">
              <w:rPr>
                <w:rFonts w:eastAsiaTheme="minorEastAsia" w:cs="Calibri"/>
                <w:color w:val="000000"/>
                <w:szCs w:val="16"/>
                <w:lang w:eastAsia="en-AU"/>
              </w:rPr>
              <w:t>1 552</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023820">
              <w:rPr>
                <w:rFonts w:eastAsiaTheme="minorEastAsia" w:cs="Calibri"/>
                <w:color w:val="000000"/>
                <w:szCs w:val="16"/>
                <w:lang w:eastAsia="en-AU"/>
              </w:rPr>
              <w:t>1 521</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023820">
              <w:rPr>
                <w:rFonts w:eastAsiaTheme="minorEastAsia" w:cs="Calibri"/>
                <w:color w:val="000000"/>
                <w:szCs w:val="16"/>
                <w:lang w:eastAsia="en-AU"/>
              </w:rPr>
              <w:t>1 665</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A46DCA" w:rsidRPr="00023820" w:rsidRDefault="00A46DCA" w:rsidP="00A26D04">
            <w:pPr>
              <w:keepLines w:val="0"/>
              <w:autoSpaceDE w:val="0"/>
              <w:autoSpaceDN w:val="0"/>
              <w:adjustRightInd w:val="0"/>
              <w:rPr>
                <w:rFonts w:eastAsiaTheme="minorEastAsia" w:cs="Calibri"/>
                <w:color w:val="000000"/>
                <w:szCs w:val="16"/>
                <w:lang w:eastAsia="en-AU"/>
              </w:rPr>
            </w:pPr>
            <w:r w:rsidRPr="00023820">
              <w:rPr>
                <w:rFonts w:eastAsiaTheme="minorEastAsia" w:cs="Calibri"/>
                <w:color w:val="000000"/>
                <w:szCs w:val="16"/>
                <w:lang w:eastAsia="en-AU"/>
              </w:rPr>
              <w:t>Dividends paid</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(457)</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(498)</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(225)</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(141)</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(195)</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A46DCA" w:rsidRPr="00023820" w:rsidRDefault="00A46DCA" w:rsidP="00A26D04">
            <w:pPr>
              <w:keepLines w:val="0"/>
              <w:autoSpaceDE w:val="0"/>
              <w:autoSpaceDN w:val="0"/>
              <w:adjustRightInd w:val="0"/>
              <w:rPr>
                <w:rFonts w:eastAsiaTheme="minorEastAsia" w:cs="Calibri"/>
                <w:color w:val="000000"/>
                <w:szCs w:val="16"/>
                <w:lang w:eastAsia="en-AU"/>
              </w:rPr>
            </w:pPr>
            <w:r w:rsidRPr="00023820">
              <w:rPr>
                <w:rFonts w:eastAsiaTheme="minorEastAsia" w:cs="Calibri"/>
                <w:color w:val="000000"/>
                <w:szCs w:val="16"/>
                <w:lang w:eastAsia="en-AU"/>
              </w:rPr>
              <w:t xml:space="preserve">Net cash flows from investments in </w:t>
            </w:r>
            <w:r>
              <w:rPr>
                <w:rFonts w:eastAsiaTheme="minorEastAsia" w:cs="Calibri"/>
                <w:color w:val="000000"/>
                <w:szCs w:val="16"/>
                <w:lang w:eastAsia="en-AU"/>
              </w:rPr>
              <w:br/>
            </w:r>
            <w:r w:rsidRPr="00023820">
              <w:rPr>
                <w:rFonts w:eastAsiaTheme="minorEastAsia" w:cs="Calibri"/>
                <w:color w:val="000000"/>
                <w:szCs w:val="16"/>
                <w:lang w:eastAsia="en-AU"/>
              </w:rPr>
              <w:t>non-financial assets</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(3 051)</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(2 759)</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(2 742)</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(2 589)</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(1 750)</w:t>
            </w:r>
          </w:p>
        </w:tc>
      </w:tr>
      <w:tr w:rsidR="00A46DCA" w:rsidRPr="00023820" w:rsidTr="00A26D04">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5" w:type="dxa"/>
            <w:tcBorders>
              <w:top w:val="single" w:sz="6" w:space="0" w:color="000000"/>
              <w:bottom w:val="single" w:sz="12" w:space="0" w:color="000000"/>
            </w:tcBorders>
          </w:tcPr>
          <w:p w:rsidR="00A46DCA" w:rsidRPr="00023820" w:rsidRDefault="00A46DCA" w:rsidP="00A26D04">
            <w:pPr>
              <w:keepLines w:val="0"/>
              <w:autoSpaceDE w:val="0"/>
              <w:autoSpaceDN w:val="0"/>
              <w:adjustRightInd w:val="0"/>
              <w:rPr>
                <w:rFonts w:eastAsiaTheme="minorEastAsia" w:cs="Calibri"/>
                <w:bCs/>
                <w:color w:val="000000"/>
                <w:szCs w:val="16"/>
                <w:lang w:eastAsia="en-AU"/>
              </w:rPr>
            </w:pPr>
            <w:r w:rsidRPr="00023820">
              <w:rPr>
                <w:rFonts w:eastAsiaTheme="minorEastAsia" w:cs="Calibri"/>
                <w:bCs/>
                <w:color w:val="000000"/>
                <w:szCs w:val="16"/>
                <w:lang w:eastAsia="en-AU"/>
              </w:rPr>
              <w:t>Cash surplus/(deficit)</w:t>
            </w:r>
          </w:p>
        </w:tc>
        <w:tc>
          <w:tcPr>
            <w:tcW w:w="850" w:type="dxa"/>
            <w:tcBorders>
              <w:top w:val="single" w:sz="6" w:space="0" w:color="000000"/>
              <w:bottom w:val="single" w:sz="12" w:space="0" w:color="000000"/>
            </w:tcBorders>
          </w:tcPr>
          <w:p w:rsidR="00A46DCA" w:rsidRPr="00023820" w:rsidRDefault="00A46DCA" w:rsidP="00A26D0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6"/>
                <w:lang w:eastAsia="en-AU"/>
              </w:rPr>
            </w:pPr>
            <w:r>
              <w:rPr>
                <w:rFonts w:eastAsiaTheme="minorEastAsia" w:cs="Calibri"/>
                <w:bCs/>
                <w:color w:val="000000"/>
                <w:szCs w:val="16"/>
                <w:lang w:eastAsia="en-AU"/>
              </w:rPr>
              <w:t>(1 929)</w:t>
            </w:r>
          </w:p>
        </w:tc>
        <w:tc>
          <w:tcPr>
            <w:tcW w:w="850" w:type="dxa"/>
            <w:tcBorders>
              <w:top w:val="single" w:sz="6" w:space="0" w:color="000000"/>
              <w:bottom w:val="single" w:sz="12" w:space="0" w:color="000000"/>
            </w:tcBorders>
          </w:tcPr>
          <w:p w:rsidR="00A46DCA" w:rsidRPr="00023820" w:rsidRDefault="00A46DCA" w:rsidP="00A26D0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6"/>
                <w:lang w:eastAsia="en-AU"/>
              </w:rPr>
            </w:pPr>
            <w:r>
              <w:rPr>
                <w:rFonts w:eastAsiaTheme="minorEastAsia" w:cs="Calibri"/>
                <w:bCs/>
                <w:color w:val="000000"/>
                <w:szCs w:val="16"/>
                <w:lang w:eastAsia="en-AU"/>
              </w:rPr>
              <w:t>(1 773)</w:t>
            </w:r>
          </w:p>
        </w:tc>
        <w:tc>
          <w:tcPr>
            <w:tcW w:w="850" w:type="dxa"/>
            <w:tcBorders>
              <w:top w:val="single" w:sz="6" w:space="0" w:color="000000"/>
              <w:bottom w:val="single" w:sz="12" w:space="0" w:color="000000"/>
            </w:tcBorders>
          </w:tcPr>
          <w:p w:rsidR="00A46DCA" w:rsidRPr="00023820" w:rsidRDefault="00A46DCA" w:rsidP="00A26D0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6"/>
                <w:lang w:eastAsia="en-AU"/>
              </w:rPr>
            </w:pPr>
            <w:r>
              <w:rPr>
                <w:rFonts w:eastAsiaTheme="minorEastAsia" w:cs="Calibri"/>
                <w:bCs/>
                <w:color w:val="000000"/>
                <w:szCs w:val="16"/>
                <w:lang w:eastAsia="en-AU"/>
              </w:rPr>
              <w:t>(1 415)</w:t>
            </w:r>
          </w:p>
        </w:tc>
        <w:tc>
          <w:tcPr>
            <w:tcW w:w="850" w:type="dxa"/>
            <w:tcBorders>
              <w:top w:val="single" w:sz="6" w:space="0" w:color="000000"/>
              <w:bottom w:val="single" w:sz="12" w:space="0" w:color="000000"/>
            </w:tcBorders>
          </w:tcPr>
          <w:p w:rsidR="00A46DCA" w:rsidRPr="00023820" w:rsidRDefault="00A46DCA" w:rsidP="00A26D0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6"/>
                <w:lang w:eastAsia="en-AU"/>
              </w:rPr>
            </w:pPr>
            <w:r>
              <w:rPr>
                <w:rFonts w:eastAsiaTheme="minorEastAsia" w:cs="Calibri"/>
                <w:bCs/>
                <w:color w:val="000000"/>
                <w:szCs w:val="16"/>
                <w:lang w:eastAsia="en-AU"/>
              </w:rPr>
              <w:t>(1 210)</w:t>
            </w:r>
          </w:p>
        </w:tc>
        <w:tc>
          <w:tcPr>
            <w:tcW w:w="850" w:type="dxa"/>
            <w:tcBorders>
              <w:top w:val="single" w:sz="6" w:space="0" w:color="000000"/>
              <w:bottom w:val="single" w:sz="12" w:space="0" w:color="000000"/>
            </w:tcBorders>
          </w:tcPr>
          <w:p w:rsidR="00A46DCA" w:rsidRPr="00023820" w:rsidRDefault="00A46DCA" w:rsidP="00A26D0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6"/>
                <w:lang w:eastAsia="en-AU"/>
              </w:rPr>
            </w:pPr>
            <w:r>
              <w:rPr>
                <w:rFonts w:eastAsiaTheme="minorEastAsia" w:cs="Calibri"/>
                <w:bCs/>
                <w:color w:val="000000"/>
                <w:szCs w:val="16"/>
                <w:lang w:eastAsia="en-AU"/>
              </w:rPr>
              <w:t>(281)</w:t>
            </w:r>
          </w:p>
        </w:tc>
      </w:tr>
    </w:tbl>
    <w:p w:rsidR="00A46DCA" w:rsidRDefault="00A46DCA" w:rsidP="00A26D04">
      <w:pPr>
        <w:pStyle w:val="Source"/>
      </w:pPr>
      <w:r w:rsidRPr="00D87D22">
        <w:t>Source: Dep</w:t>
      </w:r>
      <w:r>
        <w:t xml:space="preserve">artment of Treasury and Finance </w:t>
      </w:r>
    </w:p>
    <w:p w:rsidR="00A46DCA" w:rsidRDefault="00A46DCA" w:rsidP="00A26D04">
      <w:pPr>
        <w:pStyle w:val="Note"/>
      </w:pPr>
      <w:r>
        <w:t>Notes:</w:t>
      </w:r>
    </w:p>
    <w:p w:rsidR="00A46DCA" w:rsidRDefault="00A46DCA" w:rsidP="00A26D04">
      <w:pPr>
        <w:pStyle w:val="Note"/>
      </w:pPr>
      <w:r>
        <w:t>(a)</w:t>
      </w:r>
      <w:r>
        <w:tab/>
      </w:r>
      <w:r w:rsidRPr="00995E6E">
        <w:rPr>
          <w:rFonts w:cs="Times New Roman"/>
          <w:lang w:eastAsia="en-AU"/>
        </w:rPr>
        <w:t>Certain line items have been aggregated in the table above due to</w:t>
      </w:r>
      <w:r>
        <w:rPr>
          <w:rFonts w:cs="Times New Roman"/>
          <w:lang w:eastAsia="en-AU"/>
        </w:rPr>
        <w:t xml:space="preserve"> </w:t>
      </w:r>
      <w:r w:rsidRPr="00995E6E">
        <w:rPr>
          <w:rFonts w:cs="Times New Roman"/>
          <w:lang w:eastAsia="en-AU"/>
        </w:rPr>
        <w:t>commercial sensitivities</w:t>
      </w:r>
      <w:r>
        <w:rPr>
          <w:rFonts w:cs="Times New Roman"/>
          <w:lang w:eastAsia="en-AU"/>
        </w:rPr>
        <w:t>.</w:t>
      </w:r>
    </w:p>
    <w:p w:rsidR="00A46DCA" w:rsidRDefault="00A46DCA" w:rsidP="00A26D04">
      <w:pPr>
        <w:pStyle w:val="Note"/>
      </w:pPr>
      <w:r>
        <w:t>(b)</w:t>
      </w:r>
      <w:r>
        <w:tab/>
        <w:t>Inclusive of goods and services tax.</w:t>
      </w:r>
    </w:p>
    <w:p w:rsidR="00A46DCA" w:rsidRDefault="00A46DCA" w:rsidP="00A26D04">
      <w:pPr>
        <w:pStyle w:val="Note"/>
      </w:pPr>
      <w:r>
        <w:t>(c)</w:t>
      </w:r>
      <w:r>
        <w:tab/>
      </w:r>
      <w:r w:rsidRPr="0027459D">
        <w:rPr>
          <w:i w:val="0"/>
        </w:rPr>
        <w:t>2017-18 Budget</w:t>
      </w:r>
      <w:r>
        <w:t xml:space="preserve"> figures have been restated to represent actual opening balances at 1 July 2017.</w:t>
      </w:r>
    </w:p>
    <w:p w:rsidR="00A46DCA" w:rsidRDefault="00A46DCA" w:rsidP="00A26D04"/>
    <w:p w:rsidR="00A46DCA" w:rsidRDefault="00A46DCA" w:rsidP="00A26D04">
      <w:pPr>
        <w:keepLines w:val="0"/>
      </w:pPr>
      <w:r>
        <w:br w:type="page"/>
      </w:r>
    </w:p>
    <w:p w:rsidR="00A46DCA" w:rsidRPr="00023820" w:rsidRDefault="00A46DCA" w:rsidP="00A26D04">
      <w:pPr>
        <w:pStyle w:val="TableHeading"/>
        <w:rPr>
          <w:bCs/>
          <w:lang w:val="en-US"/>
        </w:rPr>
      </w:pPr>
      <w:r>
        <w:lastRenderedPageBreak/>
        <w:t>Table 5.4</w:t>
      </w:r>
      <w:r w:rsidR="008110D9">
        <w:t>:</w:t>
      </w:r>
      <w:r>
        <w:tab/>
        <w:t xml:space="preserve">Public non-financial corporations sector statement of changes </w:t>
      </w:r>
      <w:r w:rsidR="006A017C">
        <w:br/>
      </w:r>
      <w:r>
        <w:t>in equity for the financial year ended 30 June</w:t>
      </w:r>
      <w:r>
        <w:tab/>
        <w:t>($ million)</w:t>
      </w:r>
    </w:p>
    <w:tbl>
      <w:tblPr>
        <w:tblStyle w:val="DTFTable"/>
        <w:tblW w:w="7767" w:type="dxa"/>
        <w:tblInd w:w="45" w:type="dxa"/>
        <w:tblLayout w:type="fixed"/>
        <w:tblCellMar>
          <w:left w:w="45" w:type="dxa"/>
          <w:right w:w="45" w:type="dxa"/>
        </w:tblCellMar>
        <w:tblLook w:val="06A0" w:firstRow="1" w:lastRow="0" w:firstColumn="1" w:lastColumn="0" w:noHBand="1" w:noVBand="1"/>
      </w:tblPr>
      <w:tblGrid>
        <w:gridCol w:w="4819"/>
        <w:gridCol w:w="1417"/>
        <w:gridCol w:w="1531"/>
      </w:tblGrid>
      <w:tr w:rsidR="00A46DCA" w:rsidRPr="00023820" w:rsidTr="008110D9">
        <w:trPr>
          <w:cnfStyle w:val="100000000000" w:firstRow="1" w:lastRow="0" w:firstColumn="0" w:lastColumn="0" w:oddVBand="0" w:evenVBand="0" w:oddHBand="0" w:evenHBand="0" w:firstRowFirstColumn="0" w:firstRowLastColumn="0" w:lastRowFirstColumn="0" w:lastRowLastColumn="0"/>
          <w:trHeight w:val="101"/>
          <w:tblHeader/>
        </w:trPr>
        <w:tc>
          <w:tcPr>
            <w:cnfStyle w:val="001000000000" w:firstRow="0" w:lastRow="0" w:firstColumn="1" w:lastColumn="0" w:oddVBand="0" w:evenVBand="0" w:oddHBand="0" w:evenHBand="0" w:firstRowFirstColumn="0" w:firstRowLastColumn="0" w:lastRowFirstColumn="0" w:lastRowLastColumn="0"/>
            <w:tcW w:w="4819" w:type="dxa"/>
            <w:tcBorders>
              <w:top w:val="nil"/>
              <w:left w:val="nil"/>
              <w:bottom w:val="nil"/>
              <w:right w:val="nil"/>
            </w:tcBorders>
            <w:shd w:val="solid" w:color="000000" w:fill="auto"/>
          </w:tcPr>
          <w:p w:rsidR="00A46DCA" w:rsidRPr="00023820" w:rsidRDefault="00A46DCA" w:rsidP="00A26D04">
            <w:pPr>
              <w:autoSpaceDE w:val="0"/>
              <w:autoSpaceDN w:val="0"/>
              <w:adjustRightInd w:val="0"/>
              <w:rPr>
                <w:rFonts w:eastAsiaTheme="minorEastAsia" w:cs="Calibri"/>
                <w:iCs/>
                <w:color w:val="FFFFFF"/>
                <w:lang w:eastAsia="en-AU"/>
              </w:rPr>
            </w:pPr>
            <w:r w:rsidRPr="00023820">
              <w:rPr>
                <w:rFonts w:eastAsiaTheme="minorEastAsia" w:cs="Calibri"/>
                <w:iCs/>
                <w:color w:val="FFFFFF"/>
                <w:lang w:eastAsia="en-AU"/>
              </w:rPr>
              <w:t xml:space="preserve"> </w:t>
            </w:r>
          </w:p>
        </w:tc>
        <w:tc>
          <w:tcPr>
            <w:tcW w:w="1417" w:type="dxa"/>
            <w:tcBorders>
              <w:top w:val="nil"/>
              <w:left w:val="nil"/>
              <w:bottom w:val="nil"/>
              <w:right w:val="nil"/>
            </w:tcBorders>
            <w:shd w:val="solid" w:color="000000" w:fill="auto"/>
          </w:tcPr>
          <w:p w:rsidR="00A46DCA" w:rsidRPr="00023820" w:rsidRDefault="00A46DCA" w:rsidP="00A26D0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21"/>
                <w:lang w:eastAsia="en-AU"/>
              </w:rPr>
            </w:pPr>
            <w:r w:rsidRPr="00023820">
              <w:rPr>
                <w:rFonts w:eastAsiaTheme="minorEastAsia" w:cs="Calibri"/>
                <w:iCs/>
                <w:color w:val="FFFFFF"/>
                <w:szCs w:val="21"/>
                <w:lang w:eastAsia="en-AU"/>
              </w:rPr>
              <w:t>Accumulated surplus/(deficit)</w:t>
            </w:r>
          </w:p>
        </w:tc>
        <w:tc>
          <w:tcPr>
            <w:tcW w:w="1531" w:type="dxa"/>
            <w:tcBorders>
              <w:top w:val="nil"/>
              <w:left w:val="nil"/>
              <w:bottom w:val="nil"/>
              <w:right w:val="nil"/>
            </w:tcBorders>
            <w:shd w:val="solid" w:color="000000" w:fill="auto"/>
          </w:tcPr>
          <w:p w:rsidR="00A46DCA" w:rsidRPr="00023820" w:rsidRDefault="00A46DCA" w:rsidP="00A26D0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21"/>
                <w:lang w:eastAsia="en-AU"/>
              </w:rPr>
            </w:pPr>
            <w:r w:rsidRPr="00023820">
              <w:rPr>
                <w:rFonts w:eastAsiaTheme="minorEastAsia" w:cs="Calibri"/>
                <w:iCs/>
                <w:color w:val="FFFFFF"/>
                <w:szCs w:val="21"/>
                <w:lang w:eastAsia="en-AU"/>
              </w:rPr>
              <w:t xml:space="preserve">Contribution </w:t>
            </w:r>
            <w:r>
              <w:rPr>
                <w:rFonts w:eastAsiaTheme="minorEastAsia" w:cs="Calibri"/>
                <w:iCs/>
                <w:color w:val="FFFFFF"/>
                <w:szCs w:val="21"/>
                <w:lang w:eastAsia="en-AU"/>
              </w:rPr>
              <w:br/>
            </w:r>
            <w:r w:rsidRPr="00023820">
              <w:rPr>
                <w:rFonts w:eastAsiaTheme="minorEastAsia" w:cs="Calibri"/>
                <w:iCs/>
                <w:color w:val="FFFFFF"/>
                <w:szCs w:val="21"/>
                <w:lang w:eastAsia="en-AU"/>
              </w:rPr>
              <w:t>by owners</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4819" w:type="dxa"/>
            <w:tcBorders>
              <w:top w:val="nil"/>
              <w:left w:val="nil"/>
              <w:bottom w:val="nil"/>
              <w:right w:val="nil"/>
            </w:tcBorders>
          </w:tcPr>
          <w:p w:rsidR="00A46DCA" w:rsidRPr="00023820" w:rsidRDefault="00A46DCA" w:rsidP="00A26D04">
            <w:pPr>
              <w:keepLines w:val="0"/>
              <w:autoSpaceDE w:val="0"/>
              <w:autoSpaceDN w:val="0"/>
              <w:adjustRightInd w:val="0"/>
              <w:rPr>
                <w:rFonts w:eastAsiaTheme="minorEastAsia" w:cs="Calibri"/>
                <w:b/>
                <w:bCs/>
                <w:color w:val="000000"/>
                <w:szCs w:val="20"/>
                <w:vertAlign w:val="superscript"/>
                <w:lang w:eastAsia="en-AU"/>
              </w:rPr>
            </w:pPr>
            <w:r w:rsidRPr="00023820">
              <w:rPr>
                <w:rFonts w:eastAsiaTheme="minorEastAsia" w:cs="Calibri"/>
                <w:b/>
                <w:bCs/>
                <w:color w:val="000000"/>
                <w:szCs w:val="20"/>
                <w:lang w:eastAsia="en-AU"/>
              </w:rPr>
              <w:t xml:space="preserve">2017-18 budget </w:t>
            </w:r>
            <w:r w:rsidRPr="00023820">
              <w:rPr>
                <w:rFonts w:eastAsiaTheme="minorEastAsia" w:cs="Calibri"/>
                <w:b/>
                <w:bCs/>
                <w:color w:val="000000"/>
                <w:szCs w:val="20"/>
                <w:vertAlign w:val="superscript"/>
                <w:lang w:eastAsia="en-AU"/>
              </w:rPr>
              <w:t>(a)</w:t>
            </w:r>
          </w:p>
        </w:tc>
        <w:tc>
          <w:tcPr>
            <w:tcW w:w="1417"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1"/>
                <w:lang w:eastAsia="en-AU"/>
              </w:rPr>
            </w:pPr>
            <w:r w:rsidRPr="00023820">
              <w:rPr>
                <w:rFonts w:eastAsiaTheme="minorEastAsia" w:cs="Calibri"/>
                <w:b/>
                <w:bCs/>
                <w:color w:val="000000"/>
                <w:szCs w:val="21"/>
                <w:lang w:eastAsia="en-AU"/>
              </w:rPr>
              <w:t xml:space="preserve"> </w:t>
            </w:r>
          </w:p>
        </w:tc>
        <w:tc>
          <w:tcPr>
            <w:tcW w:w="1531"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1"/>
                <w:lang w:eastAsia="en-AU"/>
              </w:rPr>
            </w:pPr>
            <w:r w:rsidRPr="00023820">
              <w:rPr>
                <w:rFonts w:eastAsiaTheme="minorEastAsia" w:cs="Calibri"/>
                <w:b/>
                <w:bCs/>
                <w:color w:val="000000"/>
                <w:szCs w:val="21"/>
                <w:lang w:eastAsia="en-AU"/>
              </w:rPr>
              <w:t xml:space="preserve"> </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4819" w:type="dxa"/>
            <w:tcBorders>
              <w:top w:val="nil"/>
              <w:left w:val="nil"/>
              <w:bottom w:val="nil"/>
              <w:right w:val="nil"/>
            </w:tcBorders>
          </w:tcPr>
          <w:p w:rsidR="00A46DCA" w:rsidRPr="00023820" w:rsidRDefault="00A46DCA" w:rsidP="00A26D04">
            <w:pPr>
              <w:keepLines w:val="0"/>
              <w:autoSpaceDE w:val="0"/>
              <w:autoSpaceDN w:val="0"/>
              <w:adjustRightInd w:val="0"/>
              <w:rPr>
                <w:rFonts w:eastAsiaTheme="minorEastAsia" w:cs="Calibri"/>
                <w:color w:val="000000"/>
                <w:szCs w:val="21"/>
                <w:lang w:eastAsia="en-AU"/>
              </w:rPr>
            </w:pPr>
            <w:r w:rsidRPr="00023820">
              <w:rPr>
                <w:rFonts w:eastAsiaTheme="minorEastAsia" w:cs="Calibri"/>
                <w:color w:val="000000"/>
                <w:szCs w:val="21"/>
                <w:lang w:eastAsia="en-AU"/>
              </w:rPr>
              <w:t>Balance at 1 July 2017</w:t>
            </w:r>
          </w:p>
        </w:tc>
        <w:tc>
          <w:tcPr>
            <w:tcW w:w="1417"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3 751</w:t>
            </w:r>
          </w:p>
        </w:tc>
        <w:tc>
          <w:tcPr>
            <w:tcW w:w="1531"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54 902</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4819" w:type="dxa"/>
            <w:tcBorders>
              <w:top w:val="nil"/>
              <w:left w:val="nil"/>
              <w:bottom w:val="nil"/>
              <w:right w:val="nil"/>
            </w:tcBorders>
          </w:tcPr>
          <w:p w:rsidR="00A46DCA" w:rsidRPr="00023820" w:rsidRDefault="00A46DCA" w:rsidP="00A26D04">
            <w:pPr>
              <w:keepLines w:val="0"/>
              <w:autoSpaceDE w:val="0"/>
              <w:autoSpaceDN w:val="0"/>
              <w:adjustRightInd w:val="0"/>
              <w:rPr>
                <w:rFonts w:eastAsiaTheme="minorEastAsia" w:cs="Calibri"/>
                <w:color w:val="000000"/>
                <w:szCs w:val="20"/>
                <w:lang w:eastAsia="en-AU"/>
              </w:rPr>
            </w:pPr>
            <w:r w:rsidRPr="00023820">
              <w:rPr>
                <w:rFonts w:eastAsiaTheme="minorEastAsia" w:cs="Calibri"/>
                <w:color w:val="000000"/>
                <w:szCs w:val="21"/>
                <w:lang w:eastAsia="en-AU"/>
              </w:rPr>
              <w:t xml:space="preserve">Net result for </w:t>
            </w:r>
            <w:r w:rsidRPr="00023820">
              <w:rPr>
                <w:rFonts w:eastAsiaTheme="minorEastAsia" w:cs="Calibri"/>
                <w:color w:val="000000"/>
                <w:szCs w:val="20"/>
                <w:lang w:eastAsia="en-AU"/>
              </w:rPr>
              <w:t>the year</w:t>
            </w:r>
          </w:p>
        </w:tc>
        <w:tc>
          <w:tcPr>
            <w:tcW w:w="1417"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(295)</w:t>
            </w:r>
          </w:p>
        </w:tc>
        <w:tc>
          <w:tcPr>
            <w:tcW w:w="1531"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4819" w:type="dxa"/>
            <w:tcBorders>
              <w:top w:val="nil"/>
              <w:left w:val="nil"/>
              <w:bottom w:val="nil"/>
              <w:right w:val="nil"/>
            </w:tcBorders>
          </w:tcPr>
          <w:p w:rsidR="00A46DCA" w:rsidRPr="00023820" w:rsidRDefault="00A46DCA" w:rsidP="00A26D04">
            <w:pPr>
              <w:keepLines w:val="0"/>
              <w:autoSpaceDE w:val="0"/>
              <w:autoSpaceDN w:val="0"/>
              <w:adjustRightInd w:val="0"/>
              <w:rPr>
                <w:rFonts w:eastAsiaTheme="minorEastAsia" w:cs="Calibri"/>
                <w:color w:val="000000"/>
                <w:szCs w:val="21"/>
                <w:lang w:eastAsia="en-AU"/>
              </w:rPr>
            </w:pPr>
            <w:r w:rsidRPr="00023820">
              <w:rPr>
                <w:rFonts w:eastAsiaTheme="minorEastAsia" w:cs="Calibri"/>
                <w:color w:val="000000"/>
                <w:szCs w:val="21"/>
                <w:lang w:eastAsia="en-AU"/>
              </w:rPr>
              <w:t>Other comprehensive income for the year</w:t>
            </w:r>
          </w:p>
        </w:tc>
        <w:tc>
          <w:tcPr>
            <w:tcW w:w="1417"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(39)</w:t>
            </w:r>
          </w:p>
        </w:tc>
        <w:tc>
          <w:tcPr>
            <w:tcW w:w="1531"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4819" w:type="dxa"/>
            <w:tcBorders>
              <w:top w:val="nil"/>
              <w:left w:val="nil"/>
              <w:bottom w:val="nil"/>
              <w:right w:val="nil"/>
            </w:tcBorders>
          </w:tcPr>
          <w:p w:rsidR="00A46DCA" w:rsidRPr="00023820" w:rsidRDefault="00A46DCA" w:rsidP="00A26D04">
            <w:pPr>
              <w:keepLines w:val="0"/>
              <w:autoSpaceDE w:val="0"/>
              <w:autoSpaceDN w:val="0"/>
              <w:adjustRightInd w:val="0"/>
              <w:rPr>
                <w:rFonts w:eastAsiaTheme="minorEastAsia" w:cs="Calibri"/>
                <w:color w:val="000000"/>
                <w:szCs w:val="21"/>
                <w:lang w:eastAsia="en-AU"/>
              </w:rPr>
            </w:pPr>
            <w:r w:rsidRPr="00023820">
              <w:rPr>
                <w:rFonts w:eastAsiaTheme="minorEastAsia" w:cs="Calibri"/>
                <w:color w:val="000000"/>
                <w:szCs w:val="21"/>
                <w:lang w:eastAsia="en-AU"/>
              </w:rPr>
              <w:t>Dividends paid</w:t>
            </w:r>
          </w:p>
        </w:tc>
        <w:tc>
          <w:tcPr>
            <w:tcW w:w="1417"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(457)</w:t>
            </w:r>
          </w:p>
        </w:tc>
        <w:tc>
          <w:tcPr>
            <w:tcW w:w="1531"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4819" w:type="dxa"/>
            <w:tcBorders>
              <w:top w:val="nil"/>
              <w:left w:val="nil"/>
              <w:bottom w:val="nil"/>
              <w:right w:val="nil"/>
            </w:tcBorders>
          </w:tcPr>
          <w:p w:rsidR="00A46DCA" w:rsidRPr="00023820" w:rsidRDefault="00A46DCA" w:rsidP="00A26D04">
            <w:pPr>
              <w:keepLines w:val="0"/>
              <w:autoSpaceDE w:val="0"/>
              <w:autoSpaceDN w:val="0"/>
              <w:adjustRightInd w:val="0"/>
              <w:rPr>
                <w:rFonts w:eastAsiaTheme="minorEastAsia" w:cs="Calibri"/>
                <w:color w:val="000000"/>
                <w:szCs w:val="21"/>
                <w:lang w:eastAsia="en-AU"/>
              </w:rPr>
            </w:pPr>
            <w:r w:rsidRPr="00023820">
              <w:rPr>
                <w:rFonts w:eastAsiaTheme="minorEastAsia" w:cs="Calibri"/>
                <w:color w:val="000000"/>
                <w:szCs w:val="21"/>
                <w:lang w:eastAsia="en-AU"/>
              </w:rPr>
              <w:t>Transfer to/(from) accumulated surplus</w:t>
            </w:r>
          </w:p>
        </w:tc>
        <w:tc>
          <w:tcPr>
            <w:tcW w:w="1417"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w:t>
            </w:r>
          </w:p>
        </w:tc>
        <w:tc>
          <w:tcPr>
            <w:tcW w:w="1531"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4819" w:type="dxa"/>
            <w:tcBorders>
              <w:top w:val="nil"/>
              <w:left w:val="nil"/>
              <w:bottom w:val="nil"/>
              <w:right w:val="nil"/>
            </w:tcBorders>
          </w:tcPr>
          <w:p w:rsidR="00A46DCA" w:rsidRPr="00023820" w:rsidRDefault="00A46DCA" w:rsidP="00A26D04">
            <w:pPr>
              <w:keepLines w:val="0"/>
              <w:autoSpaceDE w:val="0"/>
              <w:autoSpaceDN w:val="0"/>
              <w:adjustRightInd w:val="0"/>
              <w:rPr>
                <w:rFonts w:eastAsiaTheme="minorEastAsia" w:cs="Calibri"/>
                <w:color w:val="000000"/>
                <w:szCs w:val="21"/>
                <w:lang w:eastAsia="en-AU"/>
              </w:rPr>
            </w:pPr>
            <w:r w:rsidRPr="00023820">
              <w:rPr>
                <w:rFonts w:eastAsiaTheme="minorEastAsia" w:cs="Calibri"/>
                <w:color w:val="000000"/>
                <w:szCs w:val="21"/>
                <w:lang w:eastAsia="en-AU"/>
              </w:rPr>
              <w:t>Transactions with owners in their capacity as owners</w:t>
            </w:r>
          </w:p>
        </w:tc>
        <w:tc>
          <w:tcPr>
            <w:tcW w:w="1417"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w:t>
            </w:r>
          </w:p>
        </w:tc>
        <w:tc>
          <w:tcPr>
            <w:tcW w:w="1531"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4 660</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4819" w:type="dxa"/>
            <w:tcBorders>
              <w:top w:val="single" w:sz="6" w:space="0" w:color="000000"/>
              <w:left w:val="nil"/>
              <w:bottom w:val="single" w:sz="12" w:space="0" w:color="000000"/>
              <w:right w:val="nil"/>
            </w:tcBorders>
          </w:tcPr>
          <w:p w:rsidR="00A46DCA" w:rsidRPr="00023820" w:rsidRDefault="00A46DCA" w:rsidP="00A26D04">
            <w:pPr>
              <w:keepLines w:val="0"/>
              <w:autoSpaceDE w:val="0"/>
              <w:autoSpaceDN w:val="0"/>
              <w:adjustRightInd w:val="0"/>
              <w:rPr>
                <w:rFonts w:eastAsiaTheme="minorEastAsia" w:cs="Calibri"/>
                <w:b/>
                <w:bCs/>
                <w:color w:val="000000"/>
                <w:szCs w:val="21"/>
                <w:lang w:eastAsia="en-AU"/>
              </w:rPr>
            </w:pPr>
            <w:r w:rsidRPr="00023820">
              <w:rPr>
                <w:rFonts w:eastAsiaTheme="minorEastAsia" w:cs="Calibri"/>
                <w:b/>
                <w:bCs/>
                <w:color w:val="000000"/>
                <w:szCs w:val="21"/>
                <w:lang w:eastAsia="en-AU"/>
              </w:rPr>
              <w:t>Total equity as at 30 June 2018</w:t>
            </w:r>
          </w:p>
        </w:tc>
        <w:tc>
          <w:tcPr>
            <w:tcW w:w="1417" w:type="dxa"/>
            <w:tcBorders>
              <w:top w:val="single" w:sz="6" w:space="0" w:color="000000"/>
              <w:left w:val="nil"/>
              <w:bottom w:val="single" w:sz="12" w:space="0" w:color="000000"/>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1"/>
                <w:lang w:eastAsia="en-AU"/>
              </w:rPr>
            </w:pPr>
            <w:r>
              <w:rPr>
                <w:rFonts w:eastAsiaTheme="minorEastAsia" w:cs="Calibri"/>
                <w:b/>
                <w:bCs/>
                <w:color w:val="000000"/>
                <w:szCs w:val="21"/>
                <w:lang w:eastAsia="en-AU"/>
              </w:rPr>
              <w:t>2 960</w:t>
            </w:r>
          </w:p>
        </w:tc>
        <w:tc>
          <w:tcPr>
            <w:tcW w:w="1531" w:type="dxa"/>
            <w:tcBorders>
              <w:top w:val="single" w:sz="6" w:space="0" w:color="000000"/>
              <w:left w:val="nil"/>
              <w:bottom w:val="single" w:sz="12" w:space="0" w:color="000000"/>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1"/>
                <w:lang w:eastAsia="en-AU"/>
              </w:rPr>
            </w:pPr>
            <w:r>
              <w:rPr>
                <w:rFonts w:eastAsiaTheme="minorEastAsia" w:cs="Calibri"/>
                <w:b/>
                <w:bCs/>
                <w:color w:val="000000"/>
                <w:szCs w:val="21"/>
                <w:lang w:eastAsia="en-AU"/>
              </w:rPr>
              <w:t>59 562</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4819" w:type="dxa"/>
            <w:tcBorders>
              <w:top w:val="nil"/>
              <w:left w:val="nil"/>
              <w:bottom w:val="nil"/>
              <w:right w:val="nil"/>
            </w:tcBorders>
          </w:tcPr>
          <w:p w:rsidR="00A46DCA" w:rsidRPr="00023820" w:rsidRDefault="00A46DCA" w:rsidP="00A26D04">
            <w:pPr>
              <w:keepLines w:val="0"/>
              <w:autoSpaceDE w:val="0"/>
              <w:autoSpaceDN w:val="0"/>
              <w:adjustRightInd w:val="0"/>
              <w:rPr>
                <w:rFonts w:eastAsiaTheme="minorEastAsia" w:cs="Calibri"/>
                <w:b/>
                <w:bCs/>
                <w:color w:val="000000"/>
                <w:szCs w:val="20"/>
                <w:lang w:eastAsia="en-AU"/>
              </w:rPr>
            </w:pPr>
            <w:r w:rsidRPr="00023820">
              <w:rPr>
                <w:rFonts w:eastAsiaTheme="minorEastAsia" w:cs="Calibri"/>
                <w:b/>
                <w:bCs/>
                <w:color w:val="000000"/>
                <w:szCs w:val="20"/>
                <w:lang w:eastAsia="en-AU"/>
              </w:rPr>
              <w:t>2017-18 revised</w:t>
            </w:r>
          </w:p>
        </w:tc>
        <w:tc>
          <w:tcPr>
            <w:tcW w:w="1417"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1"/>
                <w:lang w:eastAsia="en-AU"/>
              </w:rPr>
            </w:pPr>
            <w:r w:rsidRPr="00023820">
              <w:rPr>
                <w:rFonts w:eastAsiaTheme="minorEastAsia" w:cs="Calibri"/>
                <w:b/>
                <w:bCs/>
                <w:color w:val="000000"/>
                <w:szCs w:val="21"/>
                <w:lang w:eastAsia="en-AU"/>
              </w:rPr>
              <w:t xml:space="preserve"> </w:t>
            </w:r>
          </w:p>
        </w:tc>
        <w:tc>
          <w:tcPr>
            <w:tcW w:w="1531"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1"/>
                <w:lang w:eastAsia="en-AU"/>
              </w:rPr>
            </w:pPr>
            <w:r w:rsidRPr="00023820">
              <w:rPr>
                <w:rFonts w:eastAsiaTheme="minorEastAsia" w:cs="Calibri"/>
                <w:b/>
                <w:bCs/>
                <w:color w:val="000000"/>
                <w:szCs w:val="21"/>
                <w:lang w:eastAsia="en-AU"/>
              </w:rPr>
              <w:t xml:space="preserve"> </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4819" w:type="dxa"/>
            <w:tcBorders>
              <w:top w:val="nil"/>
              <w:left w:val="nil"/>
              <w:bottom w:val="nil"/>
              <w:right w:val="nil"/>
            </w:tcBorders>
          </w:tcPr>
          <w:p w:rsidR="00A46DCA" w:rsidRPr="00023820" w:rsidRDefault="00A46DCA" w:rsidP="00A26D04">
            <w:pPr>
              <w:keepLines w:val="0"/>
              <w:autoSpaceDE w:val="0"/>
              <w:autoSpaceDN w:val="0"/>
              <w:adjustRightInd w:val="0"/>
              <w:rPr>
                <w:rFonts w:eastAsiaTheme="minorEastAsia" w:cs="Calibri"/>
                <w:color w:val="000000"/>
                <w:szCs w:val="21"/>
                <w:lang w:eastAsia="en-AU"/>
              </w:rPr>
            </w:pPr>
            <w:r w:rsidRPr="00023820">
              <w:rPr>
                <w:rFonts w:eastAsiaTheme="minorEastAsia" w:cs="Calibri"/>
                <w:color w:val="000000"/>
                <w:szCs w:val="21"/>
                <w:lang w:eastAsia="en-AU"/>
              </w:rPr>
              <w:t>Balance at 1 July 2017</w:t>
            </w:r>
          </w:p>
        </w:tc>
        <w:tc>
          <w:tcPr>
            <w:tcW w:w="1417"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3 751</w:t>
            </w:r>
          </w:p>
        </w:tc>
        <w:tc>
          <w:tcPr>
            <w:tcW w:w="1531"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54 902</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4819" w:type="dxa"/>
            <w:tcBorders>
              <w:top w:val="nil"/>
              <w:left w:val="nil"/>
              <w:bottom w:val="nil"/>
              <w:right w:val="nil"/>
            </w:tcBorders>
          </w:tcPr>
          <w:p w:rsidR="00A46DCA" w:rsidRPr="00023820" w:rsidRDefault="00A46DCA" w:rsidP="00A26D04">
            <w:pPr>
              <w:keepLines w:val="0"/>
              <w:autoSpaceDE w:val="0"/>
              <w:autoSpaceDN w:val="0"/>
              <w:adjustRightInd w:val="0"/>
              <w:rPr>
                <w:rFonts w:eastAsiaTheme="minorEastAsia" w:cs="Calibri"/>
                <w:color w:val="000000"/>
                <w:szCs w:val="20"/>
                <w:lang w:eastAsia="en-AU"/>
              </w:rPr>
            </w:pPr>
            <w:r w:rsidRPr="00023820">
              <w:rPr>
                <w:rFonts w:eastAsiaTheme="minorEastAsia" w:cs="Calibri"/>
                <w:color w:val="000000"/>
                <w:szCs w:val="21"/>
                <w:lang w:eastAsia="en-AU"/>
              </w:rPr>
              <w:t xml:space="preserve">Net result for </w:t>
            </w:r>
            <w:r w:rsidRPr="00023820">
              <w:rPr>
                <w:rFonts w:eastAsiaTheme="minorEastAsia" w:cs="Calibri"/>
                <w:color w:val="000000"/>
                <w:szCs w:val="20"/>
                <w:lang w:eastAsia="en-AU"/>
              </w:rPr>
              <w:t>the year</w:t>
            </w:r>
          </w:p>
        </w:tc>
        <w:tc>
          <w:tcPr>
            <w:tcW w:w="1417"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(121)</w:t>
            </w:r>
          </w:p>
        </w:tc>
        <w:tc>
          <w:tcPr>
            <w:tcW w:w="1531"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4819" w:type="dxa"/>
            <w:tcBorders>
              <w:top w:val="nil"/>
              <w:left w:val="nil"/>
              <w:bottom w:val="nil"/>
              <w:right w:val="nil"/>
            </w:tcBorders>
          </w:tcPr>
          <w:p w:rsidR="00A46DCA" w:rsidRPr="00023820" w:rsidRDefault="00A46DCA" w:rsidP="00A26D04">
            <w:pPr>
              <w:keepLines w:val="0"/>
              <w:autoSpaceDE w:val="0"/>
              <w:autoSpaceDN w:val="0"/>
              <w:adjustRightInd w:val="0"/>
              <w:rPr>
                <w:rFonts w:eastAsiaTheme="minorEastAsia" w:cs="Calibri"/>
                <w:color w:val="000000"/>
                <w:szCs w:val="21"/>
                <w:lang w:eastAsia="en-AU"/>
              </w:rPr>
            </w:pPr>
            <w:r w:rsidRPr="00023820">
              <w:rPr>
                <w:rFonts w:eastAsiaTheme="minorEastAsia" w:cs="Calibri"/>
                <w:color w:val="000000"/>
                <w:szCs w:val="21"/>
                <w:lang w:eastAsia="en-AU"/>
              </w:rPr>
              <w:t>Other comprehensive income for the year</w:t>
            </w:r>
          </w:p>
        </w:tc>
        <w:tc>
          <w:tcPr>
            <w:tcW w:w="1417"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(24)</w:t>
            </w:r>
          </w:p>
        </w:tc>
        <w:tc>
          <w:tcPr>
            <w:tcW w:w="1531"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4819" w:type="dxa"/>
            <w:tcBorders>
              <w:top w:val="nil"/>
              <w:left w:val="nil"/>
              <w:bottom w:val="nil"/>
              <w:right w:val="nil"/>
            </w:tcBorders>
          </w:tcPr>
          <w:p w:rsidR="00A46DCA" w:rsidRPr="00023820" w:rsidRDefault="00A46DCA" w:rsidP="00A26D04">
            <w:pPr>
              <w:keepLines w:val="0"/>
              <w:autoSpaceDE w:val="0"/>
              <w:autoSpaceDN w:val="0"/>
              <w:adjustRightInd w:val="0"/>
              <w:rPr>
                <w:rFonts w:eastAsiaTheme="minorEastAsia" w:cs="Calibri"/>
                <w:color w:val="000000"/>
                <w:szCs w:val="21"/>
                <w:lang w:eastAsia="en-AU"/>
              </w:rPr>
            </w:pPr>
            <w:r w:rsidRPr="00023820">
              <w:rPr>
                <w:rFonts w:eastAsiaTheme="minorEastAsia" w:cs="Calibri"/>
                <w:color w:val="000000"/>
                <w:szCs w:val="21"/>
                <w:lang w:eastAsia="en-AU"/>
              </w:rPr>
              <w:t>Dividends paid</w:t>
            </w:r>
          </w:p>
        </w:tc>
        <w:tc>
          <w:tcPr>
            <w:tcW w:w="1417"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(498)</w:t>
            </w:r>
          </w:p>
        </w:tc>
        <w:tc>
          <w:tcPr>
            <w:tcW w:w="1531"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4819" w:type="dxa"/>
            <w:tcBorders>
              <w:top w:val="nil"/>
              <w:left w:val="nil"/>
              <w:bottom w:val="nil"/>
              <w:right w:val="nil"/>
            </w:tcBorders>
          </w:tcPr>
          <w:p w:rsidR="00A46DCA" w:rsidRPr="00023820" w:rsidRDefault="00A46DCA" w:rsidP="00A26D04">
            <w:pPr>
              <w:keepLines w:val="0"/>
              <w:autoSpaceDE w:val="0"/>
              <w:autoSpaceDN w:val="0"/>
              <w:adjustRightInd w:val="0"/>
              <w:rPr>
                <w:rFonts w:eastAsiaTheme="minorEastAsia" w:cs="Calibri"/>
                <w:color w:val="000000"/>
                <w:szCs w:val="21"/>
                <w:lang w:eastAsia="en-AU"/>
              </w:rPr>
            </w:pPr>
            <w:r w:rsidRPr="00023820">
              <w:rPr>
                <w:rFonts w:eastAsiaTheme="minorEastAsia" w:cs="Calibri"/>
                <w:color w:val="000000"/>
                <w:szCs w:val="21"/>
                <w:lang w:eastAsia="en-AU"/>
              </w:rPr>
              <w:t>Transfer to/(from) accumulated surplus</w:t>
            </w:r>
          </w:p>
        </w:tc>
        <w:tc>
          <w:tcPr>
            <w:tcW w:w="1417"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(48)</w:t>
            </w:r>
          </w:p>
        </w:tc>
        <w:tc>
          <w:tcPr>
            <w:tcW w:w="1531"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4819" w:type="dxa"/>
            <w:tcBorders>
              <w:top w:val="nil"/>
              <w:left w:val="nil"/>
              <w:bottom w:val="nil"/>
              <w:right w:val="nil"/>
            </w:tcBorders>
          </w:tcPr>
          <w:p w:rsidR="00A46DCA" w:rsidRPr="00023820" w:rsidRDefault="00A46DCA" w:rsidP="00A26D04">
            <w:pPr>
              <w:keepLines w:val="0"/>
              <w:autoSpaceDE w:val="0"/>
              <w:autoSpaceDN w:val="0"/>
              <w:adjustRightInd w:val="0"/>
              <w:rPr>
                <w:rFonts w:eastAsiaTheme="minorEastAsia" w:cs="Calibri"/>
                <w:color w:val="000000"/>
                <w:szCs w:val="21"/>
                <w:lang w:eastAsia="en-AU"/>
              </w:rPr>
            </w:pPr>
            <w:r w:rsidRPr="00023820">
              <w:rPr>
                <w:rFonts w:eastAsiaTheme="minorEastAsia" w:cs="Calibri"/>
                <w:color w:val="000000"/>
                <w:szCs w:val="21"/>
                <w:lang w:eastAsia="en-AU"/>
              </w:rPr>
              <w:t>Transactions with owners in their capacity as owners</w:t>
            </w:r>
          </w:p>
        </w:tc>
        <w:tc>
          <w:tcPr>
            <w:tcW w:w="1417"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w:t>
            </w:r>
          </w:p>
        </w:tc>
        <w:tc>
          <w:tcPr>
            <w:tcW w:w="1531"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5 153</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4819" w:type="dxa"/>
            <w:tcBorders>
              <w:top w:val="single" w:sz="6" w:space="0" w:color="000000"/>
              <w:left w:val="nil"/>
              <w:bottom w:val="single" w:sz="12" w:space="0" w:color="000000"/>
              <w:right w:val="nil"/>
            </w:tcBorders>
          </w:tcPr>
          <w:p w:rsidR="00A46DCA" w:rsidRPr="00023820" w:rsidRDefault="00A46DCA" w:rsidP="00A26D04">
            <w:pPr>
              <w:keepLines w:val="0"/>
              <w:autoSpaceDE w:val="0"/>
              <w:autoSpaceDN w:val="0"/>
              <w:adjustRightInd w:val="0"/>
              <w:rPr>
                <w:rFonts w:eastAsiaTheme="minorEastAsia" w:cs="Calibri"/>
                <w:b/>
                <w:bCs/>
                <w:color w:val="000000"/>
                <w:szCs w:val="21"/>
                <w:lang w:eastAsia="en-AU"/>
              </w:rPr>
            </w:pPr>
            <w:r w:rsidRPr="00023820">
              <w:rPr>
                <w:rFonts w:eastAsiaTheme="minorEastAsia" w:cs="Calibri"/>
                <w:b/>
                <w:bCs/>
                <w:color w:val="000000"/>
                <w:szCs w:val="21"/>
                <w:lang w:eastAsia="en-AU"/>
              </w:rPr>
              <w:t>Total equity as at 30 June 2018</w:t>
            </w:r>
          </w:p>
        </w:tc>
        <w:tc>
          <w:tcPr>
            <w:tcW w:w="1417" w:type="dxa"/>
            <w:tcBorders>
              <w:top w:val="single" w:sz="6" w:space="0" w:color="000000"/>
              <w:left w:val="nil"/>
              <w:bottom w:val="single" w:sz="12" w:space="0" w:color="000000"/>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1"/>
                <w:lang w:eastAsia="en-AU"/>
              </w:rPr>
            </w:pPr>
            <w:r>
              <w:rPr>
                <w:rFonts w:eastAsiaTheme="minorEastAsia" w:cs="Calibri"/>
                <w:b/>
                <w:bCs/>
                <w:color w:val="000000"/>
                <w:szCs w:val="21"/>
                <w:lang w:eastAsia="en-AU"/>
              </w:rPr>
              <w:t>3 060</w:t>
            </w:r>
          </w:p>
        </w:tc>
        <w:tc>
          <w:tcPr>
            <w:tcW w:w="1531" w:type="dxa"/>
            <w:tcBorders>
              <w:top w:val="single" w:sz="6" w:space="0" w:color="000000"/>
              <w:left w:val="nil"/>
              <w:bottom w:val="single" w:sz="12" w:space="0" w:color="000000"/>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1"/>
                <w:lang w:eastAsia="en-AU"/>
              </w:rPr>
            </w:pPr>
            <w:r>
              <w:rPr>
                <w:rFonts w:eastAsiaTheme="minorEastAsia" w:cs="Calibri"/>
                <w:b/>
                <w:bCs/>
                <w:color w:val="000000"/>
                <w:szCs w:val="21"/>
                <w:lang w:eastAsia="en-AU"/>
              </w:rPr>
              <w:t>60 055</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4819" w:type="dxa"/>
            <w:tcBorders>
              <w:top w:val="nil"/>
              <w:left w:val="nil"/>
              <w:bottom w:val="nil"/>
              <w:right w:val="nil"/>
            </w:tcBorders>
          </w:tcPr>
          <w:p w:rsidR="00A46DCA" w:rsidRPr="00023820" w:rsidRDefault="00A46DCA" w:rsidP="00A26D04">
            <w:pPr>
              <w:keepLines w:val="0"/>
              <w:autoSpaceDE w:val="0"/>
              <w:autoSpaceDN w:val="0"/>
              <w:adjustRightInd w:val="0"/>
              <w:rPr>
                <w:rFonts w:eastAsiaTheme="minorEastAsia" w:cs="Calibri"/>
                <w:b/>
                <w:bCs/>
                <w:color w:val="000000"/>
                <w:szCs w:val="20"/>
                <w:lang w:eastAsia="en-AU"/>
              </w:rPr>
            </w:pPr>
            <w:r w:rsidRPr="00023820">
              <w:rPr>
                <w:rFonts w:eastAsiaTheme="minorEastAsia" w:cs="Calibri"/>
                <w:b/>
                <w:bCs/>
                <w:color w:val="000000"/>
                <w:szCs w:val="20"/>
                <w:lang w:eastAsia="en-AU"/>
              </w:rPr>
              <w:t>2018-19 estimate</w:t>
            </w:r>
          </w:p>
        </w:tc>
        <w:tc>
          <w:tcPr>
            <w:tcW w:w="1417"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1"/>
                <w:lang w:eastAsia="en-AU"/>
              </w:rPr>
            </w:pPr>
            <w:r w:rsidRPr="00023820">
              <w:rPr>
                <w:rFonts w:eastAsiaTheme="minorEastAsia" w:cs="Calibri"/>
                <w:b/>
                <w:bCs/>
                <w:color w:val="000000"/>
                <w:szCs w:val="21"/>
                <w:lang w:eastAsia="en-AU"/>
              </w:rPr>
              <w:t xml:space="preserve"> </w:t>
            </w:r>
          </w:p>
        </w:tc>
        <w:tc>
          <w:tcPr>
            <w:tcW w:w="1531"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1"/>
                <w:lang w:eastAsia="en-AU"/>
              </w:rPr>
            </w:pPr>
            <w:r w:rsidRPr="00023820">
              <w:rPr>
                <w:rFonts w:eastAsiaTheme="minorEastAsia" w:cs="Calibri"/>
                <w:b/>
                <w:bCs/>
                <w:color w:val="000000"/>
                <w:szCs w:val="21"/>
                <w:lang w:eastAsia="en-AU"/>
              </w:rPr>
              <w:t xml:space="preserve"> </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4819" w:type="dxa"/>
            <w:tcBorders>
              <w:top w:val="nil"/>
              <w:left w:val="nil"/>
              <w:bottom w:val="nil"/>
              <w:right w:val="nil"/>
            </w:tcBorders>
          </w:tcPr>
          <w:p w:rsidR="00A46DCA" w:rsidRPr="00023820" w:rsidRDefault="00A46DCA" w:rsidP="00A26D04">
            <w:pPr>
              <w:keepLines w:val="0"/>
              <w:autoSpaceDE w:val="0"/>
              <w:autoSpaceDN w:val="0"/>
              <w:adjustRightInd w:val="0"/>
              <w:rPr>
                <w:rFonts w:eastAsiaTheme="minorEastAsia" w:cs="Calibri"/>
                <w:color w:val="000000"/>
                <w:szCs w:val="21"/>
                <w:lang w:eastAsia="en-AU"/>
              </w:rPr>
            </w:pPr>
            <w:r w:rsidRPr="00023820">
              <w:rPr>
                <w:rFonts w:eastAsiaTheme="minorEastAsia" w:cs="Calibri"/>
                <w:color w:val="000000"/>
                <w:szCs w:val="21"/>
                <w:lang w:eastAsia="en-AU"/>
              </w:rPr>
              <w:t>Balance at 1 July 2018</w:t>
            </w:r>
          </w:p>
        </w:tc>
        <w:tc>
          <w:tcPr>
            <w:tcW w:w="1417"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3 060</w:t>
            </w:r>
          </w:p>
        </w:tc>
        <w:tc>
          <w:tcPr>
            <w:tcW w:w="1531"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60 055</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4819" w:type="dxa"/>
            <w:tcBorders>
              <w:top w:val="nil"/>
              <w:left w:val="nil"/>
              <w:bottom w:val="nil"/>
              <w:right w:val="nil"/>
            </w:tcBorders>
          </w:tcPr>
          <w:p w:rsidR="00A46DCA" w:rsidRPr="00023820" w:rsidRDefault="00A46DCA" w:rsidP="00A26D04">
            <w:pPr>
              <w:keepLines w:val="0"/>
              <w:autoSpaceDE w:val="0"/>
              <w:autoSpaceDN w:val="0"/>
              <w:adjustRightInd w:val="0"/>
              <w:rPr>
                <w:rFonts w:eastAsiaTheme="minorEastAsia" w:cs="Calibri"/>
                <w:color w:val="000000"/>
                <w:szCs w:val="20"/>
                <w:lang w:eastAsia="en-AU"/>
              </w:rPr>
            </w:pPr>
            <w:r w:rsidRPr="00023820">
              <w:rPr>
                <w:rFonts w:eastAsiaTheme="minorEastAsia" w:cs="Calibri"/>
                <w:color w:val="000000"/>
                <w:szCs w:val="21"/>
                <w:lang w:eastAsia="en-AU"/>
              </w:rPr>
              <w:t xml:space="preserve">Net result for </w:t>
            </w:r>
            <w:r w:rsidRPr="00023820">
              <w:rPr>
                <w:rFonts w:eastAsiaTheme="minorEastAsia" w:cs="Calibri"/>
                <w:color w:val="000000"/>
                <w:szCs w:val="20"/>
                <w:lang w:eastAsia="en-AU"/>
              </w:rPr>
              <w:t>the year</w:t>
            </w:r>
          </w:p>
        </w:tc>
        <w:tc>
          <w:tcPr>
            <w:tcW w:w="1417"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(146)</w:t>
            </w:r>
          </w:p>
        </w:tc>
        <w:tc>
          <w:tcPr>
            <w:tcW w:w="1531"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4819" w:type="dxa"/>
            <w:tcBorders>
              <w:top w:val="nil"/>
              <w:left w:val="nil"/>
              <w:bottom w:val="nil"/>
              <w:right w:val="nil"/>
            </w:tcBorders>
          </w:tcPr>
          <w:p w:rsidR="00A46DCA" w:rsidRPr="00023820" w:rsidRDefault="00A46DCA" w:rsidP="00A26D04">
            <w:pPr>
              <w:keepLines w:val="0"/>
              <w:autoSpaceDE w:val="0"/>
              <w:autoSpaceDN w:val="0"/>
              <w:adjustRightInd w:val="0"/>
              <w:rPr>
                <w:rFonts w:eastAsiaTheme="minorEastAsia" w:cs="Calibri"/>
                <w:color w:val="000000"/>
                <w:szCs w:val="21"/>
                <w:lang w:eastAsia="en-AU"/>
              </w:rPr>
            </w:pPr>
            <w:r w:rsidRPr="00023820">
              <w:rPr>
                <w:rFonts w:eastAsiaTheme="minorEastAsia" w:cs="Calibri"/>
                <w:color w:val="000000"/>
                <w:szCs w:val="21"/>
                <w:lang w:eastAsia="en-AU"/>
              </w:rPr>
              <w:t>Other comprehensive income for the year</w:t>
            </w:r>
          </w:p>
        </w:tc>
        <w:tc>
          <w:tcPr>
            <w:tcW w:w="1417"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(42)</w:t>
            </w:r>
          </w:p>
        </w:tc>
        <w:tc>
          <w:tcPr>
            <w:tcW w:w="1531"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4819" w:type="dxa"/>
            <w:tcBorders>
              <w:top w:val="nil"/>
              <w:left w:val="nil"/>
              <w:bottom w:val="nil"/>
              <w:right w:val="nil"/>
            </w:tcBorders>
          </w:tcPr>
          <w:p w:rsidR="00A46DCA" w:rsidRPr="00023820" w:rsidRDefault="00A46DCA" w:rsidP="00A26D04">
            <w:pPr>
              <w:keepLines w:val="0"/>
              <w:autoSpaceDE w:val="0"/>
              <w:autoSpaceDN w:val="0"/>
              <w:adjustRightInd w:val="0"/>
              <w:rPr>
                <w:rFonts w:eastAsiaTheme="minorEastAsia" w:cs="Calibri"/>
                <w:color w:val="000000"/>
                <w:szCs w:val="21"/>
                <w:lang w:eastAsia="en-AU"/>
              </w:rPr>
            </w:pPr>
            <w:r w:rsidRPr="00023820">
              <w:rPr>
                <w:rFonts w:eastAsiaTheme="minorEastAsia" w:cs="Calibri"/>
                <w:color w:val="000000"/>
                <w:szCs w:val="21"/>
                <w:lang w:eastAsia="en-AU"/>
              </w:rPr>
              <w:t>Dividends paid</w:t>
            </w:r>
          </w:p>
        </w:tc>
        <w:tc>
          <w:tcPr>
            <w:tcW w:w="1417"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(225)</w:t>
            </w:r>
          </w:p>
        </w:tc>
        <w:tc>
          <w:tcPr>
            <w:tcW w:w="1531"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4819" w:type="dxa"/>
            <w:tcBorders>
              <w:top w:val="nil"/>
              <w:left w:val="nil"/>
              <w:bottom w:val="nil"/>
              <w:right w:val="nil"/>
            </w:tcBorders>
          </w:tcPr>
          <w:p w:rsidR="00A46DCA" w:rsidRPr="00023820" w:rsidRDefault="00A46DCA" w:rsidP="00A26D04">
            <w:pPr>
              <w:keepLines w:val="0"/>
              <w:autoSpaceDE w:val="0"/>
              <w:autoSpaceDN w:val="0"/>
              <w:adjustRightInd w:val="0"/>
              <w:rPr>
                <w:rFonts w:eastAsiaTheme="minorEastAsia" w:cs="Calibri"/>
                <w:color w:val="000000"/>
                <w:szCs w:val="21"/>
                <w:lang w:eastAsia="en-AU"/>
              </w:rPr>
            </w:pPr>
            <w:r w:rsidRPr="00023820">
              <w:rPr>
                <w:rFonts w:eastAsiaTheme="minorEastAsia" w:cs="Calibri"/>
                <w:color w:val="000000"/>
                <w:szCs w:val="21"/>
                <w:lang w:eastAsia="en-AU"/>
              </w:rPr>
              <w:t>Transfer to/(from) accumulated surplus</w:t>
            </w:r>
          </w:p>
        </w:tc>
        <w:tc>
          <w:tcPr>
            <w:tcW w:w="1417"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w:t>
            </w:r>
          </w:p>
        </w:tc>
        <w:tc>
          <w:tcPr>
            <w:tcW w:w="1531"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4819" w:type="dxa"/>
            <w:tcBorders>
              <w:top w:val="nil"/>
              <w:left w:val="nil"/>
              <w:bottom w:val="nil"/>
              <w:right w:val="nil"/>
            </w:tcBorders>
          </w:tcPr>
          <w:p w:rsidR="00A46DCA" w:rsidRPr="00023820" w:rsidRDefault="00A46DCA" w:rsidP="00A26D04">
            <w:pPr>
              <w:keepLines w:val="0"/>
              <w:autoSpaceDE w:val="0"/>
              <w:autoSpaceDN w:val="0"/>
              <w:adjustRightInd w:val="0"/>
              <w:rPr>
                <w:rFonts w:eastAsiaTheme="minorEastAsia" w:cs="Calibri"/>
                <w:color w:val="000000"/>
                <w:szCs w:val="21"/>
                <w:lang w:eastAsia="en-AU"/>
              </w:rPr>
            </w:pPr>
            <w:r w:rsidRPr="00023820">
              <w:rPr>
                <w:rFonts w:eastAsiaTheme="minorEastAsia" w:cs="Calibri"/>
                <w:color w:val="000000"/>
                <w:szCs w:val="21"/>
                <w:lang w:eastAsia="en-AU"/>
              </w:rPr>
              <w:t>Transactions with owners in their capacity as owners</w:t>
            </w:r>
          </w:p>
        </w:tc>
        <w:tc>
          <w:tcPr>
            <w:tcW w:w="1417"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w:t>
            </w:r>
          </w:p>
        </w:tc>
        <w:tc>
          <w:tcPr>
            <w:tcW w:w="1531"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4 928</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4819" w:type="dxa"/>
            <w:tcBorders>
              <w:top w:val="single" w:sz="6" w:space="0" w:color="000000"/>
              <w:left w:val="nil"/>
              <w:bottom w:val="single" w:sz="12" w:space="0" w:color="000000"/>
              <w:right w:val="nil"/>
            </w:tcBorders>
          </w:tcPr>
          <w:p w:rsidR="00A46DCA" w:rsidRPr="00023820" w:rsidRDefault="00A46DCA" w:rsidP="00A26D04">
            <w:pPr>
              <w:keepLines w:val="0"/>
              <w:autoSpaceDE w:val="0"/>
              <w:autoSpaceDN w:val="0"/>
              <w:adjustRightInd w:val="0"/>
              <w:rPr>
                <w:rFonts w:eastAsiaTheme="minorEastAsia" w:cs="Calibri"/>
                <w:b/>
                <w:bCs/>
                <w:color w:val="000000"/>
                <w:szCs w:val="21"/>
                <w:lang w:eastAsia="en-AU"/>
              </w:rPr>
            </w:pPr>
            <w:r w:rsidRPr="00023820">
              <w:rPr>
                <w:rFonts w:eastAsiaTheme="minorEastAsia" w:cs="Calibri"/>
                <w:b/>
                <w:bCs/>
                <w:color w:val="000000"/>
                <w:szCs w:val="21"/>
                <w:lang w:eastAsia="en-AU"/>
              </w:rPr>
              <w:t>Total equity as at 30 June 2019</w:t>
            </w:r>
          </w:p>
        </w:tc>
        <w:tc>
          <w:tcPr>
            <w:tcW w:w="1417" w:type="dxa"/>
            <w:tcBorders>
              <w:top w:val="single" w:sz="6" w:space="0" w:color="000000"/>
              <w:left w:val="nil"/>
              <w:bottom w:val="single" w:sz="12" w:space="0" w:color="000000"/>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1"/>
                <w:lang w:eastAsia="en-AU"/>
              </w:rPr>
            </w:pPr>
            <w:r>
              <w:rPr>
                <w:rFonts w:eastAsiaTheme="minorEastAsia" w:cs="Calibri"/>
                <w:b/>
                <w:bCs/>
                <w:color w:val="000000"/>
                <w:szCs w:val="21"/>
                <w:lang w:eastAsia="en-AU"/>
              </w:rPr>
              <w:t>2 647</w:t>
            </w:r>
          </w:p>
        </w:tc>
        <w:tc>
          <w:tcPr>
            <w:tcW w:w="1531" w:type="dxa"/>
            <w:tcBorders>
              <w:top w:val="single" w:sz="6" w:space="0" w:color="000000"/>
              <w:left w:val="nil"/>
              <w:bottom w:val="single" w:sz="12" w:space="0" w:color="000000"/>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1"/>
                <w:lang w:eastAsia="en-AU"/>
              </w:rPr>
            </w:pPr>
            <w:r>
              <w:rPr>
                <w:rFonts w:eastAsiaTheme="minorEastAsia" w:cs="Calibri"/>
                <w:b/>
                <w:bCs/>
                <w:color w:val="000000"/>
                <w:szCs w:val="21"/>
                <w:lang w:eastAsia="en-AU"/>
              </w:rPr>
              <w:t>64 984</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4819" w:type="dxa"/>
            <w:tcBorders>
              <w:top w:val="nil"/>
              <w:left w:val="nil"/>
              <w:bottom w:val="nil"/>
              <w:right w:val="nil"/>
            </w:tcBorders>
          </w:tcPr>
          <w:p w:rsidR="00A46DCA" w:rsidRPr="00023820" w:rsidRDefault="00A46DCA" w:rsidP="00A26D04">
            <w:pPr>
              <w:keepLines w:val="0"/>
              <w:autoSpaceDE w:val="0"/>
              <w:autoSpaceDN w:val="0"/>
              <w:adjustRightInd w:val="0"/>
              <w:rPr>
                <w:rFonts w:eastAsiaTheme="minorEastAsia" w:cs="Calibri"/>
                <w:b/>
                <w:bCs/>
                <w:color w:val="000000"/>
                <w:szCs w:val="20"/>
                <w:lang w:eastAsia="en-AU"/>
              </w:rPr>
            </w:pPr>
            <w:r w:rsidRPr="00023820">
              <w:rPr>
                <w:rFonts w:eastAsiaTheme="minorEastAsia" w:cs="Calibri"/>
                <w:b/>
                <w:bCs/>
                <w:color w:val="000000"/>
                <w:szCs w:val="20"/>
                <w:lang w:eastAsia="en-AU"/>
              </w:rPr>
              <w:t>2019-20 estimate</w:t>
            </w:r>
          </w:p>
        </w:tc>
        <w:tc>
          <w:tcPr>
            <w:tcW w:w="1417"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1"/>
                <w:lang w:eastAsia="en-AU"/>
              </w:rPr>
            </w:pPr>
            <w:r w:rsidRPr="00023820">
              <w:rPr>
                <w:rFonts w:eastAsiaTheme="minorEastAsia" w:cs="Calibri"/>
                <w:b/>
                <w:bCs/>
                <w:color w:val="000000"/>
                <w:szCs w:val="21"/>
                <w:lang w:eastAsia="en-AU"/>
              </w:rPr>
              <w:t xml:space="preserve"> </w:t>
            </w:r>
          </w:p>
        </w:tc>
        <w:tc>
          <w:tcPr>
            <w:tcW w:w="1531"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1"/>
                <w:lang w:eastAsia="en-AU"/>
              </w:rPr>
            </w:pPr>
            <w:r w:rsidRPr="00023820">
              <w:rPr>
                <w:rFonts w:eastAsiaTheme="minorEastAsia" w:cs="Calibri"/>
                <w:b/>
                <w:bCs/>
                <w:color w:val="000000"/>
                <w:szCs w:val="21"/>
                <w:lang w:eastAsia="en-AU"/>
              </w:rPr>
              <w:t xml:space="preserve"> </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4819" w:type="dxa"/>
            <w:tcBorders>
              <w:top w:val="nil"/>
              <w:left w:val="nil"/>
              <w:bottom w:val="nil"/>
              <w:right w:val="nil"/>
            </w:tcBorders>
          </w:tcPr>
          <w:p w:rsidR="00A46DCA" w:rsidRPr="00023820" w:rsidRDefault="00A46DCA" w:rsidP="00A26D04">
            <w:pPr>
              <w:keepLines w:val="0"/>
              <w:autoSpaceDE w:val="0"/>
              <w:autoSpaceDN w:val="0"/>
              <w:adjustRightInd w:val="0"/>
              <w:rPr>
                <w:rFonts w:eastAsiaTheme="minorEastAsia" w:cs="Calibri"/>
                <w:color w:val="000000"/>
                <w:szCs w:val="21"/>
                <w:lang w:eastAsia="en-AU"/>
              </w:rPr>
            </w:pPr>
            <w:r w:rsidRPr="00023820">
              <w:rPr>
                <w:rFonts w:eastAsiaTheme="minorEastAsia" w:cs="Calibri"/>
                <w:color w:val="000000"/>
                <w:szCs w:val="21"/>
                <w:lang w:eastAsia="en-AU"/>
              </w:rPr>
              <w:t>Balance at 1 July 2019</w:t>
            </w:r>
          </w:p>
        </w:tc>
        <w:tc>
          <w:tcPr>
            <w:tcW w:w="1417"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2 647</w:t>
            </w:r>
          </w:p>
        </w:tc>
        <w:tc>
          <w:tcPr>
            <w:tcW w:w="1531"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64 984</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4819" w:type="dxa"/>
            <w:tcBorders>
              <w:top w:val="nil"/>
              <w:left w:val="nil"/>
              <w:bottom w:val="nil"/>
              <w:right w:val="nil"/>
            </w:tcBorders>
          </w:tcPr>
          <w:p w:rsidR="00A46DCA" w:rsidRPr="00023820" w:rsidRDefault="00A46DCA" w:rsidP="00A26D04">
            <w:pPr>
              <w:keepLines w:val="0"/>
              <w:autoSpaceDE w:val="0"/>
              <w:autoSpaceDN w:val="0"/>
              <w:adjustRightInd w:val="0"/>
              <w:rPr>
                <w:rFonts w:eastAsiaTheme="minorEastAsia" w:cs="Calibri"/>
                <w:color w:val="000000"/>
                <w:szCs w:val="20"/>
                <w:lang w:eastAsia="en-AU"/>
              </w:rPr>
            </w:pPr>
            <w:r w:rsidRPr="00023820">
              <w:rPr>
                <w:rFonts w:eastAsiaTheme="minorEastAsia" w:cs="Calibri"/>
                <w:color w:val="000000"/>
                <w:szCs w:val="21"/>
                <w:lang w:eastAsia="en-AU"/>
              </w:rPr>
              <w:t xml:space="preserve">Net result for </w:t>
            </w:r>
            <w:r w:rsidRPr="00023820">
              <w:rPr>
                <w:rFonts w:eastAsiaTheme="minorEastAsia" w:cs="Calibri"/>
                <w:color w:val="000000"/>
                <w:szCs w:val="20"/>
                <w:lang w:eastAsia="en-AU"/>
              </w:rPr>
              <w:t>the year</w:t>
            </w:r>
          </w:p>
        </w:tc>
        <w:tc>
          <w:tcPr>
            <w:tcW w:w="1417"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(75)</w:t>
            </w:r>
          </w:p>
        </w:tc>
        <w:tc>
          <w:tcPr>
            <w:tcW w:w="1531"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4819" w:type="dxa"/>
            <w:tcBorders>
              <w:top w:val="nil"/>
              <w:left w:val="nil"/>
              <w:bottom w:val="nil"/>
              <w:right w:val="nil"/>
            </w:tcBorders>
          </w:tcPr>
          <w:p w:rsidR="00A46DCA" w:rsidRPr="00023820" w:rsidRDefault="00A46DCA" w:rsidP="00A26D04">
            <w:pPr>
              <w:keepLines w:val="0"/>
              <w:autoSpaceDE w:val="0"/>
              <w:autoSpaceDN w:val="0"/>
              <w:adjustRightInd w:val="0"/>
              <w:rPr>
                <w:rFonts w:eastAsiaTheme="minorEastAsia" w:cs="Calibri"/>
                <w:color w:val="000000"/>
                <w:szCs w:val="21"/>
                <w:lang w:eastAsia="en-AU"/>
              </w:rPr>
            </w:pPr>
            <w:r w:rsidRPr="00023820">
              <w:rPr>
                <w:rFonts w:eastAsiaTheme="minorEastAsia" w:cs="Calibri"/>
                <w:color w:val="000000"/>
                <w:szCs w:val="21"/>
                <w:lang w:eastAsia="en-AU"/>
              </w:rPr>
              <w:t>Other comprehensive income for the year</w:t>
            </w:r>
          </w:p>
        </w:tc>
        <w:tc>
          <w:tcPr>
            <w:tcW w:w="1417"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(46)</w:t>
            </w:r>
          </w:p>
        </w:tc>
        <w:tc>
          <w:tcPr>
            <w:tcW w:w="1531"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4819" w:type="dxa"/>
            <w:tcBorders>
              <w:top w:val="nil"/>
              <w:left w:val="nil"/>
              <w:bottom w:val="nil"/>
              <w:right w:val="nil"/>
            </w:tcBorders>
          </w:tcPr>
          <w:p w:rsidR="00A46DCA" w:rsidRPr="00023820" w:rsidRDefault="00A46DCA" w:rsidP="00A26D04">
            <w:pPr>
              <w:keepLines w:val="0"/>
              <w:autoSpaceDE w:val="0"/>
              <w:autoSpaceDN w:val="0"/>
              <w:adjustRightInd w:val="0"/>
              <w:rPr>
                <w:rFonts w:eastAsiaTheme="minorEastAsia" w:cs="Calibri"/>
                <w:color w:val="000000"/>
                <w:szCs w:val="21"/>
                <w:lang w:eastAsia="en-AU"/>
              </w:rPr>
            </w:pPr>
            <w:r w:rsidRPr="00023820">
              <w:rPr>
                <w:rFonts w:eastAsiaTheme="minorEastAsia" w:cs="Calibri"/>
                <w:color w:val="000000"/>
                <w:szCs w:val="21"/>
                <w:lang w:eastAsia="en-AU"/>
              </w:rPr>
              <w:t>Dividends paid</w:t>
            </w:r>
          </w:p>
        </w:tc>
        <w:tc>
          <w:tcPr>
            <w:tcW w:w="1417"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(142)</w:t>
            </w:r>
          </w:p>
        </w:tc>
        <w:tc>
          <w:tcPr>
            <w:tcW w:w="1531"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4819" w:type="dxa"/>
            <w:tcBorders>
              <w:top w:val="nil"/>
              <w:left w:val="nil"/>
              <w:bottom w:val="nil"/>
              <w:right w:val="nil"/>
            </w:tcBorders>
          </w:tcPr>
          <w:p w:rsidR="00A46DCA" w:rsidRPr="00023820" w:rsidRDefault="00A46DCA" w:rsidP="00A26D04">
            <w:pPr>
              <w:keepLines w:val="0"/>
              <w:autoSpaceDE w:val="0"/>
              <w:autoSpaceDN w:val="0"/>
              <w:adjustRightInd w:val="0"/>
              <w:rPr>
                <w:rFonts w:eastAsiaTheme="minorEastAsia" w:cs="Calibri"/>
                <w:color w:val="000000"/>
                <w:szCs w:val="21"/>
                <w:lang w:eastAsia="en-AU"/>
              </w:rPr>
            </w:pPr>
            <w:r w:rsidRPr="00023820">
              <w:rPr>
                <w:rFonts w:eastAsiaTheme="minorEastAsia" w:cs="Calibri"/>
                <w:color w:val="000000"/>
                <w:szCs w:val="21"/>
                <w:lang w:eastAsia="en-AU"/>
              </w:rPr>
              <w:t>Transfer to/(from) accumulated surplus</w:t>
            </w:r>
          </w:p>
        </w:tc>
        <w:tc>
          <w:tcPr>
            <w:tcW w:w="1417"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w:t>
            </w:r>
          </w:p>
        </w:tc>
        <w:tc>
          <w:tcPr>
            <w:tcW w:w="1531"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4819" w:type="dxa"/>
            <w:tcBorders>
              <w:top w:val="nil"/>
              <w:left w:val="nil"/>
              <w:bottom w:val="nil"/>
              <w:right w:val="nil"/>
            </w:tcBorders>
          </w:tcPr>
          <w:p w:rsidR="00A46DCA" w:rsidRPr="00023820" w:rsidRDefault="00A46DCA" w:rsidP="00A26D04">
            <w:pPr>
              <w:keepLines w:val="0"/>
              <w:autoSpaceDE w:val="0"/>
              <w:autoSpaceDN w:val="0"/>
              <w:adjustRightInd w:val="0"/>
              <w:rPr>
                <w:rFonts w:eastAsiaTheme="minorEastAsia" w:cs="Calibri"/>
                <w:color w:val="000000"/>
                <w:szCs w:val="21"/>
                <w:lang w:eastAsia="en-AU"/>
              </w:rPr>
            </w:pPr>
            <w:r w:rsidRPr="00023820">
              <w:rPr>
                <w:rFonts w:eastAsiaTheme="minorEastAsia" w:cs="Calibri"/>
                <w:color w:val="000000"/>
                <w:szCs w:val="21"/>
                <w:lang w:eastAsia="en-AU"/>
              </w:rPr>
              <w:t>Transactions with owners in their capacity as owners</w:t>
            </w:r>
          </w:p>
        </w:tc>
        <w:tc>
          <w:tcPr>
            <w:tcW w:w="1417"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w:t>
            </w:r>
          </w:p>
        </w:tc>
        <w:tc>
          <w:tcPr>
            <w:tcW w:w="1531"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3 572</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4819" w:type="dxa"/>
            <w:tcBorders>
              <w:top w:val="single" w:sz="6" w:space="0" w:color="000000"/>
              <w:left w:val="nil"/>
              <w:bottom w:val="single" w:sz="12" w:space="0" w:color="000000"/>
              <w:right w:val="nil"/>
            </w:tcBorders>
          </w:tcPr>
          <w:p w:rsidR="00A46DCA" w:rsidRPr="00023820" w:rsidRDefault="00A46DCA" w:rsidP="00A26D04">
            <w:pPr>
              <w:keepLines w:val="0"/>
              <w:autoSpaceDE w:val="0"/>
              <w:autoSpaceDN w:val="0"/>
              <w:adjustRightInd w:val="0"/>
              <w:rPr>
                <w:rFonts w:eastAsiaTheme="minorEastAsia" w:cs="Calibri"/>
                <w:b/>
                <w:bCs/>
                <w:color w:val="000000"/>
                <w:szCs w:val="21"/>
                <w:lang w:eastAsia="en-AU"/>
              </w:rPr>
            </w:pPr>
            <w:r w:rsidRPr="00023820">
              <w:rPr>
                <w:rFonts w:eastAsiaTheme="minorEastAsia" w:cs="Calibri"/>
                <w:b/>
                <w:bCs/>
                <w:color w:val="000000"/>
                <w:szCs w:val="21"/>
                <w:lang w:eastAsia="en-AU"/>
              </w:rPr>
              <w:t>Total equity as at 30 June 2020</w:t>
            </w:r>
          </w:p>
        </w:tc>
        <w:tc>
          <w:tcPr>
            <w:tcW w:w="1417" w:type="dxa"/>
            <w:tcBorders>
              <w:top w:val="single" w:sz="6" w:space="0" w:color="000000"/>
              <w:left w:val="nil"/>
              <w:bottom w:val="single" w:sz="12" w:space="0" w:color="000000"/>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1"/>
                <w:lang w:eastAsia="en-AU"/>
              </w:rPr>
            </w:pPr>
            <w:r>
              <w:rPr>
                <w:rFonts w:eastAsiaTheme="minorEastAsia" w:cs="Calibri"/>
                <w:b/>
                <w:bCs/>
                <w:color w:val="000000"/>
                <w:szCs w:val="21"/>
                <w:lang w:eastAsia="en-AU"/>
              </w:rPr>
              <w:t>2 385</w:t>
            </w:r>
          </w:p>
        </w:tc>
        <w:tc>
          <w:tcPr>
            <w:tcW w:w="1531" w:type="dxa"/>
            <w:tcBorders>
              <w:top w:val="single" w:sz="6" w:space="0" w:color="000000"/>
              <w:left w:val="nil"/>
              <w:bottom w:val="single" w:sz="12" w:space="0" w:color="000000"/>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1"/>
                <w:lang w:eastAsia="en-AU"/>
              </w:rPr>
            </w:pPr>
            <w:r>
              <w:rPr>
                <w:rFonts w:eastAsiaTheme="minorEastAsia" w:cs="Calibri"/>
                <w:b/>
                <w:bCs/>
                <w:color w:val="000000"/>
                <w:szCs w:val="21"/>
                <w:lang w:eastAsia="en-AU"/>
              </w:rPr>
              <w:t>68 556</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4819" w:type="dxa"/>
            <w:tcBorders>
              <w:top w:val="nil"/>
              <w:left w:val="nil"/>
              <w:bottom w:val="nil"/>
              <w:right w:val="nil"/>
            </w:tcBorders>
          </w:tcPr>
          <w:p w:rsidR="00A46DCA" w:rsidRPr="00023820" w:rsidRDefault="00A46DCA" w:rsidP="00A26D04">
            <w:pPr>
              <w:keepLines w:val="0"/>
              <w:autoSpaceDE w:val="0"/>
              <w:autoSpaceDN w:val="0"/>
              <w:adjustRightInd w:val="0"/>
              <w:rPr>
                <w:rFonts w:eastAsiaTheme="minorEastAsia" w:cs="Calibri"/>
                <w:b/>
                <w:bCs/>
                <w:color w:val="000000"/>
                <w:szCs w:val="20"/>
                <w:lang w:eastAsia="en-AU"/>
              </w:rPr>
            </w:pPr>
            <w:r w:rsidRPr="00023820">
              <w:rPr>
                <w:rFonts w:eastAsiaTheme="minorEastAsia" w:cs="Calibri"/>
                <w:b/>
                <w:bCs/>
                <w:color w:val="000000"/>
                <w:szCs w:val="20"/>
                <w:lang w:eastAsia="en-AU"/>
              </w:rPr>
              <w:t>2020-21 estimate</w:t>
            </w:r>
          </w:p>
        </w:tc>
        <w:tc>
          <w:tcPr>
            <w:tcW w:w="1417"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1"/>
                <w:lang w:eastAsia="en-AU"/>
              </w:rPr>
            </w:pPr>
            <w:r w:rsidRPr="00023820">
              <w:rPr>
                <w:rFonts w:eastAsiaTheme="minorEastAsia" w:cs="Calibri"/>
                <w:b/>
                <w:bCs/>
                <w:color w:val="000000"/>
                <w:szCs w:val="21"/>
                <w:lang w:eastAsia="en-AU"/>
              </w:rPr>
              <w:t xml:space="preserve"> </w:t>
            </w:r>
          </w:p>
        </w:tc>
        <w:tc>
          <w:tcPr>
            <w:tcW w:w="1531"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1"/>
                <w:lang w:eastAsia="en-AU"/>
              </w:rPr>
            </w:pPr>
            <w:r w:rsidRPr="00023820">
              <w:rPr>
                <w:rFonts w:eastAsiaTheme="minorEastAsia" w:cs="Calibri"/>
                <w:b/>
                <w:bCs/>
                <w:color w:val="000000"/>
                <w:szCs w:val="21"/>
                <w:lang w:eastAsia="en-AU"/>
              </w:rPr>
              <w:t xml:space="preserve"> </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4819" w:type="dxa"/>
            <w:tcBorders>
              <w:top w:val="nil"/>
              <w:left w:val="nil"/>
              <w:bottom w:val="nil"/>
              <w:right w:val="nil"/>
            </w:tcBorders>
          </w:tcPr>
          <w:p w:rsidR="00A46DCA" w:rsidRPr="00023820" w:rsidRDefault="00A46DCA" w:rsidP="00A26D04">
            <w:pPr>
              <w:keepLines w:val="0"/>
              <w:autoSpaceDE w:val="0"/>
              <w:autoSpaceDN w:val="0"/>
              <w:adjustRightInd w:val="0"/>
              <w:rPr>
                <w:rFonts w:eastAsiaTheme="minorEastAsia" w:cs="Calibri"/>
                <w:color w:val="000000"/>
                <w:szCs w:val="21"/>
                <w:lang w:eastAsia="en-AU"/>
              </w:rPr>
            </w:pPr>
            <w:r w:rsidRPr="00023820">
              <w:rPr>
                <w:rFonts w:eastAsiaTheme="minorEastAsia" w:cs="Calibri"/>
                <w:color w:val="000000"/>
                <w:szCs w:val="21"/>
                <w:lang w:eastAsia="en-AU"/>
              </w:rPr>
              <w:t>Balance at 1 July 2020</w:t>
            </w:r>
          </w:p>
        </w:tc>
        <w:tc>
          <w:tcPr>
            <w:tcW w:w="1417"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2 385</w:t>
            </w:r>
          </w:p>
        </w:tc>
        <w:tc>
          <w:tcPr>
            <w:tcW w:w="1531"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68 556</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4819" w:type="dxa"/>
            <w:tcBorders>
              <w:top w:val="nil"/>
              <w:left w:val="nil"/>
              <w:bottom w:val="nil"/>
              <w:right w:val="nil"/>
            </w:tcBorders>
          </w:tcPr>
          <w:p w:rsidR="00A46DCA" w:rsidRPr="00023820" w:rsidRDefault="00A46DCA" w:rsidP="00A26D04">
            <w:pPr>
              <w:keepLines w:val="0"/>
              <w:autoSpaceDE w:val="0"/>
              <w:autoSpaceDN w:val="0"/>
              <w:adjustRightInd w:val="0"/>
              <w:rPr>
                <w:rFonts w:eastAsiaTheme="minorEastAsia" w:cs="Calibri"/>
                <w:color w:val="000000"/>
                <w:szCs w:val="20"/>
                <w:lang w:eastAsia="en-AU"/>
              </w:rPr>
            </w:pPr>
            <w:r w:rsidRPr="00023820">
              <w:rPr>
                <w:rFonts w:eastAsiaTheme="minorEastAsia" w:cs="Calibri"/>
                <w:color w:val="000000"/>
                <w:szCs w:val="21"/>
                <w:lang w:eastAsia="en-AU"/>
              </w:rPr>
              <w:t xml:space="preserve">Net result for </w:t>
            </w:r>
            <w:r w:rsidRPr="00023820">
              <w:rPr>
                <w:rFonts w:eastAsiaTheme="minorEastAsia" w:cs="Calibri"/>
                <w:color w:val="000000"/>
                <w:szCs w:val="20"/>
                <w:lang w:eastAsia="en-AU"/>
              </w:rPr>
              <w:t>the year</w:t>
            </w:r>
          </w:p>
        </w:tc>
        <w:tc>
          <w:tcPr>
            <w:tcW w:w="1417"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(489)</w:t>
            </w:r>
          </w:p>
        </w:tc>
        <w:tc>
          <w:tcPr>
            <w:tcW w:w="1531"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4819" w:type="dxa"/>
            <w:tcBorders>
              <w:top w:val="nil"/>
              <w:left w:val="nil"/>
              <w:bottom w:val="nil"/>
              <w:right w:val="nil"/>
            </w:tcBorders>
          </w:tcPr>
          <w:p w:rsidR="00A46DCA" w:rsidRPr="00023820" w:rsidRDefault="00A46DCA" w:rsidP="00A26D04">
            <w:pPr>
              <w:keepLines w:val="0"/>
              <w:autoSpaceDE w:val="0"/>
              <w:autoSpaceDN w:val="0"/>
              <w:adjustRightInd w:val="0"/>
              <w:rPr>
                <w:rFonts w:eastAsiaTheme="minorEastAsia" w:cs="Calibri"/>
                <w:color w:val="000000"/>
                <w:szCs w:val="21"/>
                <w:lang w:eastAsia="en-AU"/>
              </w:rPr>
            </w:pPr>
            <w:r w:rsidRPr="00023820">
              <w:rPr>
                <w:rFonts w:eastAsiaTheme="minorEastAsia" w:cs="Calibri"/>
                <w:color w:val="000000"/>
                <w:szCs w:val="21"/>
                <w:lang w:eastAsia="en-AU"/>
              </w:rPr>
              <w:t>Other comprehensive income for the year</w:t>
            </w:r>
          </w:p>
        </w:tc>
        <w:tc>
          <w:tcPr>
            <w:tcW w:w="1417"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(42)</w:t>
            </w:r>
          </w:p>
        </w:tc>
        <w:tc>
          <w:tcPr>
            <w:tcW w:w="1531"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4819" w:type="dxa"/>
            <w:tcBorders>
              <w:top w:val="nil"/>
              <w:left w:val="nil"/>
              <w:bottom w:val="nil"/>
              <w:right w:val="nil"/>
            </w:tcBorders>
          </w:tcPr>
          <w:p w:rsidR="00A46DCA" w:rsidRPr="00023820" w:rsidRDefault="00A46DCA" w:rsidP="00A26D04">
            <w:pPr>
              <w:keepLines w:val="0"/>
              <w:autoSpaceDE w:val="0"/>
              <w:autoSpaceDN w:val="0"/>
              <w:adjustRightInd w:val="0"/>
              <w:rPr>
                <w:rFonts w:eastAsiaTheme="minorEastAsia" w:cs="Calibri"/>
                <w:color w:val="000000"/>
                <w:szCs w:val="21"/>
                <w:lang w:eastAsia="en-AU"/>
              </w:rPr>
            </w:pPr>
            <w:r w:rsidRPr="00023820">
              <w:rPr>
                <w:rFonts w:eastAsiaTheme="minorEastAsia" w:cs="Calibri"/>
                <w:color w:val="000000"/>
                <w:szCs w:val="21"/>
                <w:lang w:eastAsia="en-AU"/>
              </w:rPr>
              <w:t>Dividends paid</w:t>
            </w:r>
          </w:p>
        </w:tc>
        <w:tc>
          <w:tcPr>
            <w:tcW w:w="1417"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(195)</w:t>
            </w:r>
          </w:p>
        </w:tc>
        <w:tc>
          <w:tcPr>
            <w:tcW w:w="1531"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4819" w:type="dxa"/>
            <w:tcBorders>
              <w:top w:val="nil"/>
              <w:left w:val="nil"/>
              <w:bottom w:val="nil"/>
              <w:right w:val="nil"/>
            </w:tcBorders>
          </w:tcPr>
          <w:p w:rsidR="00A46DCA" w:rsidRPr="00023820" w:rsidRDefault="00A46DCA" w:rsidP="00A26D04">
            <w:pPr>
              <w:keepLines w:val="0"/>
              <w:autoSpaceDE w:val="0"/>
              <w:autoSpaceDN w:val="0"/>
              <w:adjustRightInd w:val="0"/>
              <w:rPr>
                <w:rFonts w:eastAsiaTheme="minorEastAsia" w:cs="Calibri"/>
                <w:color w:val="000000"/>
                <w:szCs w:val="21"/>
                <w:lang w:eastAsia="en-AU"/>
              </w:rPr>
            </w:pPr>
            <w:r w:rsidRPr="00023820">
              <w:rPr>
                <w:rFonts w:eastAsiaTheme="minorEastAsia" w:cs="Calibri"/>
                <w:color w:val="000000"/>
                <w:szCs w:val="21"/>
                <w:lang w:eastAsia="en-AU"/>
              </w:rPr>
              <w:t>Transfer to/(from) accumulated surplus</w:t>
            </w:r>
          </w:p>
        </w:tc>
        <w:tc>
          <w:tcPr>
            <w:tcW w:w="1417"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w:t>
            </w:r>
          </w:p>
        </w:tc>
        <w:tc>
          <w:tcPr>
            <w:tcW w:w="1531"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4819" w:type="dxa"/>
            <w:tcBorders>
              <w:top w:val="nil"/>
              <w:left w:val="nil"/>
              <w:bottom w:val="nil"/>
              <w:right w:val="nil"/>
            </w:tcBorders>
          </w:tcPr>
          <w:p w:rsidR="00A46DCA" w:rsidRPr="00023820" w:rsidRDefault="00A46DCA" w:rsidP="00A26D04">
            <w:pPr>
              <w:keepLines w:val="0"/>
              <w:autoSpaceDE w:val="0"/>
              <w:autoSpaceDN w:val="0"/>
              <w:adjustRightInd w:val="0"/>
              <w:rPr>
                <w:rFonts w:eastAsiaTheme="minorEastAsia" w:cs="Calibri"/>
                <w:color w:val="000000"/>
                <w:szCs w:val="21"/>
                <w:lang w:eastAsia="en-AU"/>
              </w:rPr>
            </w:pPr>
            <w:r w:rsidRPr="00023820">
              <w:rPr>
                <w:rFonts w:eastAsiaTheme="minorEastAsia" w:cs="Calibri"/>
                <w:color w:val="000000"/>
                <w:szCs w:val="21"/>
                <w:lang w:eastAsia="en-AU"/>
              </w:rPr>
              <w:t>Transactions with owners in their capacity as owners</w:t>
            </w:r>
          </w:p>
        </w:tc>
        <w:tc>
          <w:tcPr>
            <w:tcW w:w="1417"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w:t>
            </w:r>
          </w:p>
        </w:tc>
        <w:tc>
          <w:tcPr>
            <w:tcW w:w="1531"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3 829</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4819" w:type="dxa"/>
            <w:tcBorders>
              <w:top w:val="single" w:sz="6" w:space="0" w:color="000000"/>
              <w:left w:val="nil"/>
              <w:bottom w:val="single" w:sz="12" w:space="0" w:color="000000"/>
              <w:right w:val="nil"/>
            </w:tcBorders>
          </w:tcPr>
          <w:p w:rsidR="00A46DCA" w:rsidRPr="00023820" w:rsidRDefault="00A46DCA" w:rsidP="00A26D04">
            <w:pPr>
              <w:keepLines w:val="0"/>
              <w:autoSpaceDE w:val="0"/>
              <w:autoSpaceDN w:val="0"/>
              <w:adjustRightInd w:val="0"/>
              <w:rPr>
                <w:rFonts w:eastAsiaTheme="minorEastAsia" w:cs="Calibri"/>
                <w:b/>
                <w:bCs/>
                <w:color w:val="000000"/>
                <w:szCs w:val="21"/>
                <w:lang w:eastAsia="en-AU"/>
              </w:rPr>
            </w:pPr>
            <w:r w:rsidRPr="00023820">
              <w:rPr>
                <w:rFonts w:eastAsiaTheme="minorEastAsia" w:cs="Calibri"/>
                <w:b/>
                <w:bCs/>
                <w:color w:val="000000"/>
                <w:szCs w:val="21"/>
                <w:lang w:eastAsia="en-AU"/>
              </w:rPr>
              <w:t>Total equity as at 30 June 2021</w:t>
            </w:r>
          </w:p>
        </w:tc>
        <w:tc>
          <w:tcPr>
            <w:tcW w:w="1417" w:type="dxa"/>
            <w:tcBorders>
              <w:top w:val="single" w:sz="6" w:space="0" w:color="000000"/>
              <w:left w:val="nil"/>
              <w:bottom w:val="single" w:sz="12" w:space="0" w:color="000000"/>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1"/>
                <w:lang w:eastAsia="en-AU"/>
              </w:rPr>
            </w:pPr>
            <w:r w:rsidRPr="00F61AF3">
              <w:rPr>
                <w:rFonts w:eastAsiaTheme="minorEastAsia" w:cs="Calibri"/>
                <w:b/>
                <w:bCs/>
                <w:color w:val="000000"/>
                <w:szCs w:val="21"/>
                <w:lang w:eastAsia="en-AU"/>
              </w:rPr>
              <w:t>1 659</w:t>
            </w:r>
          </w:p>
        </w:tc>
        <w:tc>
          <w:tcPr>
            <w:tcW w:w="1531" w:type="dxa"/>
            <w:tcBorders>
              <w:top w:val="single" w:sz="6" w:space="0" w:color="000000"/>
              <w:left w:val="nil"/>
              <w:bottom w:val="single" w:sz="12" w:space="0" w:color="000000"/>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1"/>
                <w:lang w:eastAsia="en-AU"/>
              </w:rPr>
            </w:pPr>
            <w:r w:rsidRPr="00F61AF3">
              <w:rPr>
                <w:rFonts w:eastAsiaTheme="minorEastAsia" w:cs="Calibri"/>
                <w:b/>
                <w:bCs/>
                <w:color w:val="000000"/>
                <w:szCs w:val="21"/>
                <w:lang w:eastAsia="en-AU"/>
              </w:rPr>
              <w:t>72 385</w:t>
            </w:r>
          </w:p>
        </w:tc>
      </w:tr>
    </w:tbl>
    <w:p w:rsidR="00A46DCA" w:rsidRDefault="00A46DCA" w:rsidP="00A26D04">
      <w:pPr>
        <w:pStyle w:val="Source"/>
      </w:pPr>
      <w:r w:rsidRPr="00D87D22">
        <w:t>Source: Dep</w:t>
      </w:r>
      <w:r>
        <w:t>artment of Treasury and Finance</w:t>
      </w:r>
      <w:r w:rsidRPr="00352C54">
        <w:t xml:space="preserve"> </w:t>
      </w:r>
    </w:p>
    <w:p w:rsidR="00A46DCA" w:rsidRPr="005F55F3" w:rsidRDefault="00A46DCA" w:rsidP="00A26D04">
      <w:pPr>
        <w:pStyle w:val="Note"/>
      </w:pPr>
      <w:r>
        <w:t>Note</w:t>
      </w:r>
      <w:r w:rsidRPr="003D45AE">
        <w:t>:</w:t>
      </w:r>
    </w:p>
    <w:p w:rsidR="00A46DCA" w:rsidRDefault="00A46DCA" w:rsidP="00A26D04">
      <w:pPr>
        <w:pStyle w:val="Note"/>
      </w:pPr>
      <w:r w:rsidRPr="003D45AE">
        <w:rPr>
          <w:rFonts w:cs="Times New Roman"/>
          <w:sz w:val="15"/>
          <w:lang w:eastAsia="en-AU"/>
        </w:rPr>
        <w:t>(a)</w:t>
      </w:r>
      <w:r w:rsidRPr="003D45AE">
        <w:rPr>
          <w:rFonts w:cs="Times New Roman"/>
          <w:sz w:val="15"/>
          <w:lang w:eastAsia="en-AU"/>
        </w:rPr>
        <w:tab/>
      </w:r>
      <w:r w:rsidRPr="005E40B2">
        <w:t>Balances represent actual opening balances at 1 July 2017 plus 2017-18 budgeted movements.</w:t>
      </w:r>
    </w:p>
    <w:p w:rsidR="00A46DCA" w:rsidRPr="00023820" w:rsidRDefault="00A46DCA" w:rsidP="00A26D04">
      <w:pPr>
        <w:pStyle w:val="TableHeading"/>
        <w:rPr>
          <w:bCs/>
          <w:lang w:val="en-US"/>
        </w:rPr>
      </w:pPr>
      <w:r w:rsidRPr="00F35A35">
        <w:lastRenderedPageBreak/>
        <w:br/>
      </w:r>
    </w:p>
    <w:tbl>
      <w:tblPr>
        <w:tblStyle w:val="DTFTable"/>
        <w:tblW w:w="7773" w:type="dxa"/>
        <w:tblInd w:w="45" w:type="dxa"/>
        <w:tblLayout w:type="fixed"/>
        <w:tblCellMar>
          <w:left w:w="45" w:type="dxa"/>
          <w:right w:w="45" w:type="dxa"/>
        </w:tblCellMar>
        <w:tblLook w:val="06A0" w:firstRow="1" w:lastRow="0" w:firstColumn="1" w:lastColumn="0" w:noHBand="1" w:noVBand="1"/>
      </w:tblPr>
      <w:tblGrid>
        <w:gridCol w:w="2591"/>
        <w:gridCol w:w="2591"/>
        <w:gridCol w:w="2591"/>
      </w:tblGrid>
      <w:tr w:rsidR="00A46DCA" w:rsidRPr="00023820" w:rsidTr="00A26D0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591" w:type="dxa"/>
            <w:tcBorders>
              <w:top w:val="nil"/>
              <w:left w:val="nil"/>
              <w:bottom w:val="nil"/>
              <w:right w:val="nil"/>
            </w:tcBorders>
            <w:shd w:val="solid" w:color="000000" w:fill="auto"/>
          </w:tcPr>
          <w:p w:rsidR="00A46DCA" w:rsidRPr="00023820" w:rsidRDefault="00A46DCA" w:rsidP="00A26D04">
            <w:pPr>
              <w:autoSpaceDE w:val="0"/>
              <w:autoSpaceDN w:val="0"/>
              <w:adjustRightInd w:val="0"/>
              <w:jc w:val="right"/>
              <w:rPr>
                <w:rFonts w:eastAsiaTheme="minorEastAsia" w:cs="Calibri"/>
                <w:iCs/>
                <w:color w:val="FFFFFF"/>
                <w:szCs w:val="21"/>
                <w:lang w:eastAsia="en-AU"/>
              </w:rPr>
            </w:pPr>
            <w:r w:rsidRPr="00023820">
              <w:rPr>
                <w:rFonts w:eastAsiaTheme="minorEastAsia" w:cs="Calibri"/>
                <w:iCs/>
                <w:color w:val="FFFFFF"/>
                <w:szCs w:val="21"/>
                <w:lang w:eastAsia="en-AU"/>
              </w:rPr>
              <w:t xml:space="preserve">Non-financial assets </w:t>
            </w:r>
            <w:r>
              <w:rPr>
                <w:rFonts w:eastAsiaTheme="minorEastAsia" w:cs="Calibri"/>
                <w:iCs/>
                <w:color w:val="FFFFFF"/>
                <w:szCs w:val="21"/>
                <w:lang w:eastAsia="en-AU"/>
              </w:rPr>
              <w:br/>
            </w:r>
            <w:r w:rsidRPr="00023820">
              <w:rPr>
                <w:rFonts w:eastAsiaTheme="minorEastAsia" w:cs="Calibri"/>
                <w:iCs/>
                <w:color w:val="FFFFFF"/>
                <w:szCs w:val="21"/>
                <w:lang w:eastAsia="en-AU"/>
              </w:rPr>
              <w:t>revaluation surplus</w:t>
            </w:r>
          </w:p>
        </w:tc>
        <w:tc>
          <w:tcPr>
            <w:tcW w:w="2591" w:type="dxa"/>
            <w:tcBorders>
              <w:top w:val="nil"/>
              <w:left w:val="nil"/>
              <w:bottom w:val="nil"/>
              <w:right w:val="nil"/>
            </w:tcBorders>
            <w:shd w:val="solid" w:color="000000" w:fill="auto"/>
          </w:tcPr>
          <w:p w:rsidR="00A46DCA" w:rsidRPr="00023820" w:rsidRDefault="00A46DCA" w:rsidP="00A26D0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21"/>
                <w:lang w:eastAsia="en-AU"/>
              </w:rPr>
            </w:pPr>
            <w:r w:rsidRPr="00023820">
              <w:rPr>
                <w:rFonts w:eastAsiaTheme="minorEastAsia" w:cs="Calibri"/>
                <w:iCs/>
                <w:color w:val="FFFFFF"/>
                <w:szCs w:val="21"/>
                <w:lang w:eastAsia="en-AU"/>
              </w:rPr>
              <w:t xml:space="preserve">Other </w:t>
            </w:r>
            <w:r>
              <w:rPr>
                <w:rFonts w:eastAsiaTheme="minorEastAsia" w:cs="Calibri"/>
                <w:iCs/>
                <w:color w:val="FFFFFF"/>
                <w:szCs w:val="21"/>
                <w:lang w:eastAsia="en-AU"/>
              </w:rPr>
              <w:br/>
            </w:r>
            <w:r w:rsidRPr="00023820">
              <w:rPr>
                <w:rFonts w:eastAsiaTheme="minorEastAsia" w:cs="Calibri"/>
                <w:iCs/>
                <w:color w:val="FFFFFF"/>
                <w:szCs w:val="21"/>
                <w:lang w:eastAsia="en-AU"/>
              </w:rPr>
              <w:t>reserves</w:t>
            </w:r>
          </w:p>
        </w:tc>
        <w:tc>
          <w:tcPr>
            <w:tcW w:w="2591" w:type="dxa"/>
            <w:tcBorders>
              <w:top w:val="nil"/>
              <w:left w:val="nil"/>
              <w:bottom w:val="nil"/>
              <w:right w:val="nil"/>
            </w:tcBorders>
            <w:shd w:val="solid" w:color="000000" w:fill="auto"/>
          </w:tcPr>
          <w:p w:rsidR="00A46DCA" w:rsidRPr="00023820" w:rsidRDefault="00A46DCA" w:rsidP="00A26D0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21"/>
                <w:lang w:eastAsia="en-AU"/>
              </w:rPr>
            </w:pPr>
            <w:r w:rsidRPr="00023820">
              <w:rPr>
                <w:rFonts w:eastAsiaTheme="minorEastAsia" w:cs="Calibri"/>
                <w:iCs/>
                <w:color w:val="FFFFFF"/>
                <w:szCs w:val="21"/>
                <w:lang w:eastAsia="en-AU"/>
              </w:rPr>
              <w:t>Total</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2591" w:type="dxa"/>
            <w:tcBorders>
              <w:top w:val="nil"/>
              <w:left w:val="nil"/>
              <w:bottom w:val="nil"/>
              <w:right w:val="nil"/>
            </w:tcBorders>
          </w:tcPr>
          <w:p w:rsidR="00A46DCA" w:rsidRPr="00023820" w:rsidRDefault="00A46DCA" w:rsidP="00A26D04">
            <w:pPr>
              <w:keepLines w:val="0"/>
              <w:autoSpaceDE w:val="0"/>
              <w:autoSpaceDN w:val="0"/>
              <w:adjustRightInd w:val="0"/>
              <w:jc w:val="right"/>
              <w:rPr>
                <w:rFonts w:eastAsiaTheme="minorEastAsia" w:cs="Calibri"/>
                <w:b/>
                <w:bCs/>
                <w:color w:val="000000"/>
                <w:lang w:eastAsia="en-AU"/>
              </w:rPr>
            </w:pPr>
            <w:r w:rsidRPr="00023820">
              <w:rPr>
                <w:rFonts w:eastAsiaTheme="minorEastAsia" w:cs="Calibri"/>
                <w:b/>
                <w:bCs/>
                <w:color w:val="000000"/>
                <w:lang w:eastAsia="en-AU"/>
              </w:rPr>
              <w:t xml:space="preserve"> </w:t>
            </w:r>
          </w:p>
        </w:tc>
        <w:tc>
          <w:tcPr>
            <w:tcW w:w="2591"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1"/>
                <w:lang w:eastAsia="en-AU"/>
              </w:rPr>
            </w:pPr>
            <w:r w:rsidRPr="00023820">
              <w:rPr>
                <w:rFonts w:eastAsiaTheme="minorEastAsia" w:cs="Calibri"/>
                <w:b/>
                <w:bCs/>
                <w:color w:val="000000"/>
                <w:szCs w:val="21"/>
                <w:lang w:eastAsia="en-AU"/>
              </w:rPr>
              <w:t xml:space="preserve"> </w:t>
            </w:r>
          </w:p>
        </w:tc>
        <w:tc>
          <w:tcPr>
            <w:tcW w:w="2591"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1"/>
                <w:lang w:eastAsia="en-AU"/>
              </w:rPr>
            </w:pPr>
            <w:r w:rsidRPr="00023820">
              <w:rPr>
                <w:rFonts w:eastAsiaTheme="minorEastAsia" w:cs="Calibri"/>
                <w:b/>
                <w:bCs/>
                <w:color w:val="000000"/>
                <w:szCs w:val="21"/>
                <w:lang w:eastAsia="en-AU"/>
              </w:rPr>
              <w:t xml:space="preserve"> </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2591" w:type="dxa"/>
            <w:tcBorders>
              <w:top w:val="nil"/>
              <w:left w:val="nil"/>
              <w:bottom w:val="nil"/>
              <w:right w:val="nil"/>
            </w:tcBorders>
          </w:tcPr>
          <w:p w:rsidR="00A46DCA" w:rsidRPr="00023820" w:rsidRDefault="00A46DCA" w:rsidP="00A26D04">
            <w:pPr>
              <w:keepLines w:val="0"/>
              <w:autoSpaceDE w:val="0"/>
              <w:autoSpaceDN w:val="0"/>
              <w:adjustRightInd w:val="0"/>
              <w:jc w:val="right"/>
              <w:rPr>
                <w:rFonts w:eastAsiaTheme="minorEastAsia" w:cs="Calibri"/>
                <w:color w:val="000000"/>
                <w:szCs w:val="21"/>
                <w:lang w:eastAsia="en-AU"/>
              </w:rPr>
            </w:pPr>
            <w:r>
              <w:rPr>
                <w:rFonts w:eastAsiaTheme="minorEastAsia" w:cs="Calibri"/>
                <w:color w:val="000000"/>
                <w:szCs w:val="21"/>
                <w:lang w:eastAsia="en-AU"/>
              </w:rPr>
              <w:t>29 985</w:t>
            </w:r>
          </w:p>
        </w:tc>
        <w:tc>
          <w:tcPr>
            <w:tcW w:w="2591"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sidRPr="00023820">
              <w:rPr>
                <w:rFonts w:eastAsiaTheme="minorEastAsia" w:cs="Calibri"/>
                <w:color w:val="000000"/>
                <w:szCs w:val="21"/>
                <w:lang w:eastAsia="en-AU"/>
              </w:rPr>
              <w:t>488</w:t>
            </w:r>
          </w:p>
        </w:tc>
        <w:tc>
          <w:tcPr>
            <w:tcW w:w="2591"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89 126</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2591" w:type="dxa"/>
            <w:tcBorders>
              <w:top w:val="nil"/>
              <w:left w:val="nil"/>
              <w:bottom w:val="nil"/>
              <w:right w:val="nil"/>
            </w:tcBorders>
          </w:tcPr>
          <w:p w:rsidR="00A46DCA" w:rsidRPr="00023820" w:rsidRDefault="00A46DCA" w:rsidP="00A26D04">
            <w:pPr>
              <w:keepLines w:val="0"/>
              <w:autoSpaceDE w:val="0"/>
              <w:autoSpaceDN w:val="0"/>
              <w:adjustRightInd w:val="0"/>
              <w:jc w:val="right"/>
              <w:rPr>
                <w:rFonts w:eastAsiaTheme="minorEastAsia" w:cs="Calibri"/>
                <w:color w:val="000000"/>
                <w:szCs w:val="21"/>
                <w:lang w:eastAsia="en-AU"/>
              </w:rPr>
            </w:pPr>
            <w:r>
              <w:rPr>
                <w:rFonts w:eastAsiaTheme="minorEastAsia" w:cs="Calibri"/>
                <w:color w:val="000000"/>
                <w:szCs w:val="21"/>
                <w:lang w:eastAsia="en-AU"/>
              </w:rPr>
              <w:t>..</w:t>
            </w:r>
          </w:p>
        </w:tc>
        <w:tc>
          <w:tcPr>
            <w:tcW w:w="2591"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w:t>
            </w:r>
          </w:p>
        </w:tc>
        <w:tc>
          <w:tcPr>
            <w:tcW w:w="2591"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(295)</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2591" w:type="dxa"/>
            <w:tcBorders>
              <w:top w:val="nil"/>
              <w:left w:val="nil"/>
              <w:bottom w:val="nil"/>
              <w:right w:val="nil"/>
            </w:tcBorders>
          </w:tcPr>
          <w:p w:rsidR="00A46DCA" w:rsidRPr="00023820" w:rsidRDefault="00A46DCA" w:rsidP="00A26D04">
            <w:pPr>
              <w:keepLines w:val="0"/>
              <w:autoSpaceDE w:val="0"/>
              <w:autoSpaceDN w:val="0"/>
              <w:adjustRightInd w:val="0"/>
              <w:jc w:val="right"/>
              <w:rPr>
                <w:rFonts w:eastAsiaTheme="minorEastAsia" w:cs="Calibri"/>
                <w:color w:val="000000"/>
                <w:szCs w:val="21"/>
                <w:lang w:eastAsia="en-AU"/>
              </w:rPr>
            </w:pPr>
            <w:r w:rsidRPr="00023820">
              <w:rPr>
                <w:rFonts w:eastAsiaTheme="minorEastAsia" w:cs="Calibri"/>
                <w:color w:val="000000"/>
                <w:szCs w:val="21"/>
                <w:lang w:eastAsia="en-AU"/>
              </w:rPr>
              <w:t>2</w:t>
            </w:r>
          </w:p>
        </w:tc>
        <w:tc>
          <w:tcPr>
            <w:tcW w:w="2591"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sidRPr="00023820">
              <w:rPr>
                <w:rFonts w:eastAsiaTheme="minorEastAsia" w:cs="Calibri"/>
                <w:color w:val="000000"/>
                <w:szCs w:val="21"/>
                <w:lang w:eastAsia="en-AU"/>
              </w:rPr>
              <w:t>20</w:t>
            </w:r>
          </w:p>
        </w:tc>
        <w:tc>
          <w:tcPr>
            <w:tcW w:w="2591"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(17)</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2591" w:type="dxa"/>
            <w:tcBorders>
              <w:top w:val="nil"/>
              <w:left w:val="nil"/>
              <w:bottom w:val="nil"/>
              <w:right w:val="nil"/>
            </w:tcBorders>
          </w:tcPr>
          <w:p w:rsidR="00A46DCA" w:rsidRPr="00023820" w:rsidRDefault="00A46DCA" w:rsidP="00A26D04">
            <w:pPr>
              <w:keepLines w:val="0"/>
              <w:autoSpaceDE w:val="0"/>
              <w:autoSpaceDN w:val="0"/>
              <w:adjustRightInd w:val="0"/>
              <w:jc w:val="right"/>
              <w:rPr>
                <w:rFonts w:eastAsiaTheme="minorEastAsia" w:cs="Calibri"/>
                <w:color w:val="000000"/>
                <w:szCs w:val="21"/>
                <w:lang w:eastAsia="en-AU"/>
              </w:rPr>
            </w:pPr>
            <w:r>
              <w:rPr>
                <w:rFonts w:eastAsiaTheme="minorEastAsia" w:cs="Calibri"/>
                <w:color w:val="000000"/>
                <w:szCs w:val="21"/>
                <w:lang w:eastAsia="en-AU"/>
              </w:rPr>
              <w:t>..</w:t>
            </w:r>
          </w:p>
        </w:tc>
        <w:tc>
          <w:tcPr>
            <w:tcW w:w="2591"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w:t>
            </w:r>
          </w:p>
        </w:tc>
        <w:tc>
          <w:tcPr>
            <w:tcW w:w="2591"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(457)</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2591" w:type="dxa"/>
            <w:tcBorders>
              <w:top w:val="nil"/>
              <w:left w:val="nil"/>
              <w:bottom w:val="nil"/>
              <w:right w:val="nil"/>
            </w:tcBorders>
          </w:tcPr>
          <w:p w:rsidR="00A46DCA" w:rsidRPr="00023820" w:rsidRDefault="00A46DCA" w:rsidP="00A26D04">
            <w:pPr>
              <w:keepLines w:val="0"/>
              <w:autoSpaceDE w:val="0"/>
              <w:autoSpaceDN w:val="0"/>
              <w:adjustRightInd w:val="0"/>
              <w:jc w:val="right"/>
              <w:rPr>
                <w:rFonts w:eastAsiaTheme="minorEastAsia" w:cs="Calibri"/>
                <w:color w:val="000000"/>
                <w:szCs w:val="21"/>
                <w:lang w:eastAsia="en-AU"/>
              </w:rPr>
            </w:pPr>
            <w:r>
              <w:rPr>
                <w:rFonts w:eastAsiaTheme="minorEastAsia" w:cs="Calibri"/>
                <w:color w:val="000000"/>
                <w:szCs w:val="21"/>
                <w:lang w:eastAsia="en-AU"/>
              </w:rPr>
              <w:t>..</w:t>
            </w:r>
          </w:p>
        </w:tc>
        <w:tc>
          <w:tcPr>
            <w:tcW w:w="2591"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w:t>
            </w:r>
          </w:p>
        </w:tc>
        <w:tc>
          <w:tcPr>
            <w:tcW w:w="2591"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2591" w:type="dxa"/>
            <w:tcBorders>
              <w:top w:val="nil"/>
              <w:left w:val="nil"/>
              <w:bottom w:val="nil"/>
              <w:right w:val="nil"/>
            </w:tcBorders>
          </w:tcPr>
          <w:p w:rsidR="00A46DCA" w:rsidRPr="00023820" w:rsidRDefault="00A46DCA" w:rsidP="00A26D04">
            <w:pPr>
              <w:keepLines w:val="0"/>
              <w:autoSpaceDE w:val="0"/>
              <w:autoSpaceDN w:val="0"/>
              <w:adjustRightInd w:val="0"/>
              <w:jc w:val="right"/>
              <w:rPr>
                <w:rFonts w:eastAsiaTheme="minorEastAsia" w:cs="Calibri"/>
                <w:color w:val="000000"/>
                <w:szCs w:val="21"/>
                <w:lang w:eastAsia="en-AU"/>
              </w:rPr>
            </w:pPr>
            <w:r>
              <w:rPr>
                <w:rFonts w:eastAsiaTheme="minorEastAsia" w:cs="Calibri"/>
                <w:color w:val="000000"/>
                <w:szCs w:val="21"/>
                <w:lang w:eastAsia="en-AU"/>
              </w:rPr>
              <w:t>..</w:t>
            </w:r>
          </w:p>
        </w:tc>
        <w:tc>
          <w:tcPr>
            <w:tcW w:w="2591"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w:t>
            </w:r>
          </w:p>
        </w:tc>
        <w:tc>
          <w:tcPr>
            <w:tcW w:w="2591"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4 660</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2591" w:type="dxa"/>
            <w:tcBorders>
              <w:top w:val="single" w:sz="6" w:space="0" w:color="000000"/>
              <w:left w:val="nil"/>
              <w:bottom w:val="single" w:sz="12" w:space="0" w:color="000000"/>
              <w:right w:val="nil"/>
            </w:tcBorders>
          </w:tcPr>
          <w:p w:rsidR="00A46DCA" w:rsidRPr="00023820" w:rsidRDefault="00A46DCA" w:rsidP="00A26D04">
            <w:pPr>
              <w:keepLines w:val="0"/>
              <w:autoSpaceDE w:val="0"/>
              <w:autoSpaceDN w:val="0"/>
              <w:adjustRightInd w:val="0"/>
              <w:jc w:val="right"/>
              <w:rPr>
                <w:rFonts w:eastAsiaTheme="minorEastAsia" w:cs="Calibri"/>
                <w:b/>
                <w:bCs/>
                <w:color w:val="000000"/>
                <w:szCs w:val="21"/>
                <w:lang w:eastAsia="en-AU"/>
              </w:rPr>
            </w:pPr>
            <w:r>
              <w:rPr>
                <w:rFonts w:eastAsiaTheme="minorEastAsia" w:cs="Calibri"/>
                <w:b/>
                <w:bCs/>
                <w:color w:val="000000"/>
                <w:szCs w:val="21"/>
                <w:lang w:eastAsia="en-AU"/>
              </w:rPr>
              <w:t>29 987</w:t>
            </w:r>
          </w:p>
        </w:tc>
        <w:tc>
          <w:tcPr>
            <w:tcW w:w="2591" w:type="dxa"/>
            <w:tcBorders>
              <w:top w:val="single" w:sz="6" w:space="0" w:color="000000"/>
              <w:left w:val="nil"/>
              <w:bottom w:val="single" w:sz="12" w:space="0" w:color="000000"/>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1"/>
                <w:lang w:eastAsia="en-AU"/>
              </w:rPr>
            </w:pPr>
            <w:r w:rsidRPr="00023820">
              <w:rPr>
                <w:rFonts w:eastAsiaTheme="minorEastAsia" w:cs="Calibri"/>
                <w:b/>
                <w:bCs/>
                <w:color w:val="000000"/>
                <w:szCs w:val="21"/>
                <w:lang w:eastAsia="en-AU"/>
              </w:rPr>
              <w:t>508</w:t>
            </w:r>
          </w:p>
        </w:tc>
        <w:tc>
          <w:tcPr>
            <w:tcW w:w="2591" w:type="dxa"/>
            <w:tcBorders>
              <w:top w:val="single" w:sz="6" w:space="0" w:color="000000"/>
              <w:left w:val="nil"/>
              <w:bottom w:val="single" w:sz="12" w:space="0" w:color="000000"/>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1"/>
                <w:lang w:eastAsia="en-AU"/>
              </w:rPr>
            </w:pPr>
            <w:r>
              <w:rPr>
                <w:rFonts w:eastAsiaTheme="minorEastAsia" w:cs="Calibri"/>
                <w:b/>
                <w:bCs/>
                <w:color w:val="000000"/>
                <w:szCs w:val="21"/>
                <w:lang w:eastAsia="en-AU"/>
              </w:rPr>
              <w:t>93 016</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2591" w:type="dxa"/>
            <w:tcBorders>
              <w:top w:val="nil"/>
              <w:left w:val="nil"/>
              <w:bottom w:val="nil"/>
              <w:right w:val="nil"/>
            </w:tcBorders>
          </w:tcPr>
          <w:p w:rsidR="00A46DCA" w:rsidRPr="00023820" w:rsidRDefault="00A46DCA" w:rsidP="00A26D04">
            <w:pPr>
              <w:keepLines w:val="0"/>
              <w:autoSpaceDE w:val="0"/>
              <w:autoSpaceDN w:val="0"/>
              <w:adjustRightInd w:val="0"/>
              <w:jc w:val="right"/>
              <w:rPr>
                <w:rFonts w:eastAsiaTheme="minorEastAsia" w:cs="Calibri"/>
                <w:b/>
                <w:bCs/>
                <w:color w:val="000000"/>
                <w:lang w:eastAsia="en-AU"/>
              </w:rPr>
            </w:pPr>
            <w:r w:rsidRPr="00023820">
              <w:rPr>
                <w:rFonts w:eastAsiaTheme="minorEastAsia" w:cs="Calibri"/>
                <w:b/>
                <w:bCs/>
                <w:color w:val="000000"/>
                <w:lang w:eastAsia="en-AU"/>
              </w:rPr>
              <w:t xml:space="preserve"> </w:t>
            </w:r>
          </w:p>
        </w:tc>
        <w:tc>
          <w:tcPr>
            <w:tcW w:w="2591"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1"/>
                <w:lang w:eastAsia="en-AU"/>
              </w:rPr>
            </w:pPr>
            <w:r w:rsidRPr="00023820">
              <w:rPr>
                <w:rFonts w:eastAsiaTheme="minorEastAsia" w:cs="Calibri"/>
                <w:b/>
                <w:bCs/>
                <w:color w:val="000000"/>
                <w:szCs w:val="21"/>
                <w:lang w:eastAsia="en-AU"/>
              </w:rPr>
              <w:t xml:space="preserve"> </w:t>
            </w:r>
          </w:p>
        </w:tc>
        <w:tc>
          <w:tcPr>
            <w:tcW w:w="2591"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1"/>
                <w:lang w:eastAsia="en-AU"/>
              </w:rPr>
            </w:pPr>
            <w:r w:rsidRPr="00023820">
              <w:rPr>
                <w:rFonts w:eastAsiaTheme="minorEastAsia" w:cs="Calibri"/>
                <w:b/>
                <w:bCs/>
                <w:color w:val="000000"/>
                <w:szCs w:val="21"/>
                <w:lang w:eastAsia="en-AU"/>
              </w:rPr>
              <w:t xml:space="preserve"> </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2591" w:type="dxa"/>
            <w:tcBorders>
              <w:top w:val="nil"/>
              <w:left w:val="nil"/>
              <w:bottom w:val="nil"/>
              <w:right w:val="nil"/>
            </w:tcBorders>
          </w:tcPr>
          <w:p w:rsidR="00A46DCA" w:rsidRPr="00023820" w:rsidRDefault="00A46DCA" w:rsidP="00A26D04">
            <w:pPr>
              <w:keepLines w:val="0"/>
              <w:autoSpaceDE w:val="0"/>
              <w:autoSpaceDN w:val="0"/>
              <w:adjustRightInd w:val="0"/>
              <w:jc w:val="right"/>
              <w:rPr>
                <w:rFonts w:eastAsiaTheme="minorEastAsia" w:cs="Calibri"/>
                <w:color w:val="000000"/>
                <w:szCs w:val="21"/>
                <w:lang w:eastAsia="en-AU"/>
              </w:rPr>
            </w:pPr>
            <w:r>
              <w:rPr>
                <w:rFonts w:eastAsiaTheme="minorEastAsia" w:cs="Calibri"/>
                <w:color w:val="000000"/>
                <w:szCs w:val="21"/>
                <w:lang w:eastAsia="en-AU"/>
              </w:rPr>
              <w:t>29 985</w:t>
            </w:r>
          </w:p>
        </w:tc>
        <w:tc>
          <w:tcPr>
            <w:tcW w:w="2591"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sidRPr="00023820">
              <w:rPr>
                <w:rFonts w:eastAsiaTheme="minorEastAsia" w:cs="Calibri"/>
                <w:color w:val="000000"/>
                <w:szCs w:val="21"/>
                <w:lang w:eastAsia="en-AU"/>
              </w:rPr>
              <w:t>488</w:t>
            </w:r>
          </w:p>
        </w:tc>
        <w:tc>
          <w:tcPr>
            <w:tcW w:w="2591"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89 126</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2591" w:type="dxa"/>
            <w:tcBorders>
              <w:top w:val="nil"/>
              <w:left w:val="nil"/>
              <w:bottom w:val="nil"/>
              <w:right w:val="nil"/>
            </w:tcBorders>
          </w:tcPr>
          <w:p w:rsidR="00A46DCA" w:rsidRPr="00023820" w:rsidRDefault="00A46DCA" w:rsidP="00A26D04">
            <w:pPr>
              <w:keepLines w:val="0"/>
              <w:autoSpaceDE w:val="0"/>
              <w:autoSpaceDN w:val="0"/>
              <w:adjustRightInd w:val="0"/>
              <w:jc w:val="right"/>
              <w:rPr>
                <w:rFonts w:eastAsiaTheme="minorEastAsia" w:cs="Calibri"/>
                <w:color w:val="000000"/>
                <w:szCs w:val="21"/>
                <w:lang w:eastAsia="en-AU"/>
              </w:rPr>
            </w:pPr>
            <w:r>
              <w:rPr>
                <w:rFonts w:eastAsiaTheme="minorEastAsia" w:cs="Calibri"/>
                <w:color w:val="000000"/>
                <w:szCs w:val="21"/>
                <w:lang w:eastAsia="en-AU"/>
              </w:rPr>
              <w:t>..</w:t>
            </w:r>
          </w:p>
        </w:tc>
        <w:tc>
          <w:tcPr>
            <w:tcW w:w="2591"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w:t>
            </w:r>
          </w:p>
        </w:tc>
        <w:tc>
          <w:tcPr>
            <w:tcW w:w="2591"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(121)</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2591" w:type="dxa"/>
            <w:tcBorders>
              <w:top w:val="nil"/>
              <w:left w:val="nil"/>
              <w:bottom w:val="nil"/>
              <w:right w:val="nil"/>
            </w:tcBorders>
          </w:tcPr>
          <w:p w:rsidR="00A46DCA" w:rsidRPr="00023820" w:rsidRDefault="00A46DCA" w:rsidP="00A26D04">
            <w:pPr>
              <w:keepLines w:val="0"/>
              <w:autoSpaceDE w:val="0"/>
              <w:autoSpaceDN w:val="0"/>
              <w:adjustRightInd w:val="0"/>
              <w:jc w:val="right"/>
              <w:rPr>
                <w:rFonts w:eastAsiaTheme="minorEastAsia" w:cs="Calibri"/>
                <w:color w:val="000000"/>
                <w:szCs w:val="21"/>
                <w:lang w:eastAsia="en-AU"/>
              </w:rPr>
            </w:pPr>
            <w:r>
              <w:rPr>
                <w:rFonts w:eastAsiaTheme="minorEastAsia" w:cs="Calibri"/>
                <w:color w:val="000000"/>
                <w:szCs w:val="21"/>
                <w:lang w:eastAsia="en-AU"/>
              </w:rPr>
              <w:t>..</w:t>
            </w:r>
          </w:p>
        </w:tc>
        <w:tc>
          <w:tcPr>
            <w:tcW w:w="2591"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sidRPr="00023820">
              <w:rPr>
                <w:rFonts w:eastAsiaTheme="minorEastAsia" w:cs="Calibri"/>
                <w:color w:val="000000"/>
                <w:szCs w:val="21"/>
                <w:lang w:eastAsia="en-AU"/>
              </w:rPr>
              <w:t>62</w:t>
            </w:r>
          </w:p>
        </w:tc>
        <w:tc>
          <w:tcPr>
            <w:tcW w:w="2591"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sidRPr="00023820">
              <w:rPr>
                <w:rFonts w:eastAsiaTheme="minorEastAsia" w:cs="Calibri"/>
                <w:color w:val="000000"/>
                <w:szCs w:val="21"/>
                <w:lang w:eastAsia="en-AU"/>
              </w:rPr>
              <w:t>38</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2591" w:type="dxa"/>
            <w:tcBorders>
              <w:top w:val="nil"/>
              <w:left w:val="nil"/>
              <w:bottom w:val="nil"/>
              <w:right w:val="nil"/>
            </w:tcBorders>
          </w:tcPr>
          <w:p w:rsidR="00A46DCA" w:rsidRPr="00023820" w:rsidRDefault="00A46DCA" w:rsidP="00A26D04">
            <w:pPr>
              <w:keepLines w:val="0"/>
              <w:autoSpaceDE w:val="0"/>
              <w:autoSpaceDN w:val="0"/>
              <w:adjustRightInd w:val="0"/>
              <w:jc w:val="right"/>
              <w:rPr>
                <w:rFonts w:eastAsiaTheme="minorEastAsia" w:cs="Calibri"/>
                <w:color w:val="000000"/>
                <w:szCs w:val="21"/>
                <w:lang w:eastAsia="en-AU"/>
              </w:rPr>
            </w:pPr>
            <w:r>
              <w:rPr>
                <w:rFonts w:eastAsiaTheme="minorEastAsia" w:cs="Calibri"/>
                <w:color w:val="000000"/>
                <w:szCs w:val="21"/>
                <w:lang w:eastAsia="en-AU"/>
              </w:rPr>
              <w:t>..</w:t>
            </w:r>
          </w:p>
        </w:tc>
        <w:tc>
          <w:tcPr>
            <w:tcW w:w="2591"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w:t>
            </w:r>
          </w:p>
        </w:tc>
        <w:tc>
          <w:tcPr>
            <w:tcW w:w="2591"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(498)</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2591" w:type="dxa"/>
            <w:tcBorders>
              <w:top w:val="nil"/>
              <w:left w:val="nil"/>
              <w:bottom w:val="nil"/>
              <w:right w:val="nil"/>
            </w:tcBorders>
          </w:tcPr>
          <w:p w:rsidR="00A46DCA" w:rsidRPr="00023820" w:rsidRDefault="00A46DCA" w:rsidP="00A26D04">
            <w:pPr>
              <w:keepLines w:val="0"/>
              <w:autoSpaceDE w:val="0"/>
              <w:autoSpaceDN w:val="0"/>
              <w:adjustRightInd w:val="0"/>
              <w:jc w:val="right"/>
              <w:rPr>
                <w:rFonts w:eastAsiaTheme="minorEastAsia" w:cs="Calibri"/>
                <w:color w:val="000000"/>
                <w:szCs w:val="21"/>
                <w:lang w:eastAsia="en-AU"/>
              </w:rPr>
            </w:pPr>
            <w:r w:rsidRPr="00023820">
              <w:rPr>
                <w:rFonts w:eastAsiaTheme="minorEastAsia" w:cs="Calibri"/>
                <w:color w:val="000000"/>
                <w:szCs w:val="21"/>
                <w:lang w:eastAsia="en-AU"/>
              </w:rPr>
              <w:t>48</w:t>
            </w:r>
          </w:p>
        </w:tc>
        <w:tc>
          <w:tcPr>
            <w:tcW w:w="2591"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w:t>
            </w:r>
          </w:p>
        </w:tc>
        <w:tc>
          <w:tcPr>
            <w:tcW w:w="2591"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2591" w:type="dxa"/>
            <w:tcBorders>
              <w:top w:val="nil"/>
              <w:left w:val="nil"/>
              <w:bottom w:val="nil"/>
              <w:right w:val="nil"/>
            </w:tcBorders>
          </w:tcPr>
          <w:p w:rsidR="00A46DCA" w:rsidRPr="00023820" w:rsidRDefault="00A46DCA" w:rsidP="00A26D04">
            <w:pPr>
              <w:keepLines w:val="0"/>
              <w:autoSpaceDE w:val="0"/>
              <w:autoSpaceDN w:val="0"/>
              <w:adjustRightInd w:val="0"/>
              <w:jc w:val="right"/>
              <w:rPr>
                <w:rFonts w:eastAsiaTheme="minorEastAsia" w:cs="Calibri"/>
                <w:color w:val="000000"/>
                <w:szCs w:val="21"/>
                <w:lang w:eastAsia="en-AU"/>
              </w:rPr>
            </w:pPr>
            <w:r>
              <w:rPr>
                <w:rFonts w:eastAsiaTheme="minorEastAsia" w:cs="Calibri"/>
                <w:color w:val="000000"/>
                <w:szCs w:val="21"/>
                <w:lang w:eastAsia="en-AU"/>
              </w:rPr>
              <w:t>..</w:t>
            </w:r>
          </w:p>
        </w:tc>
        <w:tc>
          <w:tcPr>
            <w:tcW w:w="2591"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w:t>
            </w:r>
          </w:p>
        </w:tc>
        <w:tc>
          <w:tcPr>
            <w:tcW w:w="2591"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5 153</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2591" w:type="dxa"/>
            <w:tcBorders>
              <w:top w:val="single" w:sz="6" w:space="0" w:color="000000"/>
              <w:left w:val="nil"/>
              <w:bottom w:val="single" w:sz="12" w:space="0" w:color="000000"/>
              <w:right w:val="nil"/>
            </w:tcBorders>
          </w:tcPr>
          <w:p w:rsidR="00A46DCA" w:rsidRPr="00023820" w:rsidRDefault="00A46DCA" w:rsidP="00A26D04">
            <w:pPr>
              <w:keepLines w:val="0"/>
              <w:autoSpaceDE w:val="0"/>
              <w:autoSpaceDN w:val="0"/>
              <w:adjustRightInd w:val="0"/>
              <w:jc w:val="right"/>
              <w:rPr>
                <w:rFonts w:eastAsiaTheme="minorEastAsia" w:cs="Calibri"/>
                <w:b/>
                <w:bCs/>
                <w:color w:val="000000"/>
                <w:szCs w:val="21"/>
                <w:lang w:eastAsia="en-AU"/>
              </w:rPr>
            </w:pPr>
            <w:r>
              <w:rPr>
                <w:rFonts w:eastAsiaTheme="minorEastAsia" w:cs="Calibri"/>
                <w:b/>
                <w:bCs/>
                <w:color w:val="000000"/>
                <w:szCs w:val="21"/>
                <w:lang w:eastAsia="en-AU"/>
              </w:rPr>
              <w:t>30 034</w:t>
            </w:r>
          </w:p>
        </w:tc>
        <w:tc>
          <w:tcPr>
            <w:tcW w:w="2591" w:type="dxa"/>
            <w:tcBorders>
              <w:top w:val="single" w:sz="6" w:space="0" w:color="000000"/>
              <w:left w:val="nil"/>
              <w:bottom w:val="single" w:sz="12" w:space="0" w:color="000000"/>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1"/>
                <w:lang w:eastAsia="en-AU"/>
              </w:rPr>
            </w:pPr>
            <w:r w:rsidRPr="00023820">
              <w:rPr>
                <w:rFonts w:eastAsiaTheme="minorEastAsia" w:cs="Calibri"/>
                <w:b/>
                <w:bCs/>
                <w:color w:val="000000"/>
                <w:szCs w:val="21"/>
                <w:lang w:eastAsia="en-AU"/>
              </w:rPr>
              <w:t>550</w:t>
            </w:r>
          </w:p>
        </w:tc>
        <w:tc>
          <w:tcPr>
            <w:tcW w:w="2591" w:type="dxa"/>
            <w:tcBorders>
              <w:top w:val="single" w:sz="6" w:space="0" w:color="000000"/>
              <w:left w:val="nil"/>
              <w:bottom w:val="single" w:sz="12" w:space="0" w:color="000000"/>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1"/>
                <w:lang w:eastAsia="en-AU"/>
              </w:rPr>
            </w:pPr>
            <w:r>
              <w:rPr>
                <w:rFonts w:eastAsiaTheme="minorEastAsia" w:cs="Calibri"/>
                <w:b/>
                <w:bCs/>
                <w:color w:val="000000"/>
                <w:szCs w:val="21"/>
                <w:lang w:eastAsia="en-AU"/>
              </w:rPr>
              <w:t>93 699</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2591" w:type="dxa"/>
            <w:tcBorders>
              <w:top w:val="nil"/>
              <w:left w:val="nil"/>
              <w:bottom w:val="nil"/>
              <w:right w:val="nil"/>
            </w:tcBorders>
          </w:tcPr>
          <w:p w:rsidR="00A46DCA" w:rsidRPr="00023820" w:rsidRDefault="00A46DCA" w:rsidP="00A26D04">
            <w:pPr>
              <w:keepLines w:val="0"/>
              <w:autoSpaceDE w:val="0"/>
              <w:autoSpaceDN w:val="0"/>
              <w:adjustRightInd w:val="0"/>
              <w:jc w:val="right"/>
              <w:rPr>
                <w:rFonts w:eastAsiaTheme="minorEastAsia" w:cs="Calibri"/>
                <w:b/>
                <w:bCs/>
                <w:color w:val="000000"/>
                <w:lang w:eastAsia="en-AU"/>
              </w:rPr>
            </w:pPr>
            <w:r w:rsidRPr="00023820">
              <w:rPr>
                <w:rFonts w:eastAsiaTheme="minorEastAsia" w:cs="Calibri"/>
                <w:b/>
                <w:bCs/>
                <w:color w:val="000000"/>
                <w:lang w:eastAsia="en-AU"/>
              </w:rPr>
              <w:t xml:space="preserve"> </w:t>
            </w:r>
          </w:p>
        </w:tc>
        <w:tc>
          <w:tcPr>
            <w:tcW w:w="2591"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1"/>
                <w:lang w:eastAsia="en-AU"/>
              </w:rPr>
            </w:pPr>
            <w:r w:rsidRPr="00023820">
              <w:rPr>
                <w:rFonts w:eastAsiaTheme="minorEastAsia" w:cs="Calibri"/>
                <w:b/>
                <w:bCs/>
                <w:color w:val="000000"/>
                <w:szCs w:val="21"/>
                <w:lang w:eastAsia="en-AU"/>
              </w:rPr>
              <w:t xml:space="preserve"> </w:t>
            </w:r>
          </w:p>
        </w:tc>
        <w:tc>
          <w:tcPr>
            <w:tcW w:w="2591"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1"/>
                <w:lang w:eastAsia="en-AU"/>
              </w:rPr>
            </w:pPr>
            <w:r w:rsidRPr="00023820">
              <w:rPr>
                <w:rFonts w:eastAsiaTheme="minorEastAsia" w:cs="Calibri"/>
                <w:b/>
                <w:bCs/>
                <w:color w:val="000000"/>
                <w:szCs w:val="21"/>
                <w:lang w:eastAsia="en-AU"/>
              </w:rPr>
              <w:t xml:space="preserve"> </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2591" w:type="dxa"/>
            <w:tcBorders>
              <w:top w:val="nil"/>
              <w:left w:val="nil"/>
              <w:bottom w:val="nil"/>
              <w:right w:val="nil"/>
            </w:tcBorders>
          </w:tcPr>
          <w:p w:rsidR="00A46DCA" w:rsidRPr="00023820" w:rsidRDefault="00A46DCA" w:rsidP="00A26D04">
            <w:pPr>
              <w:keepLines w:val="0"/>
              <w:autoSpaceDE w:val="0"/>
              <w:autoSpaceDN w:val="0"/>
              <w:adjustRightInd w:val="0"/>
              <w:jc w:val="right"/>
              <w:rPr>
                <w:rFonts w:eastAsiaTheme="minorEastAsia" w:cs="Calibri"/>
                <w:color w:val="000000"/>
                <w:szCs w:val="21"/>
                <w:lang w:eastAsia="en-AU"/>
              </w:rPr>
            </w:pPr>
            <w:r>
              <w:rPr>
                <w:rFonts w:eastAsiaTheme="minorEastAsia" w:cs="Calibri"/>
                <w:color w:val="000000"/>
                <w:szCs w:val="21"/>
                <w:lang w:eastAsia="en-AU"/>
              </w:rPr>
              <w:t>30 034</w:t>
            </w:r>
          </w:p>
        </w:tc>
        <w:tc>
          <w:tcPr>
            <w:tcW w:w="2591"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sidRPr="00023820">
              <w:rPr>
                <w:rFonts w:eastAsiaTheme="minorEastAsia" w:cs="Calibri"/>
                <w:color w:val="000000"/>
                <w:szCs w:val="21"/>
                <w:lang w:eastAsia="en-AU"/>
              </w:rPr>
              <w:t>550</w:t>
            </w:r>
          </w:p>
        </w:tc>
        <w:tc>
          <w:tcPr>
            <w:tcW w:w="2591"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93 699</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2591" w:type="dxa"/>
            <w:tcBorders>
              <w:top w:val="nil"/>
              <w:left w:val="nil"/>
              <w:bottom w:val="nil"/>
              <w:right w:val="nil"/>
            </w:tcBorders>
          </w:tcPr>
          <w:p w:rsidR="00A46DCA" w:rsidRPr="00023820" w:rsidRDefault="00A46DCA" w:rsidP="00A26D04">
            <w:pPr>
              <w:keepLines w:val="0"/>
              <w:autoSpaceDE w:val="0"/>
              <w:autoSpaceDN w:val="0"/>
              <w:adjustRightInd w:val="0"/>
              <w:jc w:val="right"/>
              <w:rPr>
                <w:rFonts w:eastAsiaTheme="minorEastAsia" w:cs="Calibri"/>
                <w:color w:val="000000"/>
                <w:szCs w:val="21"/>
                <w:lang w:eastAsia="en-AU"/>
              </w:rPr>
            </w:pPr>
            <w:r>
              <w:rPr>
                <w:rFonts w:eastAsiaTheme="minorEastAsia" w:cs="Calibri"/>
                <w:color w:val="000000"/>
                <w:szCs w:val="21"/>
                <w:lang w:eastAsia="en-AU"/>
              </w:rPr>
              <w:t>..</w:t>
            </w:r>
          </w:p>
        </w:tc>
        <w:tc>
          <w:tcPr>
            <w:tcW w:w="2591"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w:t>
            </w:r>
          </w:p>
        </w:tc>
        <w:tc>
          <w:tcPr>
            <w:tcW w:w="2591"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(146)</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2591" w:type="dxa"/>
            <w:tcBorders>
              <w:top w:val="nil"/>
              <w:left w:val="nil"/>
              <w:bottom w:val="nil"/>
              <w:right w:val="nil"/>
            </w:tcBorders>
          </w:tcPr>
          <w:p w:rsidR="00A46DCA" w:rsidRPr="00023820" w:rsidRDefault="00A46DCA" w:rsidP="00A26D04">
            <w:pPr>
              <w:keepLines w:val="0"/>
              <w:autoSpaceDE w:val="0"/>
              <w:autoSpaceDN w:val="0"/>
              <w:adjustRightInd w:val="0"/>
              <w:jc w:val="right"/>
              <w:rPr>
                <w:rFonts w:eastAsiaTheme="minorEastAsia" w:cs="Calibri"/>
                <w:color w:val="000000"/>
                <w:szCs w:val="21"/>
                <w:lang w:eastAsia="en-AU"/>
              </w:rPr>
            </w:pPr>
            <w:r>
              <w:rPr>
                <w:rFonts w:eastAsiaTheme="minorEastAsia" w:cs="Calibri"/>
                <w:color w:val="000000"/>
                <w:szCs w:val="21"/>
                <w:lang w:eastAsia="en-AU"/>
              </w:rPr>
              <w:t>1 172</w:t>
            </w:r>
          </w:p>
        </w:tc>
        <w:tc>
          <w:tcPr>
            <w:tcW w:w="2591"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sidRPr="00023820">
              <w:rPr>
                <w:rFonts w:eastAsiaTheme="minorEastAsia" w:cs="Calibri"/>
                <w:color w:val="000000"/>
                <w:szCs w:val="21"/>
                <w:lang w:eastAsia="en-AU"/>
              </w:rPr>
              <w:t>27</w:t>
            </w:r>
          </w:p>
        </w:tc>
        <w:tc>
          <w:tcPr>
            <w:tcW w:w="2591"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1 156</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2591" w:type="dxa"/>
            <w:tcBorders>
              <w:top w:val="nil"/>
              <w:left w:val="nil"/>
              <w:bottom w:val="nil"/>
              <w:right w:val="nil"/>
            </w:tcBorders>
          </w:tcPr>
          <w:p w:rsidR="00A46DCA" w:rsidRPr="00023820" w:rsidRDefault="00A46DCA" w:rsidP="00A26D04">
            <w:pPr>
              <w:keepLines w:val="0"/>
              <w:autoSpaceDE w:val="0"/>
              <w:autoSpaceDN w:val="0"/>
              <w:adjustRightInd w:val="0"/>
              <w:jc w:val="right"/>
              <w:rPr>
                <w:rFonts w:eastAsiaTheme="minorEastAsia" w:cs="Calibri"/>
                <w:color w:val="000000"/>
                <w:szCs w:val="21"/>
                <w:lang w:eastAsia="en-AU"/>
              </w:rPr>
            </w:pPr>
            <w:r>
              <w:rPr>
                <w:rFonts w:eastAsiaTheme="minorEastAsia" w:cs="Calibri"/>
                <w:color w:val="000000"/>
                <w:szCs w:val="21"/>
                <w:lang w:eastAsia="en-AU"/>
              </w:rPr>
              <w:t>..</w:t>
            </w:r>
          </w:p>
        </w:tc>
        <w:tc>
          <w:tcPr>
            <w:tcW w:w="2591"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w:t>
            </w:r>
          </w:p>
        </w:tc>
        <w:tc>
          <w:tcPr>
            <w:tcW w:w="2591"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(225)</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2591" w:type="dxa"/>
            <w:tcBorders>
              <w:top w:val="nil"/>
              <w:left w:val="nil"/>
              <w:bottom w:val="nil"/>
              <w:right w:val="nil"/>
            </w:tcBorders>
          </w:tcPr>
          <w:p w:rsidR="00A46DCA" w:rsidRPr="00023820" w:rsidRDefault="00A46DCA" w:rsidP="00A26D04">
            <w:pPr>
              <w:keepLines w:val="0"/>
              <w:autoSpaceDE w:val="0"/>
              <w:autoSpaceDN w:val="0"/>
              <w:adjustRightInd w:val="0"/>
              <w:jc w:val="right"/>
              <w:rPr>
                <w:rFonts w:eastAsiaTheme="minorEastAsia" w:cs="Calibri"/>
                <w:color w:val="000000"/>
                <w:szCs w:val="21"/>
                <w:lang w:eastAsia="en-AU"/>
              </w:rPr>
            </w:pPr>
            <w:r>
              <w:rPr>
                <w:rFonts w:eastAsiaTheme="minorEastAsia" w:cs="Calibri"/>
                <w:color w:val="000000"/>
                <w:szCs w:val="21"/>
                <w:lang w:eastAsia="en-AU"/>
              </w:rPr>
              <w:t>..</w:t>
            </w:r>
          </w:p>
        </w:tc>
        <w:tc>
          <w:tcPr>
            <w:tcW w:w="2591"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w:t>
            </w:r>
          </w:p>
        </w:tc>
        <w:tc>
          <w:tcPr>
            <w:tcW w:w="2591"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2591" w:type="dxa"/>
            <w:tcBorders>
              <w:top w:val="nil"/>
              <w:left w:val="nil"/>
              <w:bottom w:val="nil"/>
              <w:right w:val="nil"/>
            </w:tcBorders>
          </w:tcPr>
          <w:p w:rsidR="00A46DCA" w:rsidRPr="00023820" w:rsidRDefault="00A46DCA" w:rsidP="00A26D04">
            <w:pPr>
              <w:keepLines w:val="0"/>
              <w:autoSpaceDE w:val="0"/>
              <w:autoSpaceDN w:val="0"/>
              <w:adjustRightInd w:val="0"/>
              <w:jc w:val="right"/>
              <w:rPr>
                <w:rFonts w:eastAsiaTheme="minorEastAsia" w:cs="Calibri"/>
                <w:color w:val="000000"/>
                <w:szCs w:val="21"/>
                <w:lang w:eastAsia="en-AU"/>
              </w:rPr>
            </w:pPr>
            <w:r>
              <w:rPr>
                <w:rFonts w:eastAsiaTheme="minorEastAsia" w:cs="Calibri"/>
                <w:color w:val="000000"/>
                <w:szCs w:val="21"/>
                <w:lang w:eastAsia="en-AU"/>
              </w:rPr>
              <w:t>..</w:t>
            </w:r>
          </w:p>
        </w:tc>
        <w:tc>
          <w:tcPr>
            <w:tcW w:w="2591"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w:t>
            </w:r>
          </w:p>
        </w:tc>
        <w:tc>
          <w:tcPr>
            <w:tcW w:w="2591"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4 928</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2591" w:type="dxa"/>
            <w:tcBorders>
              <w:top w:val="single" w:sz="6" w:space="0" w:color="000000"/>
              <w:left w:val="nil"/>
              <w:bottom w:val="single" w:sz="12" w:space="0" w:color="000000"/>
              <w:right w:val="nil"/>
            </w:tcBorders>
          </w:tcPr>
          <w:p w:rsidR="00A46DCA" w:rsidRPr="00023820" w:rsidRDefault="00A46DCA" w:rsidP="00A26D04">
            <w:pPr>
              <w:keepLines w:val="0"/>
              <w:autoSpaceDE w:val="0"/>
              <w:autoSpaceDN w:val="0"/>
              <w:adjustRightInd w:val="0"/>
              <w:jc w:val="right"/>
              <w:rPr>
                <w:rFonts w:eastAsiaTheme="minorEastAsia" w:cs="Calibri"/>
                <w:b/>
                <w:bCs/>
                <w:color w:val="000000"/>
                <w:szCs w:val="21"/>
                <w:lang w:eastAsia="en-AU"/>
              </w:rPr>
            </w:pPr>
            <w:r>
              <w:rPr>
                <w:rFonts w:eastAsiaTheme="minorEastAsia" w:cs="Calibri"/>
                <w:b/>
                <w:bCs/>
                <w:color w:val="000000"/>
                <w:szCs w:val="21"/>
                <w:lang w:eastAsia="en-AU"/>
              </w:rPr>
              <w:t>31 206</w:t>
            </w:r>
          </w:p>
        </w:tc>
        <w:tc>
          <w:tcPr>
            <w:tcW w:w="2591" w:type="dxa"/>
            <w:tcBorders>
              <w:top w:val="single" w:sz="6" w:space="0" w:color="000000"/>
              <w:left w:val="nil"/>
              <w:bottom w:val="single" w:sz="12" w:space="0" w:color="000000"/>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1"/>
                <w:lang w:eastAsia="en-AU"/>
              </w:rPr>
            </w:pPr>
            <w:r w:rsidRPr="00023820">
              <w:rPr>
                <w:rFonts w:eastAsiaTheme="minorEastAsia" w:cs="Calibri"/>
                <w:b/>
                <w:bCs/>
                <w:color w:val="000000"/>
                <w:szCs w:val="21"/>
                <w:lang w:eastAsia="en-AU"/>
              </w:rPr>
              <w:t>576</w:t>
            </w:r>
          </w:p>
        </w:tc>
        <w:tc>
          <w:tcPr>
            <w:tcW w:w="2591" w:type="dxa"/>
            <w:tcBorders>
              <w:top w:val="single" w:sz="6" w:space="0" w:color="000000"/>
              <w:left w:val="nil"/>
              <w:bottom w:val="single" w:sz="12" w:space="0" w:color="000000"/>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1"/>
                <w:lang w:eastAsia="en-AU"/>
              </w:rPr>
            </w:pPr>
            <w:r>
              <w:rPr>
                <w:rFonts w:eastAsiaTheme="minorEastAsia" w:cs="Calibri"/>
                <w:b/>
                <w:bCs/>
                <w:color w:val="000000"/>
                <w:szCs w:val="21"/>
                <w:lang w:eastAsia="en-AU"/>
              </w:rPr>
              <w:t>99 413</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2591" w:type="dxa"/>
            <w:tcBorders>
              <w:top w:val="nil"/>
              <w:left w:val="nil"/>
              <w:bottom w:val="nil"/>
              <w:right w:val="nil"/>
            </w:tcBorders>
          </w:tcPr>
          <w:p w:rsidR="00A46DCA" w:rsidRPr="00023820" w:rsidRDefault="00A46DCA" w:rsidP="00A26D04">
            <w:pPr>
              <w:keepLines w:val="0"/>
              <w:autoSpaceDE w:val="0"/>
              <w:autoSpaceDN w:val="0"/>
              <w:adjustRightInd w:val="0"/>
              <w:jc w:val="right"/>
              <w:rPr>
                <w:rFonts w:eastAsiaTheme="minorEastAsia" w:cs="Calibri"/>
                <w:b/>
                <w:bCs/>
                <w:color w:val="000000"/>
                <w:lang w:eastAsia="en-AU"/>
              </w:rPr>
            </w:pPr>
            <w:r w:rsidRPr="00023820">
              <w:rPr>
                <w:rFonts w:eastAsiaTheme="minorEastAsia" w:cs="Calibri"/>
                <w:b/>
                <w:bCs/>
                <w:color w:val="000000"/>
                <w:lang w:eastAsia="en-AU"/>
              </w:rPr>
              <w:t xml:space="preserve"> </w:t>
            </w:r>
          </w:p>
        </w:tc>
        <w:tc>
          <w:tcPr>
            <w:tcW w:w="2591"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1"/>
                <w:lang w:eastAsia="en-AU"/>
              </w:rPr>
            </w:pPr>
            <w:r w:rsidRPr="00023820">
              <w:rPr>
                <w:rFonts w:eastAsiaTheme="minorEastAsia" w:cs="Calibri"/>
                <w:b/>
                <w:bCs/>
                <w:color w:val="000000"/>
                <w:szCs w:val="21"/>
                <w:lang w:eastAsia="en-AU"/>
              </w:rPr>
              <w:t xml:space="preserve"> </w:t>
            </w:r>
          </w:p>
        </w:tc>
        <w:tc>
          <w:tcPr>
            <w:tcW w:w="2591"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1"/>
                <w:lang w:eastAsia="en-AU"/>
              </w:rPr>
            </w:pPr>
            <w:r w:rsidRPr="00023820">
              <w:rPr>
                <w:rFonts w:eastAsiaTheme="minorEastAsia" w:cs="Calibri"/>
                <w:b/>
                <w:bCs/>
                <w:color w:val="000000"/>
                <w:szCs w:val="21"/>
                <w:lang w:eastAsia="en-AU"/>
              </w:rPr>
              <w:t xml:space="preserve"> </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2591" w:type="dxa"/>
            <w:tcBorders>
              <w:top w:val="nil"/>
              <w:left w:val="nil"/>
              <w:bottom w:val="nil"/>
              <w:right w:val="nil"/>
            </w:tcBorders>
          </w:tcPr>
          <w:p w:rsidR="00A46DCA" w:rsidRPr="00023820" w:rsidRDefault="00A46DCA" w:rsidP="00A26D04">
            <w:pPr>
              <w:keepLines w:val="0"/>
              <w:autoSpaceDE w:val="0"/>
              <w:autoSpaceDN w:val="0"/>
              <w:adjustRightInd w:val="0"/>
              <w:jc w:val="right"/>
              <w:rPr>
                <w:rFonts w:eastAsiaTheme="minorEastAsia" w:cs="Calibri"/>
                <w:color w:val="000000"/>
                <w:szCs w:val="21"/>
                <w:lang w:eastAsia="en-AU"/>
              </w:rPr>
            </w:pPr>
            <w:r>
              <w:rPr>
                <w:rFonts w:eastAsiaTheme="minorEastAsia" w:cs="Calibri"/>
                <w:color w:val="000000"/>
                <w:szCs w:val="21"/>
                <w:lang w:eastAsia="en-AU"/>
              </w:rPr>
              <w:t>31 206</w:t>
            </w:r>
          </w:p>
        </w:tc>
        <w:tc>
          <w:tcPr>
            <w:tcW w:w="2591"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sidRPr="00023820">
              <w:rPr>
                <w:rFonts w:eastAsiaTheme="minorEastAsia" w:cs="Calibri"/>
                <w:color w:val="000000"/>
                <w:szCs w:val="21"/>
                <w:lang w:eastAsia="en-AU"/>
              </w:rPr>
              <w:t>576</w:t>
            </w:r>
          </w:p>
        </w:tc>
        <w:tc>
          <w:tcPr>
            <w:tcW w:w="2591"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99 413</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2591" w:type="dxa"/>
            <w:tcBorders>
              <w:top w:val="nil"/>
              <w:left w:val="nil"/>
              <w:bottom w:val="nil"/>
              <w:right w:val="nil"/>
            </w:tcBorders>
          </w:tcPr>
          <w:p w:rsidR="00A46DCA" w:rsidRPr="00023820" w:rsidRDefault="00A46DCA" w:rsidP="00A26D04">
            <w:pPr>
              <w:keepLines w:val="0"/>
              <w:autoSpaceDE w:val="0"/>
              <w:autoSpaceDN w:val="0"/>
              <w:adjustRightInd w:val="0"/>
              <w:jc w:val="right"/>
              <w:rPr>
                <w:rFonts w:eastAsiaTheme="minorEastAsia" w:cs="Calibri"/>
                <w:color w:val="000000"/>
                <w:szCs w:val="21"/>
                <w:lang w:eastAsia="en-AU"/>
              </w:rPr>
            </w:pPr>
            <w:r>
              <w:rPr>
                <w:rFonts w:eastAsiaTheme="minorEastAsia" w:cs="Calibri"/>
                <w:color w:val="000000"/>
                <w:szCs w:val="21"/>
                <w:lang w:eastAsia="en-AU"/>
              </w:rPr>
              <w:t>..</w:t>
            </w:r>
          </w:p>
        </w:tc>
        <w:tc>
          <w:tcPr>
            <w:tcW w:w="2591"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w:t>
            </w:r>
          </w:p>
        </w:tc>
        <w:tc>
          <w:tcPr>
            <w:tcW w:w="2591"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(75)</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2591" w:type="dxa"/>
            <w:tcBorders>
              <w:top w:val="nil"/>
              <w:left w:val="nil"/>
              <w:bottom w:val="nil"/>
              <w:right w:val="nil"/>
            </w:tcBorders>
          </w:tcPr>
          <w:p w:rsidR="00A46DCA" w:rsidRPr="00023820" w:rsidRDefault="00A46DCA" w:rsidP="00A26D04">
            <w:pPr>
              <w:keepLines w:val="0"/>
              <w:autoSpaceDE w:val="0"/>
              <w:autoSpaceDN w:val="0"/>
              <w:adjustRightInd w:val="0"/>
              <w:jc w:val="right"/>
              <w:rPr>
                <w:rFonts w:eastAsiaTheme="minorEastAsia" w:cs="Calibri"/>
                <w:color w:val="000000"/>
                <w:szCs w:val="21"/>
                <w:lang w:eastAsia="en-AU"/>
              </w:rPr>
            </w:pPr>
            <w:r>
              <w:rPr>
                <w:rFonts w:eastAsiaTheme="minorEastAsia" w:cs="Calibri"/>
                <w:color w:val="000000"/>
                <w:szCs w:val="21"/>
                <w:lang w:eastAsia="en-AU"/>
              </w:rPr>
              <w:t>1 128</w:t>
            </w:r>
          </w:p>
        </w:tc>
        <w:tc>
          <w:tcPr>
            <w:tcW w:w="2591"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sidRPr="00023820">
              <w:rPr>
                <w:rFonts w:eastAsiaTheme="minorEastAsia" w:cs="Calibri"/>
                <w:color w:val="000000"/>
                <w:szCs w:val="21"/>
                <w:lang w:eastAsia="en-AU"/>
              </w:rPr>
              <w:t>38</w:t>
            </w:r>
          </w:p>
        </w:tc>
        <w:tc>
          <w:tcPr>
            <w:tcW w:w="2591"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1 120</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2591" w:type="dxa"/>
            <w:tcBorders>
              <w:top w:val="nil"/>
              <w:left w:val="nil"/>
              <w:bottom w:val="nil"/>
              <w:right w:val="nil"/>
            </w:tcBorders>
          </w:tcPr>
          <w:p w:rsidR="00A46DCA" w:rsidRPr="00023820" w:rsidRDefault="00A46DCA" w:rsidP="00A26D04">
            <w:pPr>
              <w:keepLines w:val="0"/>
              <w:autoSpaceDE w:val="0"/>
              <w:autoSpaceDN w:val="0"/>
              <w:adjustRightInd w:val="0"/>
              <w:jc w:val="right"/>
              <w:rPr>
                <w:rFonts w:eastAsiaTheme="minorEastAsia" w:cs="Calibri"/>
                <w:color w:val="000000"/>
                <w:szCs w:val="21"/>
                <w:lang w:eastAsia="en-AU"/>
              </w:rPr>
            </w:pPr>
            <w:r>
              <w:rPr>
                <w:rFonts w:eastAsiaTheme="minorEastAsia" w:cs="Calibri"/>
                <w:color w:val="000000"/>
                <w:szCs w:val="21"/>
                <w:lang w:eastAsia="en-AU"/>
              </w:rPr>
              <w:t>..</w:t>
            </w:r>
          </w:p>
        </w:tc>
        <w:tc>
          <w:tcPr>
            <w:tcW w:w="2591"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w:t>
            </w:r>
          </w:p>
        </w:tc>
        <w:tc>
          <w:tcPr>
            <w:tcW w:w="2591"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(142)</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2591" w:type="dxa"/>
            <w:tcBorders>
              <w:top w:val="nil"/>
              <w:left w:val="nil"/>
              <w:bottom w:val="nil"/>
              <w:right w:val="nil"/>
            </w:tcBorders>
          </w:tcPr>
          <w:p w:rsidR="00A46DCA" w:rsidRPr="00023820" w:rsidRDefault="00A46DCA" w:rsidP="00A26D04">
            <w:pPr>
              <w:keepLines w:val="0"/>
              <w:autoSpaceDE w:val="0"/>
              <w:autoSpaceDN w:val="0"/>
              <w:adjustRightInd w:val="0"/>
              <w:jc w:val="right"/>
              <w:rPr>
                <w:rFonts w:eastAsiaTheme="minorEastAsia" w:cs="Calibri"/>
                <w:color w:val="000000"/>
                <w:szCs w:val="21"/>
                <w:lang w:eastAsia="en-AU"/>
              </w:rPr>
            </w:pPr>
            <w:r>
              <w:rPr>
                <w:rFonts w:eastAsiaTheme="minorEastAsia" w:cs="Calibri"/>
                <w:color w:val="000000"/>
                <w:szCs w:val="21"/>
                <w:lang w:eastAsia="en-AU"/>
              </w:rPr>
              <w:t>..</w:t>
            </w:r>
          </w:p>
        </w:tc>
        <w:tc>
          <w:tcPr>
            <w:tcW w:w="2591"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w:t>
            </w:r>
          </w:p>
        </w:tc>
        <w:tc>
          <w:tcPr>
            <w:tcW w:w="2591"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2591" w:type="dxa"/>
            <w:tcBorders>
              <w:top w:val="nil"/>
              <w:left w:val="nil"/>
              <w:bottom w:val="nil"/>
              <w:right w:val="nil"/>
            </w:tcBorders>
          </w:tcPr>
          <w:p w:rsidR="00A46DCA" w:rsidRPr="00023820" w:rsidRDefault="00A46DCA" w:rsidP="00A26D04">
            <w:pPr>
              <w:keepLines w:val="0"/>
              <w:autoSpaceDE w:val="0"/>
              <w:autoSpaceDN w:val="0"/>
              <w:adjustRightInd w:val="0"/>
              <w:jc w:val="right"/>
              <w:rPr>
                <w:rFonts w:eastAsiaTheme="minorEastAsia" w:cs="Calibri"/>
                <w:color w:val="000000"/>
                <w:szCs w:val="21"/>
                <w:lang w:eastAsia="en-AU"/>
              </w:rPr>
            </w:pPr>
            <w:r>
              <w:rPr>
                <w:rFonts w:eastAsiaTheme="minorEastAsia" w:cs="Calibri"/>
                <w:color w:val="000000"/>
                <w:szCs w:val="21"/>
                <w:lang w:eastAsia="en-AU"/>
              </w:rPr>
              <w:t>..</w:t>
            </w:r>
          </w:p>
        </w:tc>
        <w:tc>
          <w:tcPr>
            <w:tcW w:w="2591"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w:t>
            </w:r>
          </w:p>
        </w:tc>
        <w:tc>
          <w:tcPr>
            <w:tcW w:w="2591"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3 572</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2591" w:type="dxa"/>
            <w:tcBorders>
              <w:top w:val="single" w:sz="6" w:space="0" w:color="000000"/>
              <w:left w:val="nil"/>
              <w:bottom w:val="single" w:sz="12" w:space="0" w:color="000000"/>
              <w:right w:val="nil"/>
            </w:tcBorders>
          </w:tcPr>
          <w:p w:rsidR="00A46DCA" w:rsidRPr="00023820" w:rsidRDefault="00A46DCA" w:rsidP="00A26D04">
            <w:pPr>
              <w:keepLines w:val="0"/>
              <w:autoSpaceDE w:val="0"/>
              <w:autoSpaceDN w:val="0"/>
              <w:adjustRightInd w:val="0"/>
              <w:jc w:val="right"/>
              <w:rPr>
                <w:rFonts w:eastAsiaTheme="minorEastAsia" w:cs="Calibri"/>
                <w:b/>
                <w:bCs/>
                <w:color w:val="000000"/>
                <w:szCs w:val="21"/>
                <w:lang w:eastAsia="en-AU"/>
              </w:rPr>
            </w:pPr>
            <w:r>
              <w:rPr>
                <w:rFonts w:eastAsiaTheme="minorEastAsia" w:cs="Calibri"/>
                <w:b/>
                <w:bCs/>
                <w:color w:val="000000"/>
                <w:szCs w:val="21"/>
                <w:lang w:eastAsia="en-AU"/>
              </w:rPr>
              <w:t>32 333</w:t>
            </w:r>
          </w:p>
        </w:tc>
        <w:tc>
          <w:tcPr>
            <w:tcW w:w="2591" w:type="dxa"/>
            <w:tcBorders>
              <w:top w:val="single" w:sz="6" w:space="0" w:color="000000"/>
              <w:left w:val="nil"/>
              <w:bottom w:val="single" w:sz="12" w:space="0" w:color="000000"/>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1"/>
                <w:lang w:eastAsia="en-AU"/>
              </w:rPr>
            </w:pPr>
            <w:r w:rsidRPr="00023820">
              <w:rPr>
                <w:rFonts w:eastAsiaTheme="minorEastAsia" w:cs="Calibri"/>
                <w:b/>
                <w:bCs/>
                <w:color w:val="000000"/>
                <w:szCs w:val="21"/>
                <w:lang w:eastAsia="en-AU"/>
              </w:rPr>
              <w:t>614</w:t>
            </w:r>
          </w:p>
        </w:tc>
        <w:tc>
          <w:tcPr>
            <w:tcW w:w="2591" w:type="dxa"/>
            <w:tcBorders>
              <w:top w:val="single" w:sz="6" w:space="0" w:color="000000"/>
              <w:left w:val="nil"/>
              <w:bottom w:val="single" w:sz="12" w:space="0" w:color="000000"/>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1"/>
                <w:lang w:eastAsia="en-AU"/>
              </w:rPr>
            </w:pPr>
            <w:r>
              <w:rPr>
                <w:rFonts w:eastAsiaTheme="minorEastAsia" w:cs="Calibri"/>
                <w:b/>
                <w:bCs/>
                <w:color w:val="000000"/>
                <w:szCs w:val="21"/>
                <w:lang w:eastAsia="en-AU"/>
              </w:rPr>
              <w:t>103 888</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2591" w:type="dxa"/>
            <w:tcBorders>
              <w:top w:val="nil"/>
              <w:left w:val="nil"/>
              <w:bottom w:val="nil"/>
              <w:right w:val="nil"/>
            </w:tcBorders>
          </w:tcPr>
          <w:p w:rsidR="00A46DCA" w:rsidRPr="00023820" w:rsidRDefault="00A46DCA" w:rsidP="00A26D04">
            <w:pPr>
              <w:keepLines w:val="0"/>
              <w:autoSpaceDE w:val="0"/>
              <w:autoSpaceDN w:val="0"/>
              <w:adjustRightInd w:val="0"/>
              <w:jc w:val="right"/>
              <w:rPr>
                <w:rFonts w:eastAsiaTheme="minorEastAsia" w:cs="Calibri"/>
                <w:b/>
                <w:bCs/>
                <w:color w:val="000000"/>
                <w:lang w:eastAsia="en-AU"/>
              </w:rPr>
            </w:pPr>
            <w:r w:rsidRPr="00023820">
              <w:rPr>
                <w:rFonts w:eastAsiaTheme="minorEastAsia" w:cs="Calibri"/>
                <w:b/>
                <w:bCs/>
                <w:color w:val="000000"/>
                <w:lang w:eastAsia="en-AU"/>
              </w:rPr>
              <w:t xml:space="preserve"> </w:t>
            </w:r>
          </w:p>
        </w:tc>
        <w:tc>
          <w:tcPr>
            <w:tcW w:w="2591"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1"/>
                <w:lang w:eastAsia="en-AU"/>
              </w:rPr>
            </w:pPr>
            <w:r w:rsidRPr="00023820">
              <w:rPr>
                <w:rFonts w:eastAsiaTheme="minorEastAsia" w:cs="Calibri"/>
                <w:b/>
                <w:bCs/>
                <w:color w:val="000000"/>
                <w:szCs w:val="21"/>
                <w:lang w:eastAsia="en-AU"/>
              </w:rPr>
              <w:t xml:space="preserve"> </w:t>
            </w:r>
          </w:p>
        </w:tc>
        <w:tc>
          <w:tcPr>
            <w:tcW w:w="2591"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1"/>
                <w:lang w:eastAsia="en-AU"/>
              </w:rPr>
            </w:pPr>
            <w:r w:rsidRPr="00023820">
              <w:rPr>
                <w:rFonts w:eastAsiaTheme="minorEastAsia" w:cs="Calibri"/>
                <w:b/>
                <w:bCs/>
                <w:color w:val="000000"/>
                <w:szCs w:val="21"/>
                <w:lang w:eastAsia="en-AU"/>
              </w:rPr>
              <w:t xml:space="preserve"> </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2591" w:type="dxa"/>
            <w:tcBorders>
              <w:top w:val="nil"/>
              <w:left w:val="nil"/>
              <w:bottom w:val="nil"/>
              <w:right w:val="nil"/>
            </w:tcBorders>
          </w:tcPr>
          <w:p w:rsidR="00A46DCA" w:rsidRPr="00023820" w:rsidRDefault="00A46DCA" w:rsidP="00A26D04">
            <w:pPr>
              <w:keepLines w:val="0"/>
              <w:autoSpaceDE w:val="0"/>
              <w:autoSpaceDN w:val="0"/>
              <w:adjustRightInd w:val="0"/>
              <w:jc w:val="right"/>
              <w:rPr>
                <w:rFonts w:eastAsiaTheme="minorEastAsia" w:cs="Calibri"/>
                <w:color w:val="000000"/>
                <w:szCs w:val="21"/>
                <w:lang w:eastAsia="en-AU"/>
              </w:rPr>
            </w:pPr>
            <w:r>
              <w:rPr>
                <w:rFonts w:eastAsiaTheme="minorEastAsia" w:cs="Calibri"/>
                <w:color w:val="000000"/>
                <w:szCs w:val="21"/>
                <w:lang w:eastAsia="en-AU"/>
              </w:rPr>
              <w:t>32 333</w:t>
            </w:r>
          </w:p>
        </w:tc>
        <w:tc>
          <w:tcPr>
            <w:tcW w:w="2591"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sidRPr="00023820">
              <w:rPr>
                <w:rFonts w:eastAsiaTheme="minorEastAsia" w:cs="Calibri"/>
                <w:color w:val="000000"/>
                <w:szCs w:val="21"/>
                <w:lang w:eastAsia="en-AU"/>
              </w:rPr>
              <w:t>614</w:t>
            </w:r>
          </w:p>
        </w:tc>
        <w:tc>
          <w:tcPr>
            <w:tcW w:w="2591"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103 888</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2591" w:type="dxa"/>
            <w:tcBorders>
              <w:top w:val="nil"/>
              <w:left w:val="nil"/>
              <w:bottom w:val="nil"/>
              <w:right w:val="nil"/>
            </w:tcBorders>
          </w:tcPr>
          <w:p w:rsidR="00A46DCA" w:rsidRPr="00023820" w:rsidRDefault="00A46DCA" w:rsidP="00A26D04">
            <w:pPr>
              <w:keepLines w:val="0"/>
              <w:autoSpaceDE w:val="0"/>
              <w:autoSpaceDN w:val="0"/>
              <w:adjustRightInd w:val="0"/>
              <w:jc w:val="right"/>
              <w:rPr>
                <w:rFonts w:eastAsiaTheme="minorEastAsia" w:cs="Calibri"/>
                <w:color w:val="000000"/>
                <w:szCs w:val="21"/>
                <w:lang w:eastAsia="en-AU"/>
              </w:rPr>
            </w:pPr>
            <w:r>
              <w:rPr>
                <w:rFonts w:eastAsiaTheme="minorEastAsia" w:cs="Calibri"/>
                <w:color w:val="000000"/>
                <w:szCs w:val="21"/>
                <w:lang w:eastAsia="en-AU"/>
              </w:rPr>
              <w:t>..</w:t>
            </w:r>
          </w:p>
        </w:tc>
        <w:tc>
          <w:tcPr>
            <w:tcW w:w="2591"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w:t>
            </w:r>
          </w:p>
        </w:tc>
        <w:tc>
          <w:tcPr>
            <w:tcW w:w="2591"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(489)</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2591" w:type="dxa"/>
            <w:tcBorders>
              <w:top w:val="nil"/>
              <w:left w:val="nil"/>
              <w:bottom w:val="nil"/>
              <w:right w:val="nil"/>
            </w:tcBorders>
          </w:tcPr>
          <w:p w:rsidR="00A46DCA" w:rsidRPr="00023820" w:rsidRDefault="00A46DCA" w:rsidP="00A26D04">
            <w:pPr>
              <w:keepLines w:val="0"/>
              <w:autoSpaceDE w:val="0"/>
              <w:autoSpaceDN w:val="0"/>
              <w:adjustRightInd w:val="0"/>
              <w:jc w:val="right"/>
              <w:rPr>
                <w:rFonts w:eastAsiaTheme="minorEastAsia" w:cs="Calibri"/>
                <w:color w:val="000000"/>
                <w:szCs w:val="21"/>
                <w:lang w:eastAsia="en-AU"/>
              </w:rPr>
            </w:pPr>
            <w:r>
              <w:rPr>
                <w:rFonts w:eastAsiaTheme="minorEastAsia" w:cs="Calibri"/>
                <w:color w:val="000000"/>
                <w:szCs w:val="21"/>
                <w:lang w:eastAsia="en-AU"/>
              </w:rPr>
              <w:t>1 077</w:t>
            </w:r>
          </w:p>
        </w:tc>
        <w:tc>
          <w:tcPr>
            <w:tcW w:w="2591"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sidRPr="00023820">
              <w:rPr>
                <w:rFonts w:eastAsiaTheme="minorEastAsia" w:cs="Calibri"/>
                <w:color w:val="000000"/>
                <w:szCs w:val="21"/>
                <w:lang w:eastAsia="en-AU"/>
              </w:rPr>
              <w:t>19</w:t>
            </w:r>
          </w:p>
        </w:tc>
        <w:tc>
          <w:tcPr>
            <w:tcW w:w="2591"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1 054</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2591" w:type="dxa"/>
            <w:tcBorders>
              <w:top w:val="nil"/>
              <w:left w:val="nil"/>
              <w:bottom w:val="nil"/>
              <w:right w:val="nil"/>
            </w:tcBorders>
          </w:tcPr>
          <w:p w:rsidR="00A46DCA" w:rsidRPr="00023820" w:rsidRDefault="00A46DCA" w:rsidP="00A26D04">
            <w:pPr>
              <w:keepLines w:val="0"/>
              <w:autoSpaceDE w:val="0"/>
              <w:autoSpaceDN w:val="0"/>
              <w:adjustRightInd w:val="0"/>
              <w:jc w:val="right"/>
              <w:rPr>
                <w:rFonts w:eastAsiaTheme="minorEastAsia" w:cs="Calibri"/>
                <w:color w:val="000000"/>
                <w:szCs w:val="21"/>
                <w:lang w:eastAsia="en-AU"/>
              </w:rPr>
            </w:pPr>
            <w:r>
              <w:rPr>
                <w:rFonts w:eastAsiaTheme="minorEastAsia" w:cs="Calibri"/>
                <w:color w:val="000000"/>
                <w:szCs w:val="21"/>
                <w:lang w:eastAsia="en-AU"/>
              </w:rPr>
              <w:t>..</w:t>
            </w:r>
          </w:p>
        </w:tc>
        <w:tc>
          <w:tcPr>
            <w:tcW w:w="2591"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w:t>
            </w:r>
          </w:p>
        </w:tc>
        <w:tc>
          <w:tcPr>
            <w:tcW w:w="2591"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(195)</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2591" w:type="dxa"/>
            <w:tcBorders>
              <w:top w:val="nil"/>
              <w:left w:val="nil"/>
              <w:bottom w:val="nil"/>
              <w:right w:val="nil"/>
            </w:tcBorders>
          </w:tcPr>
          <w:p w:rsidR="00A46DCA" w:rsidRPr="00023820" w:rsidRDefault="00A46DCA" w:rsidP="00A26D04">
            <w:pPr>
              <w:keepLines w:val="0"/>
              <w:autoSpaceDE w:val="0"/>
              <w:autoSpaceDN w:val="0"/>
              <w:adjustRightInd w:val="0"/>
              <w:jc w:val="right"/>
              <w:rPr>
                <w:rFonts w:eastAsiaTheme="minorEastAsia" w:cs="Calibri"/>
                <w:color w:val="000000"/>
                <w:szCs w:val="21"/>
                <w:lang w:eastAsia="en-AU"/>
              </w:rPr>
            </w:pPr>
            <w:r>
              <w:rPr>
                <w:rFonts w:eastAsiaTheme="minorEastAsia" w:cs="Calibri"/>
                <w:color w:val="000000"/>
                <w:szCs w:val="21"/>
                <w:lang w:eastAsia="en-AU"/>
              </w:rPr>
              <w:t>..</w:t>
            </w:r>
          </w:p>
        </w:tc>
        <w:tc>
          <w:tcPr>
            <w:tcW w:w="2591"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w:t>
            </w:r>
          </w:p>
        </w:tc>
        <w:tc>
          <w:tcPr>
            <w:tcW w:w="2591"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2591" w:type="dxa"/>
            <w:tcBorders>
              <w:top w:val="nil"/>
              <w:left w:val="nil"/>
              <w:bottom w:val="nil"/>
              <w:right w:val="nil"/>
            </w:tcBorders>
          </w:tcPr>
          <w:p w:rsidR="00A46DCA" w:rsidRPr="00023820" w:rsidRDefault="00A46DCA" w:rsidP="00A26D04">
            <w:pPr>
              <w:keepLines w:val="0"/>
              <w:autoSpaceDE w:val="0"/>
              <w:autoSpaceDN w:val="0"/>
              <w:adjustRightInd w:val="0"/>
              <w:jc w:val="right"/>
              <w:rPr>
                <w:rFonts w:eastAsiaTheme="minorEastAsia" w:cs="Calibri"/>
                <w:color w:val="000000"/>
                <w:szCs w:val="21"/>
                <w:lang w:eastAsia="en-AU"/>
              </w:rPr>
            </w:pPr>
            <w:r>
              <w:rPr>
                <w:rFonts w:eastAsiaTheme="minorEastAsia" w:cs="Calibri"/>
                <w:color w:val="000000"/>
                <w:szCs w:val="21"/>
                <w:lang w:eastAsia="en-AU"/>
              </w:rPr>
              <w:t>..</w:t>
            </w:r>
          </w:p>
        </w:tc>
        <w:tc>
          <w:tcPr>
            <w:tcW w:w="2591"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w:t>
            </w:r>
          </w:p>
        </w:tc>
        <w:tc>
          <w:tcPr>
            <w:tcW w:w="2591"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3 829</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2591" w:type="dxa"/>
            <w:tcBorders>
              <w:top w:val="single" w:sz="6" w:space="0" w:color="000000"/>
              <w:left w:val="nil"/>
              <w:bottom w:val="single" w:sz="12" w:space="0" w:color="000000"/>
              <w:right w:val="nil"/>
            </w:tcBorders>
          </w:tcPr>
          <w:p w:rsidR="00A46DCA" w:rsidRPr="00023820" w:rsidRDefault="00A46DCA" w:rsidP="00A26D04">
            <w:pPr>
              <w:keepLines w:val="0"/>
              <w:autoSpaceDE w:val="0"/>
              <w:autoSpaceDN w:val="0"/>
              <w:adjustRightInd w:val="0"/>
              <w:jc w:val="right"/>
              <w:rPr>
                <w:rFonts w:eastAsiaTheme="minorEastAsia" w:cs="Calibri"/>
                <w:b/>
                <w:bCs/>
                <w:color w:val="000000"/>
                <w:szCs w:val="21"/>
                <w:lang w:eastAsia="en-AU"/>
              </w:rPr>
            </w:pPr>
            <w:r>
              <w:rPr>
                <w:rFonts w:eastAsiaTheme="minorEastAsia" w:cs="Calibri"/>
                <w:b/>
                <w:bCs/>
                <w:color w:val="000000"/>
                <w:szCs w:val="21"/>
                <w:lang w:eastAsia="en-AU"/>
              </w:rPr>
              <w:t>33 410</w:t>
            </w:r>
          </w:p>
        </w:tc>
        <w:tc>
          <w:tcPr>
            <w:tcW w:w="2591" w:type="dxa"/>
            <w:tcBorders>
              <w:top w:val="single" w:sz="6" w:space="0" w:color="000000"/>
              <w:left w:val="nil"/>
              <w:bottom w:val="single" w:sz="12" w:space="0" w:color="000000"/>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1"/>
                <w:lang w:eastAsia="en-AU"/>
              </w:rPr>
            </w:pPr>
            <w:r w:rsidRPr="00023820">
              <w:rPr>
                <w:rFonts w:eastAsiaTheme="minorEastAsia" w:cs="Calibri"/>
                <w:b/>
                <w:bCs/>
                <w:color w:val="000000"/>
                <w:szCs w:val="21"/>
                <w:lang w:eastAsia="en-AU"/>
              </w:rPr>
              <w:t>633</w:t>
            </w:r>
          </w:p>
        </w:tc>
        <w:tc>
          <w:tcPr>
            <w:tcW w:w="2591" w:type="dxa"/>
            <w:tcBorders>
              <w:top w:val="single" w:sz="6" w:space="0" w:color="000000"/>
              <w:left w:val="nil"/>
              <w:bottom w:val="single" w:sz="12" w:space="0" w:color="000000"/>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1"/>
                <w:lang w:eastAsia="en-AU"/>
              </w:rPr>
            </w:pPr>
            <w:r>
              <w:rPr>
                <w:rFonts w:eastAsiaTheme="minorEastAsia" w:cs="Calibri"/>
                <w:b/>
                <w:bCs/>
                <w:color w:val="000000"/>
                <w:szCs w:val="21"/>
                <w:lang w:eastAsia="en-AU"/>
              </w:rPr>
              <w:t>108 087</w:t>
            </w:r>
          </w:p>
        </w:tc>
      </w:tr>
    </w:tbl>
    <w:p w:rsidR="00A46DCA" w:rsidRDefault="00A46DCA" w:rsidP="00A26D04"/>
    <w:p w:rsidR="00A46DCA" w:rsidRPr="00023820" w:rsidRDefault="00A46DCA" w:rsidP="00A26D04">
      <w:pPr>
        <w:pStyle w:val="TableHeading"/>
        <w:rPr>
          <w:bCs/>
          <w:lang w:val="en-US"/>
        </w:rPr>
      </w:pPr>
      <w:r>
        <w:lastRenderedPageBreak/>
        <w:t>Table 5.5</w:t>
      </w:r>
      <w:r w:rsidR="008110D9">
        <w:t>:</w:t>
      </w:r>
      <w:r>
        <w:tab/>
        <w:t>Derivation of public non-financial corporations sector GFS cash surplus/(deficit)</w:t>
      </w:r>
      <w:r>
        <w:tab/>
        <w:t>($ million)</w:t>
      </w:r>
    </w:p>
    <w:tbl>
      <w:tblPr>
        <w:tblStyle w:val="DTFTable"/>
        <w:tblW w:w="7765" w:type="dxa"/>
        <w:tblInd w:w="45" w:type="dxa"/>
        <w:tblLayout w:type="fixed"/>
        <w:tblCellMar>
          <w:left w:w="45" w:type="dxa"/>
          <w:right w:w="45" w:type="dxa"/>
        </w:tblCellMar>
        <w:tblLook w:val="06E0" w:firstRow="1" w:lastRow="1" w:firstColumn="1" w:lastColumn="0" w:noHBand="1" w:noVBand="1"/>
      </w:tblPr>
      <w:tblGrid>
        <w:gridCol w:w="3515"/>
        <w:gridCol w:w="850"/>
        <w:gridCol w:w="850"/>
        <w:gridCol w:w="850"/>
        <w:gridCol w:w="850"/>
        <w:gridCol w:w="850"/>
      </w:tblGrid>
      <w:tr w:rsidR="00A26D04" w:rsidRPr="00023820" w:rsidTr="008110D9">
        <w:trPr>
          <w:cnfStyle w:val="100000000000" w:firstRow="1" w:lastRow="0" w:firstColumn="0" w:lastColumn="0" w:oddVBand="0" w:evenVBand="0" w:oddHBand="0" w:evenHBand="0" w:firstRowFirstColumn="0" w:firstRowLastColumn="0" w:lastRowFirstColumn="0" w:lastRowLastColumn="0"/>
          <w:trHeight w:val="243"/>
          <w:tblHeader/>
        </w:trPr>
        <w:tc>
          <w:tcPr>
            <w:cnfStyle w:val="001000000000" w:firstRow="0" w:lastRow="0" w:firstColumn="1" w:lastColumn="0" w:oddVBand="0" w:evenVBand="0" w:oddHBand="0" w:evenHBand="0" w:firstRowFirstColumn="0" w:firstRowLastColumn="0" w:lastRowFirstColumn="0" w:lastRowLastColumn="0"/>
            <w:tcW w:w="3515" w:type="dxa"/>
            <w:tcBorders>
              <w:top w:val="nil"/>
              <w:left w:val="nil"/>
              <w:right w:val="nil"/>
            </w:tcBorders>
            <w:shd w:val="solid" w:color="000000" w:fill="auto"/>
          </w:tcPr>
          <w:p w:rsidR="00A26D04" w:rsidRPr="00023820" w:rsidRDefault="00A26D04" w:rsidP="00A26D04">
            <w:pPr>
              <w:autoSpaceDE w:val="0"/>
              <w:autoSpaceDN w:val="0"/>
              <w:adjustRightInd w:val="0"/>
              <w:rPr>
                <w:rFonts w:eastAsiaTheme="minorEastAsia" w:cs="Calibri"/>
                <w:iCs/>
                <w:color w:val="FFFFFF"/>
                <w:lang w:eastAsia="en-AU"/>
              </w:rPr>
            </w:pPr>
            <w:r w:rsidRPr="00023820">
              <w:rPr>
                <w:rFonts w:eastAsiaTheme="minorEastAsia" w:cs="Calibri"/>
                <w:iCs/>
                <w:color w:val="FFFFFF"/>
                <w:lang w:eastAsia="en-AU"/>
              </w:rPr>
              <w:t xml:space="preserve">  </w:t>
            </w:r>
          </w:p>
        </w:tc>
        <w:tc>
          <w:tcPr>
            <w:tcW w:w="850" w:type="dxa"/>
            <w:tcBorders>
              <w:top w:val="nil"/>
              <w:left w:val="nil"/>
              <w:right w:val="nil"/>
            </w:tcBorders>
            <w:shd w:val="solid" w:color="000000" w:fill="auto"/>
          </w:tcPr>
          <w:p w:rsidR="00A26D04" w:rsidRPr="00023820" w:rsidRDefault="00A26D04" w:rsidP="00A26D0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023820">
              <w:rPr>
                <w:rFonts w:eastAsiaTheme="minorEastAsia" w:cs="Calibri"/>
                <w:iCs/>
                <w:color w:val="FFFFFF"/>
                <w:szCs w:val="16"/>
                <w:lang w:eastAsia="en-AU"/>
              </w:rPr>
              <w:t>2017-18</w:t>
            </w:r>
            <w:r>
              <w:rPr>
                <w:rFonts w:eastAsiaTheme="minorEastAsia" w:cs="Calibri"/>
                <w:iCs/>
                <w:color w:val="FFFFFF"/>
                <w:szCs w:val="16"/>
                <w:lang w:eastAsia="en-AU"/>
              </w:rPr>
              <w:br/>
            </w:r>
            <w:r w:rsidRPr="00023820">
              <w:rPr>
                <w:rFonts w:eastAsiaTheme="minorEastAsia" w:cs="Calibri"/>
                <w:iCs/>
                <w:color w:val="FFFFFF"/>
                <w:szCs w:val="16"/>
                <w:lang w:eastAsia="en-AU"/>
              </w:rPr>
              <w:t>budget</w:t>
            </w:r>
          </w:p>
        </w:tc>
        <w:tc>
          <w:tcPr>
            <w:tcW w:w="850" w:type="dxa"/>
            <w:tcBorders>
              <w:top w:val="nil"/>
              <w:left w:val="nil"/>
              <w:right w:val="nil"/>
            </w:tcBorders>
            <w:shd w:val="solid" w:color="000000" w:fill="auto"/>
          </w:tcPr>
          <w:p w:rsidR="00A26D04" w:rsidRPr="00023820" w:rsidRDefault="00A26D04" w:rsidP="00A26D0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023820">
              <w:rPr>
                <w:rFonts w:eastAsiaTheme="minorEastAsia" w:cs="Calibri"/>
                <w:iCs/>
                <w:color w:val="FFFFFF"/>
                <w:szCs w:val="16"/>
                <w:lang w:eastAsia="en-AU"/>
              </w:rPr>
              <w:t>2017-18</w:t>
            </w:r>
            <w:r>
              <w:rPr>
                <w:rFonts w:eastAsiaTheme="minorEastAsia" w:cs="Calibri"/>
                <w:iCs/>
                <w:color w:val="FFFFFF"/>
                <w:szCs w:val="16"/>
                <w:lang w:eastAsia="en-AU"/>
              </w:rPr>
              <w:br/>
            </w:r>
            <w:r w:rsidRPr="00023820">
              <w:rPr>
                <w:rFonts w:eastAsiaTheme="minorEastAsia" w:cs="Calibri"/>
                <w:iCs/>
                <w:color w:val="FFFFFF"/>
                <w:szCs w:val="16"/>
                <w:lang w:eastAsia="en-AU"/>
              </w:rPr>
              <w:t>revised</w:t>
            </w:r>
          </w:p>
        </w:tc>
        <w:tc>
          <w:tcPr>
            <w:tcW w:w="850" w:type="dxa"/>
            <w:tcBorders>
              <w:top w:val="nil"/>
              <w:left w:val="nil"/>
              <w:right w:val="nil"/>
            </w:tcBorders>
            <w:shd w:val="solid" w:color="000000" w:fill="auto"/>
          </w:tcPr>
          <w:p w:rsidR="00A26D04" w:rsidRPr="00023820" w:rsidRDefault="00A26D04" w:rsidP="00A26D0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023820">
              <w:rPr>
                <w:rFonts w:eastAsiaTheme="minorEastAsia" w:cs="Calibri"/>
                <w:iCs/>
                <w:color w:val="FFFFFF"/>
                <w:szCs w:val="16"/>
                <w:lang w:eastAsia="en-AU"/>
              </w:rPr>
              <w:t>2018-19</w:t>
            </w:r>
            <w:r>
              <w:rPr>
                <w:rFonts w:eastAsiaTheme="minorEastAsia" w:cs="Calibri"/>
                <w:iCs/>
                <w:color w:val="FFFFFF"/>
                <w:szCs w:val="16"/>
                <w:lang w:eastAsia="en-AU"/>
              </w:rPr>
              <w:br/>
            </w:r>
            <w:r w:rsidRPr="00023820">
              <w:rPr>
                <w:rFonts w:eastAsiaTheme="minorEastAsia" w:cs="Calibri"/>
                <w:iCs/>
                <w:color w:val="FFFFFF"/>
                <w:szCs w:val="16"/>
                <w:lang w:eastAsia="en-AU"/>
              </w:rPr>
              <w:t>estimate</w:t>
            </w:r>
          </w:p>
        </w:tc>
        <w:tc>
          <w:tcPr>
            <w:tcW w:w="850" w:type="dxa"/>
            <w:tcBorders>
              <w:top w:val="nil"/>
              <w:left w:val="nil"/>
              <w:right w:val="nil"/>
            </w:tcBorders>
            <w:shd w:val="solid" w:color="000000" w:fill="auto"/>
          </w:tcPr>
          <w:p w:rsidR="00A26D04" w:rsidRPr="00023820" w:rsidRDefault="00A26D04" w:rsidP="00A26D0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023820">
              <w:rPr>
                <w:rFonts w:eastAsiaTheme="minorEastAsia" w:cs="Calibri"/>
                <w:iCs/>
                <w:color w:val="FFFFFF"/>
                <w:szCs w:val="16"/>
                <w:lang w:eastAsia="en-AU"/>
              </w:rPr>
              <w:t>2019-20</w:t>
            </w:r>
            <w:r>
              <w:rPr>
                <w:rFonts w:eastAsiaTheme="minorEastAsia" w:cs="Calibri"/>
                <w:iCs/>
                <w:color w:val="FFFFFF"/>
                <w:szCs w:val="16"/>
                <w:lang w:eastAsia="en-AU"/>
              </w:rPr>
              <w:br/>
            </w:r>
            <w:r w:rsidRPr="00023820">
              <w:rPr>
                <w:rFonts w:eastAsiaTheme="minorEastAsia" w:cs="Calibri"/>
                <w:iCs/>
                <w:color w:val="FFFFFF"/>
                <w:szCs w:val="16"/>
                <w:lang w:eastAsia="en-AU"/>
              </w:rPr>
              <w:t>estimate</w:t>
            </w:r>
          </w:p>
        </w:tc>
        <w:tc>
          <w:tcPr>
            <w:tcW w:w="850" w:type="dxa"/>
            <w:tcBorders>
              <w:top w:val="nil"/>
              <w:left w:val="nil"/>
              <w:right w:val="nil"/>
            </w:tcBorders>
            <w:shd w:val="solid" w:color="000000" w:fill="auto"/>
          </w:tcPr>
          <w:p w:rsidR="00A26D04" w:rsidRPr="00023820" w:rsidRDefault="00A26D04" w:rsidP="00A26D0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023820">
              <w:rPr>
                <w:rFonts w:eastAsiaTheme="minorEastAsia" w:cs="Calibri"/>
                <w:iCs/>
                <w:color w:val="FFFFFF"/>
                <w:szCs w:val="16"/>
                <w:lang w:eastAsia="en-AU"/>
              </w:rPr>
              <w:t>2020-21</w:t>
            </w:r>
            <w:r>
              <w:rPr>
                <w:rFonts w:eastAsiaTheme="minorEastAsia" w:cs="Calibri"/>
                <w:iCs/>
                <w:color w:val="FFFFFF"/>
                <w:szCs w:val="16"/>
                <w:lang w:eastAsia="en-AU"/>
              </w:rPr>
              <w:br/>
            </w:r>
            <w:r w:rsidRPr="00023820">
              <w:rPr>
                <w:rFonts w:eastAsiaTheme="minorEastAsia" w:cs="Calibri"/>
                <w:iCs/>
                <w:color w:val="FFFFFF"/>
                <w:szCs w:val="16"/>
                <w:lang w:eastAsia="en-AU"/>
              </w:rPr>
              <w:t>estimate</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A46DCA" w:rsidRPr="00023820" w:rsidRDefault="00A46DCA" w:rsidP="00A26D04">
            <w:pPr>
              <w:keepLines w:val="0"/>
              <w:autoSpaceDE w:val="0"/>
              <w:autoSpaceDN w:val="0"/>
              <w:adjustRightInd w:val="0"/>
              <w:rPr>
                <w:rFonts w:eastAsiaTheme="minorEastAsia" w:cs="Calibri"/>
                <w:b/>
                <w:bCs/>
                <w:color w:val="000000"/>
                <w:szCs w:val="16"/>
                <w:lang w:eastAsia="en-AU"/>
              </w:rPr>
            </w:pPr>
            <w:r w:rsidRPr="00023820">
              <w:rPr>
                <w:rFonts w:eastAsiaTheme="minorEastAsia" w:cs="Calibri"/>
                <w:b/>
                <w:bCs/>
                <w:color w:val="000000"/>
                <w:szCs w:val="16"/>
                <w:lang w:eastAsia="en-AU"/>
              </w:rPr>
              <w:t>Cash surplus/(deficit)</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Pr>
                <w:rFonts w:eastAsiaTheme="minorEastAsia" w:cs="Calibri"/>
                <w:b/>
                <w:bCs/>
                <w:color w:val="000000"/>
                <w:szCs w:val="16"/>
                <w:lang w:eastAsia="en-AU"/>
              </w:rPr>
              <w:t>(1 929)</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Pr>
                <w:rFonts w:eastAsiaTheme="minorEastAsia" w:cs="Calibri"/>
                <w:b/>
                <w:bCs/>
                <w:color w:val="000000"/>
                <w:szCs w:val="16"/>
                <w:lang w:eastAsia="en-AU"/>
              </w:rPr>
              <w:t>(1 773)</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Pr>
                <w:rFonts w:eastAsiaTheme="minorEastAsia" w:cs="Calibri"/>
                <w:b/>
                <w:bCs/>
                <w:color w:val="000000"/>
                <w:szCs w:val="16"/>
                <w:lang w:eastAsia="en-AU"/>
              </w:rPr>
              <w:t>(1 415)</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Pr>
                <w:rFonts w:eastAsiaTheme="minorEastAsia" w:cs="Calibri"/>
                <w:b/>
                <w:bCs/>
                <w:color w:val="000000"/>
                <w:szCs w:val="16"/>
                <w:lang w:eastAsia="en-AU"/>
              </w:rPr>
              <w:t>(1 210)</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Pr>
                <w:rFonts w:eastAsiaTheme="minorEastAsia" w:cs="Calibri"/>
                <w:b/>
                <w:bCs/>
                <w:color w:val="000000"/>
                <w:szCs w:val="16"/>
                <w:lang w:eastAsia="en-AU"/>
              </w:rPr>
              <w:t>(281)</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A46DCA" w:rsidRPr="00023820" w:rsidRDefault="00A46DCA" w:rsidP="00A26D04">
            <w:pPr>
              <w:keepLines w:val="0"/>
              <w:autoSpaceDE w:val="0"/>
              <w:autoSpaceDN w:val="0"/>
              <w:adjustRightInd w:val="0"/>
              <w:rPr>
                <w:rFonts w:eastAsiaTheme="minorEastAsia" w:cs="Calibri"/>
                <w:color w:val="000000"/>
                <w:szCs w:val="16"/>
                <w:lang w:eastAsia="en-AU"/>
              </w:rPr>
            </w:pPr>
            <w:r w:rsidRPr="00023820">
              <w:rPr>
                <w:rFonts w:eastAsiaTheme="minorEastAsia" w:cs="Calibri"/>
                <w:color w:val="000000"/>
                <w:szCs w:val="16"/>
                <w:lang w:eastAsia="en-AU"/>
              </w:rPr>
              <w:t>Convergence differences:</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023820">
              <w:rPr>
                <w:rFonts w:eastAsiaTheme="minorEastAsia" w:cs="Calibri"/>
                <w:color w:val="000000"/>
                <w:lang w:eastAsia="en-AU"/>
              </w:rPr>
              <w:t xml:space="preserve"> </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023820">
              <w:rPr>
                <w:rFonts w:eastAsiaTheme="minorEastAsia" w:cs="Calibri"/>
                <w:color w:val="000000"/>
                <w:lang w:eastAsia="en-AU"/>
              </w:rPr>
              <w:t xml:space="preserve"> </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023820">
              <w:rPr>
                <w:rFonts w:eastAsiaTheme="minorEastAsia" w:cs="Calibri"/>
                <w:color w:val="000000"/>
                <w:lang w:eastAsia="en-AU"/>
              </w:rPr>
              <w:t xml:space="preserve"> </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023820">
              <w:rPr>
                <w:rFonts w:eastAsiaTheme="minorEastAsia" w:cs="Calibri"/>
                <w:color w:val="000000"/>
                <w:lang w:eastAsia="en-AU"/>
              </w:rPr>
              <w:t xml:space="preserve"> </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023820">
              <w:rPr>
                <w:rFonts w:eastAsiaTheme="minorEastAsia" w:cs="Calibri"/>
                <w:color w:val="000000"/>
                <w:lang w:eastAsia="en-AU"/>
              </w:rPr>
              <w:t xml:space="preserve"> </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A46DCA" w:rsidRPr="00023820" w:rsidRDefault="00A46DCA" w:rsidP="00A26D04">
            <w:pPr>
              <w:keepLines w:val="0"/>
              <w:autoSpaceDE w:val="0"/>
              <w:autoSpaceDN w:val="0"/>
              <w:adjustRightInd w:val="0"/>
              <w:rPr>
                <w:rFonts w:eastAsiaTheme="minorEastAsia" w:cs="Calibri"/>
                <w:color w:val="000000"/>
                <w:szCs w:val="16"/>
                <w:lang w:eastAsia="en-AU"/>
              </w:rPr>
            </w:pPr>
            <w:r w:rsidRPr="00023820">
              <w:rPr>
                <w:rFonts w:eastAsiaTheme="minorEastAsia" w:cs="Calibri"/>
                <w:color w:val="000000"/>
                <w:szCs w:val="16"/>
                <w:lang w:eastAsia="en-AU"/>
              </w:rPr>
              <w:t xml:space="preserve">Acquisitions under finance leases and </w:t>
            </w:r>
            <w:r>
              <w:rPr>
                <w:rFonts w:eastAsiaTheme="minorEastAsia" w:cs="Calibri"/>
                <w:color w:val="000000"/>
                <w:szCs w:val="16"/>
                <w:lang w:eastAsia="en-AU"/>
              </w:rPr>
              <w:br/>
            </w:r>
            <w:r w:rsidRPr="00023820">
              <w:rPr>
                <w:rFonts w:eastAsiaTheme="minorEastAsia" w:cs="Calibri"/>
                <w:color w:val="000000"/>
                <w:szCs w:val="16"/>
                <w:lang w:eastAsia="en-AU"/>
              </w:rPr>
              <w:t>similar arrangements</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w:t>
            </w:r>
            <w:r w:rsidRPr="00023820">
              <w:rPr>
                <w:rFonts w:eastAsiaTheme="minorEastAsia" w:cs="Calibri"/>
                <w:color w:val="000000"/>
                <w:szCs w:val="16"/>
                <w:lang w:eastAsia="en-AU"/>
              </w:rPr>
              <w:t xml:space="preserve"> </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w:t>
            </w:r>
            <w:r w:rsidRPr="00023820">
              <w:rPr>
                <w:rFonts w:eastAsiaTheme="minorEastAsia" w:cs="Calibri"/>
                <w:color w:val="000000"/>
                <w:szCs w:val="16"/>
                <w:lang w:eastAsia="en-AU"/>
              </w:rPr>
              <w:t xml:space="preserve"> </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w:t>
            </w:r>
            <w:r w:rsidRPr="00023820">
              <w:rPr>
                <w:rFonts w:eastAsiaTheme="minorEastAsia" w:cs="Calibri"/>
                <w:color w:val="000000"/>
                <w:szCs w:val="16"/>
                <w:lang w:eastAsia="en-AU"/>
              </w:rPr>
              <w:t xml:space="preserve"> </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w:t>
            </w:r>
            <w:r w:rsidRPr="00023820">
              <w:rPr>
                <w:rFonts w:eastAsiaTheme="minorEastAsia" w:cs="Calibri"/>
                <w:color w:val="000000"/>
                <w:szCs w:val="16"/>
                <w:lang w:eastAsia="en-AU"/>
              </w:rPr>
              <w:t xml:space="preserve"> </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w:t>
            </w:r>
            <w:r w:rsidRPr="00023820">
              <w:rPr>
                <w:rFonts w:eastAsiaTheme="minorEastAsia" w:cs="Calibri"/>
                <w:color w:val="000000"/>
                <w:szCs w:val="16"/>
                <w:lang w:eastAsia="en-AU"/>
              </w:rPr>
              <w:t xml:space="preserve"> </w:t>
            </w:r>
          </w:p>
        </w:tc>
      </w:tr>
      <w:tr w:rsidR="00A46DCA" w:rsidRPr="00023820" w:rsidTr="00A26D04">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5" w:type="dxa"/>
            <w:tcBorders>
              <w:top w:val="single" w:sz="6" w:space="0" w:color="000000"/>
              <w:bottom w:val="single" w:sz="12" w:space="0" w:color="000000"/>
            </w:tcBorders>
          </w:tcPr>
          <w:p w:rsidR="00A46DCA" w:rsidRPr="00023820" w:rsidRDefault="00A46DCA" w:rsidP="00A26D04">
            <w:pPr>
              <w:keepLines w:val="0"/>
              <w:autoSpaceDE w:val="0"/>
              <w:autoSpaceDN w:val="0"/>
              <w:adjustRightInd w:val="0"/>
              <w:rPr>
                <w:rFonts w:eastAsiaTheme="minorEastAsia" w:cs="Calibri"/>
                <w:bCs/>
                <w:color w:val="000000"/>
                <w:szCs w:val="16"/>
                <w:vertAlign w:val="superscript"/>
                <w:lang w:eastAsia="en-AU"/>
              </w:rPr>
            </w:pPr>
            <w:r w:rsidRPr="00023820">
              <w:rPr>
                <w:rFonts w:eastAsiaTheme="minorEastAsia" w:cs="Calibri"/>
                <w:bCs/>
                <w:color w:val="000000"/>
                <w:szCs w:val="16"/>
                <w:lang w:eastAsia="en-AU"/>
              </w:rPr>
              <w:t xml:space="preserve">GFS cash surplus/(deficit) </w:t>
            </w:r>
            <w:r w:rsidRPr="00023820">
              <w:rPr>
                <w:rFonts w:eastAsiaTheme="minorEastAsia" w:cs="Calibri"/>
                <w:bCs/>
                <w:color w:val="000000"/>
                <w:szCs w:val="16"/>
                <w:vertAlign w:val="superscript"/>
                <w:lang w:eastAsia="en-AU"/>
              </w:rPr>
              <w:t>(a)</w:t>
            </w:r>
          </w:p>
        </w:tc>
        <w:tc>
          <w:tcPr>
            <w:tcW w:w="850" w:type="dxa"/>
            <w:tcBorders>
              <w:top w:val="single" w:sz="6" w:space="0" w:color="000000"/>
              <w:bottom w:val="single" w:sz="12" w:space="0" w:color="000000"/>
            </w:tcBorders>
          </w:tcPr>
          <w:p w:rsidR="00A46DCA" w:rsidRPr="00023820" w:rsidRDefault="00A46DCA" w:rsidP="00A26D0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6"/>
                <w:lang w:eastAsia="en-AU"/>
              </w:rPr>
            </w:pPr>
            <w:r>
              <w:rPr>
                <w:rFonts w:eastAsiaTheme="minorEastAsia" w:cs="Calibri"/>
                <w:bCs/>
                <w:color w:val="000000"/>
                <w:szCs w:val="16"/>
                <w:lang w:eastAsia="en-AU"/>
              </w:rPr>
              <w:t>(1 929)</w:t>
            </w:r>
          </w:p>
        </w:tc>
        <w:tc>
          <w:tcPr>
            <w:tcW w:w="850" w:type="dxa"/>
            <w:tcBorders>
              <w:top w:val="single" w:sz="6" w:space="0" w:color="000000"/>
              <w:bottom w:val="single" w:sz="12" w:space="0" w:color="000000"/>
            </w:tcBorders>
          </w:tcPr>
          <w:p w:rsidR="00A46DCA" w:rsidRPr="00023820" w:rsidRDefault="00A46DCA" w:rsidP="00A26D0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6"/>
                <w:lang w:eastAsia="en-AU"/>
              </w:rPr>
            </w:pPr>
            <w:r>
              <w:rPr>
                <w:rFonts w:eastAsiaTheme="minorEastAsia" w:cs="Calibri"/>
                <w:bCs/>
                <w:color w:val="000000"/>
                <w:szCs w:val="16"/>
                <w:lang w:eastAsia="en-AU"/>
              </w:rPr>
              <w:t>(1 773)</w:t>
            </w:r>
          </w:p>
        </w:tc>
        <w:tc>
          <w:tcPr>
            <w:tcW w:w="850" w:type="dxa"/>
            <w:tcBorders>
              <w:top w:val="single" w:sz="6" w:space="0" w:color="000000"/>
              <w:bottom w:val="single" w:sz="12" w:space="0" w:color="000000"/>
            </w:tcBorders>
          </w:tcPr>
          <w:p w:rsidR="00A46DCA" w:rsidRPr="00023820" w:rsidRDefault="00A46DCA" w:rsidP="00A26D0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6"/>
                <w:lang w:eastAsia="en-AU"/>
              </w:rPr>
            </w:pPr>
            <w:r>
              <w:rPr>
                <w:rFonts w:eastAsiaTheme="minorEastAsia" w:cs="Calibri"/>
                <w:bCs/>
                <w:color w:val="000000"/>
                <w:szCs w:val="16"/>
                <w:lang w:eastAsia="en-AU"/>
              </w:rPr>
              <w:t>(1 415)</w:t>
            </w:r>
          </w:p>
        </w:tc>
        <w:tc>
          <w:tcPr>
            <w:tcW w:w="850" w:type="dxa"/>
            <w:tcBorders>
              <w:top w:val="single" w:sz="6" w:space="0" w:color="000000"/>
              <w:bottom w:val="single" w:sz="12" w:space="0" w:color="000000"/>
            </w:tcBorders>
          </w:tcPr>
          <w:p w:rsidR="00A46DCA" w:rsidRPr="00023820" w:rsidRDefault="00A46DCA" w:rsidP="00A26D0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6"/>
                <w:lang w:eastAsia="en-AU"/>
              </w:rPr>
            </w:pPr>
            <w:r>
              <w:rPr>
                <w:rFonts w:eastAsiaTheme="minorEastAsia" w:cs="Calibri"/>
                <w:bCs/>
                <w:color w:val="000000"/>
                <w:szCs w:val="16"/>
                <w:lang w:eastAsia="en-AU"/>
              </w:rPr>
              <w:t>(1 210)</w:t>
            </w:r>
          </w:p>
        </w:tc>
        <w:tc>
          <w:tcPr>
            <w:tcW w:w="850" w:type="dxa"/>
            <w:tcBorders>
              <w:top w:val="single" w:sz="6" w:space="0" w:color="000000"/>
              <w:bottom w:val="single" w:sz="12" w:space="0" w:color="000000"/>
            </w:tcBorders>
          </w:tcPr>
          <w:p w:rsidR="00A46DCA" w:rsidRPr="00023820" w:rsidRDefault="00A46DCA" w:rsidP="00A26D0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6"/>
                <w:lang w:eastAsia="en-AU"/>
              </w:rPr>
            </w:pPr>
            <w:r>
              <w:rPr>
                <w:rFonts w:eastAsiaTheme="minorEastAsia" w:cs="Calibri"/>
                <w:bCs/>
                <w:color w:val="000000"/>
                <w:szCs w:val="16"/>
                <w:lang w:eastAsia="en-AU"/>
              </w:rPr>
              <w:t>(281)</w:t>
            </w:r>
          </w:p>
        </w:tc>
      </w:tr>
    </w:tbl>
    <w:p w:rsidR="00A46DCA" w:rsidRDefault="00A46DCA" w:rsidP="00A26D04">
      <w:pPr>
        <w:pStyle w:val="Source"/>
      </w:pPr>
      <w:r w:rsidRPr="00D87D22">
        <w:t>Source: Dep</w:t>
      </w:r>
      <w:r>
        <w:t>artment of Treasury and Finance</w:t>
      </w:r>
      <w:r w:rsidRPr="00352C54">
        <w:t xml:space="preserve"> </w:t>
      </w:r>
    </w:p>
    <w:p w:rsidR="00A46DCA" w:rsidRPr="008E5E35" w:rsidRDefault="00A46DCA" w:rsidP="008E5E35">
      <w:pPr>
        <w:pStyle w:val="Note"/>
      </w:pPr>
      <w:r w:rsidRPr="008E5E35">
        <w:t>Note:</w:t>
      </w:r>
    </w:p>
    <w:p w:rsidR="00A46DCA" w:rsidRPr="008E5E35" w:rsidRDefault="00A46DCA" w:rsidP="008E5E35">
      <w:pPr>
        <w:pStyle w:val="Note"/>
      </w:pPr>
      <w:r w:rsidRPr="008E5E35">
        <w:t>(a)</w:t>
      </w:r>
      <w:r w:rsidRPr="008E5E35">
        <w:tab/>
        <w:t>Determined in accordance with the ABS GFS manual.</w:t>
      </w:r>
    </w:p>
    <w:p w:rsidR="00A46DCA" w:rsidRDefault="00A46DCA" w:rsidP="008E5E35">
      <w:pPr>
        <w:rPr>
          <w:lang w:eastAsia="en-AU"/>
        </w:rPr>
      </w:pPr>
    </w:p>
    <w:p w:rsidR="00A46DCA" w:rsidRPr="0026771A" w:rsidRDefault="00A46DCA" w:rsidP="008E5E35">
      <w:pPr>
        <w:rPr>
          <w:lang w:eastAsia="en-AU"/>
        </w:rPr>
      </w:pPr>
    </w:p>
    <w:p w:rsidR="00A46DCA" w:rsidRPr="00023820" w:rsidRDefault="00A46DCA" w:rsidP="00A26D04">
      <w:pPr>
        <w:pStyle w:val="TableHeading"/>
        <w:rPr>
          <w:bCs/>
          <w:lang w:val="en-US"/>
        </w:rPr>
      </w:pPr>
      <w:r>
        <w:t>Table 5.6</w:t>
      </w:r>
      <w:r w:rsidR="008110D9">
        <w:t>:</w:t>
      </w:r>
      <w:r>
        <w:tab/>
        <w:t xml:space="preserve">Net acquisition of non-financial assets – </w:t>
      </w:r>
      <w:r w:rsidR="006A017C">
        <w:br/>
      </w:r>
      <w:r>
        <w:t xml:space="preserve">public non-financial corporations sector </w:t>
      </w:r>
      <w:r w:rsidRPr="0041464B">
        <w:rPr>
          <w:vertAlign w:val="superscript"/>
        </w:rPr>
        <w:t>(a)</w:t>
      </w:r>
      <w:r>
        <w:tab/>
        <w:t>($ million)</w:t>
      </w:r>
    </w:p>
    <w:tbl>
      <w:tblPr>
        <w:tblStyle w:val="DTFTable"/>
        <w:tblW w:w="7780" w:type="dxa"/>
        <w:tblInd w:w="45" w:type="dxa"/>
        <w:tblLayout w:type="fixed"/>
        <w:tblCellMar>
          <w:left w:w="45" w:type="dxa"/>
          <w:right w:w="45" w:type="dxa"/>
        </w:tblCellMar>
        <w:tblLook w:val="06A0" w:firstRow="1" w:lastRow="0" w:firstColumn="1" w:lastColumn="0" w:noHBand="1" w:noVBand="1"/>
      </w:tblPr>
      <w:tblGrid>
        <w:gridCol w:w="3725"/>
        <w:gridCol w:w="223"/>
        <w:gridCol w:w="588"/>
        <w:gridCol w:w="811"/>
        <w:gridCol w:w="811"/>
        <w:gridCol w:w="811"/>
        <w:gridCol w:w="811"/>
      </w:tblGrid>
      <w:tr w:rsidR="00A26D04" w:rsidRPr="00023820" w:rsidTr="008110D9">
        <w:trPr>
          <w:cnfStyle w:val="100000000000" w:firstRow="1" w:lastRow="0" w:firstColumn="0" w:lastColumn="0" w:oddVBand="0" w:evenVBand="0" w:oddHBand="0" w:evenHBand="0" w:firstRowFirstColumn="0" w:firstRowLastColumn="0" w:lastRowFirstColumn="0" w:lastRowLastColumn="0"/>
          <w:trHeight w:val="240"/>
          <w:tblHeader/>
        </w:trPr>
        <w:tc>
          <w:tcPr>
            <w:cnfStyle w:val="001000000000" w:firstRow="0" w:lastRow="0" w:firstColumn="1" w:lastColumn="0" w:oddVBand="0" w:evenVBand="0" w:oddHBand="0" w:evenHBand="0" w:firstRowFirstColumn="0" w:firstRowLastColumn="0" w:lastRowFirstColumn="0" w:lastRowLastColumn="0"/>
            <w:tcW w:w="3725" w:type="dxa"/>
            <w:tcBorders>
              <w:top w:val="nil"/>
              <w:left w:val="nil"/>
              <w:right w:val="nil"/>
            </w:tcBorders>
            <w:shd w:val="solid" w:color="000000" w:fill="auto"/>
          </w:tcPr>
          <w:p w:rsidR="00A26D04" w:rsidRPr="00023820" w:rsidRDefault="00A26D04" w:rsidP="00A26D04">
            <w:pPr>
              <w:autoSpaceDE w:val="0"/>
              <w:autoSpaceDN w:val="0"/>
              <w:adjustRightInd w:val="0"/>
              <w:rPr>
                <w:rFonts w:eastAsiaTheme="minorEastAsia" w:cs="Calibri"/>
                <w:iCs/>
                <w:color w:val="FFFFFF"/>
                <w:lang w:eastAsia="en-AU"/>
              </w:rPr>
            </w:pPr>
            <w:r w:rsidRPr="00023820">
              <w:rPr>
                <w:rFonts w:eastAsiaTheme="minorEastAsia" w:cs="Calibri"/>
                <w:iCs/>
                <w:color w:val="FFFFFF"/>
                <w:lang w:eastAsia="en-AU"/>
              </w:rPr>
              <w:t xml:space="preserve">  </w:t>
            </w:r>
          </w:p>
        </w:tc>
        <w:tc>
          <w:tcPr>
            <w:tcW w:w="811" w:type="dxa"/>
            <w:gridSpan w:val="2"/>
            <w:tcBorders>
              <w:top w:val="nil"/>
              <w:left w:val="nil"/>
              <w:right w:val="nil"/>
            </w:tcBorders>
            <w:shd w:val="solid" w:color="000000" w:fill="auto"/>
          </w:tcPr>
          <w:p w:rsidR="00A26D04" w:rsidRPr="00023820" w:rsidRDefault="00A26D04" w:rsidP="00A26D0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023820">
              <w:rPr>
                <w:rFonts w:eastAsiaTheme="minorEastAsia" w:cs="Calibri"/>
                <w:iCs/>
                <w:color w:val="FFFFFF"/>
                <w:szCs w:val="16"/>
                <w:lang w:eastAsia="en-AU"/>
              </w:rPr>
              <w:t>2017-18</w:t>
            </w:r>
            <w:r>
              <w:rPr>
                <w:rFonts w:eastAsiaTheme="minorEastAsia" w:cs="Calibri"/>
                <w:iCs/>
                <w:color w:val="FFFFFF"/>
                <w:szCs w:val="16"/>
                <w:lang w:eastAsia="en-AU"/>
              </w:rPr>
              <w:br/>
            </w:r>
            <w:r w:rsidRPr="00023820">
              <w:rPr>
                <w:rFonts w:eastAsiaTheme="minorEastAsia" w:cs="Calibri"/>
                <w:iCs/>
                <w:color w:val="FFFFFF"/>
                <w:szCs w:val="16"/>
                <w:lang w:eastAsia="en-AU"/>
              </w:rPr>
              <w:t>budget</w:t>
            </w:r>
          </w:p>
        </w:tc>
        <w:tc>
          <w:tcPr>
            <w:tcW w:w="811" w:type="dxa"/>
            <w:tcBorders>
              <w:top w:val="nil"/>
              <w:left w:val="nil"/>
              <w:right w:val="nil"/>
            </w:tcBorders>
            <w:shd w:val="solid" w:color="000000" w:fill="auto"/>
          </w:tcPr>
          <w:p w:rsidR="00A26D04" w:rsidRPr="00023820" w:rsidRDefault="00A26D04" w:rsidP="00A26D0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023820">
              <w:rPr>
                <w:rFonts w:eastAsiaTheme="minorEastAsia" w:cs="Calibri"/>
                <w:iCs/>
                <w:color w:val="FFFFFF"/>
                <w:szCs w:val="16"/>
                <w:lang w:eastAsia="en-AU"/>
              </w:rPr>
              <w:t>2017-18</w:t>
            </w:r>
            <w:r>
              <w:rPr>
                <w:rFonts w:eastAsiaTheme="minorEastAsia" w:cs="Calibri"/>
                <w:iCs/>
                <w:color w:val="FFFFFF"/>
                <w:szCs w:val="16"/>
                <w:lang w:eastAsia="en-AU"/>
              </w:rPr>
              <w:br/>
            </w:r>
            <w:r w:rsidRPr="00023820">
              <w:rPr>
                <w:rFonts w:eastAsiaTheme="minorEastAsia" w:cs="Calibri"/>
                <w:iCs/>
                <w:color w:val="FFFFFF"/>
                <w:szCs w:val="16"/>
                <w:lang w:eastAsia="en-AU"/>
              </w:rPr>
              <w:t>revised</w:t>
            </w:r>
          </w:p>
        </w:tc>
        <w:tc>
          <w:tcPr>
            <w:tcW w:w="811" w:type="dxa"/>
            <w:tcBorders>
              <w:top w:val="nil"/>
              <w:left w:val="nil"/>
              <w:right w:val="nil"/>
            </w:tcBorders>
            <w:shd w:val="solid" w:color="000000" w:fill="auto"/>
          </w:tcPr>
          <w:p w:rsidR="00A26D04" w:rsidRPr="00023820" w:rsidRDefault="00A26D04" w:rsidP="00A26D0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023820">
              <w:rPr>
                <w:rFonts w:eastAsiaTheme="minorEastAsia" w:cs="Calibri"/>
                <w:iCs/>
                <w:color w:val="FFFFFF"/>
                <w:szCs w:val="16"/>
                <w:lang w:eastAsia="en-AU"/>
              </w:rPr>
              <w:t>2018-19</w:t>
            </w:r>
            <w:r>
              <w:rPr>
                <w:rFonts w:eastAsiaTheme="minorEastAsia" w:cs="Calibri"/>
                <w:iCs/>
                <w:color w:val="FFFFFF"/>
                <w:szCs w:val="16"/>
                <w:lang w:eastAsia="en-AU"/>
              </w:rPr>
              <w:br/>
            </w:r>
            <w:r w:rsidRPr="00023820">
              <w:rPr>
                <w:rFonts w:eastAsiaTheme="minorEastAsia" w:cs="Calibri"/>
                <w:iCs/>
                <w:color w:val="FFFFFF"/>
                <w:szCs w:val="16"/>
                <w:lang w:eastAsia="en-AU"/>
              </w:rPr>
              <w:t>estimate</w:t>
            </w:r>
          </w:p>
        </w:tc>
        <w:tc>
          <w:tcPr>
            <w:tcW w:w="811" w:type="dxa"/>
            <w:tcBorders>
              <w:top w:val="nil"/>
              <w:left w:val="nil"/>
              <w:right w:val="nil"/>
            </w:tcBorders>
            <w:shd w:val="solid" w:color="000000" w:fill="auto"/>
          </w:tcPr>
          <w:p w:rsidR="00A26D04" w:rsidRPr="00023820" w:rsidRDefault="00A26D04" w:rsidP="00A26D0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023820">
              <w:rPr>
                <w:rFonts w:eastAsiaTheme="minorEastAsia" w:cs="Calibri"/>
                <w:iCs/>
                <w:color w:val="FFFFFF"/>
                <w:szCs w:val="16"/>
                <w:lang w:eastAsia="en-AU"/>
              </w:rPr>
              <w:t>2019-20</w:t>
            </w:r>
            <w:r>
              <w:rPr>
                <w:rFonts w:eastAsiaTheme="minorEastAsia" w:cs="Calibri"/>
                <w:iCs/>
                <w:color w:val="FFFFFF"/>
                <w:szCs w:val="16"/>
                <w:lang w:eastAsia="en-AU"/>
              </w:rPr>
              <w:br/>
            </w:r>
            <w:r w:rsidRPr="00023820">
              <w:rPr>
                <w:rFonts w:eastAsiaTheme="minorEastAsia" w:cs="Calibri"/>
                <w:iCs/>
                <w:color w:val="FFFFFF"/>
                <w:szCs w:val="16"/>
                <w:lang w:eastAsia="en-AU"/>
              </w:rPr>
              <w:t>estimate</w:t>
            </w:r>
          </w:p>
        </w:tc>
        <w:tc>
          <w:tcPr>
            <w:tcW w:w="811" w:type="dxa"/>
            <w:tcBorders>
              <w:top w:val="nil"/>
              <w:left w:val="nil"/>
              <w:right w:val="nil"/>
            </w:tcBorders>
            <w:shd w:val="solid" w:color="000000" w:fill="auto"/>
          </w:tcPr>
          <w:p w:rsidR="00A26D04" w:rsidRPr="00023820" w:rsidRDefault="00A26D04" w:rsidP="00A26D0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023820">
              <w:rPr>
                <w:rFonts w:eastAsiaTheme="minorEastAsia" w:cs="Calibri"/>
                <w:iCs/>
                <w:color w:val="FFFFFF"/>
                <w:szCs w:val="16"/>
                <w:lang w:eastAsia="en-AU"/>
              </w:rPr>
              <w:t>2020-21</w:t>
            </w:r>
            <w:r>
              <w:rPr>
                <w:rFonts w:eastAsiaTheme="minorEastAsia" w:cs="Calibri"/>
                <w:iCs/>
                <w:color w:val="FFFFFF"/>
                <w:szCs w:val="16"/>
                <w:lang w:eastAsia="en-AU"/>
              </w:rPr>
              <w:br/>
            </w:r>
            <w:r w:rsidRPr="00023820">
              <w:rPr>
                <w:rFonts w:eastAsiaTheme="minorEastAsia" w:cs="Calibri"/>
                <w:iCs/>
                <w:color w:val="FFFFFF"/>
                <w:szCs w:val="16"/>
                <w:lang w:eastAsia="en-AU"/>
              </w:rPr>
              <w:t>estimate</w:t>
            </w:r>
          </w:p>
        </w:tc>
      </w:tr>
      <w:tr w:rsidR="00A46DCA" w:rsidRPr="00023820" w:rsidTr="008110D9">
        <w:tc>
          <w:tcPr>
            <w:cnfStyle w:val="001000000000" w:firstRow="0" w:lastRow="0" w:firstColumn="1" w:lastColumn="0" w:oddVBand="0" w:evenVBand="0" w:oddHBand="0" w:evenHBand="0" w:firstRowFirstColumn="0" w:firstRowLastColumn="0" w:lastRowFirstColumn="0" w:lastRowLastColumn="0"/>
            <w:tcW w:w="3948" w:type="dxa"/>
            <w:gridSpan w:val="2"/>
            <w:tcBorders>
              <w:top w:val="nil"/>
              <w:left w:val="nil"/>
              <w:bottom w:val="nil"/>
              <w:right w:val="nil"/>
            </w:tcBorders>
          </w:tcPr>
          <w:p w:rsidR="00A46DCA" w:rsidRPr="00023820" w:rsidRDefault="00A46DCA" w:rsidP="00A26D04">
            <w:pPr>
              <w:keepLines w:val="0"/>
              <w:autoSpaceDE w:val="0"/>
              <w:autoSpaceDN w:val="0"/>
              <w:adjustRightInd w:val="0"/>
              <w:rPr>
                <w:rFonts w:eastAsiaTheme="minorEastAsia" w:cs="Calibri"/>
                <w:color w:val="000000"/>
                <w:szCs w:val="16"/>
                <w:lang w:eastAsia="en-AU"/>
              </w:rPr>
            </w:pPr>
            <w:r w:rsidRPr="00023820">
              <w:rPr>
                <w:rFonts w:eastAsiaTheme="minorEastAsia" w:cs="Calibri"/>
                <w:color w:val="000000"/>
                <w:szCs w:val="16"/>
                <w:lang w:eastAsia="en-AU"/>
              </w:rPr>
              <w:t xml:space="preserve">Purchases of non-financial assets less sales of </w:t>
            </w:r>
            <w:r w:rsidR="008110D9">
              <w:rPr>
                <w:rFonts w:eastAsiaTheme="minorEastAsia" w:cs="Calibri"/>
                <w:color w:val="000000"/>
                <w:szCs w:val="16"/>
                <w:lang w:eastAsia="en-AU"/>
              </w:rPr>
              <w:br/>
            </w:r>
            <w:r w:rsidRPr="00023820">
              <w:rPr>
                <w:rFonts w:eastAsiaTheme="minorEastAsia" w:cs="Calibri"/>
                <w:color w:val="000000"/>
                <w:szCs w:val="16"/>
                <w:lang w:eastAsia="en-AU"/>
              </w:rPr>
              <w:t>non-financial assets (including change in inventories)</w:t>
            </w:r>
          </w:p>
        </w:tc>
        <w:tc>
          <w:tcPr>
            <w:tcW w:w="588"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023820">
              <w:rPr>
                <w:rFonts w:eastAsiaTheme="minorEastAsia" w:cs="Calibri"/>
                <w:color w:val="000000"/>
                <w:szCs w:val="16"/>
                <w:lang w:eastAsia="en-AU"/>
              </w:rPr>
              <w:t>3 040</w:t>
            </w:r>
          </w:p>
        </w:tc>
        <w:tc>
          <w:tcPr>
            <w:tcW w:w="811"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023820">
              <w:rPr>
                <w:rFonts w:eastAsiaTheme="minorEastAsia" w:cs="Calibri"/>
                <w:color w:val="000000"/>
                <w:szCs w:val="16"/>
                <w:lang w:eastAsia="en-AU"/>
              </w:rPr>
              <w:t>2 761</w:t>
            </w:r>
          </w:p>
        </w:tc>
        <w:tc>
          <w:tcPr>
            <w:tcW w:w="811"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023820">
              <w:rPr>
                <w:rFonts w:eastAsiaTheme="minorEastAsia" w:cs="Calibri"/>
                <w:color w:val="000000"/>
                <w:szCs w:val="16"/>
                <w:lang w:eastAsia="en-AU"/>
              </w:rPr>
              <w:t>2 746</w:t>
            </w:r>
          </w:p>
        </w:tc>
        <w:tc>
          <w:tcPr>
            <w:tcW w:w="811"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023820">
              <w:rPr>
                <w:rFonts w:eastAsiaTheme="minorEastAsia" w:cs="Calibri"/>
                <w:color w:val="000000"/>
                <w:szCs w:val="16"/>
                <w:lang w:eastAsia="en-AU"/>
              </w:rPr>
              <w:t>2 584</w:t>
            </w:r>
          </w:p>
        </w:tc>
        <w:tc>
          <w:tcPr>
            <w:tcW w:w="811"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023820">
              <w:rPr>
                <w:rFonts w:eastAsiaTheme="minorEastAsia" w:cs="Calibri"/>
                <w:color w:val="000000"/>
                <w:szCs w:val="16"/>
                <w:lang w:eastAsia="en-AU"/>
              </w:rPr>
              <w:t>1 750</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3725" w:type="dxa"/>
            <w:tcBorders>
              <w:top w:val="nil"/>
              <w:left w:val="nil"/>
              <w:bottom w:val="nil"/>
              <w:right w:val="nil"/>
            </w:tcBorders>
          </w:tcPr>
          <w:p w:rsidR="00A46DCA" w:rsidRPr="00023820" w:rsidRDefault="00A46DCA" w:rsidP="00A26D04">
            <w:pPr>
              <w:keepLines w:val="0"/>
              <w:autoSpaceDE w:val="0"/>
              <w:autoSpaceDN w:val="0"/>
              <w:adjustRightInd w:val="0"/>
              <w:rPr>
                <w:rFonts w:eastAsiaTheme="minorEastAsia" w:cs="Calibri"/>
                <w:color w:val="000000"/>
                <w:szCs w:val="16"/>
                <w:lang w:eastAsia="en-AU"/>
              </w:rPr>
            </w:pPr>
            <w:r w:rsidRPr="00023820">
              <w:rPr>
                <w:rFonts w:eastAsiaTheme="minorEastAsia" w:cs="Calibri"/>
                <w:color w:val="000000"/>
                <w:szCs w:val="16"/>
                <w:lang w:eastAsia="en-AU"/>
              </w:rPr>
              <w:t>Less: Depreciation</w:t>
            </w:r>
          </w:p>
        </w:tc>
        <w:tc>
          <w:tcPr>
            <w:tcW w:w="811" w:type="dxa"/>
            <w:gridSpan w:val="2"/>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(2 409)</w:t>
            </w:r>
          </w:p>
        </w:tc>
        <w:tc>
          <w:tcPr>
            <w:tcW w:w="811"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(2 274)</w:t>
            </w:r>
          </w:p>
        </w:tc>
        <w:tc>
          <w:tcPr>
            <w:tcW w:w="811"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(2 324)</w:t>
            </w:r>
          </w:p>
        </w:tc>
        <w:tc>
          <w:tcPr>
            <w:tcW w:w="811"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(2 412)</w:t>
            </w:r>
          </w:p>
        </w:tc>
        <w:tc>
          <w:tcPr>
            <w:tcW w:w="811"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(2 536)</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3725" w:type="dxa"/>
            <w:tcBorders>
              <w:top w:val="nil"/>
              <w:left w:val="nil"/>
              <w:bottom w:val="nil"/>
              <w:right w:val="nil"/>
            </w:tcBorders>
          </w:tcPr>
          <w:p w:rsidR="00A46DCA" w:rsidRPr="00023820" w:rsidRDefault="00A46DCA" w:rsidP="00A26D04">
            <w:pPr>
              <w:keepLines w:val="0"/>
              <w:autoSpaceDE w:val="0"/>
              <w:autoSpaceDN w:val="0"/>
              <w:adjustRightInd w:val="0"/>
              <w:rPr>
                <w:rFonts w:eastAsiaTheme="minorEastAsia" w:cs="Calibri"/>
                <w:color w:val="000000"/>
                <w:szCs w:val="16"/>
                <w:vertAlign w:val="superscript"/>
                <w:lang w:eastAsia="en-AU"/>
              </w:rPr>
            </w:pPr>
            <w:r w:rsidRPr="00023820">
              <w:rPr>
                <w:rFonts w:eastAsiaTheme="minorEastAsia" w:cs="Calibri"/>
                <w:color w:val="000000"/>
                <w:szCs w:val="16"/>
                <w:lang w:eastAsia="en-AU"/>
              </w:rPr>
              <w:t xml:space="preserve">Plus: Other movements in non-financial assets </w:t>
            </w:r>
            <w:r w:rsidRPr="00023820">
              <w:rPr>
                <w:rFonts w:eastAsiaTheme="minorEastAsia" w:cs="Calibri"/>
                <w:color w:val="000000"/>
                <w:szCs w:val="16"/>
                <w:vertAlign w:val="superscript"/>
                <w:lang w:eastAsia="en-AU"/>
              </w:rPr>
              <w:t>(b)</w:t>
            </w:r>
          </w:p>
        </w:tc>
        <w:tc>
          <w:tcPr>
            <w:tcW w:w="811" w:type="dxa"/>
            <w:gridSpan w:val="2"/>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023820">
              <w:rPr>
                <w:rFonts w:eastAsiaTheme="minorEastAsia" w:cs="Calibri"/>
                <w:color w:val="000000"/>
                <w:szCs w:val="16"/>
                <w:lang w:eastAsia="en-AU"/>
              </w:rPr>
              <w:t>4 360</w:t>
            </w:r>
          </w:p>
        </w:tc>
        <w:tc>
          <w:tcPr>
            <w:tcW w:w="811"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023820">
              <w:rPr>
                <w:rFonts w:eastAsiaTheme="minorEastAsia" w:cs="Calibri"/>
                <w:color w:val="000000"/>
                <w:szCs w:val="16"/>
                <w:lang w:eastAsia="en-AU"/>
              </w:rPr>
              <w:t>4 865</w:t>
            </w:r>
          </w:p>
        </w:tc>
        <w:tc>
          <w:tcPr>
            <w:tcW w:w="811"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023820">
              <w:rPr>
                <w:rFonts w:eastAsiaTheme="minorEastAsia" w:cs="Calibri"/>
                <w:color w:val="000000"/>
                <w:szCs w:val="16"/>
                <w:lang w:eastAsia="en-AU"/>
              </w:rPr>
              <w:t>4 603</w:t>
            </w:r>
          </w:p>
        </w:tc>
        <w:tc>
          <w:tcPr>
            <w:tcW w:w="811"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023820">
              <w:rPr>
                <w:rFonts w:eastAsiaTheme="minorEastAsia" w:cs="Calibri"/>
                <w:color w:val="000000"/>
                <w:szCs w:val="16"/>
                <w:lang w:eastAsia="en-AU"/>
              </w:rPr>
              <w:t>3 516</w:t>
            </w:r>
          </w:p>
        </w:tc>
        <w:tc>
          <w:tcPr>
            <w:tcW w:w="811"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023820">
              <w:rPr>
                <w:rFonts w:eastAsiaTheme="minorEastAsia" w:cs="Calibri"/>
                <w:color w:val="000000"/>
                <w:szCs w:val="16"/>
                <w:lang w:eastAsia="en-AU"/>
              </w:rPr>
              <w:t>4 161</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3725" w:type="dxa"/>
            <w:tcBorders>
              <w:top w:val="single" w:sz="6" w:space="0" w:color="000000"/>
              <w:left w:val="nil"/>
              <w:bottom w:val="single" w:sz="12" w:space="0" w:color="000000"/>
              <w:right w:val="nil"/>
            </w:tcBorders>
          </w:tcPr>
          <w:p w:rsidR="00A46DCA" w:rsidRPr="00023820" w:rsidRDefault="00A46DCA" w:rsidP="00A26D04">
            <w:pPr>
              <w:keepLines w:val="0"/>
              <w:autoSpaceDE w:val="0"/>
              <w:autoSpaceDN w:val="0"/>
              <w:adjustRightInd w:val="0"/>
              <w:rPr>
                <w:rFonts w:eastAsiaTheme="minorEastAsia" w:cs="Calibri"/>
                <w:b/>
                <w:bCs/>
                <w:color w:val="000000"/>
                <w:szCs w:val="16"/>
                <w:lang w:eastAsia="en-AU"/>
              </w:rPr>
            </w:pPr>
            <w:r w:rsidRPr="00023820">
              <w:rPr>
                <w:rFonts w:eastAsiaTheme="minorEastAsia" w:cs="Calibri"/>
                <w:b/>
                <w:bCs/>
                <w:color w:val="000000"/>
                <w:szCs w:val="16"/>
                <w:lang w:eastAsia="en-AU"/>
              </w:rPr>
              <w:t>Total net acquisition of non-financial assets</w:t>
            </w:r>
          </w:p>
        </w:tc>
        <w:tc>
          <w:tcPr>
            <w:tcW w:w="811" w:type="dxa"/>
            <w:gridSpan w:val="2"/>
            <w:tcBorders>
              <w:top w:val="single" w:sz="6" w:space="0" w:color="000000"/>
              <w:left w:val="nil"/>
              <w:bottom w:val="single" w:sz="12" w:space="0" w:color="000000"/>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023820">
              <w:rPr>
                <w:rFonts w:eastAsiaTheme="minorEastAsia" w:cs="Calibri"/>
                <w:b/>
                <w:bCs/>
                <w:color w:val="000000"/>
                <w:szCs w:val="16"/>
                <w:lang w:eastAsia="en-AU"/>
              </w:rPr>
              <w:t>4 991</w:t>
            </w:r>
          </w:p>
        </w:tc>
        <w:tc>
          <w:tcPr>
            <w:tcW w:w="811" w:type="dxa"/>
            <w:tcBorders>
              <w:top w:val="single" w:sz="6" w:space="0" w:color="000000"/>
              <w:left w:val="nil"/>
              <w:bottom w:val="single" w:sz="12" w:space="0" w:color="000000"/>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023820">
              <w:rPr>
                <w:rFonts w:eastAsiaTheme="minorEastAsia" w:cs="Calibri"/>
                <w:b/>
                <w:bCs/>
                <w:color w:val="000000"/>
                <w:szCs w:val="16"/>
                <w:lang w:eastAsia="en-AU"/>
              </w:rPr>
              <w:t>5 352</w:t>
            </w:r>
          </w:p>
        </w:tc>
        <w:tc>
          <w:tcPr>
            <w:tcW w:w="811" w:type="dxa"/>
            <w:tcBorders>
              <w:top w:val="single" w:sz="6" w:space="0" w:color="000000"/>
              <w:left w:val="nil"/>
              <w:bottom w:val="single" w:sz="12" w:space="0" w:color="000000"/>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023820">
              <w:rPr>
                <w:rFonts w:eastAsiaTheme="minorEastAsia" w:cs="Calibri"/>
                <w:b/>
                <w:bCs/>
                <w:color w:val="000000"/>
                <w:szCs w:val="16"/>
                <w:lang w:eastAsia="en-AU"/>
              </w:rPr>
              <w:t>5 025</w:t>
            </w:r>
          </w:p>
        </w:tc>
        <w:tc>
          <w:tcPr>
            <w:tcW w:w="811" w:type="dxa"/>
            <w:tcBorders>
              <w:top w:val="single" w:sz="6" w:space="0" w:color="000000"/>
              <w:left w:val="nil"/>
              <w:bottom w:val="single" w:sz="12" w:space="0" w:color="000000"/>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023820">
              <w:rPr>
                <w:rFonts w:eastAsiaTheme="minorEastAsia" w:cs="Calibri"/>
                <w:b/>
                <w:bCs/>
                <w:color w:val="000000"/>
                <w:szCs w:val="16"/>
                <w:lang w:eastAsia="en-AU"/>
              </w:rPr>
              <w:t>3 688</w:t>
            </w:r>
          </w:p>
        </w:tc>
        <w:tc>
          <w:tcPr>
            <w:tcW w:w="811" w:type="dxa"/>
            <w:tcBorders>
              <w:top w:val="single" w:sz="6" w:space="0" w:color="000000"/>
              <w:left w:val="nil"/>
              <w:bottom w:val="single" w:sz="12" w:space="0" w:color="000000"/>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023820">
              <w:rPr>
                <w:rFonts w:eastAsiaTheme="minorEastAsia" w:cs="Calibri"/>
                <w:b/>
                <w:bCs/>
                <w:color w:val="000000"/>
                <w:szCs w:val="16"/>
                <w:lang w:eastAsia="en-AU"/>
              </w:rPr>
              <w:t>3 375</w:t>
            </w:r>
          </w:p>
        </w:tc>
      </w:tr>
    </w:tbl>
    <w:p w:rsidR="00A46DCA" w:rsidRDefault="00A46DCA" w:rsidP="00A26D04">
      <w:pPr>
        <w:pStyle w:val="Source"/>
      </w:pPr>
      <w:r w:rsidRPr="00D87D22">
        <w:t>Source: Dep</w:t>
      </w:r>
      <w:r>
        <w:t>artment of Treasury and Finance</w:t>
      </w:r>
      <w:r w:rsidRPr="00352C54">
        <w:t xml:space="preserve"> </w:t>
      </w:r>
    </w:p>
    <w:p w:rsidR="00A46DCA" w:rsidRPr="008E5E35" w:rsidRDefault="00A46DCA" w:rsidP="008E5E35">
      <w:pPr>
        <w:pStyle w:val="Note"/>
      </w:pPr>
      <w:r w:rsidRPr="008E5E35">
        <w:t>Notes:</w:t>
      </w:r>
    </w:p>
    <w:p w:rsidR="00A46DCA" w:rsidRPr="008E5E35" w:rsidRDefault="00A46DCA" w:rsidP="008E5E35">
      <w:pPr>
        <w:pStyle w:val="Note"/>
      </w:pPr>
      <w:r w:rsidRPr="008E5E35">
        <w:t>(a)</w:t>
      </w:r>
      <w:r w:rsidRPr="008E5E35">
        <w:tab/>
        <w:t>Certain line items have been aggregated in the table above due to commercial sensitivities.</w:t>
      </w:r>
    </w:p>
    <w:p w:rsidR="00A46DCA" w:rsidRPr="008E5E35" w:rsidRDefault="00A46DCA" w:rsidP="008E5E35">
      <w:pPr>
        <w:pStyle w:val="Note"/>
      </w:pPr>
      <w:r w:rsidRPr="008E5E35">
        <w:t>(b)</w:t>
      </w:r>
      <w:r w:rsidRPr="008E5E35">
        <w:tab/>
        <w:t>The other movements in non-financial assets relates to fixed asset transfers from the general government sector to the public non</w:t>
      </w:r>
      <w:r w:rsidRPr="008E5E35">
        <w:noBreakHyphen/>
        <w:t>financial corporations sector.</w:t>
      </w:r>
    </w:p>
    <w:p w:rsidR="00A46DCA" w:rsidRDefault="00A46DCA" w:rsidP="00A26D04"/>
    <w:p w:rsidR="00A46DCA" w:rsidRDefault="00A46DCA" w:rsidP="00A26D04">
      <w:pPr>
        <w:keepLines w:val="0"/>
      </w:pPr>
      <w:r>
        <w:br w:type="page"/>
      </w:r>
    </w:p>
    <w:p w:rsidR="00A46DCA" w:rsidRPr="00023820" w:rsidRDefault="00A46DCA" w:rsidP="00A26D04">
      <w:pPr>
        <w:pStyle w:val="TableHeading"/>
        <w:rPr>
          <w:bCs/>
          <w:lang w:val="en-US"/>
        </w:rPr>
      </w:pPr>
      <w:r>
        <w:lastRenderedPageBreak/>
        <w:t>Table 5.7</w:t>
      </w:r>
      <w:r w:rsidR="008E5E35">
        <w:t>:</w:t>
      </w:r>
      <w:r>
        <w:tab/>
        <w:t xml:space="preserve">Non-financial public sector comprehensive operating statement </w:t>
      </w:r>
      <w:r w:rsidR="006A017C">
        <w:br/>
      </w:r>
      <w:r>
        <w:t xml:space="preserve">for the financial year ended 30 June </w:t>
      </w:r>
      <w:r w:rsidRPr="00AB0FF1">
        <w:rPr>
          <w:vertAlign w:val="superscript"/>
        </w:rPr>
        <w:t>(a)</w:t>
      </w:r>
      <w:r>
        <w:tab/>
        <w:t>($ million)</w:t>
      </w:r>
    </w:p>
    <w:tbl>
      <w:tblPr>
        <w:tblStyle w:val="DTFTable"/>
        <w:tblW w:w="7761" w:type="dxa"/>
        <w:tblInd w:w="45" w:type="dxa"/>
        <w:tblLayout w:type="fixed"/>
        <w:tblCellMar>
          <w:left w:w="45" w:type="dxa"/>
          <w:right w:w="45" w:type="dxa"/>
        </w:tblCellMar>
        <w:tblLook w:val="06E0" w:firstRow="1" w:lastRow="1" w:firstColumn="1" w:lastColumn="0" w:noHBand="1" w:noVBand="1"/>
      </w:tblPr>
      <w:tblGrid>
        <w:gridCol w:w="3821"/>
        <w:gridCol w:w="788"/>
        <w:gridCol w:w="788"/>
        <w:gridCol w:w="788"/>
        <w:gridCol w:w="788"/>
        <w:gridCol w:w="788"/>
      </w:tblGrid>
      <w:tr w:rsidR="00A26D04" w:rsidRPr="00023820" w:rsidTr="008E5E35">
        <w:trPr>
          <w:cnfStyle w:val="100000000000" w:firstRow="1" w:lastRow="0" w:firstColumn="0" w:lastColumn="0" w:oddVBand="0" w:evenVBand="0" w:oddHBand="0" w:evenHBand="0" w:firstRowFirstColumn="0" w:firstRowLastColumn="0" w:lastRowFirstColumn="0" w:lastRowLastColumn="0"/>
          <w:trHeight w:val="70"/>
          <w:tblHeader/>
        </w:trPr>
        <w:tc>
          <w:tcPr>
            <w:cnfStyle w:val="001000000000" w:firstRow="0" w:lastRow="0" w:firstColumn="1" w:lastColumn="0" w:oddVBand="0" w:evenVBand="0" w:oddHBand="0" w:evenHBand="0" w:firstRowFirstColumn="0" w:firstRowLastColumn="0" w:lastRowFirstColumn="0" w:lastRowLastColumn="0"/>
            <w:tcW w:w="3821" w:type="dxa"/>
            <w:tcBorders>
              <w:top w:val="nil"/>
              <w:left w:val="nil"/>
              <w:right w:val="nil"/>
            </w:tcBorders>
            <w:shd w:val="solid" w:color="000000" w:fill="auto"/>
          </w:tcPr>
          <w:p w:rsidR="00A26D04" w:rsidRPr="00023820" w:rsidRDefault="00A26D04" w:rsidP="00A26D04">
            <w:pPr>
              <w:autoSpaceDE w:val="0"/>
              <w:autoSpaceDN w:val="0"/>
              <w:adjustRightInd w:val="0"/>
              <w:spacing w:after="0"/>
              <w:rPr>
                <w:rFonts w:eastAsiaTheme="minorEastAsia" w:cs="Calibri"/>
                <w:iCs/>
                <w:color w:val="FFFFFF"/>
                <w:lang w:eastAsia="en-AU"/>
              </w:rPr>
            </w:pPr>
            <w:r w:rsidRPr="00023820">
              <w:rPr>
                <w:rFonts w:eastAsiaTheme="minorEastAsia" w:cs="Calibri"/>
                <w:iCs/>
                <w:color w:val="FFFFFF"/>
                <w:lang w:eastAsia="en-AU"/>
              </w:rPr>
              <w:t xml:space="preserve">  </w:t>
            </w:r>
          </w:p>
        </w:tc>
        <w:tc>
          <w:tcPr>
            <w:tcW w:w="788" w:type="dxa"/>
            <w:tcBorders>
              <w:top w:val="nil"/>
              <w:left w:val="nil"/>
              <w:right w:val="nil"/>
            </w:tcBorders>
            <w:shd w:val="solid" w:color="000000" w:fill="auto"/>
          </w:tcPr>
          <w:p w:rsidR="00A26D04" w:rsidRPr="00023820" w:rsidRDefault="00A26D04" w:rsidP="00A26D04">
            <w:pPr>
              <w:keepLines w:val="0"/>
              <w:autoSpaceDE w:val="0"/>
              <w:autoSpaceDN w:val="0"/>
              <w:adjustRightInd w:val="0"/>
              <w:spacing w:after="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023820">
              <w:rPr>
                <w:rFonts w:eastAsiaTheme="minorEastAsia" w:cs="Calibri"/>
                <w:iCs/>
                <w:color w:val="FFFFFF"/>
                <w:szCs w:val="16"/>
                <w:lang w:eastAsia="en-AU"/>
              </w:rPr>
              <w:t xml:space="preserve">2017-18 </w:t>
            </w:r>
            <w:r>
              <w:rPr>
                <w:rFonts w:eastAsiaTheme="minorEastAsia" w:cs="Calibri"/>
                <w:iCs/>
                <w:color w:val="FFFFFF"/>
                <w:szCs w:val="16"/>
                <w:lang w:eastAsia="en-AU"/>
              </w:rPr>
              <w:br/>
            </w:r>
            <w:r w:rsidRPr="00023820">
              <w:rPr>
                <w:rFonts w:eastAsiaTheme="minorEastAsia" w:cs="Calibri"/>
                <w:iCs/>
                <w:color w:val="FFFFFF"/>
                <w:szCs w:val="16"/>
                <w:lang w:eastAsia="en-AU"/>
              </w:rPr>
              <w:t>budget</w:t>
            </w:r>
          </w:p>
        </w:tc>
        <w:tc>
          <w:tcPr>
            <w:tcW w:w="788" w:type="dxa"/>
            <w:tcBorders>
              <w:top w:val="nil"/>
              <w:left w:val="nil"/>
              <w:right w:val="nil"/>
            </w:tcBorders>
            <w:shd w:val="solid" w:color="000000" w:fill="auto"/>
          </w:tcPr>
          <w:p w:rsidR="00A26D04" w:rsidRPr="00023820" w:rsidRDefault="00A26D04" w:rsidP="00A26D04">
            <w:pPr>
              <w:keepLines w:val="0"/>
              <w:autoSpaceDE w:val="0"/>
              <w:autoSpaceDN w:val="0"/>
              <w:adjustRightInd w:val="0"/>
              <w:spacing w:after="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023820">
              <w:rPr>
                <w:rFonts w:eastAsiaTheme="minorEastAsia" w:cs="Calibri"/>
                <w:iCs/>
                <w:color w:val="FFFFFF"/>
                <w:szCs w:val="16"/>
                <w:lang w:eastAsia="en-AU"/>
              </w:rPr>
              <w:t xml:space="preserve">2017-18 </w:t>
            </w:r>
            <w:r>
              <w:rPr>
                <w:rFonts w:eastAsiaTheme="minorEastAsia" w:cs="Calibri"/>
                <w:iCs/>
                <w:color w:val="FFFFFF"/>
                <w:szCs w:val="16"/>
                <w:lang w:eastAsia="en-AU"/>
              </w:rPr>
              <w:br/>
            </w:r>
            <w:r w:rsidRPr="00023820">
              <w:rPr>
                <w:rFonts w:eastAsiaTheme="minorEastAsia" w:cs="Calibri"/>
                <w:iCs/>
                <w:color w:val="FFFFFF"/>
                <w:szCs w:val="16"/>
                <w:lang w:eastAsia="en-AU"/>
              </w:rPr>
              <w:t>revised</w:t>
            </w:r>
          </w:p>
        </w:tc>
        <w:tc>
          <w:tcPr>
            <w:tcW w:w="788" w:type="dxa"/>
            <w:tcBorders>
              <w:top w:val="nil"/>
              <w:left w:val="nil"/>
              <w:right w:val="nil"/>
            </w:tcBorders>
            <w:shd w:val="solid" w:color="000000" w:fill="auto"/>
          </w:tcPr>
          <w:p w:rsidR="00A26D04" w:rsidRPr="00023820" w:rsidRDefault="00A26D04" w:rsidP="00A26D04">
            <w:pPr>
              <w:keepLines w:val="0"/>
              <w:autoSpaceDE w:val="0"/>
              <w:autoSpaceDN w:val="0"/>
              <w:adjustRightInd w:val="0"/>
              <w:spacing w:after="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023820">
              <w:rPr>
                <w:rFonts w:eastAsiaTheme="minorEastAsia" w:cs="Calibri"/>
                <w:iCs/>
                <w:color w:val="FFFFFF"/>
                <w:szCs w:val="16"/>
                <w:lang w:eastAsia="en-AU"/>
              </w:rPr>
              <w:t xml:space="preserve">2018-19 </w:t>
            </w:r>
            <w:r>
              <w:rPr>
                <w:rFonts w:eastAsiaTheme="minorEastAsia" w:cs="Calibri"/>
                <w:iCs/>
                <w:color w:val="FFFFFF"/>
                <w:szCs w:val="16"/>
                <w:lang w:eastAsia="en-AU"/>
              </w:rPr>
              <w:br/>
            </w:r>
            <w:r w:rsidRPr="00023820">
              <w:rPr>
                <w:rFonts w:eastAsiaTheme="minorEastAsia" w:cs="Calibri"/>
                <w:iCs/>
                <w:color w:val="FFFFFF"/>
                <w:szCs w:val="16"/>
                <w:lang w:eastAsia="en-AU"/>
              </w:rPr>
              <w:t>estimate</w:t>
            </w:r>
          </w:p>
        </w:tc>
        <w:tc>
          <w:tcPr>
            <w:tcW w:w="788" w:type="dxa"/>
            <w:tcBorders>
              <w:top w:val="nil"/>
              <w:left w:val="nil"/>
              <w:right w:val="nil"/>
            </w:tcBorders>
            <w:shd w:val="solid" w:color="000000" w:fill="auto"/>
          </w:tcPr>
          <w:p w:rsidR="00A26D04" w:rsidRPr="00023820" w:rsidRDefault="00A26D04" w:rsidP="00A26D04">
            <w:pPr>
              <w:keepLines w:val="0"/>
              <w:autoSpaceDE w:val="0"/>
              <w:autoSpaceDN w:val="0"/>
              <w:adjustRightInd w:val="0"/>
              <w:spacing w:after="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023820">
              <w:rPr>
                <w:rFonts w:eastAsiaTheme="minorEastAsia" w:cs="Calibri"/>
                <w:iCs/>
                <w:color w:val="FFFFFF"/>
                <w:szCs w:val="16"/>
                <w:lang w:eastAsia="en-AU"/>
              </w:rPr>
              <w:t xml:space="preserve">2019-20 </w:t>
            </w:r>
            <w:r>
              <w:rPr>
                <w:rFonts w:eastAsiaTheme="minorEastAsia" w:cs="Calibri"/>
                <w:iCs/>
                <w:color w:val="FFFFFF"/>
                <w:szCs w:val="16"/>
                <w:lang w:eastAsia="en-AU"/>
              </w:rPr>
              <w:br/>
            </w:r>
            <w:r w:rsidRPr="00023820">
              <w:rPr>
                <w:rFonts w:eastAsiaTheme="minorEastAsia" w:cs="Calibri"/>
                <w:iCs/>
                <w:color w:val="FFFFFF"/>
                <w:szCs w:val="16"/>
                <w:lang w:eastAsia="en-AU"/>
              </w:rPr>
              <w:t>estimate</w:t>
            </w:r>
          </w:p>
        </w:tc>
        <w:tc>
          <w:tcPr>
            <w:tcW w:w="788" w:type="dxa"/>
            <w:tcBorders>
              <w:top w:val="nil"/>
              <w:left w:val="nil"/>
              <w:right w:val="nil"/>
            </w:tcBorders>
            <w:shd w:val="solid" w:color="000000" w:fill="auto"/>
          </w:tcPr>
          <w:p w:rsidR="00A26D04" w:rsidRPr="00023820" w:rsidRDefault="00A26D04" w:rsidP="00A26D04">
            <w:pPr>
              <w:keepLines w:val="0"/>
              <w:autoSpaceDE w:val="0"/>
              <w:autoSpaceDN w:val="0"/>
              <w:adjustRightInd w:val="0"/>
              <w:spacing w:after="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023820">
              <w:rPr>
                <w:rFonts w:eastAsiaTheme="minorEastAsia" w:cs="Calibri"/>
                <w:iCs/>
                <w:color w:val="FFFFFF"/>
                <w:szCs w:val="16"/>
                <w:lang w:eastAsia="en-AU"/>
              </w:rPr>
              <w:t xml:space="preserve">2020-21 </w:t>
            </w:r>
            <w:r>
              <w:rPr>
                <w:rFonts w:eastAsiaTheme="minorEastAsia" w:cs="Calibri"/>
                <w:iCs/>
                <w:color w:val="FFFFFF"/>
                <w:szCs w:val="16"/>
                <w:lang w:eastAsia="en-AU"/>
              </w:rPr>
              <w:br/>
            </w:r>
            <w:r w:rsidRPr="00023820">
              <w:rPr>
                <w:rFonts w:eastAsiaTheme="minorEastAsia" w:cs="Calibri"/>
                <w:iCs/>
                <w:color w:val="FFFFFF"/>
                <w:szCs w:val="16"/>
                <w:lang w:eastAsia="en-AU"/>
              </w:rPr>
              <w:t>estimate</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3821" w:type="dxa"/>
            <w:tcBorders>
              <w:top w:val="nil"/>
              <w:left w:val="nil"/>
              <w:bottom w:val="nil"/>
              <w:right w:val="nil"/>
            </w:tcBorders>
          </w:tcPr>
          <w:p w:rsidR="00A46DCA" w:rsidRPr="00023820" w:rsidRDefault="00A46DCA" w:rsidP="00A26D04">
            <w:pPr>
              <w:keepLines w:val="0"/>
              <w:autoSpaceDE w:val="0"/>
              <w:autoSpaceDN w:val="0"/>
              <w:adjustRightInd w:val="0"/>
              <w:spacing w:after="0"/>
              <w:rPr>
                <w:rFonts w:eastAsiaTheme="minorEastAsia" w:cs="Calibri"/>
                <w:b/>
                <w:bCs/>
                <w:color w:val="000000"/>
                <w:szCs w:val="16"/>
                <w:lang w:eastAsia="en-AU"/>
              </w:rPr>
            </w:pPr>
            <w:r w:rsidRPr="00023820">
              <w:rPr>
                <w:rFonts w:eastAsiaTheme="minorEastAsia" w:cs="Calibri"/>
                <w:b/>
                <w:bCs/>
                <w:color w:val="000000"/>
                <w:szCs w:val="16"/>
                <w:lang w:eastAsia="en-AU"/>
              </w:rPr>
              <w:t>Revenue from transactions</w:t>
            </w:r>
          </w:p>
        </w:tc>
        <w:tc>
          <w:tcPr>
            <w:tcW w:w="788" w:type="dxa"/>
            <w:tcBorders>
              <w:top w:val="nil"/>
              <w:left w:val="nil"/>
              <w:bottom w:val="nil"/>
              <w:right w:val="nil"/>
            </w:tcBorders>
          </w:tcPr>
          <w:p w:rsidR="00A46DCA" w:rsidRPr="00023820"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023820">
              <w:rPr>
                <w:rFonts w:eastAsiaTheme="minorEastAsia" w:cs="Calibri"/>
                <w:b/>
                <w:bCs/>
                <w:color w:val="000000"/>
                <w:lang w:eastAsia="en-AU"/>
              </w:rPr>
              <w:t xml:space="preserve"> </w:t>
            </w:r>
          </w:p>
        </w:tc>
        <w:tc>
          <w:tcPr>
            <w:tcW w:w="788" w:type="dxa"/>
            <w:tcBorders>
              <w:top w:val="nil"/>
              <w:left w:val="nil"/>
              <w:bottom w:val="nil"/>
              <w:right w:val="nil"/>
            </w:tcBorders>
          </w:tcPr>
          <w:p w:rsidR="00A46DCA" w:rsidRPr="00023820"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023820">
              <w:rPr>
                <w:rFonts w:eastAsiaTheme="minorEastAsia" w:cs="Calibri"/>
                <w:b/>
                <w:bCs/>
                <w:color w:val="000000"/>
                <w:lang w:eastAsia="en-AU"/>
              </w:rPr>
              <w:t xml:space="preserve"> </w:t>
            </w:r>
          </w:p>
        </w:tc>
        <w:tc>
          <w:tcPr>
            <w:tcW w:w="788" w:type="dxa"/>
            <w:tcBorders>
              <w:top w:val="nil"/>
              <w:left w:val="nil"/>
              <w:bottom w:val="nil"/>
              <w:right w:val="nil"/>
            </w:tcBorders>
          </w:tcPr>
          <w:p w:rsidR="00A46DCA" w:rsidRPr="00023820"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023820">
              <w:rPr>
                <w:rFonts w:eastAsiaTheme="minorEastAsia" w:cs="Calibri"/>
                <w:b/>
                <w:bCs/>
                <w:color w:val="000000"/>
                <w:lang w:eastAsia="en-AU"/>
              </w:rPr>
              <w:t xml:space="preserve"> </w:t>
            </w:r>
          </w:p>
        </w:tc>
        <w:tc>
          <w:tcPr>
            <w:tcW w:w="788" w:type="dxa"/>
            <w:tcBorders>
              <w:top w:val="nil"/>
              <w:left w:val="nil"/>
              <w:bottom w:val="nil"/>
              <w:right w:val="nil"/>
            </w:tcBorders>
          </w:tcPr>
          <w:p w:rsidR="00A46DCA" w:rsidRPr="00023820"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023820">
              <w:rPr>
                <w:rFonts w:eastAsiaTheme="minorEastAsia" w:cs="Calibri"/>
                <w:b/>
                <w:bCs/>
                <w:color w:val="000000"/>
                <w:lang w:eastAsia="en-AU"/>
              </w:rPr>
              <w:t xml:space="preserve"> </w:t>
            </w:r>
          </w:p>
        </w:tc>
        <w:tc>
          <w:tcPr>
            <w:tcW w:w="788" w:type="dxa"/>
            <w:tcBorders>
              <w:top w:val="nil"/>
              <w:left w:val="nil"/>
              <w:bottom w:val="nil"/>
              <w:right w:val="nil"/>
            </w:tcBorders>
          </w:tcPr>
          <w:p w:rsidR="00A46DCA" w:rsidRPr="00023820"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023820">
              <w:rPr>
                <w:rFonts w:eastAsiaTheme="minorEastAsia" w:cs="Calibri"/>
                <w:b/>
                <w:bCs/>
                <w:color w:val="000000"/>
                <w:lang w:eastAsia="en-AU"/>
              </w:rPr>
              <w:t xml:space="preserve"> </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3821" w:type="dxa"/>
            <w:tcBorders>
              <w:top w:val="nil"/>
              <w:left w:val="nil"/>
              <w:bottom w:val="nil"/>
              <w:right w:val="nil"/>
            </w:tcBorders>
          </w:tcPr>
          <w:p w:rsidR="00A46DCA" w:rsidRPr="00023820" w:rsidRDefault="00A46DCA" w:rsidP="00A26D04">
            <w:pPr>
              <w:keepLines w:val="0"/>
              <w:autoSpaceDE w:val="0"/>
              <w:autoSpaceDN w:val="0"/>
              <w:adjustRightInd w:val="0"/>
              <w:spacing w:after="0"/>
              <w:rPr>
                <w:rFonts w:eastAsiaTheme="minorEastAsia" w:cs="Calibri"/>
                <w:color w:val="000000"/>
                <w:szCs w:val="16"/>
                <w:lang w:eastAsia="en-AU"/>
              </w:rPr>
            </w:pPr>
            <w:r w:rsidRPr="00023820">
              <w:rPr>
                <w:rFonts w:eastAsiaTheme="minorEastAsia" w:cs="Calibri"/>
                <w:color w:val="000000"/>
                <w:szCs w:val="16"/>
                <w:lang w:eastAsia="en-AU"/>
              </w:rPr>
              <w:t>Taxation revenue</w:t>
            </w:r>
          </w:p>
        </w:tc>
        <w:tc>
          <w:tcPr>
            <w:tcW w:w="788" w:type="dxa"/>
            <w:tcBorders>
              <w:top w:val="nil"/>
              <w:left w:val="nil"/>
              <w:bottom w:val="nil"/>
              <w:right w:val="nil"/>
            </w:tcBorders>
          </w:tcPr>
          <w:p w:rsidR="00A46DCA" w:rsidRPr="00023820"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023820">
              <w:rPr>
                <w:rFonts w:eastAsiaTheme="minorEastAsia" w:cs="Arial"/>
                <w:color w:val="000000"/>
                <w:szCs w:val="18"/>
                <w:lang w:eastAsia="en-AU"/>
              </w:rPr>
              <w:t>21 468</w:t>
            </w:r>
          </w:p>
        </w:tc>
        <w:tc>
          <w:tcPr>
            <w:tcW w:w="788" w:type="dxa"/>
            <w:tcBorders>
              <w:top w:val="nil"/>
              <w:left w:val="nil"/>
              <w:bottom w:val="nil"/>
              <w:right w:val="nil"/>
            </w:tcBorders>
          </w:tcPr>
          <w:p w:rsidR="00A46DCA" w:rsidRPr="00023820"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023820">
              <w:rPr>
                <w:rFonts w:eastAsiaTheme="minorEastAsia" w:cs="Arial"/>
                <w:color w:val="000000"/>
                <w:szCs w:val="18"/>
                <w:lang w:eastAsia="en-AU"/>
              </w:rPr>
              <w:t>21 811</w:t>
            </w:r>
          </w:p>
        </w:tc>
        <w:tc>
          <w:tcPr>
            <w:tcW w:w="788" w:type="dxa"/>
            <w:tcBorders>
              <w:top w:val="nil"/>
              <w:left w:val="nil"/>
              <w:bottom w:val="nil"/>
              <w:right w:val="nil"/>
            </w:tcBorders>
          </w:tcPr>
          <w:p w:rsidR="00A46DCA" w:rsidRPr="00023820"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023820">
              <w:rPr>
                <w:rFonts w:eastAsiaTheme="minorEastAsia" w:cs="Arial"/>
                <w:color w:val="000000"/>
                <w:szCs w:val="18"/>
                <w:lang w:eastAsia="en-AU"/>
              </w:rPr>
              <w:t>23 365</w:t>
            </w:r>
          </w:p>
        </w:tc>
        <w:tc>
          <w:tcPr>
            <w:tcW w:w="788" w:type="dxa"/>
            <w:tcBorders>
              <w:top w:val="nil"/>
              <w:left w:val="nil"/>
              <w:bottom w:val="nil"/>
              <w:right w:val="nil"/>
            </w:tcBorders>
          </w:tcPr>
          <w:p w:rsidR="00A46DCA" w:rsidRPr="00023820"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023820">
              <w:rPr>
                <w:rFonts w:eastAsiaTheme="minorEastAsia" w:cs="Arial"/>
                <w:color w:val="000000"/>
                <w:szCs w:val="18"/>
                <w:lang w:eastAsia="en-AU"/>
              </w:rPr>
              <w:t>24 476</w:t>
            </w:r>
          </w:p>
        </w:tc>
        <w:tc>
          <w:tcPr>
            <w:tcW w:w="788" w:type="dxa"/>
            <w:tcBorders>
              <w:top w:val="nil"/>
              <w:left w:val="nil"/>
              <w:bottom w:val="nil"/>
              <w:right w:val="nil"/>
            </w:tcBorders>
          </w:tcPr>
          <w:p w:rsidR="00A46DCA" w:rsidRPr="00023820"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023820">
              <w:rPr>
                <w:rFonts w:eastAsiaTheme="minorEastAsia" w:cs="Arial"/>
                <w:color w:val="000000"/>
                <w:szCs w:val="18"/>
                <w:lang w:eastAsia="en-AU"/>
              </w:rPr>
              <w:t>25 465</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3821" w:type="dxa"/>
            <w:tcBorders>
              <w:top w:val="nil"/>
              <w:left w:val="nil"/>
              <w:bottom w:val="nil"/>
              <w:right w:val="nil"/>
            </w:tcBorders>
          </w:tcPr>
          <w:p w:rsidR="00A46DCA" w:rsidRPr="00023820" w:rsidRDefault="00A46DCA" w:rsidP="00A26D04">
            <w:pPr>
              <w:keepLines w:val="0"/>
              <w:autoSpaceDE w:val="0"/>
              <w:autoSpaceDN w:val="0"/>
              <w:adjustRightInd w:val="0"/>
              <w:spacing w:after="0"/>
              <w:rPr>
                <w:rFonts w:eastAsiaTheme="minorEastAsia" w:cs="Calibri"/>
                <w:color w:val="000000"/>
                <w:szCs w:val="16"/>
                <w:lang w:eastAsia="en-AU"/>
              </w:rPr>
            </w:pPr>
            <w:r w:rsidRPr="00023820">
              <w:rPr>
                <w:rFonts w:eastAsiaTheme="minorEastAsia" w:cs="Calibri"/>
                <w:color w:val="000000"/>
                <w:szCs w:val="16"/>
                <w:lang w:eastAsia="en-AU"/>
              </w:rPr>
              <w:t>Interest revenue</w:t>
            </w:r>
          </w:p>
        </w:tc>
        <w:tc>
          <w:tcPr>
            <w:tcW w:w="788" w:type="dxa"/>
            <w:tcBorders>
              <w:top w:val="nil"/>
              <w:left w:val="nil"/>
              <w:bottom w:val="nil"/>
              <w:right w:val="nil"/>
            </w:tcBorders>
          </w:tcPr>
          <w:p w:rsidR="00A46DCA" w:rsidRPr="00023820"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339</w:t>
            </w:r>
          </w:p>
        </w:tc>
        <w:tc>
          <w:tcPr>
            <w:tcW w:w="788" w:type="dxa"/>
            <w:tcBorders>
              <w:top w:val="nil"/>
              <w:left w:val="nil"/>
              <w:bottom w:val="nil"/>
              <w:right w:val="nil"/>
            </w:tcBorders>
          </w:tcPr>
          <w:p w:rsidR="00A46DCA" w:rsidRPr="00023820"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342</w:t>
            </w:r>
          </w:p>
        </w:tc>
        <w:tc>
          <w:tcPr>
            <w:tcW w:w="788" w:type="dxa"/>
            <w:tcBorders>
              <w:top w:val="nil"/>
              <w:left w:val="nil"/>
              <w:bottom w:val="nil"/>
              <w:right w:val="nil"/>
            </w:tcBorders>
          </w:tcPr>
          <w:p w:rsidR="00A46DCA" w:rsidRPr="00023820"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357</w:t>
            </w:r>
          </w:p>
        </w:tc>
        <w:tc>
          <w:tcPr>
            <w:tcW w:w="788" w:type="dxa"/>
            <w:tcBorders>
              <w:top w:val="nil"/>
              <w:left w:val="nil"/>
              <w:bottom w:val="nil"/>
              <w:right w:val="nil"/>
            </w:tcBorders>
          </w:tcPr>
          <w:p w:rsidR="00A46DCA" w:rsidRPr="00023820"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391</w:t>
            </w:r>
          </w:p>
        </w:tc>
        <w:tc>
          <w:tcPr>
            <w:tcW w:w="788" w:type="dxa"/>
            <w:tcBorders>
              <w:top w:val="nil"/>
              <w:left w:val="nil"/>
              <w:bottom w:val="nil"/>
              <w:right w:val="nil"/>
            </w:tcBorders>
          </w:tcPr>
          <w:p w:rsidR="00A46DCA" w:rsidRPr="00023820"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397</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3821" w:type="dxa"/>
            <w:tcBorders>
              <w:top w:val="nil"/>
              <w:left w:val="nil"/>
              <w:bottom w:val="nil"/>
              <w:right w:val="nil"/>
            </w:tcBorders>
          </w:tcPr>
          <w:p w:rsidR="00A46DCA" w:rsidRPr="00023820" w:rsidRDefault="00A46DCA" w:rsidP="00A26D04">
            <w:pPr>
              <w:keepLines w:val="0"/>
              <w:autoSpaceDE w:val="0"/>
              <w:autoSpaceDN w:val="0"/>
              <w:adjustRightInd w:val="0"/>
              <w:spacing w:after="0"/>
              <w:rPr>
                <w:rFonts w:eastAsiaTheme="minorEastAsia" w:cs="Calibri"/>
                <w:color w:val="000000"/>
                <w:szCs w:val="16"/>
                <w:lang w:eastAsia="en-AU"/>
              </w:rPr>
            </w:pPr>
            <w:r w:rsidRPr="00023820">
              <w:rPr>
                <w:rFonts w:eastAsiaTheme="minorEastAsia" w:cs="Calibri"/>
                <w:color w:val="000000"/>
                <w:szCs w:val="16"/>
                <w:lang w:eastAsia="en-AU"/>
              </w:rPr>
              <w:t xml:space="preserve">Dividends, income tax equivalent and </w:t>
            </w:r>
            <w:r>
              <w:rPr>
                <w:rFonts w:eastAsiaTheme="minorEastAsia" w:cs="Calibri"/>
                <w:color w:val="000000"/>
                <w:szCs w:val="16"/>
                <w:lang w:eastAsia="en-AU"/>
              </w:rPr>
              <w:br/>
            </w:r>
            <w:r w:rsidRPr="00023820">
              <w:rPr>
                <w:rFonts w:eastAsiaTheme="minorEastAsia" w:cs="Calibri"/>
                <w:color w:val="000000"/>
                <w:szCs w:val="16"/>
                <w:lang w:eastAsia="en-AU"/>
              </w:rPr>
              <w:t>rate equivalent revenue</w:t>
            </w:r>
          </w:p>
        </w:tc>
        <w:tc>
          <w:tcPr>
            <w:tcW w:w="788" w:type="dxa"/>
            <w:tcBorders>
              <w:top w:val="nil"/>
              <w:left w:val="nil"/>
              <w:bottom w:val="nil"/>
              <w:right w:val="nil"/>
            </w:tcBorders>
          </w:tcPr>
          <w:p w:rsidR="00A46DCA" w:rsidRPr="00023820"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524</w:t>
            </w:r>
          </w:p>
        </w:tc>
        <w:tc>
          <w:tcPr>
            <w:tcW w:w="788" w:type="dxa"/>
            <w:tcBorders>
              <w:top w:val="nil"/>
              <w:left w:val="nil"/>
              <w:bottom w:val="nil"/>
              <w:right w:val="nil"/>
            </w:tcBorders>
          </w:tcPr>
          <w:p w:rsidR="00A46DCA" w:rsidRPr="00023820"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549</w:t>
            </w:r>
          </w:p>
        </w:tc>
        <w:tc>
          <w:tcPr>
            <w:tcW w:w="788" w:type="dxa"/>
            <w:tcBorders>
              <w:top w:val="nil"/>
              <w:left w:val="nil"/>
              <w:bottom w:val="nil"/>
              <w:right w:val="nil"/>
            </w:tcBorders>
          </w:tcPr>
          <w:p w:rsidR="00A46DCA" w:rsidRPr="00023820"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209</w:t>
            </w:r>
          </w:p>
        </w:tc>
        <w:tc>
          <w:tcPr>
            <w:tcW w:w="788" w:type="dxa"/>
            <w:tcBorders>
              <w:top w:val="nil"/>
              <w:left w:val="nil"/>
              <w:bottom w:val="nil"/>
              <w:right w:val="nil"/>
            </w:tcBorders>
          </w:tcPr>
          <w:p w:rsidR="00A46DCA" w:rsidRPr="00023820"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157</w:t>
            </w:r>
          </w:p>
        </w:tc>
        <w:tc>
          <w:tcPr>
            <w:tcW w:w="788" w:type="dxa"/>
            <w:tcBorders>
              <w:top w:val="nil"/>
              <w:left w:val="nil"/>
              <w:bottom w:val="nil"/>
              <w:right w:val="nil"/>
            </w:tcBorders>
          </w:tcPr>
          <w:p w:rsidR="00A46DCA" w:rsidRPr="00023820"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230</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3821" w:type="dxa"/>
            <w:tcBorders>
              <w:top w:val="nil"/>
              <w:left w:val="nil"/>
              <w:bottom w:val="nil"/>
              <w:right w:val="nil"/>
            </w:tcBorders>
          </w:tcPr>
          <w:p w:rsidR="00A46DCA" w:rsidRPr="00023820" w:rsidRDefault="00A46DCA" w:rsidP="00A26D04">
            <w:pPr>
              <w:keepLines w:val="0"/>
              <w:autoSpaceDE w:val="0"/>
              <w:autoSpaceDN w:val="0"/>
              <w:adjustRightInd w:val="0"/>
              <w:spacing w:after="0"/>
              <w:rPr>
                <w:rFonts w:eastAsiaTheme="minorEastAsia" w:cs="Calibri"/>
                <w:color w:val="000000"/>
                <w:szCs w:val="16"/>
                <w:lang w:eastAsia="en-AU"/>
              </w:rPr>
            </w:pPr>
            <w:r w:rsidRPr="00023820">
              <w:rPr>
                <w:rFonts w:eastAsiaTheme="minorEastAsia" w:cs="Calibri"/>
                <w:color w:val="000000"/>
                <w:szCs w:val="16"/>
                <w:lang w:eastAsia="en-AU"/>
              </w:rPr>
              <w:t>Sales of goods and services</w:t>
            </w:r>
          </w:p>
        </w:tc>
        <w:tc>
          <w:tcPr>
            <w:tcW w:w="788" w:type="dxa"/>
            <w:tcBorders>
              <w:top w:val="nil"/>
              <w:left w:val="nil"/>
              <w:bottom w:val="nil"/>
              <w:right w:val="nil"/>
            </w:tcBorders>
          </w:tcPr>
          <w:p w:rsidR="00A46DCA" w:rsidRPr="00023820"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023820">
              <w:rPr>
                <w:rFonts w:eastAsiaTheme="minorEastAsia" w:cs="Arial"/>
                <w:color w:val="000000"/>
                <w:szCs w:val="18"/>
                <w:lang w:eastAsia="en-AU"/>
              </w:rPr>
              <w:t>11 293</w:t>
            </w:r>
          </w:p>
        </w:tc>
        <w:tc>
          <w:tcPr>
            <w:tcW w:w="788" w:type="dxa"/>
            <w:tcBorders>
              <w:top w:val="nil"/>
              <w:left w:val="nil"/>
              <w:bottom w:val="nil"/>
              <w:right w:val="nil"/>
            </w:tcBorders>
          </w:tcPr>
          <w:p w:rsidR="00A46DCA" w:rsidRPr="00023820"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023820">
              <w:rPr>
                <w:rFonts w:eastAsiaTheme="minorEastAsia" w:cs="Arial"/>
                <w:color w:val="000000"/>
                <w:szCs w:val="18"/>
                <w:lang w:eastAsia="en-AU"/>
              </w:rPr>
              <w:t>11 430</w:t>
            </w:r>
          </w:p>
        </w:tc>
        <w:tc>
          <w:tcPr>
            <w:tcW w:w="788" w:type="dxa"/>
            <w:tcBorders>
              <w:top w:val="nil"/>
              <w:left w:val="nil"/>
              <w:bottom w:val="nil"/>
              <w:right w:val="nil"/>
            </w:tcBorders>
          </w:tcPr>
          <w:p w:rsidR="00A46DCA" w:rsidRPr="00023820"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023820">
              <w:rPr>
                <w:rFonts w:eastAsiaTheme="minorEastAsia" w:cs="Arial"/>
                <w:color w:val="000000"/>
                <w:szCs w:val="18"/>
                <w:lang w:eastAsia="en-AU"/>
              </w:rPr>
              <w:t>11 618</w:t>
            </w:r>
          </w:p>
        </w:tc>
        <w:tc>
          <w:tcPr>
            <w:tcW w:w="788" w:type="dxa"/>
            <w:tcBorders>
              <w:top w:val="nil"/>
              <w:left w:val="nil"/>
              <w:bottom w:val="nil"/>
              <w:right w:val="nil"/>
            </w:tcBorders>
          </w:tcPr>
          <w:p w:rsidR="00A46DCA" w:rsidRPr="00023820"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023820">
              <w:rPr>
                <w:rFonts w:eastAsiaTheme="minorEastAsia" w:cs="Arial"/>
                <w:color w:val="000000"/>
                <w:szCs w:val="18"/>
                <w:lang w:eastAsia="en-AU"/>
              </w:rPr>
              <w:t>12 108</w:t>
            </w:r>
          </w:p>
        </w:tc>
        <w:tc>
          <w:tcPr>
            <w:tcW w:w="788" w:type="dxa"/>
            <w:tcBorders>
              <w:top w:val="nil"/>
              <w:left w:val="nil"/>
              <w:bottom w:val="nil"/>
              <w:right w:val="nil"/>
            </w:tcBorders>
          </w:tcPr>
          <w:p w:rsidR="00A46DCA" w:rsidRPr="00023820"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023820">
              <w:rPr>
                <w:rFonts w:eastAsiaTheme="minorEastAsia" w:cs="Arial"/>
                <w:color w:val="000000"/>
                <w:szCs w:val="18"/>
                <w:lang w:eastAsia="en-AU"/>
              </w:rPr>
              <w:t>12 946</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3821" w:type="dxa"/>
            <w:tcBorders>
              <w:top w:val="nil"/>
              <w:left w:val="nil"/>
              <w:bottom w:val="nil"/>
              <w:right w:val="nil"/>
            </w:tcBorders>
          </w:tcPr>
          <w:p w:rsidR="00A46DCA" w:rsidRPr="00023820" w:rsidRDefault="00A46DCA" w:rsidP="00A26D04">
            <w:pPr>
              <w:keepLines w:val="0"/>
              <w:autoSpaceDE w:val="0"/>
              <w:autoSpaceDN w:val="0"/>
              <w:adjustRightInd w:val="0"/>
              <w:spacing w:after="0"/>
              <w:rPr>
                <w:rFonts w:eastAsiaTheme="minorEastAsia" w:cs="Calibri"/>
                <w:color w:val="000000"/>
                <w:szCs w:val="16"/>
                <w:lang w:eastAsia="en-AU"/>
              </w:rPr>
            </w:pPr>
            <w:r w:rsidRPr="00023820">
              <w:rPr>
                <w:rFonts w:eastAsiaTheme="minorEastAsia" w:cs="Calibri"/>
                <w:color w:val="000000"/>
                <w:szCs w:val="16"/>
                <w:lang w:eastAsia="en-AU"/>
              </w:rPr>
              <w:t>Grant revenue</w:t>
            </w:r>
          </w:p>
        </w:tc>
        <w:tc>
          <w:tcPr>
            <w:tcW w:w="788" w:type="dxa"/>
            <w:tcBorders>
              <w:top w:val="nil"/>
              <w:left w:val="nil"/>
              <w:bottom w:val="nil"/>
              <w:right w:val="nil"/>
            </w:tcBorders>
          </w:tcPr>
          <w:p w:rsidR="00A46DCA" w:rsidRPr="00023820"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023820">
              <w:rPr>
                <w:rFonts w:eastAsiaTheme="minorEastAsia" w:cs="Arial"/>
                <w:color w:val="000000"/>
                <w:szCs w:val="18"/>
                <w:lang w:eastAsia="en-AU"/>
              </w:rPr>
              <w:t>29 812</w:t>
            </w:r>
          </w:p>
        </w:tc>
        <w:tc>
          <w:tcPr>
            <w:tcW w:w="788" w:type="dxa"/>
            <w:tcBorders>
              <w:top w:val="nil"/>
              <w:left w:val="nil"/>
              <w:bottom w:val="nil"/>
              <w:right w:val="nil"/>
            </w:tcBorders>
          </w:tcPr>
          <w:p w:rsidR="00A46DCA" w:rsidRPr="00023820"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023820">
              <w:rPr>
                <w:rFonts w:eastAsiaTheme="minorEastAsia" w:cs="Arial"/>
                <w:color w:val="000000"/>
                <w:szCs w:val="18"/>
                <w:lang w:eastAsia="en-AU"/>
              </w:rPr>
              <w:t>30 216</w:t>
            </w:r>
          </w:p>
        </w:tc>
        <w:tc>
          <w:tcPr>
            <w:tcW w:w="788" w:type="dxa"/>
            <w:tcBorders>
              <w:top w:val="nil"/>
              <w:left w:val="nil"/>
              <w:bottom w:val="nil"/>
              <w:right w:val="nil"/>
            </w:tcBorders>
          </w:tcPr>
          <w:p w:rsidR="00A46DCA" w:rsidRPr="00023820"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023820">
              <w:rPr>
                <w:rFonts w:eastAsiaTheme="minorEastAsia" w:cs="Arial"/>
                <w:color w:val="000000"/>
                <w:szCs w:val="18"/>
                <w:lang w:eastAsia="en-AU"/>
              </w:rPr>
              <w:t>32 210</w:t>
            </w:r>
          </w:p>
        </w:tc>
        <w:tc>
          <w:tcPr>
            <w:tcW w:w="788" w:type="dxa"/>
            <w:tcBorders>
              <w:top w:val="nil"/>
              <w:left w:val="nil"/>
              <w:bottom w:val="nil"/>
              <w:right w:val="nil"/>
            </w:tcBorders>
          </w:tcPr>
          <w:p w:rsidR="00A46DCA" w:rsidRPr="00023820"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023820">
              <w:rPr>
                <w:rFonts w:eastAsiaTheme="minorEastAsia" w:cs="Arial"/>
                <w:color w:val="000000"/>
                <w:szCs w:val="18"/>
                <w:lang w:eastAsia="en-AU"/>
              </w:rPr>
              <w:t>32 184</w:t>
            </w:r>
          </w:p>
        </w:tc>
        <w:tc>
          <w:tcPr>
            <w:tcW w:w="788" w:type="dxa"/>
            <w:tcBorders>
              <w:top w:val="nil"/>
              <w:left w:val="nil"/>
              <w:bottom w:val="nil"/>
              <w:right w:val="nil"/>
            </w:tcBorders>
          </w:tcPr>
          <w:p w:rsidR="00A46DCA" w:rsidRPr="00023820"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023820">
              <w:rPr>
                <w:rFonts w:eastAsiaTheme="minorEastAsia" w:cs="Arial"/>
                <w:color w:val="000000"/>
                <w:szCs w:val="18"/>
                <w:lang w:eastAsia="en-AU"/>
              </w:rPr>
              <w:t>33 407</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3821" w:type="dxa"/>
            <w:tcBorders>
              <w:top w:val="nil"/>
              <w:left w:val="nil"/>
              <w:bottom w:val="single" w:sz="6" w:space="0" w:color="000000"/>
              <w:right w:val="nil"/>
            </w:tcBorders>
          </w:tcPr>
          <w:p w:rsidR="00A46DCA" w:rsidRPr="00023820" w:rsidRDefault="00A46DCA" w:rsidP="00A26D04">
            <w:pPr>
              <w:keepLines w:val="0"/>
              <w:autoSpaceDE w:val="0"/>
              <w:autoSpaceDN w:val="0"/>
              <w:adjustRightInd w:val="0"/>
              <w:spacing w:after="0"/>
              <w:rPr>
                <w:rFonts w:eastAsiaTheme="minorEastAsia" w:cs="Calibri"/>
                <w:color w:val="000000"/>
                <w:szCs w:val="16"/>
                <w:lang w:eastAsia="en-AU"/>
              </w:rPr>
            </w:pPr>
            <w:r w:rsidRPr="00023820">
              <w:rPr>
                <w:rFonts w:eastAsiaTheme="minorEastAsia" w:cs="Calibri"/>
                <w:color w:val="000000"/>
                <w:szCs w:val="16"/>
                <w:lang w:eastAsia="en-AU"/>
              </w:rPr>
              <w:t>Other revenue</w:t>
            </w:r>
          </w:p>
        </w:tc>
        <w:tc>
          <w:tcPr>
            <w:tcW w:w="788" w:type="dxa"/>
            <w:tcBorders>
              <w:top w:val="nil"/>
              <w:left w:val="nil"/>
              <w:bottom w:val="single" w:sz="6" w:space="0" w:color="000000"/>
              <w:right w:val="nil"/>
            </w:tcBorders>
          </w:tcPr>
          <w:p w:rsidR="00A46DCA" w:rsidRPr="00023820"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023820">
              <w:rPr>
                <w:rFonts w:eastAsiaTheme="minorEastAsia" w:cs="Arial"/>
                <w:color w:val="000000"/>
                <w:szCs w:val="18"/>
                <w:lang w:eastAsia="en-AU"/>
              </w:rPr>
              <w:t>3 092</w:t>
            </w:r>
          </w:p>
        </w:tc>
        <w:tc>
          <w:tcPr>
            <w:tcW w:w="788" w:type="dxa"/>
            <w:tcBorders>
              <w:top w:val="nil"/>
              <w:left w:val="nil"/>
              <w:bottom w:val="single" w:sz="6" w:space="0" w:color="000000"/>
              <w:right w:val="nil"/>
            </w:tcBorders>
          </w:tcPr>
          <w:p w:rsidR="00A46DCA" w:rsidRPr="00023820"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023820">
              <w:rPr>
                <w:rFonts w:eastAsiaTheme="minorEastAsia" w:cs="Arial"/>
                <w:color w:val="000000"/>
                <w:szCs w:val="18"/>
                <w:lang w:eastAsia="en-AU"/>
              </w:rPr>
              <w:t>3 182</w:t>
            </w:r>
          </w:p>
        </w:tc>
        <w:tc>
          <w:tcPr>
            <w:tcW w:w="788" w:type="dxa"/>
            <w:tcBorders>
              <w:top w:val="nil"/>
              <w:left w:val="nil"/>
              <w:bottom w:val="single" w:sz="6" w:space="0" w:color="000000"/>
              <w:right w:val="nil"/>
            </w:tcBorders>
          </w:tcPr>
          <w:p w:rsidR="00A46DCA" w:rsidRPr="00023820"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023820">
              <w:rPr>
                <w:rFonts w:eastAsiaTheme="minorEastAsia" w:cs="Arial"/>
                <w:color w:val="000000"/>
                <w:szCs w:val="18"/>
                <w:lang w:eastAsia="en-AU"/>
              </w:rPr>
              <w:t>3 265</w:t>
            </w:r>
          </w:p>
        </w:tc>
        <w:tc>
          <w:tcPr>
            <w:tcW w:w="788" w:type="dxa"/>
            <w:tcBorders>
              <w:top w:val="nil"/>
              <w:left w:val="nil"/>
              <w:bottom w:val="single" w:sz="6" w:space="0" w:color="000000"/>
              <w:right w:val="nil"/>
            </w:tcBorders>
          </w:tcPr>
          <w:p w:rsidR="00A46DCA" w:rsidRPr="00023820"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023820">
              <w:rPr>
                <w:rFonts w:eastAsiaTheme="minorEastAsia" w:cs="Arial"/>
                <w:color w:val="000000"/>
                <w:szCs w:val="18"/>
                <w:lang w:eastAsia="en-AU"/>
              </w:rPr>
              <w:t>3 213</w:t>
            </w:r>
          </w:p>
        </w:tc>
        <w:tc>
          <w:tcPr>
            <w:tcW w:w="788" w:type="dxa"/>
            <w:tcBorders>
              <w:top w:val="nil"/>
              <w:left w:val="nil"/>
              <w:bottom w:val="single" w:sz="6" w:space="0" w:color="000000"/>
              <w:right w:val="nil"/>
            </w:tcBorders>
          </w:tcPr>
          <w:p w:rsidR="00A46DCA" w:rsidRPr="00023820"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023820">
              <w:rPr>
                <w:rFonts w:eastAsiaTheme="minorEastAsia" w:cs="Arial"/>
                <w:color w:val="000000"/>
                <w:szCs w:val="18"/>
                <w:lang w:eastAsia="en-AU"/>
              </w:rPr>
              <w:t>3 273</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3821" w:type="dxa"/>
            <w:tcBorders>
              <w:top w:val="nil"/>
              <w:left w:val="nil"/>
              <w:bottom w:val="nil"/>
              <w:right w:val="nil"/>
            </w:tcBorders>
          </w:tcPr>
          <w:p w:rsidR="00A46DCA" w:rsidRPr="00023820" w:rsidRDefault="00A46DCA" w:rsidP="00A26D04">
            <w:pPr>
              <w:keepLines w:val="0"/>
              <w:autoSpaceDE w:val="0"/>
              <w:autoSpaceDN w:val="0"/>
              <w:adjustRightInd w:val="0"/>
              <w:spacing w:after="0"/>
              <w:rPr>
                <w:rFonts w:eastAsiaTheme="minorEastAsia" w:cs="Calibri"/>
                <w:b/>
                <w:bCs/>
                <w:color w:val="000000"/>
                <w:szCs w:val="16"/>
                <w:lang w:eastAsia="en-AU"/>
              </w:rPr>
            </w:pPr>
            <w:r w:rsidRPr="00023820">
              <w:rPr>
                <w:rFonts w:eastAsiaTheme="minorEastAsia" w:cs="Calibri"/>
                <w:b/>
                <w:bCs/>
                <w:color w:val="000000"/>
                <w:szCs w:val="16"/>
                <w:lang w:eastAsia="en-AU"/>
              </w:rPr>
              <w:t>Total revenue from transactions</w:t>
            </w:r>
          </w:p>
        </w:tc>
        <w:tc>
          <w:tcPr>
            <w:tcW w:w="788" w:type="dxa"/>
            <w:tcBorders>
              <w:top w:val="nil"/>
              <w:left w:val="nil"/>
              <w:bottom w:val="nil"/>
              <w:right w:val="nil"/>
            </w:tcBorders>
          </w:tcPr>
          <w:p w:rsidR="00A46DCA" w:rsidRPr="00023820"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sidRPr="00023820">
              <w:rPr>
                <w:rFonts w:eastAsiaTheme="minorEastAsia" w:cs="Arial"/>
                <w:b/>
                <w:bCs/>
                <w:color w:val="000000"/>
                <w:szCs w:val="18"/>
                <w:lang w:eastAsia="en-AU"/>
              </w:rPr>
              <w:t>66 528</w:t>
            </w:r>
          </w:p>
        </w:tc>
        <w:tc>
          <w:tcPr>
            <w:tcW w:w="788" w:type="dxa"/>
            <w:tcBorders>
              <w:top w:val="nil"/>
              <w:left w:val="nil"/>
              <w:bottom w:val="nil"/>
              <w:right w:val="nil"/>
            </w:tcBorders>
          </w:tcPr>
          <w:p w:rsidR="00A46DCA" w:rsidRPr="00023820"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sidRPr="00023820">
              <w:rPr>
                <w:rFonts w:eastAsiaTheme="minorEastAsia" w:cs="Arial"/>
                <w:b/>
                <w:bCs/>
                <w:color w:val="000000"/>
                <w:szCs w:val="18"/>
                <w:lang w:eastAsia="en-AU"/>
              </w:rPr>
              <w:t>67 530</w:t>
            </w:r>
          </w:p>
        </w:tc>
        <w:tc>
          <w:tcPr>
            <w:tcW w:w="788" w:type="dxa"/>
            <w:tcBorders>
              <w:top w:val="nil"/>
              <w:left w:val="nil"/>
              <w:bottom w:val="nil"/>
              <w:right w:val="nil"/>
            </w:tcBorders>
          </w:tcPr>
          <w:p w:rsidR="00A46DCA" w:rsidRPr="00023820"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sidRPr="00023820">
              <w:rPr>
                <w:rFonts w:eastAsiaTheme="minorEastAsia" w:cs="Arial"/>
                <w:b/>
                <w:bCs/>
                <w:color w:val="000000"/>
                <w:szCs w:val="18"/>
                <w:lang w:eastAsia="en-AU"/>
              </w:rPr>
              <w:t>71 025</w:t>
            </w:r>
          </w:p>
        </w:tc>
        <w:tc>
          <w:tcPr>
            <w:tcW w:w="788" w:type="dxa"/>
            <w:tcBorders>
              <w:top w:val="nil"/>
              <w:left w:val="nil"/>
              <w:bottom w:val="nil"/>
              <w:right w:val="nil"/>
            </w:tcBorders>
          </w:tcPr>
          <w:p w:rsidR="00A46DCA" w:rsidRPr="00023820"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sidRPr="00023820">
              <w:rPr>
                <w:rFonts w:eastAsiaTheme="minorEastAsia" w:cs="Arial"/>
                <w:b/>
                <w:bCs/>
                <w:color w:val="000000"/>
                <w:szCs w:val="18"/>
                <w:lang w:eastAsia="en-AU"/>
              </w:rPr>
              <w:t>72 529</w:t>
            </w:r>
          </w:p>
        </w:tc>
        <w:tc>
          <w:tcPr>
            <w:tcW w:w="788" w:type="dxa"/>
            <w:tcBorders>
              <w:top w:val="nil"/>
              <w:left w:val="nil"/>
              <w:bottom w:val="nil"/>
              <w:right w:val="nil"/>
            </w:tcBorders>
          </w:tcPr>
          <w:p w:rsidR="00A46DCA" w:rsidRPr="00023820"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sidRPr="00023820">
              <w:rPr>
                <w:rFonts w:eastAsiaTheme="minorEastAsia" w:cs="Arial"/>
                <w:b/>
                <w:bCs/>
                <w:color w:val="000000"/>
                <w:szCs w:val="18"/>
                <w:lang w:eastAsia="en-AU"/>
              </w:rPr>
              <w:t>75 718</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3821" w:type="dxa"/>
            <w:tcBorders>
              <w:top w:val="nil"/>
              <w:left w:val="nil"/>
              <w:bottom w:val="nil"/>
              <w:right w:val="nil"/>
            </w:tcBorders>
          </w:tcPr>
          <w:p w:rsidR="00A46DCA" w:rsidRPr="00023820" w:rsidRDefault="00A46DCA" w:rsidP="00A26D04">
            <w:pPr>
              <w:keepLines w:val="0"/>
              <w:autoSpaceDE w:val="0"/>
              <w:autoSpaceDN w:val="0"/>
              <w:adjustRightInd w:val="0"/>
              <w:spacing w:after="0"/>
              <w:rPr>
                <w:rFonts w:eastAsiaTheme="minorEastAsia" w:cs="Calibri"/>
                <w:b/>
                <w:bCs/>
                <w:color w:val="000000"/>
                <w:szCs w:val="16"/>
                <w:lang w:eastAsia="en-AU"/>
              </w:rPr>
            </w:pPr>
            <w:r w:rsidRPr="00023820">
              <w:rPr>
                <w:rFonts w:eastAsiaTheme="minorEastAsia" w:cs="Calibri"/>
                <w:b/>
                <w:bCs/>
                <w:color w:val="000000"/>
                <w:szCs w:val="16"/>
                <w:lang w:eastAsia="en-AU"/>
              </w:rPr>
              <w:t>Expenses from transactions</w:t>
            </w:r>
          </w:p>
        </w:tc>
        <w:tc>
          <w:tcPr>
            <w:tcW w:w="788" w:type="dxa"/>
            <w:tcBorders>
              <w:top w:val="nil"/>
              <w:left w:val="nil"/>
              <w:bottom w:val="nil"/>
              <w:right w:val="nil"/>
            </w:tcBorders>
          </w:tcPr>
          <w:p w:rsidR="00A46DCA" w:rsidRPr="00023820"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023820">
              <w:rPr>
                <w:rFonts w:eastAsiaTheme="minorEastAsia" w:cs="Calibri"/>
                <w:b/>
                <w:bCs/>
                <w:color w:val="000000"/>
                <w:lang w:eastAsia="en-AU"/>
              </w:rPr>
              <w:t xml:space="preserve"> </w:t>
            </w:r>
          </w:p>
        </w:tc>
        <w:tc>
          <w:tcPr>
            <w:tcW w:w="788" w:type="dxa"/>
            <w:tcBorders>
              <w:top w:val="nil"/>
              <w:left w:val="nil"/>
              <w:bottom w:val="nil"/>
              <w:right w:val="nil"/>
            </w:tcBorders>
          </w:tcPr>
          <w:p w:rsidR="00A46DCA" w:rsidRPr="00023820"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023820">
              <w:rPr>
                <w:rFonts w:eastAsiaTheme="minorEastAsia" w:cs="Calibri"/>
                <w:b/>
                <w:bCs/>
                <w:color w:val="000000"/>
                <w:lang w:eastAsia="en-AU"/>
              </w:rPr>
              <w:t xml:space="preserve"> </w:t>
            </w:r>
          </w:p>
        </w:tc>
        <w:tc>
          <w:tcPr>
            <w:tcW w:w="788" w:type="dxa"/>
            <w:tcBorders>
              <w:top w:val="nil"/>
              <w:left w:val="nil"/>
              <w:bottom w:val="nil"/>
              <w:right w:val="nil"/>
            </w:tcBorders>
          </w:tcPr>
          <w:p w:rsidR="00A46DCA" w:rsidRPr="00023820"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023820">
              <w:rPr>
                <w:rFonts w:eastAsiaTheme="minorEastAsia" w:cs="Calibri"/>
                <w:b/>
                <w:bCs/>
                <w:color w:val="000000"/>
                <w:lang w:eastAsia="en-AU"/>
              </w:rPr>
              <w:t xml:space="preserve"> </w:t>
            </w:r>
          </w:p>
        </w:tc>
        <w:tc>
          <w:tcPr>
            <w:tcW w:w="788" w:type="dxa"/>
            <w:tcBorders>
              <w:top w:val="nil"/>
              <w:left w:val="nil"/>
              <w:bottom w:val="nil"/>
              <w:right w:val="nil"/>
            </w:tcBorders>
          </w:tcPr>
          <w:p w:rsidR="00A46DCA" w:rsidRPr="00023820"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023820">
              <w:rPr>
                <w:rFonts w:eastAsiaTheme="minorEastAsia" w:cs="Calibri"/>
                <w:b/>
                <w:bCs/>
                <w:color w:val="000000"/>
                <w:lang w:eastAsia="en-AU"/>
              </w:rPr>
              <w:t xml:space="preserve"> </w:t>
            </w:r>
          </w:p>
        </w:tc>
        <w:tc>
          <w:tcPr>
            <w:tcW w:w="788" w:type="dxa"/>
            <w:tcBorders>
              <w:top w:val="nil"/>
              <w:left w:val="nil"/>
              <w:bottom w:val="nil"/>
              <w:right w:val="nil"/>
            </w:tcBorders>
          </w:tcPr>
          <w:p w:rsidR="00A46DCA" w:rsidRPr="00023820"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023820">
              <w:rPr>
                <w:rFonts w:eastAsiaTheme="minorEastAsia" w:cs="Calibri"/>
                <w:b/>
                <w:bCs/>
                <w:color w:val="000000"/>
                <w:lang w:eastAsia="en-AU"/>
              </w:rPr>
              <w:t xml:space="preserve"> </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3821" w:type="dxa"/>
            <w:tcBorders>
              <w:top w:val="nil"/>
              <w:left w:val="nil"/>
              <w:bottom w:val="nil"/>
              <w:right w:val="nil"/>
            </w:tcBorders>
          </w:tcPr>
          <w:p w:rsidR="00A46DCA" w:rsidRPr="00023820" w:rsidRDefault="00A46DCA" w:rsidP="00A26D04">
            <w:pPr>
              <w:keepLines w:val="0"/>
              <w:autoSpaceDE w:val="0"/>
              <w:autoSpaceDN w:val="0"/>
              <w:adjustRightInd w:val="0"/>
              <w:spacing w:after="0"/>
              <w:rPr>
                <w:rFonts w:eastAsiaTheme="minorEastAsia" w:cs="Calibri"/>
                <w:color w:val="000000"/>
                <w:szCs w:val="16"/>
                <w:lang w:eastAsia="en-AU"/>
              </w:rPr>
            </w:pPr>
            <w:r w:rsidRPr="00023820">
              <w:rPr>
                <w:rFonts w:eastAsiaTheme="minorEastAsia" w:cs="Calibri"/>
                <w:color w:val="000000"/>
                <w:szCs w:val="16"/>
                <w:lang w:eastAsia="en-AU"/>
              </w:rPr>
              <w:t>Employee expenses</w:t>
            </w:r>
          </w:p>
        </w:tc>
        <w:tc>
          <w:tcPr>
            <w:tcW w:w="788" w:type="dxa"/>
            <w:tcBorders>
              <w:top w:val="nil"/>
              <w:left w:val="nil"/>
              <w:bottom w:val="nil"/>
              <w:right w:val="nil"/>
            </w:tcBorders>
          </w:tcPr>
          <w:p w:rsidR="00A46DCA" w:rsidRPr="00023820"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023820">
              <w:rPr>
                <w:rFonts w:eastAsiaTheme="minorEastAsia" w:cs="Arial"/>
                <w:color w:val="000000"/>
                <w:szCs w:val="18"/>
                <w:lang w:eastAsia="en-AU"/>
              </w:rPr>
              <w:t>24 196</w:t>
            </w:r>
          </w:p>
        </w:tc>
        <w:tc>
          <w:tcPr>
            <w:tcW w:w="788" w:type="dxa"/>
            <w:tcBorders>
              <w:top w:val="nil"/>
              <w:left w:val="nil"/>
              <w:bottom w:val="nil"/>
              <w:right w:val="nil"/>
            </w:tcBorders>
          </w:tcPr>
          <w:p w:rsidR="00A46DCA" w:rsidRPr="00023820"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023820">
              <w:rPr>
                <w:rFonts w:eastAsiaTheme="minorEastAsia" w:cs="Arial"/>
                <w:color w:val="000000"/>
                <w:szCs w:val="18"/>
                <w:lang w:eastAsia="en-AU"/>
              </w:rPr>
              <w:t>24 277</w:t>
            </w:r>
          </w:p>
        </w:tc>
        <w:tc>
          <w:tcPr>
            <w:tcW w:w="788" w:type="dxa"/>
            <w:tcBorders>
              <w:top w:val="nil"/>
              <w:left w:val="nil"/>
              <w:bottom w:val="nil"/>
              <w:right w:val="nil"/>
            </w:tcBorders>
          </w:tcPr>
          <w:p w:rsidR="00A46DCA" w:rsidRPr="00023820"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023820">
              <w:rPr>
                <w:rFonts w:eastAsiaTheme="minorEastAsia" w:cs="Arial"/>
                <w:color w:val="000000"/>
                <w:szCs w:val="18"/>
                <w:lang w:eastAsia="en-AU"/>
              </w:rPr>
              <w:t>25 814</w:t>
            </w:r>
          </w:p>
        </w:tc>
        <w:tc>
          <w:tcPr>
            <w:tcW w:w="788" w:type="dxa"/>
            <w:tcBorders>
              <w:top w:val="nil"/>
              <w:left w:val="nil"/>
              <w:bottom w:val="nil"/>
              <w:right w:val="nil"/>
            </w:tcBorders>
          </w:tcPr>
          <w:p w:rsidR="00A46DCA" w:rsidRPr="00023820"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023820">
              <w:rPr>
                <w:rFonts w:eastAsiaTheme="minorEastAsia" w:cs="Arial"/>
                <w:color w:val="000000"/>
                <w:szCs w:val="18"/>
                <w:lang w:eastAsia="en-AU"/>
              </w:rPr>
              <w:t>26 374</w:t>
            </w:r>
          </w:p>
        </w:tc>
        <w:tc>
          <w:tcPr>
            <w:tcW w:w="788" w:type="dxa"/>
            <w:tcBorders>
              <w:top w:val="nil"/>
              <w:left w:val="nil"/>
              <w:bottom w:val="nil"/>
              <w:right w:val="nil"/>
            </w:tcBorders>
          </w:tcPr>
          <w:p w:rsidR="00A46DCA" w:rsidRPr="00023820"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023820">
              <w:rPr>
                <w:rFonts w:eastAsiaTheme="minorEastAsia" w:cs="Arial"/>
                <w:color w:val="000000"/>
                <w:szCs w:val="18"/>
                <w:lang w:eastAsia="en-AU"/>
              </w:rPr>
              <w:t>27 196</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3821" w:type="dxa"/>
            <w:tcBorders>
              <w:top w:val="nil"/>
              <w:left w:val="nil"/>
              <w:bottom w:val="nil"/>
              <w:right w:val="nil"/>
            </w:tcBorders>
          </w:tcPr>
          <w:p w:rsidR="00A46DCA" w:rsidRPr="00023820" w:rsidRDefault="00A46DCA" w:rsidP="00A26D04">
            <w:pPr>
              <w:keepLines w:val="0"/>
              <w:autoSpaceDE w:val="0"/>
              <w:autoSpaceDN w:val="0"/>
              <w:adjustRightInd w:val="0"/>
              <w:spacing w:after="0"/>
              <w:rPr>
                <w:rFonts w:eastAsiaTheme="minorEastAsia" w:cs="Calibri"/>
                <w:color w:val="000000"/>
                <w:szCs w:val="16"/>
                <w:lang w:eastAsia="en-AU"/>
              </w:rPr>
            </w:pPr>
            <w:r w:rsidRPr="00023820">
              <w:rPr>
                <w:rFonts w:eastAsiaTheme="minorEastAsia" w:cs="Calibri"/>
                <w:color w:val="000000"/>
                <w:szCs w:val="16"/>
                <w:lang w:eastAsia="en-AU"/>
              </w:rPr>
              <w:t>Net superannuation interest expense</w:t>
            </w:r>
          </w:p>
        </w:tc>
        <w:tc>
          <w:tcPr>
            <w:tcW w:w="788" w:type="dxa"/>
            <w:tcBorders>
              <w:top w:val="nil"/>
              <w:left w:val="nil"/>
              <w:bottom w:val="nil"/>
              <w:right w:val="nil"/>
            </w:tcBorders>
          </w:tcPr>
          <w:p w:rsidR="00A46DCA" w:rsidRPr="00023820"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761</w:t>
            </w:r>
          </w:p>
        </w:tc>
        <w:tc>
          <w:tcPr>
            <w:tcW w:w="788" w:type="dxa"/>
            <w:tcBorders>
              <w:top w:val="nil"/>
              <w:left w:val="nil"/>
              <w:bottom w:val="nil"/>
              <w:right w:val="nil"/>
            </w:tcBorders>
          </w:tcPr>
          <w:p w:rsidR="00A46DCA" w:rsidRPr="00023820"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714</w:t>
            </w:r>
          </w:p>
        </w:tc>
        <w:tc>
          <w:tcPr>
            <w:tcW w:w="788" w:type="dxa"/>
            <w:tcBorders>
              <w:top w:val="nil"/>
              <w:left w:val="nil"/>
              <w:bottom w:val="nil"/>
              <w:right w:val="nil"/>
            </w:tcBorders>
          </w:tcPr>
          <w:p w:rsidR="00A46DCA" w:rsidRPr="00023820"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699</w:t>
            </w:r>
          </w:p>
        </w:tc>
        <w:tc>
          <w:tcPr>
            <w:tcW w:w="788" w:type="dxa"/>
            <w:tcBorders>
              <w:top w:val="nil"/>
              <w:left w:val="nil"/>
              <w:bottom w:val="nil"/>
              <w:right w:val="nil"/>
            </w:tcBorders>
          </w:tcPr>
          <w:p w:rsidR="00A46DCA" w:rsidRPr="00023820"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670</w:t>
            </w:r>
          </w:p>
        </w:tc>
        <w:tc>
          <w:tcPr>
            <w:tcW w:w="788" w:type="dxa"/>
            <w:tcBorders>
              <w:top w:val="nil"/>
              <w:left w:val="nil"/>
              <w:bottom w:val="nil"/>
              <w:right w:val="nil"/>
            </w:tcBorders>
          </w:tcPr>
          <w:p w:rsidR="00A46DCA" w:rsidRPr="00023820"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639</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3821" w:type="dxa"/>
            <w:tcBorders>
              <w:top w:val="nil"/>
              <w:left w:val="nil"/>
              <w:bottom w:val="nil"/>
              <w:right w:val="nil"/>
            </w:tcBorders>
          </w:tcPr>
          <w:p w:rsidR="00A46DCA" w:rsidRPr="00023820" w:rsidRDefault="00A46DCA" w:rsidP="00A26D04">
            <w:pPr>
              <w:keepLines w:val="0"/>
              <w:autoSpaceDE w:val="0"/>
              <w:autoSpaceDN w:val="0"/>
              <w:adjustRightInd w:val="0"/>
              <w:spacing w:after="0"/>
              <w:rPr>
                <w:rFonts w:eastAsiaTheme="minorEastAsia" w:cs="Calibri"/>
                <w:color w:val="000000"/>
                <w:szCs w:val="16"/>
                <w:lang w:eastAsia="en-AU"/>
              </w:rPr>
            </w:pPr>
            <w:r w:rsidRPr="00023820">
              <w:rPr>
                <w:rFonts w:eastAsiaTheme="minorEastAsia" w:cs="Calibri"/>
                <w:color w:val="000000"/>
                <w:szCs w:val="16"/>
                <w:lang w:eastAsia="en-AU"/>
              </w:rPr>
              <w:t>Other superannuation</w:t>
            </w:r>
          </w:p>
        </w:tc>
        <w:tc>
          <w:tcPr>
            <w:tcW w:w="788" w:type="dxa"/>
            <w:tcBorders>
              <w:top w:val="nil"/>
              <w:left w:val="nil"/>
              <w:bottom w:val="nil"/>
              <w:right w:val="nil"/>
            </w:tcBorders>
          </w:tcPr>
          <w:p w:rsidR="00A46DCA" w:rsidRPr="00023820"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023820">
              <w:rPr>
                <w:rFonts w:eastAsiaTheme="minorEastAsia" w:cs="Arial"/>
                <w:color w:val="000000"/>
                <w:szCs w:val="18"/>
                <w:lang w:eastAsia="en-AU"/>
              </w:rPr>
              <w:t>2 458</w:t>
            </w:r>
          </w:p>
        </w:tc>
        <w:tc>
          <w:tcPr>
            <w:tcW w:w="788" w:type="dxa"/>
            <w:tcBorders>
              <w:top w:val="nil"/>
              <w:left w:val="nil"/>
              <w:bottom w:val="nil"/>
              <w:right w:val="nil"/>
            </w:tcBorders>
          </w:tcPr>
          <w:p w:rsidR="00A46DCA" w:rsidRPr="00023820"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023820">
              <w:rPr>
                <w:rFonts w:eastAsiaTheme="minorEastAsia" w:cs="Arial"/>
                <w:color w:val="000000"/>
                <w:szCs w:val="18"/>
                <w:lang w:eastAsia="en-AU"/>
              </w:rPr>
              <w:t>2 614</w:t>
            </w:r>
          </w:p>
        </w:tc>
        <w:tc>
          <w:tcPr>
            <w:tcW w:w="788" w:type="dxa"/>
            <w:tcBorders>
              <w:top w:val="nil"/>
              <w:left w:val="nil"/>
              <w:bottom w:val="nil"/>
              <w:right w:val="nil"/>
            </w:tcBorders>
          </w:tcPr>
          <w:p w:rsidR="00A46DCA" w:rsidRPr="00023820"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023820">
              <w:rPr>
                <w:rFonts w:eastAsiaTheme="minorEastAsia" w:cs="Arial"/>
                <w:color w:val="000000"/>
                <w:szCs w:val="18"/>
                <w:lang w:eastAsia="en-AU"/>
              </w:rPr>
              <w:t>2 624</w:t>
            </w:r>
          </w:p>
        </w:tc>
        <w:tc>
          <w:tcPr>
            <w:tcW w:w="788" w:type="dxa"/>
            <w:tcBorders>
              <w:top w:val="nil"/>
              <w:left w:val="nil"/>
              <w:bottom w:val="nil"/>
              <w:right w:val="nil"/>
            </w:tcBorders>
          </w:tcPr>
          <w:p w:rsidR="00A46DCA" w:rsidRPr="00023820"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023820">
              <w:rPr>
                <w:rFonts w:eastAsiaTheme="minorEastAsia" w:cs="Arial"/>
                <w:color w:val="000000"/>
                <w:szCs w:val="18"/>
                <w:lang w:eastAsia="en-AU"/>
              </w:rPr>
              <w:t>2 690</w:t>
            </w:r>
          </w:p>
        </w:tc>
        <w:tc>
          <w:tcPr>
            <w:tcW w:w="788" w:type="dxa"/>
            <w:tcBorders>
              <w:top w:val="nil"/>
              <w:left w:val="nil"/>
              <w:bottom w:val="nil"/>
              <w:right w:val="nil"/>
            </w:tcBorders>
          </w:tcPr>
          <w:p w:rsidR="00A46DCA" w:rsidRPr="00023820"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023820">
              <w:rPr>
                <w:rFonts w:eastAsiaTheme="minorEastAsia" w:cs="Arial"/>
                <w:color w:val="000000"/>
                <w:szCs w:val="18"/>
                <w:lang w:eastAsia="en-AU"/>
              </w:rPr>
              <w:t>2 739</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3821" w:type="dxa"/>
            <w:tcBorders>
              <w:top w:val="nil"/>
              <w:left w:val="nil"/>
              <w:bottom w:val="nil"/>
              <w:right w:val="nil"/>
            </w:tcBorders>
          </w:tcPr>
          <w:p w:rsidR="00A46DCA" w:rsidRPr="00023820" w:rsidRDefault="00A46DCA" w:rsidP="00A26D04">
            <w:pPr>
              <w:keepLines w:val="0"/>
              <w:autoSpaceDE w:val="0"/>
              <w:autoSpaceDN w:val="0"/>
              <w:adjustRightInd w:val="0"/>
              <w:spacing w:after="0"/>
              <w:rPr>
                <w:rFonts w:eastAsiaTheme="minorEastAsia" w:cs="Calibri"/>
                <w:color w:val="000000"/>
                <w:szCs w:val="16"/>
                <w:lang w:eastAsia="en-AU"/>
              </w:rPr>
            </w:pPr>
            <w:r w:rsidRPr="00023820">
              <w:rPr>
                <w:rFonts w:eastAsiaTheme="minorEastAsia" w:cs="Calibri"/>
                <w:color w:val="000000"/>
                <w:szCs w:val="16"/>
                <w:lang w:eastAsia="en-AU"/>
              </w:rPr>
              <w:t>Depreciation</w:t>
            </w:r>
          </w:p>
        </w:tc>
        <w:tc>
          <w:tcPr>
            <w:tcW w:w="788" w:type="dxa"/>
            <w:tcBorders>
              <w:top w:val="nil"/>
              <w:left w:val="nil"/>
              <w:bottom w:val="nil"/>
              <w:right w:val="nil"/>
            </w:tcBorders>
          </w:tcPr>
          <w:p w:rsidR="00A46DCA" w:rsidRPr="00023820"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023820">
              <w:rPr>
                <w:rFonts w:eastAsiaTheme="minorEastAsia" w:cs="Arial"/>
                <w:color w:val="000000"/>
                <w:szCs w:val="18"/>
                <w:lang w:eastAsia="en-AU"/>
              </w:rPr>
              <w:t>5 198</w:t>
            </w:r>
          </w:p>
        </w:tc>
        <w:tc>
          <w:tcPr>
            <w:tcW w:w="788" w:type="dxa"/>
            <w:tcBorders>
              <w:top w:val="nil"/>
              <w:left w:val="nil"/>
              <w:bottom w:val="nil"/>
              <w:right w:val="nil"/>
            </w:tcBorders>
          </w:tcPr>
          <w:p w:rsidR="00A46DCA" w:rsidRPr="00023820"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023820">
              <w:rPr>
                <w:rFonts w:eastAsiaTheme="minorEastAsia" w:cs="Arial"/>
                <w:color w:val="000000"/>
                <w:szCs w:val="18"/>
                <w:lang w:eastAsia="en-AU"/>
              </w:rPr>
              <w:t>5 008</w:t>
            </w:r>
          </w:p>
        </w:tc>
        <w:tc>
          <w:tcPr>
            <w:tcW w:w="788" w:type="dxa"/>
            <w:tcBorders>
              <w:top w:val="nil"/>
              <w:left w:val="nil"/>
              <w:bottom w:val="nil"/>
              <w:right w:val="nil"/>
            </w:tcBorders>
          </w:tcPr>
          <w:p w:rsidR="00A46DCA" w:rsidRPr="00023820"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023820">
              <w:rPr>
                <w:rFonts w:eastAsiaTheme="minorEastAsia" w:cs="Arial"/>
                <w:color w:val="000000"/>
                <w:szCs w:val="18"/>
                <w:lang w:eastAsia="en-AU"/>
              </w:rPr>
              <w:t>5 284</w:t>
            </w:r>
          </w:p>
        </w:tc>
        <w:tc>
          <w:tcPr>
            <w:tcW w:w="788" w:type="dxa"/>
            <w:tcBorders>
              <w:top w:val="nil"/>
              <w:left w:val="nil"/>
              <w:bottom w:val="nil"/>
              <w:right w:val="nil"/>
            </w:tcBorders>
          </w:tcPr>
          <w:p w:rsidR="00A46DCA" w:rsidRPr="00023820"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023820">
              <w:rPr>
                <w:rFonts w:eastAsiaTheme="minorEastAsia" w:cs="Arial"/>
                <w:color w:val="000000"/>
                <w:szCs w:val="18"/>
                <w:lang w:eastAsia="en-AU"/>
              </w:rPr>
              <w:t>5 634</w:t>
            </w:r>
          </w:p>
        </w:tc>
        <w:tc>
          <w:tcPr>
            <w:tcW w:w="788" w:type="dxa"/>
            <w:tcBorders>
              <w:top w:val="nil"/>
              <w:left w:val="nil"/>
              <w:bottom w:val="nil"/>
              <w:right w:val="nil"/>
            </w:tcBorders>
          </w:tcPr>
          <w:p w:rsidR="00A46DCA" w:rsidRPr="00023820"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023820">
              <w:rPr>
                <w:rFonts w:eastAsiaTheme="minorEastAsia" w:cs="Arial"/>
                <w:color w:val="000000"/>
                <w:szCs w:val="18"/>
                <w:lang w:eastAsia="en-AU"/>
              </w:rPr>
              <w:t>6 078</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3821" w:type="dxa"/>
            <w:tcBorders>
              <w:top w:val="nil"/>
              <w:left w:val="nil"/>
              <w:bottom w:val="nil"/>
              <w:right w:val="nil"/>
            </w:tcBorders>
          </w:tcPr>
          <w:p w:rsidR="00A46DCA" w:rsidRPr="00023820" w:rsidRDefault="00A46DCA" w:rsidP="00A26D04">
            <w:pPr>
              <w:keepLines w:val="0"/>
              <w:autoSpaceDE w:val="0"/>
              <w:autoSpaceDN w:val="0"/>
              <w:adjustRightInd w:val="0"/>
              <w:spacing w:after="0"/>
              <w:rPr>
                <w:rFonts w:eastAsiaTheme="minorEastAsia" w:cs="Calibri"/>
                <w:color w:val="000000"/>
                <w:szCs w:val="16"/>
                <w:lang w:eastAsia="en-AU"/>
              </w:rPr>
            </w:pPr>
            <w:r w:rsidRPr="00023820">
              <w:rPr>
                <w:rFonts w:eastAsiaTheme="minorEastAsia" w:cs="Calibri"/>
                <w:color w:val="000000"/>
                <w:szCs w:val="16"/>
                <w:lang w:eastAsia="en-AU"/>
              </w:rPr>
              <w:t>Interest expense</w:t>
            </w:r>
          </w:p>
        </w:tc>
        <w:tc>
          <w:tcPr>
            <w:tcW w:w="788" w:type="dxa"/>
            <w:tcBorders>
              <w:top w:val="nil"/>
              <w:left w:val="nil"/>
              <w:bottom w:val="nil"/>
              <w:right w:val="nil"/>
            </w:tcBorders>
          </w:tcPr>
          <w:p w:rsidR="00A46DCA" w:rsidRPr="00023820"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023820">
              <w:rPr>
                <w:rFonts w:eastAsiaTheme="minorEastAsia" w:cs="Arial"/>
                <w:color w:val="000000"/>
                <w:szCs w:val="18"/>
                <w:lang w:eastAsia="en-AU"/>
              </w:rPr>
              <w:t>2 600</w:t>
            </w:r>
          </w:p>
        </w:tc>
        <w:tc>
          <w:tcPr>
            <w:tcW w:w="788" w:type="dxa"/>
            <w:tcBorders>
              <w:top w:val="nil"/>
              <w:left w:val="nil"/>
              <w:bottom w:val="nil"/>
              <w:right w:val="nil"/>
            </w:tcBorders>
          </w:tcPr>
          <w:p w:rsidR="00A46DCA" w:rsidRPr="00023820"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023820">
              <w:rPr>
                <w:rFonts w:eastAsiaTheme="minorEastAsia" w:cs="Arial"/>
                <w:color w:val="000000"/>
                <w:szCs w:val="18"/>
                <w:lang w:eastAsia="en-AU"/>
              </w:rPr>
              <w:t>2 678</w:t>
            </w:r>
          </w:p>
        </w:tc>
        <w:tc>
          <w:tcPr>
            <w:tcW w:w="788" w:type="dxa"/>
            <w:tcBorders>
              <w:top w:val="nil"/>
              <w:left w:val="nil"/>
              <w:bottom w:val="nil"/>
              <w:right w:val="nil"/>
            </w:tcBorders>
          </w:tcPr>
          <w:p w:rsidR="00A46DCA" w:rsidRPr="00023820"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023820">
              <w:rPr>
                <w:rFonts w:eastAsiaTheme="minorEastAsia" w:cs="Arial"/>
                <w:color w:val="000000"/>
                <w:szCs w:val="18"/>
                <w:lang w:eastAsia="en-AU"/>
              </w:rPr>
              <w:t>2 736</w:t>
            </w:r>
          </w:p>
        </w:tc>
        <w:tc>
          <w:tcPr>
            <w:tcW w:w="788" w:type="dxa"/>
            <w:tcBorders>
              <w:top w:val="nil"/>
              <w:left w:val="nil"/>
              <w:bottom w:val="nil"/>
              <w:right w:val="nil"/>
            </w:tcBorders>
          </w:tcPr>
          <w:p w:rsidR="00A46DCA" w:rsidRPr="00023820"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023820">
              <w:rPr>
                <w:rFonts w:eastAsiaTheme="minorEastAsia" w:cs="Arial"/>
                <w:color w:val="000000"/>
                <w:szCs w:val="18"/>
                <w:lang w:eastAsia="en-AU"/>
              </w:rPr>
              <w:t>2 809</w:t>
            </w:r>
          </w:p>
        </w:tc>
        <w:tc>
          <w:tcPr>
            <w:tcW w:w="788" w:type="dxa"/>
            <w:tcBorders>
              <w:top w:val="nil"/>
              <w:left w:val="nil"/>
              <w:bottom w:val="nil"/>
              <w:right w:val="nil"/>
            </w:tcBorders>
          </w:tcPr>
          <w:p w:rsidR="00A46DCA" w:rsidRPr="00023820"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023820">
              <w:rPr>
                <w:rFonts w:eastAsiaTheme="minorEastAsia" w:cs="Arial"/>
                <w:color w:val="000000"/>
                <w:szCs w:val="18"/>
                <w:lang w:eastAsia="en-AU"/>
              </w:rPr>
              <w:t>2 938</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3821" w:type="dxa"/>
            <w:tcBorders>
              <w:top w:val="nil"/>
              <w:left w:val="nil"/>
              <w:bottom w:val="nil"/>
              <w:right w:val="nil"/>
            </w:tcBorders>
          </w:tcPr>
          <w:p w:rsidR="00A46DCA" w:rsidRPr="00023820" w:rsidRDefault="00A46DCA" w:rsidP="00A26D04">
            <w:pPr>
              <w:keepLines w:val="0"/>
              <w:autoSpaceDE w:val="0"/>
              <w:autoSpaceDN w:val="0"/>
              <w:adjustRightInd w:val="0"/>
              <w:spacing w:after="0"/>
              <w:rPr>
                <w:rFonts w:eastAsiaTheme="minorEastAsia" w:cs="Calibri"/>
                <w:color w:val="000000"/>
                <w:szCs w:val="16"/>
                <w:lang w:eastAsia="en-AU"/>
              </w:rPr>
            </w:pPr>
            <w:r w:rsidRPr="00023820">
              <w:rPr>
                <w:rFonts w:eastAsiaTheme="minorEastAsia" w:cs="Calibri"/>
                <w:color w:val="000000"/>
                <w:szCs w:val="16"/>
                <w:lang w:eastAsia="en-AU"/>
              </w:rPr>
              <w:t>Grant expense</w:t>
            </w:r>
          </w:p>
        </w:tc>
        <w:tc>
          <w:tcPr>
            <w:tcW w:w="788" w:type="dxa"/>
            <w:tcBorders>
              <w:top w:val="nil"/>
              <w:left w:val="nil"/>
              <w:bottom w:val="nil"/>
              <w:right w:val="nil"/>
            </w:tcBorders>
          </w:tcPr>
          <w:p w:rsidR="00A46DCA" w:rsidRPr="00023820"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023820">
              <w:rPr>
                <w:rFonts w:eastAsiaTheme="minorEastAsia" w:cs="Arial"/>
                <w:color w:val="000000"/>
                <w:szCs w:val="18"/>
                <w:lang w:eastAsia="en-AU"/>
              </w:rPr>
              <w:t>8 151</w:t>
            </w:r>
          </w:p>
        </w:tc>
        <w:tc>
          <w:tcPr>
            <w:tcW w:w="788" w:type="dxa"/>
            <w:tcBorders>
              <w:top w:val="nil"/>
              <w:left w:val="nil"/>
              <w:bottom w:val="nil"/>
              <w:right w:val="nil"/>
            </w:tcBorders>
          </w:tcPr>
          <w:p w:rsidR="00A46DCA" w:rsidRPr="00023820"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023820">
              <w:rPr>
                <w:rFonts w:eastAsiaTheme="minorEastAsia" w:cs="Arial"/>
                <w:color w:val="000000"/>
                <w:szCs w:val="18"/>
                <w:lang w:eastAsia="en-AU"/>
              </w:rPr>
              <w:t>7 486</w:t>
            </w:r>
          </w:p>
        </w:tc>
        <w:tc>
          <w:tcPr>
            <w:tcW w:w="788" w:type="dxa"/>
            <w:tcBorders>
              <w:top w:val="nil"/>
              <w:left w:val="nil"/>
              <w:bottom w:val="nil"/>
              <w:right w:val="nil"/>
            </w:tcBorders>
          </w:tcPr>
          <w:p w:rsidR="00A46DCA" w:rsidRPr="00023820"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023820">
              <w:rPr>
                <w:rFonts w:eastAsiaTheme="minorEastAsia" w:cs="Arial"/>
                <w:color w:val="000000"/>
                <w:szCs w:val="18"/>
                <w:lang w:eastAsia="en-AU"/>
              </w:rPr>
              <w:t>9 045</w:t>
            </w:r>
          </w:p>
        </w:tc>
        <w:tc>
          <w:tcPr>
            <w:tcW w:w="788" w:type="dxa"/>
            <w:tcBorders>
              <w:top w:val="nil"/>
              <w:left w:val="nil"/>
              <w:bottom w:val="nil"/>
              <w:right w:val="nil"/>
            </w:tcBorders>
          </w:tcPr>
          <w:p w:rsidR="00A46DCA" w:rsidRPr="00023820"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023820">
              <w:rPr>
                <w:rFonts w:eastAsiaTheme="minorEastAsia" w:cs="Arial"/>
                <w:color w:val="000000"/>
                <w:szCs w:val="18"/>
                <w:lang w:eastAsia="en-AU"/>
              </w:rPr>
              <w:t>10 132</w:t>
            </w:r>
          </w:p>
        </w:tc>
        <w:tc>
          <w:tcPr>
            <w:tcW w:w="788" w:type="dxa"/>
            <w:tcBorders>
              <w:top w:val="nil"/>
              <w:left w:val="nil"/>
              <w:bottom w:val="nil"/>
              <w:right w:val="nil"/>
            </w:tcBorders>
          </w:tcPr>
          <w:p w:rsidR="00A46DCA" w:rsidRPr="00023820"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023820">
              <w:rPr>
                <w:rFonts w:eastAsiaTheme="minorEastAsia" w:cs="Arial"/>
                <w:color w:val="000000"/>
                <w:szCs w:val="18"/>
                <w:lang w:eastAsia="en-AU"/>
              </w:rPr>
              <w:t>10 063</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3821" w:type="dxa"/>
            <w:tcBorders>
              <w:top w:val="nil"/>
              <w:left w:val="nil"/>
              <w:bottom w:val="nil"/>
              <w:right w:val="nil"/>
            </w:tcBorders>
          </w:tcPr>
          <w:p w:rsidR="00A46DCA" w:rsidRPr="00023820" w:rsidRDefault="00A46DCA" w:rsidP="00A26D04">
            <w:pPr>
              <w:keepLines w:val="0"/>
              <w:autoSpaceDE w:val="0"/>
              <w:autoSpaceDN w:val="0"/>
              <w:adjustRightInd w:val="0"/>
              <w:spacing w:after="0"/>
              <w:rPr>
                <w:rFonts w:eastAsiaTheme="minorEastAsia" w:cs="Calibri"/>
                <w:color w:val="000000"/>
                <w:szCs w:val="16"/>
                <w:lang w:eastAsia="en-AU"/>
              </w:rPr>
            </w:pPr>
            <w:r w:rsidRPr="00023820">
              <w:rPr>
                <w:rFonts w:eastAsiaTheme="minorEastAsia" w:cs="Calibri"/>
                <w:color w:val="000000"/>
                <w:szCs w:val="16"/>
                <w:lang w:eastAsia="en-AU"/>
              </w:rPr>
              <w:t>Other operating expenses</w:t>
            </w:r>
          </w:p>
        </w:tc>
        <w:tc>
          <w:tcPr>
            <w:tcW w:w="788" w:type="dxa"/>
            <w:tcBorders>
              <w:top w:val="nil"/>
              <w:left w:val="nil"/>
              <w:bottom w:val="nil"/>
              <w:right w:val="nil"/>
            </w:tcBorders>
          </w:tcPr>
          <w:p w:rsidR="00A46DCA" w:rsidRPr="00023820"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023820">
              <w:rPr>
                <w:rFonts w:eastAsiaTheme="minorEastAsia" w:cs="Arial"/>
                <w:color w:val="000000"/>
                <w:szCs w:val="18"/>
                <w:lang w:eastAsia="en-AU"/>
              </w:rPr>
              <w:t>23 051</w:t>
            </w:r>
          </w:p>
        </w:tc>
        <w:tc>
          <w:tcPr>
            <w:tcW w:w="788" w:type="dxa"/>
            <w:tcBorders>
              <w:top w:val="nil"/>
              <w:left w:val="nil"/>
              <w:bottom w:val="nil"/>
              <w:right w:val="nil"/>
            </w:tcBorders>
          </w:tcPr>
          <w:p w:rsidR="00A46DCA" w:rsidRPr="00023820"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023820">
              <w:rPr>
                <w:rFonts w:eastAsiaTheme="minorEastAsia" w:cs="Arial"/>
                <w:color w:val="000000"/>
                <w:szCs w:val="18"/>
                <w:lang w:eastAsia="en-AU"/>
              </w:rPr>
              <w:t>24 019</w:t>
            </w:r>
          </w:p>
        </w:tc>
        <w:tc>
          <w:tcPr>
            <w:tcW w:w="788" w:type="dxa"/>
            <w:tcBorders>
              <w:top w:val="nil"/>
              <w:left w:val="nil"/>
              <w:bottom w:val="nil"/>
              <w:right w:val="nil"/>
            </w:tcBorders>
          </w:tcPr>
          <w:p w:rsidR="00A46DCA" w:rsidRPr="00023820"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023820">
              <w:rPr>
                <w:rFonts w:eastAsiaTheme="minorEastAsia" w:cs="Arial"/>
                <w:color w:val="000000"/>
                <w:szCs w:val="18"/>
                <w:lang w:eastAsia="en-AU"/>
              </w:rPr>
              <w:t>23 385</w:t>
            </w:r>
          </w:p>
        </w:tc>
        <w:tc>
          <w:tcPr>
            <w:tcW w:w="788" w:type="dxa"/>
            <w:tcBorders>
              <w:top w:val="nil"/>
              <w:left w:val="nil"/>
              <w:bottom w:val="nil"/>
              <w:right w:val="nil"/>
            </w:tcBorders>
          </w:tcPr>
          <w:p w:rsidR="00A46DCA" w:rsidRPr="00023820"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023820">
              <w:rPr>
                <w:rFonts w:eastAsiaTheme="minorEastAsia" w:cs="Arial"/>
                <w:color w:val="000000"/>
                <w:szCs w:val="18"/>
                <w:lang w:eastAsia="en-AU"/>
              </w:rPr>
              <w:t>22 790</w:t>
            </w:r>
          </w:p>
        </w:tc>
        <w:tc>
          <w:tcPr>
            <w:tcW w:w="788" w:type="dxa"/>
            <w:tcBorders>
              <w:top w:val="nil"/>
              <w:left w:val="nil"/>
              <w:bottom w:val="nil"/>
              <w:right w:val="nil"/>
            </w:tcBorders>
          </w:tcPr>
          <w:p w:rsidR="00A46DCA" w:rsidRPr="00023820"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023820">
              <w:rPr>
                <w:rFonts w:eastAsiaTheme="minorEastAsia" w:cs="Arial"/>
                <w:color w:val="000000"/>
                <w:szCs w:val="18"/>
                <w:lang w:eastAsia="en-AU"/>
              </w:rPr>
              <w:t>24 161</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3821" w:type="dxa"/>
            <w:tcBorders>
              <w:top w:val="single" w:sz="6" w:space="0" w:color="000000"/>
              <w:left w:val="nil"/>
              <w:bottom w:val="nil"/>
              <w:right w:val="nil"/>
            </w:tcBorders>
          </w:tcPr>
          <w:p w:rsidR="00A46DCA" w:rsidRPr="00023820" w:rsidRDefault="00A46DCA" w:rsidP="00A26D04">
            <w:pPr>
              <w:keepLines w:val="0"/>
              <w:autoSpaceDE w:val="0"/>
              <w:autoSpaceDN w:val="0"/>
              <w:adjustRightInd w:val="0"/>
              <w:spacing w:after="0"/>
              <w:rPr>
                <w:rFonts w:eastAsiaTheme="minorEastAsia" w:cs="Calibri"/>
                <w:b/>
                <w:bCs/>
                <w:color w:val="000000"/>
                <w:szCs w:val="16"/>
                <w:lang w:eastAsia="en-AU"/>
              </w:rPr>
            </w:pPr>
            <w:r w:rsidRPr="00023820">
              <w:rPr>
                <w:rFonts w:eastAsiaTheme="minorEastAsia" w:cs="Calibri"/>
                <w:b/>
                <w:bCs/>
                <w:color w:val="000000"/>
                <w:szCs w:val="16"/>
                <w:lang w:eastAsia="en-AU"/>
              </w:rPr>
              <w:t>Total expenses from transactions</w:t>
            </w:r>
          </w:p>
        </w:tc>
        <w:tc>
          <w:tcPr>
            <w:tcW w:w="788" w:type="dxa"/>
            <w:tcBorders>
              <w:top w:val="single" w:sz="6" w:space="0" w:color="000000"/>
              <w:left w:val="nil"/>
              <w:bottom w:val="nil"/>
              <w:right w:val="nil"/>
            </w:tcBorders>
          </w:tcPr>
          <w:p w:rsidR="00A46DCA" w:rsidRPr="00023820"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sidRPr="00023820">
              <w:rPr>
                <w:rFonts w:eastAsiaTheme="minorEastAsia" w:cs="Arial"/>
                <w:b/>
                <w:bCs/>
                <w:color w:val="000000"/>
                <w:szCs w:val="18"/>
                <w:lang w:eastAsia="en-AU"/>
              </w:rPr>
              <w:t>66 416</w:t>
            </w:r>
          </w:p>
        </w:tc>
        <w:tc>
          <w:tcPr>
            <w:tcW w:w="788" w:type="dxa"/>
            <w:tcBorders>
              <w:top w:val="single" w:sz="6" w:space="0" w:color="000000"/>
              <w:left w:val="nil"/>
              <w:bottom w:val="nil"/>
              <w:right w:val="nil"/>
            </w:tcBorders>
          </w:tcPr>
          <w:p w:rsidR="00A46DCA" w:rsidRPr="00023820"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sidRPr="00023820">
              <w:rPr>
                <w:rFonts w:eastAsiaTheme="minorEastAsia" w:cs="Arial"/>
                <w:b/>
                <w:bCs/>
                <w:color w:val="000000"/>
                <w:szCs w:val="18"/>
                <w:lang w:eastAsia="en-AU"/>
              </w:rPr>
              <w:t>66 797</w:t>
            </w:r>
          </w:p>
        </w:tc>
        <w:tc>
          <w:tcPr>
            <w:tcW w:w="788" w:type="dxa"/>
            <w:tcBorders>
              <w:top w:val="single" w:sz="6" w:space="0" w:color="000000"/>
              <w:left w:val="nil"/>
              <w:bottom w:val="nil"/>
              <w:right w:val="nil"/>
            </w:tcBorders>
          </w:tcPr>
          <w:p w:rsidR="00A46DCA" w:rsidRPr="00023820"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sidRPr="00023820">
              <w:rPr>
                <w:rFonts w:eastAsiaTheme="minorEastAsia" w:cs="Arial"/>
                <w:b/>
                <w:bCs/>
                <w:color w:val="000000"/>
                <w:szCs w:val="18"/>
                <w:lang w:eastAsia="en-AU"/>
              </w:rPr>
              <w:t>69 587</w:t>
            </w:r>
          </w:p>
        </w:tc>
        <w:tc>
          <w:tcPr>
            <w:tcW w:w="788" w:type="dxa"/>
            <w:tcBorders>
              <w:top w:val="single" w:sz="6" w:space="0" w:color="000000"/>
              <w:left w:val="nil"/>
              <w:bottom w:val="nil"/>
              <w:right w:val="nil"/>
            </w:tcBorders>
          </w:tcPr>
          <w:p w:rsidR="00A46DCA" w:rsidRPr="00023820"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sidRPr="00023820">
              <w:rPr>
                <w:rFonts w:eastAsiaTheme="minorEastAsia" w:cs="Arial"/>
                <w:b/>
                <w:bCs/>
                <w:color w:val="000000"/>
                <w:szCs w:val="18"/>
                <w:lang w:eastAsia="en-AU"/>
              </w:rPr>
              <w:t>71 097</w:t>
            </w:r>
          </w:p>
        </w:tc>
        <w:tc>
          <w:tcPr>
            <w:tcW w:w="788" w:type="dxa"/>
            <w:tcBorders>
              <w:top w:val="single" w:sz="6" w:space="0" w:color="000000"/>
              <w:left w:val="nil"/>
              <w:bottom w:val="nil"/>
              <w:right w:val="nil"/>
            </w:tcBorders>
          </w:tcPr>
          <w:p w:rsidR="00A46DCA" w:rsidRPr="00023820"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sidRPr="00023820">
              <w:rPr>
                <w:rFonts w:eastAsiaTheme="minorEastAsia" w:cs="Arial"/>
                <w:b/>
                <w:bCs/>
                <w:color w:val="000000"/>
                <w:szCs w:val="18"/>
                <w:lang w:eastAsia="en-AU"/>
              </w:rPr>
              <w:t>73 813</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3821" w:type="dxa"/>
            <w:tcBorders>
              <w:top w:val="single" w:sz="6" w:space="0" w:color="000000"/>
              <w:left w:val="nil"/>
              <w:bottom w:val="nil"/>
              <w:right w:val="nil"/>
            </w:tcBorders>
          </w:tcPr>
          <w:p w:rsidR="00A46DCA" w:rsidRPr="00023820" w:rsidRDefault="00A46DCA" w:rsidP="00A26D04">
            <w:pPr>
              <w:keepLines w:val="0"/>
              <w:autoSpaceDE w:val="0"/>
              <w:autoSpaceDN w:val="0"/>
              <w:adjustRightInd w:val="0"/>
              <w:spacing w:after="0"/>
              <w:rPr>
                <w:rFonts w:eastAsiaTheme="minorEastAsia" w:cs="Calibri"/>
                <w:b/>
                <w:bCs/>
                <w:color w:val="000000"/>
                <w:szCs w:val="16"/>
                <w:lang w:eastAsia="en-AU"/>
              </w:rPr>
            </w:pPr>
            <w:r w:rsidRPr="00023820">
              <w:rPr>
                <w:rFonts w:eastAsiaTheme="minorEastAsia" w:cs="Calibri"/>
                <w:b/>
                <w:bCs/>
                <w:color w:val="000000"/>
                <w:szCs w:val="16"/>
                <w:lang w:eastAsia="en-AU"/>
              </w:rPr>
              <w:t xml:space="preserve">Net result from transactions – </w:t>
            </w:r>
            <w:r>
              <w:rPr>
                <w:rFonts w:eastAsiaTheme="minorEastAsia" w:cs="Calibri"/>
                <w:b/>
                <w:bCs/>
                <w:color w:val="000000"/>
                <w:szCs w:val="16"/>
                <w:lang w:eastAsia="en-AU"/>
              </w:rPr>
              <w:br/>
            </w:r>
            <w:r w:rsidRPr="00023820">
              <w:rPr>
                <w:rFonts w:eastAsiaTheme="minorEastAsia" w:cs="Calibri"/>
                <w:b/>
                <w:bCs/>
                <w:color w:val="000000"/>
                <w:szCs w:val="16"/>
                <w:lang w:eastAsia="en-AU"/>
              </w:rPr>
              <w:t>net operating balance</w:t>
            </w:r>
          </w:p>
        </w:tc>
        <w:tc>
          <w:tcPr>
            <w:tcW w:w="788" w:type="dxa"/>
            <w:tcBorders>
              <w:top w:val="single" w:sz="6" w:space="0" w:color="000000"/>
              <w:left w:val="nil"/>
              <w:bottom w:val="nil"/>
              <w:right w:val="nil"/>
            </w:tcBorders>
          </w:tcPr>
          <w:p w:rsidR="00A46DCA" w:rsidRPr="00023820"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Pr>
                <w:rFonts w:eastAsiaTheme="minorEastAsia" w:cs="Arial"/>
                <w:b/>
                <w:bCs/>
                <w:color w:val="000000"/>
                <w:szCs w:val="18"/>
                <w:lang w:eastAsia="en-AU"/>
              </w:rPr>
              <w:t>113</w:t>
            </w:r>
          </w:p>
        </w:tc>
        <w:tc>
          <w:tcPr>
            <w:tcW w:w="788" w:type="dxa"/>
            <w:tcBorders>
              <w:top w:val="single" w:sz="6" w:space="0" w:color="000000"/>
              <w:left w:val="nil"/>
              <w:bottom w:val="nil"/>
              <w:right w:val="nil"/>
            </w:tcBorders>
          </w:tcPr>
          <w:p w:rsidR="00A46DCA" w:rsidRPr="00023820"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Pr>
                <w:rFonts w:eastAsiaTheme="minorEastAsia" w:cs="Arial"/>
                <w:b/>
                <w:bCs/>
                <w:color w:val="000000"/>
                <w:szCs w:val="18"/>
                <w:lang w:eastAsia="en-AU"/>
              </w:rPr>
              <w:t>733</w:t>
            </w:r>
          </w:p>
        </w:tc>
        <w:tc>
          <w:tcPr>
            <w:tcW w:w="788" w:type="dxa"/>
            <w:tcBorders>
              <w:top w:val="single" w:sz="6" w:space="0" w:color="000000"/>
              <w:left w:val="nil"/>
              <w:bottom w:val="nil"/>
              <w:right w:val="nil"/>
            </w:tcBorders>
          </w:tcPr>
          <w:p w:rsidR="00A46DCA" w:rsidRPr="00023820"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sidRPr="00023820">
              <w:rPr>
                <w:rFonts w:eastAsiaTheme="minorEastAsia" w:cs="Arial"/>
                <w:b/>
                <w:bCs/>
                <w:color w:val="000000"/>
                <w:szCs w:val="18"/>
                <w:lang w:eastAsia="en-AU"/>
              </w:rPr>
              <w:t>1 438</w:t>
            </w:r>
          </w:p>
        </w:tc>
        <w:tc>
          <w:tcPr>
            <w:tcW w:w="788" w:type="dxa"/>
            <w:tcBorders>
              <w:top w:val="single" w:sz="6" w:space="0" w:color="000000"/>
              <w:left w:val="nil"/>
              <w:bottom w:val="nil"/>
              <w:right w:val="nil"/>
            </w:tcBorders>
          </w:tcPr>
          <w:p w:rsidR="00A46DCA" w:rsidRPr="00023820"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sidRPr="00023820">
              <w:rPr>
                <w:rFonts w:eastAsiaTheme="minorEastAsia" w:cs="Arial"/>
                <w:b/>
                <w:bCs/>
                <w:color w:val="000000"/>
                <w:szCs w:val="18"/>
                <w:lang w:eastAsia="en-AU"/>
              </w:rPr>
              <w:t>1 432</w:t>
            </w:r>
          </w:p>
        </w:tc>
        <w:tc>
          <w:tcPr>
            <w:tcW w:w="788" w:type="dxa"/>
            <w:tcBorders>
              <w:top w:val="single" w:sz="6" w:space="0" w:color="000000"/>
              <w:left w:val="nil"/>
              <w:bottom w:val="nil"/>
              <w:right w:val="nil"/>
            </w:tcBorders>
          </w:tcPr>
          <w:p w:rsidR="00A46DCA" w:rsidRPr="00023820"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sidRPr="00023820">
              <w:rPr>
                <w:rFonts w:eastAsiaTheme="minorEastAsia" w:cs="Arial"/>
                <w:b/>
                <w:bCs/>
                <w:color w:val="000000"/>
                <w:szCs w:val="18"/>
                <w:lang w:eastAsia="en-AU"/>
              </w:rPr>
              <w:t>1 905</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3821" w:type="dxa"/>
            <w:tcBorders>
              <w:top w:val="single" w:sz="12" w:space="0" w:color="000000"/>
              <w:left w:val="nil"/>
              <w:bottom w:val="nil"/>
              <w:right w:val="nil"/>
            </w:tcBorders>
          </w:tcPr>
          <w:p w:rsidR="00A46DCA" w:rsidRPr="00023820" w:rsidRDefault="00A46DCA" w:rsidP="00A26D04">
            <w:pPr>
              <w:keepLines w:val="0"/>
              <w:autoSpaceDE w:val="0"/>
              <w:autoSpaceDN w:val="0"/>
              <w:adjustRightInd w:val="0"/>
              <w:spacing w:after="0"/>
              <w:rPr>
                <w:rFonts w:eastAsiaTheme="minorEastAsia" w:cs="Calibri"/>
                <w:b/>
                <w:bCs/>
                <w:color w:val="000000"/>
                <w:szCs w:val="16"/>
                <w:lang w:eastAsia="en-AU"/>
              </w:rPr>
            </w:pPr>
            <w:r w:rsidRPr="00023820">
              <w:rPr>
                <w:rFonts w:eastAsiaTheme="minorEastAsia" w:cs="Calibri"/>
                <w:b/>
                <w:bCs/>
                <w:color w:val="000000"/>
                <w:szCs w:val="16"/>
                <w:lang w:eastAsia="en-AU"/>
              </w:rPr>
              <w:t>Total other economic flows included in net result</w:t>
            </w:r>
          </w:p>
        </w:tc>
        <w:tc>
          <w:tcPr>
            <w:tcW w:w="788" w:type="dxa"/>
            <w:tcBorders>
              <w:top w:val="single" w:sz="12" w:space="0" w:color="000000"/>
              <w:left w:val="nil"/>
              <w:bottom w:val="nil"/>
              <w:right w:val="nil"/>
            </w:tcBorders>
          </w:tcPr>
          <w:p w:rsidR="00A46DCA" w:rsidRPr="00023820"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Pr>
                <w:rFonts w:eastAsiaTheme="minorEastAsia" w:cs="Arial"/>
                <w:b/>
                <w:bCs/>
                <w:color w:val="000000"/>
                <w:szCs w:val="18"/>
                <w:lang w:eastAsia="en-AU"/>
              </w:rPr>
              <w:t>(224)</w:t>
            </w:r>
          </w:p>
        </w:tc>
        <w:tc>
          <w:tcPr>
            <w:tcW w:w="788" w:type="dxa"/>
            <w:tcBorders>
              <w:top w:val="single" w:sz="12" w:space="0" w:color="000000"/>
              <w:left w:val="nil"/>
              <w:bottom w:val="nil"/>
              <w:right w:val="nil"/>
            </w:tcBorders>
          </w:tcPr>
          <w:p w:rsidR="00A46DCA" w:rsidRPr="00023820"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Pr>
                <w:rFonts w:eastAsiaTheme="minorEastAsia" w:cs="Arial"/>
                <w:b/>
                <w:bCs/>
                <w:color w:val="000000"/>
                <w:szCs w:val="18"/>
                <w:lang w:eastAsia="en-AU"/>
              </w:rPr>
              <w:t>(144)</w:t>
            </w:r>
          </w:p>
        </w:tc>
        <w:tc>
          <w:tcPr>
            <w:tcW w:w="788" w:type="dxa"/>
            <w:tcBorders>
              <w:top w:val="single" w:sz="12" w:space="0" w:color="000000"/>
              <w:left w:val="nil"/>
              <w:bottom w:val="nil"/>
              <w:right w:val="nil"/>
            </w:tcBorders>
          </w:tcPr>
          <w:p w:rsidR="00A46DCA" w:rsidRPr="00023820"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Pr>
                <w:rFonts w:eastAsiaTheme="minorEastAsia" w:cs="Arial"/>
                <w:b/>
                <w:bCs/>
                <w:color w:val="000000"/>
                <w:szCs w:val="18"/>
                <w:lang w:eastAsia="en-AU"/>
              </w:rPr>
              <w:t>(63)</w:t>
            </w:r>
          </w:p>
        </w:tc>
        <w:tc>
          <w:tcPr>
            <w:tcW w:w="788" w:type="dxa"/>
            <w:tcBorders>
              <w:top w:val="single" w:sz="12" w:space="0" w:color="000000"/>
              <w:left w:val="nil"/>
              <w:bottom w:val="nil"/>
              <w:right w:val="nil"/>
            </w:tcBorders>
          </w:tcPr>
          <w:p w:rsidR="00A46DCA" w:rsidRPr="00023820"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Pr>
                <w:rFonts w:eastAsiaTheme="minorEastAsia" w:cs="Arial"/>
                <w:b/>
                <w:bCs/>
                <w:color w:val="000000"/>
                <w:szCs w:val="18"/>
                <w:lang w:eastAsia="en-AU"/>
              </w:rPr>
              <w:t>(159)</w:t>
            </w:r>
          </w:p>
        </w:tc>
        <w:tc>
          <w:tcPr>
            <w:tcW w:w="788" w:type="dxa"/>
            <w:tcBorders>
              <w:top w:val="single" w:sz="12" w:space="0" w:color="000000"/>
              <w:left w:val="nil"/>
              <w:bottom w:val="nil"/>
              <w:right w:val="nil"/>
            </w:tcBorders>
          </w:tcPr>
          <w:p w:rsidR="00A46DCA" w:rsidRPr="00023820"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Pr>
                <w:rFonts w:eastAsiaTheme="minorEastAsia" w:cs="Arial"/>
                <w:b/>
                <w:bCs/>
                <w:color w:val="000000"/>
                <w:szCs w:val="18"/>
                <w:lang w:eastAsia="en-AU"/>
              </w:rPr>
              <w:t>(497)</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3821" w:type="dxa"/>
            <w:tcBorders>
              <w:top w:val="single" w:sz="6" w:space="0" w:color="000000"/>
              <w:left w:val="nil"/>
              <w:bottom w:val="single" w:sz="12" w:space="0" w:color="000000"/>
              <w:right w:val="nil"/>
            </w:tcBorders>
          </w:tcPr>
          <w:p w:rsidR="00A46DCA" w:rsidRPr="00023820" w:rsidRDefault="00A46DCA" w:rsidP="00A26D04">
            <w:pPr>
              <w:keepLines w:val="0"/>
              <w:autoSpaceDE w:val="0"/>
              <w:autoSpaceDN w:val="0"/>
              <w:adjustRightInd w:val="0"/>
              <w:spacing w:after="0"/>
              <w:rPr>
                <w:rFonts w:eastAsiaTheme="minorEastAsia" w:cs="Calibri"/>
                <w:b/>
                <w:bCs/>
                <w:color w:val="000000"/>
                <w:szCs w:val="16"/>
                <w:lang w:eastAsia="en-AU"/>
              </w:rPr>
            </w:pPr>
            <w:r w:rsidRPr="00023820">
              <w:rPr>
                <w:rFonts w:eastAsiaTheme="minorEastAsia" w:cs="Calibri"/>
                <w:b/>
                <w:bCs/>
                <w:color w:val="000000"/>
                <w:szCs w:val="16"/>
                <w:lang w:eastAsia="en-AU"/>
              </w:rPr>
              <w:t>Net result</w:t>
            </w:r>
          </w:p>
        </w:tc>
        <w:tc>
          <w:tcPr>
            <w:tcW w:w="788" w:type="dxa"/>
            <w:tcBorders>
              <w:top w:val="single" w:sz="6" w:space="0" w:color="000000"/>
              <w:left w:val="nil"/>
              <w:bottom w:val="single" w:sz="12" w:space="0" w:color="000000"/>
              <w:right w:val="nil"/>
            </w:tcBorders>
          </w:tcPr>
          <w:p w:rsidR="00A46DCA" w:rsidRPr="00023820"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Pr>
                <w:rFonts w:eastAsiaTheme="minorEastAsia" w:cs="Arial"/>
                <w:b/>
                <w:bCs/>
                <w:color w:val="000000"/>
                <w:szCs w:val="18"/>
                <w:lang w:eastAsia="en-AU"/>
              </w:rPr>
              <w:t>(112)</w:t>
            </w:r>
          </w:p>
        </w:tc>
        <w:tc>
          <w:tcPr>
            <w:tcW w:w="788" w:type="dxa"/>
            <w:tcBorders>
              <w:top w:val="single" w:sz="6" w:space="0" w:color="000000"/>
              <w:left w:val="nil"/>
              <w:bottom w:val="single" w:sz="12" w:space="0" w:color="000000"/>
              <w:right w:val="nil"/>
            </w:tcBorders>
          </w:tcPr>
          <w:p w:rsidR="00A46DCA" w:rsidRPr="00023820"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Pr>
                <w:rFonts w:eastAsiaTheme="minorEastAsia" w:cs="Arial"/>
                <w:b/>
                <w:bCs/>
                <w:color w:val="000000"/>
                <w:szCs w:val="18"/>
                <w:lang w:eastAsia="en-AU"/>
              </w:rPr>
              <w:t>589</w:t>
            </w:r>
          </w:p>
        </w:tc>
        <w:tc>
          <w:tcPr>
            <w:tcW w:w="788" w:type="dxa"/>
            <w:tcBorders>
              <w:top w:val="single" w:sz="6" w:space="0" w:color="000000"/>
              <w:left w:val="nil"/>
              <w:bottom w:val="single" w:sz="12" w:space="0" w:color="000000"/>
              <w:right w:val="nil"/>
            </w:tcBorders>
          </w:tcPr>
          <w:p w:rsidR="00A46DCA" w:rsidRPr="00023820"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sidRPr="00023820">
              <w:rPr>
                <w:rFonts w:eastAsiaTheme="minorEastAsia" w:cs="Arial"/>
                <w:b/>
                <w:bCs/>
                <w:color w:val="000000"/>
                <w:szCs w:val="18"/>
                <w:lang w:eastAsia="en-AU"/>
              </w:rPr>
              <w:t>1 375</w:t>
            </w:r>
          </w:p>
        </w:tc>
        <w:tc>
          <w:tcPr>
            <w:tcW w:w="788" w:type="dxa"/>
            <w:tcBorders>
              <w:top w:val="single" w:sz="6" w:space="0" w:color="000000"/>
              <w:left w:val="nil"/>
              <w:bottom w:val="single" w:sz="12" w:space="0" w:color="000000"/>
              <w:right w:val="nil"/>
            </w:tcBorders>
          </w:tcPr>
          <w:p w:rsidR="00A46DCA" w:rsidRPr="00023820"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sidRPr="00023820">
              <w:rPr>
                <w:rFonts w:eastAsiaTheme="minorEastAsia" w:cs="Arial"/>
                <w:b/>
                <w:bCs/>
                <w:color w:val="000000"/>
                <w:szCs w:val="18"/>
                <w:lang w:eastAsia="en-AU"/>
              </w:rPr>
              <w:t>1 272</w:t>
            </w:r>
          </w:p>
        </w:tc>
        <w:tc>
          <w:tcPr>
            <w:tcW w:w="788" w:type="dxa"/>
            <w:tcBorders>
              <w:top w:val="single" w:sz="6" w:space="0" w:color="000000"/>
              <w:left w:val="nil"/>
              <w:bottom w:val="single" w:sz="12" w:space="0" w:color="000000"/>
              <w:right w:val="nil"/>
            </w:tcBorders>
          </w:tcPr>
          <w:p w:rsidR="00A46DCA" w:rsidRPr="00023820"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sidRPr="00023820">
              <w:rPr>
                <w:rFonts w:eastAsiaTheme="minorEastAsia" w:cs="Arial"/>
                <w:b/>
                <w:bCs/>
                <w:color w:val="000000"/>
                <w:szCs w:val="18"/>
                <w:lang w:eastAsia="en-AU"/>
              </w:rPr>
              <w:t>1 408</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7761" w:type="dxa"/>
            <w:gridSpan w:val="6"/>
            <w:tcBorders>
              <w:top w:val="nil"/>
              <w:left w:val="nil"/>
              <w:bottom w:val="nil"/>
              <w:right w:val="nil"/>
            </w:tcBorders>
          </w:tcPr>
          <w:p w:rsidR="00A46DCA" w:rsidRPr="00023820" w:rsidRDefault="00A46DCA" w:rsidP="00A26D04">
            <w:pPr>
              <w:keepLines w:val="0"/>
              <w:autoSpaceDE w:val="0"/>
              <w:autoSpaceDN w:val="0"/>
              <w:adjustRightInd w:val="0"/>
              <w:spacing w:after="0"/>
              <w:rPr>
                <w:rFonts w:eastAsiaTheme="minorEastAsia" w:cs="Calibri"/>
                <w:b/>
                <w:bCs/>
                <w:color w:val="000000"/>
                <w:lang w:eastAsia="en-AU"/>
              </w:rPr>
            </w:pPr>
            <w:r w:rsidRPr="00023820">
              <w:rPr>
                <w:rFonts w:eastAsiaTheme="minorEastAsia" w:cs="Calibri"/>
                <w:b/>
                <w:bCs/>
                <w:color w:val="000000"/>
                <w:szCs w:val="16"/>
                <w:lang w:eastAsia="en-AU"/>
              </w:rPr>
              <w:t>Other economic flows – other comprehensive income</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3821" w:type="dxa"/>
            <w:tcBorders>
              <w:top w:val="nil"/>
              <w:left w:val="nil"/>
              <w:bottom w:val="nil"/>
              <w:right w:val="nil"/>
            </w:tcBorders>
          </w:tcPr>
          <w:p w:rsidR="00A46DCA" w:rsidRPr="00023820" w:rsidRDefault="00A46DCA" w:rsidP="00A26D04">
            <w:pPr>
              <w:keepLines w:val="0"/>
              <w:autoSpaceDE w:val="0"/>
              <w:autoSpaceDN w:val="0"/>
              <w:adjustRightInd w:val="0"/>
              <w:spacing w:after="0"/>
              <w:rPr>
                <w:rFonts w:eastAsiaTheme="minorEastAsia" w:cs="Calibri"/>
                <w:b/>
                <w:bCs/>
                <w:color w:val="000000"/>
                <w:szCs w:val="16"/>
                <w:lang w:eastAsia="en-AU"/>
              </w:rPr>
            </w:pPr>
            <w:r w:rsidRPr="00023820">
              <w:rPr>
                <w:rFonts w:eastAsiaTheme="minorEastAsia" w:cs="Calibri"/>
                <w:b/>
                <w:bCs/>
                <w:color w:val="000000"/>
                <w:szCs w:val="16"/>
                <w:lang w:eastAsia="en-AU"/>
              </w:rPr>
              <w:t>Items that will not be reclassified to net result</w:t>
            </w:r>
          </w:p>
        </w:tc>
        <w:tc>
          <w:tcPr>
            <w:tcW w:w="788" w:type="dxa"/>
            <w:tcBorders>
              <w:top w:val="nil"/>
              <w:left w:val="nil"/>
              <w:bottom w:val="nil"/>
              <w:right w:val="nil"/>
            </w:tcBorders>
          </w:tcPr>
          <w:p w:rsidR="00A46DCA" w:rsidRPr="00023820"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023820">
              <w:rPr>
                <w:rFonts w:eastAsiaTheme="minorEastAsia" w:cs="Calibri"/>
                <w:b/>
                <w:bCs/>
                <w:color w:val="000000"/>
                <w:lang w:eastAsia="en-AU"/>
              </w:rPr>
              <w:t xml:space="preserve"> </w:t>
            </w:r>
          </w:p>
        </w:tc>
        <w:tc>
          <w:tcPr>
            <w:tcW w:w="788" w:type="dxa"/>
            <w:tcBorders>
              <w:top w:val="nil"/>
              <w:left w:val="nil"/>
              <w:bottom w:val="nil"/>
              <w:right w:val="nil"/>
            </w:tcBorders>
          </w:tcPr>
          <w:p w:rsidR="00A46DCA" w:rsidRPr="00023820"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023820">
              <w:rPr>
                <w:rFonts w:eastAsiaTheme="minorEastAsia" w:cs="Calibri"/>
                <w:b/>
                <w:bCs/>
                <w:color w:val="000000"/>
                <w:lang w:eastAsia="en-AU"/>
              </w:rPr>
              <w:t xml:space="preserve"> </w:t>
            </w:r>
          </w:p>
        </w:tc>
        <w:tc>
          <w:tcPr>
            <w:tcW w:w="788" w:type="dxa"/>
            <w:tcBorders>
              <w:top w:val="nil"/>
              <w:left w:val="nil"/>
              <w:bottom w:val="nil"/>
              <w:right w:val="nil"/>
            </w:tcBorders>
          </w:tcPr>
          <w:p w:rsidR="00A46DCA" w:rsidRPr="00023820"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023820">
              <w:rPr>
                <w:rFonts w:eastAsiaTheme="minorEastAsia" w:cs="Calibri"/>
                <w:b/>
                <w:bCs/>
                <w:color w:val="000000"/>
                <w:lang w:eastAsia="en-AU"/>
              </w:rPr>
              <w:t xml:space="preserve"> </w:t>
            </w:r>
          </w:p>
        </w:tc>
        <w:tc>
          <w:tcPr>
            <w:tcW w:w="788" w:type="dxa"/>
            <w:tcBorders>
              <w:top w:val="nil"/>
              <w:left w:val="nil"/>
              <w:bottom w:val="nil"/>
              <w:right w:val="nil"/>
            </w:tcBorders>
          </w:tcPr>
          <w:p w:rsidR="00A46DCA" w:rsidRPr="00023820"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023820">
              <w:rPr>
                <w:rFonts w:eastAsiaTheme="minorEastAsia" w:cs="Calibri"/>
                <w:b/>
                <w:bCs/>
                <w:color w:val="000000"/>
                <w:lang w:eastAsia="en-AU"/>
              </w:rPr>
              <w:t xml:space="preserve"> </w:t>
            </w:r>
          </w:p>
        </w:tc>
        <w:tc>
          <w:tcPr>
            <w:tcW w:w="788" w:type="dxa"/>
            <w:tcBorders>
              <w:top w:val="nil"/>
              <w:left w:val="nil"/>
              <w:bottom w:val="nil"/>
              <w:right w:val="nil"/>
            </w:tcBorders>
          </w:tcPr>
          <w:p w:rsidR="00A46DCA" w:rsidRPr="00023820"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023820">
              <w:rPr>
                <w:rFonts w:eastAsiaTheme="minorEastAsia" w:cs="Calibri"/>
                <w:b/>
                <w:bCs/>
                <w:color w:val="000000"/>
                <w:lang w:eastAsia="en-AU"/>
              </w:rPr>
              <w:t xml:space="preserve"> </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3821" w:type="dxa"/>
            <w:tcBorders>
              <w:top w:val="nil"/>
              <w:left w:val="nil"/>
              <w:bottom w:val="nil"/>
              <w:right w:val="nil"/>
            </w:tcBorders>
          </w:tcPr>
          <w:p w:rsidR="00A46DCA" w:rsidRPr="00023820" w:rsidRDefault="00A46DCA" w:rsidP="00A26D04">
            <w:pPr>
              <w:keepLines w:val="0"/>
              <w:autoSpaceDE w:val="0"/>
              <w:autoSpaceDN w:val="0"/>
              <w:adjustRightInd w:val="0"/>
              <w:spacing w:after="0"/>
              <w:rPr>
                <w:rFonts w:eastAsiaTheme="minorEastAsia" w:cs="Calibri"/>
                <w:color w:val="000000"/>
                <w:szCs w:val="16"/>
                <w:lang w:eastAsia="en-AU"/>
              </w:rPr>
            </w:pPr>
            <w:r w:rsidRPr="00023820">
              <w:rPr>
                <w:rFonts w:eastAsiaTheme="minorEastAsia" w:cs="Calibri"/>
                <w:color w:val="000000"/>
                <w:szCs w:val="16"/>
                <w:lang w:eastAsia="en-AU"/>
              </w:rPr>
              <w:t>Changes in non-financial assets revaluation surplus</w:t>
            </w:r>
          </w:p>
        </w:tc>
        <w:tc>
          <w:tcPr>
            <w:tcW w:w="788" w:type="dxa"/>
            <w:tcBorders>
              <w:top w:val="nil"/>
              <w:left w:val="nil"/>
              <w:bottom w:val="nil"/>
              <w:right w:val="nil"/>
            </w:tcBorders>
          </w:tcPr>
          <w:p w:rsidR="00A46DCA" w:rsidRPr="00023820"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023820">
              <w:rPr>
                <w:rFonts w:eastAsiaTheme="minorEastAsia" w:cs="Arial"/>
                <w:color w:val="000000"/>
                <w:szCs w:val="18"/>
                <w:lang w:eastAsia="en-AU"/>
              </w:rPr>
              <w:t>3 661</w:t>
            </w:r>
          </w:p>
        </w:tc>
        <w:tc>
          <w:tcPr>
            <w:tcW w:w="788" w:type="dxa"/>
            <w:tcBorders>
              <w:top w:val="nil"/>
              <w:left w:val="nil"/>
              <w:bottom w:val="nil"/>
              <w:right w:val="nil"/>
            </w:tcBorders>
          </w:tcPr>
          <w:p w:rsidR="00A46DCA" w:rsidRPr="00023820"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023820">
              <w:rPr>
                <w:rFonts w:eastAsiaTheme="minorEastAsia" w:cs="Arial"/>
                <w:color w:val="000000"/>
                <w:szCs w:val="18"/>
                <w:lang w:eastAsia="en-AU"/>
              </w:rPr>
              <w:t>3 633</w:t>
            </w:r>
          </w:p>
        </w:tc>
        <w:tc>
          <w:tcPr>
            <w:tcW w:w="788" w:type="dxa"/>
            <w:tcBorders>
              <w:top w:val="nil"/>
              <w:left w:val="nil"/>
              <w:bottom w:val="nil"/>
              <w:right w:val="nil"/>
            </w:tcBorders>
          </w:tcPr>
          <w:p w:rsidR="00A46DCA" w:rsidRPr="00023820"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023820">
              <w:rPr>
                <w:rFonts w:eastAsiaTheme="minorEastAsia" w:cs="Arial"/>
                <w:color w:val="000000"/>
                <w:szCs w:val="18"/>
                <w:lang w:eastAsia="en-AU"/>
              </w:rPr>
              <w:t>1 791</w:t>
            </w:r>
          </w:p>
        </w:tc>
        <w:tc>
          <w:tcPr>
            <w:tcW w:w="788" w:type="dxa"/>
            <w:tcBorders>
              <w:top w:val="nil"/>
              <w:left w:val="nil"/>
              <w:bottom w:val="nil"/>
              <w:right w:val="nil"/>
            </w:tcBorders>
          </w:tcPr>
          <w:p w:rsidR="00A46DCA" w:rsidRPr="00023820"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023820">
              <w:rPr>
                <w:rFonts w:eastAsiaTheme="minorEastAsia" w:cs="Arial"/>
                <w:color w:val="000000"/>
                <w:szCs w:val="18"/>
                <w:lang w:eastAsia="en-AU"/>
              </w:rPr>
              <w:t>9 454</w:t>
            </w:r>
          </w:p>
        </w:tc>
        <w:tc>
          <w:tcPr>
            <w:tcW w:w="788" w:type="dxa"/>
            <w:tcBorders>
              <w:top w:val="nil"/>
              <w:left w:val="nil"/>
              <w:bottom w:val="nil"/>
              <w:right w:val="nil"/>
            </w:tcBorders>
          </w:tcPr>
          <w:p w:rsidR="00A46DCA" w:rsidRPr="00023820"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023820">
              <w:rPr>
                <w:rFonts w:eastAsiaTheme="minorEastAsia" w:cs="Arial"/>
                <w:color w:val="000000"/>
                <w:szCs w:val="18"/>
                <w:lang w:eastAsia="en-AU"/>
              </w:rPr>
              <w:t>2 943</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3821" w:type="dxa"/>
            <w:tcBorders>
              <w:top w:val="nil"/>
              <w:left w:val="nil"/>
              <w:bottom w:val="nil"/>
              <w:right w:val="nil"/>
            </w:tcBorders>
          </w:tcPr>
          <w:p w:rsidR="00A46DCA" w:rsidRPr="00023820" w:rsidRDefault="00A46DCA" w:rsidP="00A26D04">
            <w:pPr>
              <w:keepLines w:val="0"/>
              <w:autoSpaceDE w:val="0"/>
              <w:autoSpaceDN w:val="0"/>
              <w:adjustRightInd w:val="0"/>
              <w:spacing w:after="0"/>
              <w:rPr>
                <w:rFonts w:eastAsiaTheme="minorEastAsia" w:cs="Calibri"/>
                <w:color w:val="000000"/>
                <w:szCs w:val="16"/>
                <w:lang w:eastAsia="en-AU"/>
              </w:rPr>
            </w:pPr>
            <w:proofErr w:type="spellStart"/>
            <w:r w:rsidRPr="00023820">
              <w:rPr>
                <w:rFonts w:eastAsiaTheme="minorEastAsia" w:cs="Calibri"/>
                <w:color w:val="000000"/>
                <w:szCs w:val="16"/>
                <w:lang w:eastAsia="en-AU"/>
              </w:rPr>
              <w:t>Remeasurement</w:t>
            </w:r>
            <w:proofErr w:type="spellEnd"/>
            <w:r w:rsidRPr="00023820">
              <w:rPr>
                <w:rFonts w:eastAsiaTheme="minorEastAsia" w:cs="Calibri"/>
                <w:color w:val="000000"/>
                <w:szCs w:val="16"/>
                <w:lang w:eastAsia="en-AU"/>
              </w:rPr>
              <w:t xml:space="preserve"> of superannuation defined benefit plans</w:t>
            </w:r>
          </w:p>
        </w:tc>
        <w:tc>
          <w:tcPr>
            <w:tcW w:w="788" w:type="dxa"/>
            <w:tcBorders>
              <w:top w:val="nil"/>
              <w:left w:val="nil"/>
              <w:bottom w:val="nil"/>
              <w:right w:val="nil"/>
            </w:tcBorders>
          </w:tcPr>
          <w:p w:rsidR="00A46DCA" w:rsidRPr="00023820"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911</w:t>
            </w:r>
          </w:p>
        </w:tc>
        <w:tc>
          <w:tcPr>
            <w:tcW w:w="788" w:type="dxa"/>
            <w:tcBorders>
              <w:top w:val="nil"/>
              <w:left w:val="nil"/>
              <w:bottom w:val="nil"/>
              <w:right w:val="nil"/>
            </w:tcBorders>
          </w:tcPr>
          <w:p w:rsidR="00A46DCA" w:rsidRPr="00023820"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023820">
              <w:rPr>
                <w:rFonts w:eastAsiaTheme="minorEastAsia" w:cs="Arial"/>
                <w:color w:val="000000"/>
                <w:szCs w:val="18"/>
                <w:lang w:eastAsia="en-AU"/>
              </w:rPr>
              <w:t>1 977</w:t>
            </w:r>
          </w:p>
        </w:tc>
        <w:tc>
          <w:tcPr>
            <w:tcW w:w="788" w:type="dxa"/>
            <w:tcBorders>
              <w:top w:val="nil"/>
              <w:left w:val="nil"/>
              <w:bottom w:val="nil"/>
              <w:right w:val="nil"/>
            </w:tcBorders>
          </w:tcPr>
          <w:p w:rsidR="00A46DCA" w:rsidRPr="00023820"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917</w:t>
            </w:r>
          </w:p>
        </w:tc>
        <w:tc>
          <w:tcPr>
            <w:tcW w:w="788" w:type="dxa"/>
            <w:tcBorders>
              <w:top w:val="nil"/>
              <w:left w:val="nil"/>
              <w:bottom w:val="nil"/>
              <w:right w:val="nil"/>
            </w:tcBorders>
          </w:tcPr>
          <w:p w:rsidR="00A46DCA" w:rsidRPr="00023820"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931</w:t>
            </w:r>
          </w:p>
        </w:tc>
        <w:tc>
          <w:tcPr>
            <w:tcW w:w="788" w:type="dxa"/>
            <w:tcBorders>
              <w:top w:val="nil"/>
              <w:left w:val="nil"/>
              <w:bottom w:val="nil"/>
              <w:right w:val="nil"/>
            </w:tcBorders>
          </w:tcPr>
          <w:p w:rsidR="00A46DCA" w:rsidRPr="00023820"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944</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3821" w:type="dxa"/>
            <w:tcBorders>
              <w:top w:val="nil"/>
              <w:left w:val="nil"/>
              <w:bottom w:val="nil"/>
              <w:right w:val="nil"/>
            </w:tcBorders>
          </w:tcPr>
          <w:p w:rsidR="00A46DCA" w:rsidRPr="00023820" w:rsidRDefault="00A46DCA" w:rsidP="00A26D04">
            <w:pPr>
              <w:keepLines w:val="0"/>
              <w:autoSpaceDE w:val="0"/>
              <w:autoSpaceDN w:val="0"/>
              <w:adjustRightInd w:val="0"/>
              <w:spacing w:after="0"/>
              <w:rPr>
                <w:rFonts w:eastAsiaTheme="minorEastAsia" w:cs="Calibri"/>
                <w:color w:val="000000"/>
                <w:szCs w:val="16"/>
                <w:lang w:eastAsia="en-AU"/>
              </w:rPr>
            </w:pPr>
            <w:r w:rsidRPr="00023820">
              <w:rPr>
                <w:rFonts w:eastAsiaTheme="minorEastAsia" w:cs="Calibri"/>
                <w:color w:val="000000"/>
                <w:szCs w:val="16"/>
                <w:lang w:eastAsia="en-AU"/>
              </w:rPr>
              <w:t>Other movements in equity</w:t>
            </w:r>
          </w:p>
        </w:tc>
        <w:tc>
          <w:tcPr>
            <w:tcW w:w="788" w:type="dxa"/>
            <w:tcBorders>
              <w:top w:val="nil"/>
              <w:left w:val="nil"/>
              <w:bottom w:val="nil"/>
              <w:right w:val="nil"/>
            </w:tcBorders>
          </w:tcPr>
          <w:p w:rsidR="00A46DCA" w:rsidRPr="00023820"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(14)</w:t>
            </w:r>
          </w:p>
        </w:tc>
        <w:tc>
          <w:tcPr>
            <w:tcW w:w="788" w:type="dxa"/>
            <w:tcBorders>
              <w:top w:val="nil"/>
              <w:left w:val="nil"/>
              <w:bottom w:val="nil"/>
              <w:right w:val="nil"/>
            </w:tcBorders>
          </w:tcPr>
          <w:p w:rsidR="00A46DCA" w:rsidRPr="00023820"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8</w:t>
            </w:r>
          </w:p>
        </w:tc>
        <w:tc>
          <w:tcPr>
            <w:tcW w:w="788" w:type="dxa"/>
            <w:tcBorders>
              <w:top w:val="nil"/>
              <w:left w:val="nil"/>
              <w:bottom w:val="nil"/>
              <w:right w:val="nil"/>
            </w:tcBorders>
          </w:tcPr>
          <w:p w:rsidR="00A46DCA" w:rsidRPr="00023820"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12</w:t>
            </w:r>
          </w:p>
        </w:tc>
        <w:tc>
          <w:tcPr>
            <w:tcW w:w="788" w:type="dxa"/>
            <w:tcBorders>
              <w:top w:val="nil"/>
              <w:left w:val="nil"/>
              <w:bottom w:val="nil"/>
              <w:right w:val="nil"/>
            </w:tcBorders>
          </w:tcPr>
          <w:p w:rsidR="00A46DCA" w:rsidRPr="00023820"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(23)</w:t>
            </w:r>
          </w:p>
        </w:tc>
        <w:tc>
          <w:tcPr>
            <w:tcW w:w="788" w:type="dxa"/>
            <w:tcBorders>
              <w:top w:val="nil"/>
              <w:left w:val="nil"/>
              <w:bottom w:val="nil"/>
              <w:right w:val="nil"/>
            </w:tcBorders>
          </w:tcPr>
          <w:p w:rsidR="00A46DCA" w:rsidRPr="00023820"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(3)</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7761" w:type="dxa"/>
            <w:gridSpan w:val="6"/>
            <w:tcBorders>
              <w:top w:val="nil"/>
              <w:left w:val="nil"/>
              <w:bottom w:val="nil"/>
              <w:right w:val="nil"/>
            </w:tcBorders>
          </w:tcPr>
          <w:p w:rsidR="00A46DCA" w:rsidRPr="00023820" w:rsidRDefault="00A46DCA" w:rsidP="00A26D04">
            <w:pPr>
              <w:keepLines w:val="0"/>
              <w:autoSpaceDE w:val="0"/>
              <w:autoSpaceDN w:val="0"/>
              <w:adjustRightInd w:val="0"/>
              <w:spacing w:after="0"/>
              <w:rPr>
                <w:rFonts w:eastAsiaTheme="minorEastAsia" w:cs="Calibri"/>
                <w:b/>
                <w:bCs/>
                <w:color w:val="000000"/>
                <w:lang w:eastAsia="en-AU"/>
              </w:rPr>
            </w:pPr>
            <w:r w:rsidRPr="00023820">
              <w:rPr>
                <w:rFonts w:eastAsiaTheme="minorEastAsia" w:cs="Calibri"/>
                <w:b/>
                <w:bCs/>
                <w:color w:val="000000"/>
                <w:szCs w:val="16"/>
                <w:lang w:eastAsia="en-AU"/>
              </w:rPr>
              <w:t>Items that may be reclassified subsequently to net result</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3821" w:type="dxa"/>
            <w:tcBorders>
              <w:top w:val="nil"/>
              <w:left w:val="nil"/>
              <w:bottom w:val="nil"/>
              <w:right w:val="nil"/>
            </w:tcBorders>
          </w:tcPr>
          <w:p w:rsidR="00A46DCA" w:rsidRPr="00023820" w:rsidRDefault="00A46DCA" w:rsidP="00A26D04">
            <w:pPr>
              <w:keepLines w:val="0"/>
              <w:autoSpaceDE w:val="0"/>
              <w:autoSpaceDN w:val="0"/>
              <w:adjustRightInd w:val="0"/>
              <w:spacing w:after="0"/>
              <w:rPr>
                <w:rFonts w:eastAsiaTheme="minorEastAsia" w:cs="Calibri"/>
                <w:color w:val="000000"/>
                <w:szCs w:val="16"/>
                <w:lang w:eastAsia="en-AU"/>
              </w:rPr>
            </w:pPr>
            <w:r w:rsidRPr="00023820">
              <w:rPr>
                <w:rFonts w:eastAsiaTheme="minorEastAsia" w:cs="Calibri"/>
                <w:color w:val="000000"/>
                <w:szCs w:val="16"/>
                <w:lang w:eastAsia="en-AU"/>
              </w:rPr>
              <w:t>Net gain/(loss) on financial assets at fair value</w:t>
            </w:r>
          </w:p>
        </w:tc>
        <w:tc>
          <w:tcPr>
            <w:tcW w:w="788" w:type="dxa"/>
            <w:tcBorders>
              <w:top w:val="nil"/>
              <w:left w:val="nil"/>
              <w:bottom w:val="nil"/>
              <w:right w:val="nil"/>
            </w:tcBorders>
          </w:tcPr>
          <w:p w:rsidR="00A46DCA" w:rsidRPr="00023820"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2</w:t>
            </w:r>
          </w:p>
        </w:tc>
        <w:tc>
          <w:tcPr>
            <w:tcW w:w="788" w:type="dxa"/>
            <w:tcBorders>
              <w:top w:val="nil"/>
              <w:left w:val="nil"/>
              <w:bottom w:val="nil"/>
              <w:right w:val="nil"/>
            </w:tcBorders>
          </w:tcPr>
          <w:p w:rsidR="00A46DCA" w:rsidRPr="00023820"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34</w:t>
            </w:r>
          </w:p>
        </w:tc>
        <w:tc>
          <w:tcPr>
            <w:tcW w:w="788" w:type="dxa"/>
            <w:tcBorders>
              <w:top w:val="nil"/>
              <w:left w:val="nil"/>
              <w:bottom w:val="nil"/>
              <w:right w:val="nil"/>
            </w:tcBorders>
          </w:tcPr>
          <w:p w:rsidR="00A46DCA" w:rsidRPr="00023820"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(6)</w:t>
            </w:r>
          </w:p>
        </w:tc>
        <w:tc>
          <w:tcPr>
            <w:tcW w:w="788" w:type="dxa"/>
            <w:tcBorders>
              <w:top w:val="nil"/>
              <w:left w:val="nil"/>
              <w:bottom w:val="nil"/>
              <w:right w:val="nil"/>
            </w:tcBorders>
          </w:tcPr>
          <w:p w:rsidR="00A46DCA" w:rsidRPr="00023820"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4</w:t>
            </w:r>
          </w:p>
        </w:tc>
        <w:tc>
          <w:tcPr>
            <w:tcW w:w="788" w:type="dxa"/>
            <w:tcBorders>
              <w:top w:val="nil"/>
              <w:left w:val="nil"/>
              <w:bottom w:val="nil"/>
              <w:right w:val="nil"/>
            </w:tcBorders>
          </w:tcPr>
          <w:p w:rsidR="00A46DCA" w:rsidRPr="00023820"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(12)</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3821" w:type="dxa"/>
            <w:tcBorders>
              <w:top w:val="nil"/>
              <w:left w:val="nil"/>
              <w:bottom w:val="nil"/>
              <w:right w:val="nil"/>
            </w:tcBorders>
          </w:tcPr>
          <w:p w:rsidR="00A46DCA" w:rsidRPr="00023820" w:rsidRDefault="00A46DCA" w:rsidP="00A26D04">
            <w:pPr>
              <w:keepLines w:val="0"/>
              <w:autoSpaceDE w:val="0"/>
              <w:autoSpaceDN w:val="0"/>
              <w:adjustRightInd w:val="0"/>
              <w:spacing w:after="0"/>
              <w:rPr>
                <w:rFonts w:eastAsiaTheme="minorEastAsia" w:cs="Calibri"/>
                <w:color w:val="000000"/>
                <w:szCs w:val="16"/>
                <w:lang w:eastAsia="en-AU"/>
              </w:rPr>
            </w:pPr>
            <w:r w:rsidRPr="00023820">
              <w:rPr>
                <w:rFonts w:eastAsiaTheme="minorEastAsia" w:cs="Calibri"/>
                <w:color w:val="000000"/>
                <w:szCs w:val="16"/>
                <w:lang w:eastAsia="en-AU"/>
              </w:rPr>
              <w:t>Net gain/(loss) on equity investments in other sector entities at proportional share of the carrying amount of net assets</w:t>
            </w:r>
          </w:p>
        </w:tc>
        <w:tc>
          <w:tcPr>
            <w:tcW w:w="788" w:type="dxa"/>
            <w:tcBorders>
              <w:top w:val="nil"/>
              <w:left w:val="nil"/>
              <w:bottom w:val="nil"/>
              <w:right w:val="nil"/>
            </w:tcBorders>
          </w:tcPr>
          <w:p w:rsidR="00A46DCA" w:rsidRPr="00023820"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(196)</w:t>
            </w:r>
          </w:p>
        </w:tc>
        <w:tc>
          <w:tcPr>
            <w:tcW w:w="788" w:type="dxa"/>
            <w:tcBorders>
              <w:top w:val="nil"/>
              <w:left w:val="nil"/>
              <w:bottom w:val="nil"/>
              <w:right w:val="nil"/>
            </w:tcBorders>
          </w:tcPr>
          <w:p w:rsidR="00A46DCA" w:rsidRPr="00023820"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(40)</w:t>
            </w:r>
          </w:p>
        </w:tc>
        <w:tc>
          <w:tcPr>
            <w:tcW w:w="788" w:type="dxa"/>
            <w:tcBorders>
              <w:top w:val="nil"/>
              <w:left w:val="nil"/>
              <w:bottom w:val="nil"/>
              <w:right w:val="nil"/>
            </w:tcBorders>
          </w:tcPr>
          <w:p w:rsidR="00A46DCA" w:rsidRPr="00023820"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65</w:t>
            </w:r>
          </w:p>
        </w:tc>
        <w:tc>
          <w:tcPr>
            <w:tcW w:w="788" w:type="dxa"/>
            <w:tcBorders>
              <w:top w:val="nil"/>
              <w:left w:val="nil"/>
              <w:bottom w:val="nil"/>
              <w:right w:val="nil"/>
            </w:tcBorders>
          </w:tcPr>
          <w:p w:rsidR="00A46DCA" w:rsidRPr="00023820"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178</w:t>
            </w:r>
          </w:p>
        </w:tc>
        <w:tc>
          <w:tcPr>
            <w:tcW w:w="788" w:type="dxa"/>
            <w:tcBorders>
              <w:top w:val="nil"/>
              <w:left w:val="nil"/>
              <w:bottom w:val="nil"/>
              <w:right w:val="nil"/>
            </w:tcBorders>
          </w:tcPr>
          <w:p w:rsidR="00A46DCA" w:rsidRPr="00023820"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251</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3821" w:type="dxa"/>
            <w:tcBorders>
              <w:top w:val="single" w:sz="6" w:space="0" w:color="000000"/>
              <w:left w:val="nil"/>
              <w:bottom w:val="nil"/>
              <w:right w:val="nil"/>
            </w:tcBorders>
          </w:tcPr>
          <w:p w:rsidR="00A46DCA" w:rsidRPr="00023820" w:rsidRDefault="00A46DCA" w:rsidP="00A26D04">
            <w:pPr>
              <w:keepLines w:val="0"/>
              <w:autoSpaceDE w:val="0"/>
              <w:autoSpaceDN w:val="0"/>
              <w:adjustRightInd w:val="0"/>
              <w:spacing w:after="0"/>
              <w:rPr>
                <w:rFonts w:eastAsiaTheme="minorEastAsia" w:cs="Calibri"/>
                <w:b/>
                <w:bCs/>
                <w:color w:val="000000"/>
                <w:szCs w:val="16"/>
                <w:lang w:eastAsia="en-AU"/>
              </w:rPr>
            </w:pPr>
            <w:r w:rsidRPr="00023820">
              <w:rPr>
                <w:rFonts w:eastAsiaTheme="minorEastAsia" w:cs="Calibri"/>
                <w:b/>
                <w:bCs/>
                <w:color w:val="000000"/>
                <w:szCs w:val="16"/>
                <w:lang w:eastAsia="en-AU"/>
              </w:rPr>
              <w:t xml:space="preserve">Total other economic flows – </w:t>
            </w:r>
            <w:r>
              <w:rPr>
                <w:rFonts w:eastAsiaTheme="minorEastAsia" w:cs="Calibri"/>
                <w:b/>
                <w:bCs/>
                <w:color w:val="000000"/>
                <w:szCs w:val="16"/>
                <w:lang w:eastAsia="en-AU"/>
              </w:rPr>
              <w:br/>
            </w:r>
            <w:r w:rsidRPr="00023820">
              <w:rPr>
                <w:rFonts w:eastAsiaTheme="minorEastAsia" w:cs="Calibri"/>
                <w:b/>
                <w:bCs/>
                <w:color w:val="000000"/>
                <w:szCs w:val="16"/>
                <w:lang w:eastAsia="en-AU"/>
              </w:rPr>
              <w:t>other comprehensive income</w:t>
            </w:r>
          </w:p>
        </w:tc>
        <w:tc>
          <w:tcPr>
            <w:tcW w:w="788" w:type="dxa"/>
            <w:tcBorders>
              <w:top w:val="single" w:sz="6" w:space="0" w:color="000000"/>
              <w:left w:val="nil"/>
              <w:bottom w:val="nil"/>
              <w:right w:val="nil"/>
            </w:tcBorders>
          </w:tcPr>
          <w:p w:rsidR="00A46DCA" w:rsidRPr="00023820"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sidRPr="00023820">
              <w:rPr>
                <w:rFonts w:eastAsiaTheme="minorEastAsia" w:cs="Arial"/>
                <w:b/>
                <w:bCs/>
                <w:color w:val="000000"/>
                <w:szCs w:val="18"/>
                <w:lang w:eastAsia="en-AU"/>
              </w:rPr>
              <w:t>4 364</w:t>
            </w:r>
          </w:p>
        </w:tc>
        <w:tc>
          <w:tcPr>
            <w:tcW w:w="788" w:type="dxa"/>
            <w:tcBorders>
              <w:top w:val="single" w:sz="6" w:space="0" w:color="000000"/>
              <w:left w:val="nil"/>
              <w:bottom w:val="nil"/>
              <w:right w:val="nil"/>
            </w:tcBorders>
          </w:tcPr>
          <w:p w:rsidR="00A46DCA" w:rsidRPr="00023820"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sidRPr="00023820">
              <w:rPr>
                <w:rFonts w:eastAsiaTheme="minorEastAsia" w:cs="Arial"/>
                <w:b/>
                <w:bCs/>
                <w:color w:val="000000"/>
                <w:szCs w:val="18"/>
                <w:lang w:eastAsia="en-AU"/>
              </w:rPr>
              <w:t>5 612</w:t>
            </w:r>
          </w:p>
        </w:tc>
        <w:tc>
          <w:tcPr>
            <w:tcW w:w="788" w:type="dxa"/>
            <w:tcBorders>
              <w:top w:val="single" w:sz="6" w:space="0" w:color="000000"/>
              <w:left w:val="nil"/>
              <w:bottom w:val="nil"/>
              <w:right w:val="nil"/>
            </w:tcBorders>
          </w:tcPr>
          <w:p w:rsidR="00A46DCA" w:rsidRPr="00023820"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sidRPr="00023820">
              <w:rPr>
                <w:rFonts w:eastAsiaTheme="minorEastAsia" w:cs="Arial"/>
                <w:b/>
                <w:bCs/>
                <w:color w:val="000000"/>
                <w:szCs w:val="18"/>
                <w:lang w:eastAsia="en-AU"/>
              </w:rPr>
              <w:t>2 779</w:t>
            </w:r>
          </w:p>
        </w:tc>
        <w:tc>
          <w:tcPr>
            <w:tcW w:w="788" w:type="dxa"/>
            <w:tcBorders>
              <w:top w:val="single" w:sz="6" w:space="0" w:color="000000"/>
              <w:left w:val="nil"/>
              <w:bottom w:val="nil"/>
              <w:right w:val="nil"/>
            </w:tcBorders>
          </w:tcPr>
          <w:p w:rsidR="00A46DCA" w:rsidRPr="00023820"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sidRPr="00023820">
              <w:rPr>
                <w:rFonts w:eastAsiaTheme="minorEastAsia" w:cs="Arial"/>
                <w:b/>
                <w:bCs/>
                <w:color w:val="000000"/>
                <w:szCs w:val="18"/>
                <w:lang w:eastAsia="en-AU"/>
              </w:rPr>
              <w:t>10 543</w:t>
            </w:r>
          </w:p>
        </w:tc>
        <w:tc>
          <w:tcPr>
            <w:tcW w:w="788" w:type="dxa"/>
            <w:tcBorders>
              <w:top w:val="single" w:sz="6" w:space="0" w:color="000000"/>
              <w:left w:val="nil"/>
              <w:bottom w:val="nil"/>
              <w:right w:val="nil"/>
            </w:tcBorders>
          </w:tcPr>
          <w:p w:rsidR="00A46DCA" w:rsidRPr="00023820"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sidRPr="00023820">
              <w:rPr>
                <w:rFonts w:eastAsiaTheme="minorEastAsia" w:cs="Arial"/>
                <w:b/>
                <w:bCs/>
                <w:color w:val="000000"/>
                <w:szCs w:val="18"/>
                <w:lang w:eastAsia="en-AU"/>
              </w:rPr>
              <w:t>4 123</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3821" w:type="dxa"/>
            <w:tcBorders>
              <w:top w:val="single" w:sz="6" w:space="0" w:color="000000"/>
              <w:left w:val="nil"/>
              <w:bottom w:val="single" w:sz="12" w:space="0" w:color="000000"/>
              <w:right w:val="nil"/>
            </w:tcBorders>
          </w:tcPr>
          <w:p w:rsidR="00A46DCA" w:rsidRPr="00023820" w:rsidRDefault="00A46DCA" w:rsidP="00A26D04">
            <w:pPr>
              <w:keepLines w:val="0"/>
              <w:autoSpaceDE w:val="0"/>
              <w:autoSpaceDN w:val="0"/>
              <w:adjustRightInd w:val="0"/>
              <w:spacing w:after="0"/>
              <w:rPr>
                <w:rFonts w:eastAsiaTheme="minorEastAsia" w:cs="Calibri"/>
                <w:b/>
                <w:bCs/>
                <w:color w:val="000000"/>
                <w:szCs w:val="16"/>
                <w:lang w:eastAsia="en-AU"/>
              </w:rPr>
            </w:pPr>
            <w:r w:rsidRPr="00023820">
              <w:rPr>
                <w:rFonts w:eastAsiaTheme="minorEastAsia" w:cs="Calibri"/>
                <w:b/>
                <w:bCs/>
                <w:color w:val="000000"/>
                <w:szCs w:val="16"/>
                <w:lang w:eastAsia="en-AU"/>
              </w:rPr>
              <w:t xml:space="preserve">Comprehensive result – </w:t>
            </w:r>
            <w:r>
              <w:rPr>
                <w:rFonts w:eastAsiaTheme="minorEastAsia" w:cs="Calibri"/>
                <w:b/>
                <w:bCs/>
                <w:color w:val="000000"/>
                <w:szCs w:val="16"/>
                <w:lang w:eastAsia="en-AU"/>
              </w:rPr>
              <w:br/>
            </w:r>
            <w:r w:rsidRPr="00023820">
              <w:rPr>
                <w:rFonts w:eastAsiaTheme="minorEastAsia" w:cs="Calibri"/>
                <w:b/>
                <w:bCs/>
                <w:color w:val="000000"/>
                <w:szCs w:val="16"/>
                <w:lang w:eastAsia="en-AU"/>
              </w:rPr>
              <w:t>total change in net worth</w:t>
            </w:r>
          </w:p>
        </w:tc>
        <w:tc>
          <w:tcPr>
            <w:tcW w:w="788" w:type="dxa"/>
            <w:tcBorders>
              <w:top w:val="single" w:sz="6" w:space="0" w:color="000000"/>
              <w:left w:val="nil"/>
              <w:bottom w:val="single" w:sz="12" w:space="0" w:color="000000"/>
              <w:right w:val="nil"/>
            </w:tcBorders>
          </w:tcPr>
          <w:p w:rsidR="00A46DCA" w:rsidRPr="00023820"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sidRPr="00023820">
              <w:rPr>
                <w:rFonts w:eastAsiaTheme="minorEastAsia" w:cs="Arial"/>
                <w:b/>
                <w:bCs/>
                <w:color w:val="000000"/>
                <w:szCs w:val="18"/>
                <w:lang w:eastAsia="en-AU"/>
              </w:rPr>
              <w:t>4 253</w:t>
            </w:r>
          </w:p>
        </w:tc>
        <w:tc>
          <w:tcPr>
            <w:tcW w:w="788" w:type="dxa"/>
            <w:tcBorders>
              <w:top w:val="single" w:sz="6" w:space="0" w:color="000000"/>
              <w:left w:val="nil"/>
              <w:bottom w:val="single" w:sz="12" w:space="0" w:color="000000"/>
              <w:right w:val="nil"/>
            </w:tcBorders>
          </w:tcPr>
          <w:p w:rsidR="00A46DCA" w:rsidRPr="00023820"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sidRPr="00023820">
              <w:rPr>
                <w:rFonts w:eastAsiaTheme="minorEastAsia" w:cs="Arial"/>
                <w:b/>
                <w:bCs/>
                <w:color w:val="000000"/>
                <w:szCs w:val="18"/>
                <w:lang w:eastAsia="en-AU"/>
              </w:rPr>
              <w:t>6 201</w:t>
            </w:r>
          </w:p>
        </w:tc>
        <w:tc>
          <w:tcPr>
            <w:tcW w:w="788" w:type="dxa"/>
            <w:tcBorders>
              <w:top w:val="single" w:sz="6" w:space="0" w:color="000000"/>
              <w:left w:val="nil"/>
              <w:bottom w:val="single" w:sz="12" w:space="0" w:color="000000"/>
              <w:right w:val="nil"/>
            </w:tcBorders>
          </w:tcPr>
          <w:p w:rsidR="00A46DCA" w:rsidRPr="00023820"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sidRPr="00023820">
              <w:rPr>
                <w:rFonts w:eastAsiaTheme="minorEastAsia" w:cs="Arial"/>
                <w:b/>
                <w:bCs/>
                <w:color w:val="000000"/>
                <w:szCs w:val="18"/>
                <w:lang w:eastAsia="en-AU"/>
              </w:rPr>
              <w:t>4 153</w:t>
            </w:r>
          </w:p>
        </w:tc>
        <w:tc>
          <w:tcPr>
            <w:tcW w:w="788" w:type="dxa"/>
            <w:tcBorders>
              <w:top w:val="single" w:sz="6" w:space="0" w:color="000000"/>
              <w:left w:val="nil"/>
              <w:bottom w:val="single" w:sz="12" w:space="0" w:color="000000"/>
              <w:right w:val="nil"/>
            </w:tcBorders>
          </w:tcPr>
          <w:p w:rsidR="00A46DCA" w:rsidRPr="00023820"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sidRPr="00023820">
              <w:rPr>
                <w:rFonts w:eastAsiaTheme="minorEastAsia" w:cs="Arial"/>
                <w:b/>
                <w:bCs/>
                <w:color w:val="000000"/>
                <w:szCs w:val="18"/>
                <w:lang w:eastAsia="en-AU"/>
              </w:rPr>
              <w:t>11 815</w:t>
            </w:r>
          </w:p>
        </w:tc>
        <w:tc>
          <w:tcPr>
            <w:tcW w:w="788" w:type="dxa"/>
            <w:tcBorders>
              <w:top w:val="single" w:sz="6" w:space="0" w:color="000000"/>
              <w:left w:val="nil"/>
              <w:bottom w:val="single" w:sz="12" w:space="0" w:color="000000"/>
              <w:right w:val="nil"/>
            </w:tcBorders>
          </w:tcPr>
          <w:p w:rsidR="00A46DCA" w:rsidRPr="00023820"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sidRPr="00023820">
              <w:rPr>
                <w:rFonts w:eastAsiaTheme="minorEastAsia" w:cs="Arial"/>
                <w:b/>
                <w:bCs/>
                <w:color w:val="000000"/>
                <w:szCs w:val="18"/>
                <w:lang w:eastAsia="en-AU"/>
              </w:rPr>
              <w:t>5 531</w:t>
            </w:r>
          </w:p>
        </w:tc>
      </w:tr>
      <w:tr w:rsidR="00A46DCA" w:rsidRPr="00023820" w:rsidTr="00A26D04">
        <w:trPr>
          <w:trHeight w:hRule="exact" w:val="120"/>
        </w:trPr>
        <w:tc>
          <w:tcPr>
            <w:cnfStyle w:val="001000000000" w:firstRow="0" w:lastRow="0" w:firstColumn="1" w:lastColumn="0" w:oddVBand="0" w:evenVBand="0" w:oddHBand="0" w:evenHBand="0" w:firstRowFirstColumn="0" w:firstRowLastColumn="0" w:lastRowFirstColumn="0" w:lastRowLastColumn="0"/>
            <w:tcW w:w="3821" w:type="dxa"/>
            <w:tcBorders>
              <w:top w:val="nil"/>
              <w:left w:val="nil"/>
              <w:bottom w:val="nil"/>
              <w:right w:val="nil"/>
            </w:tcBorders>
          </w:tcPr>
          <w:p w:rsidR="00A46DCA" w:rsidRPr="00023820" w:rsidRDefault="00A46DCA" w:rsidP="00A26D04">
            <w:pPr>
              <w:keepLines w:val="0"/>
              <w:autoSpaceDE w:val="0"/>
              <w:autoSpaceDN w:val="0"/>
              <w:adjustRightInd w:val="0"/>
              <w:spacing w:after="0"/>
              <w:rPr>
                <w:rFonts w:eastAsiaTheme="minorEastAsia" w:cs="Calibri"/>
                <w:color w:val="000000"/>
                <w:lang w:eastAsia="en-AU"/>
              </w:rPr>
            </w:pPr>
            <w:r w:rsidRPr="00023820">
              <w:rPr>
                <w:rFonts w:eastAsiaTheme="minorEastAsia" w:cs="Calibri"/>
                <w:color w:val="000000"/>
                <w:lang w:eastAsia="en-AU"/>
              </w:rPr>
              <w:t xml:space="preserve"> </w:t>
            </w:r>
          </w:p>
        </w:tc>
        <w:tc>
          <w:tcPr>
            <w:tcW w:w="788" w:type="dxa"/>
            <w:tcBorders>
              <w:top w:val="nil"/>
              <w:left w:val="nil"/>
              <w:bottom w:val="nil"/>
              <w:right w:val="nil"/>
            </w:tcBorders>
          </w:tcPr>
          <w:p w:rsidR="00A46DCA" w:rsidRPr="00023820"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023820">
              <w:rPr>
                <w:rFonts w:eastAsiaTheme="minorEastAsia" w:cs="Calibri"/>
                <w:color w:val="000000"/>
                <w:lang w:eastAsia="en-AU"/>
              </w:rPr>
              <w:t xml:space="preserve"> </w:t>
            </w:r>
          </w:p>
        </w:tc>
        <w:tc>
          <w:tcPr>
            <w:tcW w:w="788" w:type="dxa"/>
            <w:tcBorders>
              <w:top w:val="nil"/>
              <w:left w:val="nil"/>
              <w:bottom w:val="nil"/>
              <w:right w:val="nil"/>
            </w:tcBorders>
          </w:tcPr>
          <w:p w:rsidR="00A46DCA" w:rsidRPr="00023820"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023820">
              <w:rPr>
                <w:rFonts w:eastAsiaTheme="minorEastAsia" w:cs="Calibri"/>
                <w:color w:val="000000"/>
                <w:lang w:eastAsia="en-AU"/>
              </w:rPr>
              <w:t xml:space="preserve"> </w:t>
            </w:r>
          </w:p>
        </w:tc>
        <w:tc>
          <w:tcPr>
            <w:tcW w:w="788" w:type="dxa"/>
            <w:tcBorders>
              <w:top w:val="nil"/>
              <w:left w:val="nil"/>
              <w:bottom w:val="nil"/>
              <w:right w:val="nil"/>
            </w:tcBorders>
          </w:tcPr>
          <w:p w:rsidR="00A46DCA" w:rsidRPr="00023820"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023820">
              <w:rPr>
                <w:rFonts w:eastAsiaTheme="minorEastAsia" w:cs="Calibri"/>
                <w:color w:val="000000"/>
                <w:lang w:eastAsia="en-AU"/>
              </w:rPr>
              <w:t xml:space="preserve"> </w:t>
            </w:r>
          </w:p>
        </w:tc>
        <w:tc>
          <w:tcPr>
            <w:tcW w:w="788" w:type="dxa"/>
            <w:tcBorders>
              <w:top w:val="nil"/>
              <w:left w:val="nil"/>
              <w:bottom w:val="nil"/>
              <w:right w:val="nil"/>
            </w:tcBorders>
          </w:tcPr>
          <w:p w:rsidR="00A46DCA" w:rsidRPr="00023820"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023820">
              <w:rPr>
                <w:rFonts w:eastAsiaTheme="minorEastAsia" w:cs="Calibri"/>
                <w:color w:val="000000"/>
                <w:lang w:eastAsia="en-AU"/>
              </w:rPr>
              <w:t xml:space="preserve"> </w:t>
            </w:r>
          </w:p>
        </w:tc>
        <w:tc>
          <w:tcPr>
            <w:tcW w:w="788" w:type="dxa"/>
            <w:tcBorders>
              <w:top w:val="nil"/>
              <w:left w:val="nil"/>
              <w:bottom w:val="nil"/>
              <w:right w:val="nil"/>
            </w:tcBorders>
          </w:tcPr>
          <w:p w:rsidR="00A46DCA" w:rsidRPr="00023820"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023820">
              <w:rPr>
                <w:rFonts w:eastAsiaTheme="minorEastAsia" w:cs="Calibri"/>
                <w:color w:val="000000"/>
                <w:lang w:eastAsia="en-AU"/>
              </w:rPr>
              <w:t xml:space="preserve"> </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3821" w:type="dxa"/>
            <w:tcBorders>
              <w:top w:val="nil"/>
              <w:left w:val="nil"/>
              <w:bottom w:val="nil"/>
              <w:right w:val="nil"/>
            </w:tcBorders>
          </w:tcPr>
          <w:p w:rsidR="00A46DCA" w:rsidRPr="00023820" w:rsidRDefault="00A46DCA" w:rsidP="00A26D04">
            <w:pPr>
              <w:keepLines w:val="0"/>
              <w:autoSpaceDE w:val="0"/>
              <w:autoSpaceDN w:val="0"/>
              <w:adjustRightInd w:val="0"/>
              <w:spacing w:after="0"/>
              <w:rPr>
                <w:rFonts w:eastAsiaTheme="minorEastAsia" w:cs="Calibri"/>
                <w:b/>
                <w:bCs/>
                <w:color w:val="000000"/>
                <w:szCs w:val="16"/>
                <w:lang w:eastAsia="en-AU"/>
              </w:rPr>
            </w:pPr>
            <w:r w:rsidRPr="00023820">
              <w:rPr>
                <w:rFonts w:eastAsiaTheme="minorEastAsia" w:cs="Calibri"/>
                <w:b/>
                <w:bCs/>
                <w:color w:val="000000"/>
                <w:szCs w:val="16"/>
                <w:lang w:eastAsia="en-AU"/>
              </w:rPr>
              <w:t>KEY FISCAL AGGREGATES</w:t>
            </w:r>
          </w:p>
        </w:tc>
        <w:tc>
          <w:tcPr>
            <w:tcW w:w="788" w:type="dxa"/>
            <w:tcBorders>
              <w:top w:val="nil"/>
              <w:left w:val="nil"/>
              <w:bottom w:val="nil"/>
              <w:right w:val="nil"/>
            </w:tcBorders>
          </w:tcPr>
          <w:p w:rsidR="00A46DCA" w:rsidRPr="00023820"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023820">
              <w:rPr>
                <w:rFonts w:eastAsiaTheme="minorEastAsia" w:cs="Calibri"/>
                <w:b/>
                <w:bCs/>
                <w:color w:val="000000"/>
                <w:lang w:eastAsia="en-AU"/>
              </w:rPr>
              <w:t xml:space="preserve"> </w:t>
            </w:r>
          </w:p>
        </w:tc>
        <w:tc>
          <w:tcPr>
            <w:tcW w:w="788" w:type="dxa"/>
            <w:tcBorders>
              <w:top w:val="nil"/>
              <w:left w:val="nil"/>
              <w:bottom w:val="nil"/>
              <w:right w:val="nil"/>
            </w:tcBorders>
          </w:tcPr>
          <w:p w:rsidR="00A46DCA" w:rsidRPr="00023820"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023820">
              <w:rPr>
                <w:rFonts w:eastAsiaTheme="minorEastAsia" w:cs="Calibri"/>
                <w:b/>
                <w:bCs/>
                <w:color w:val="000000"/>
                <w:lang w:eastAsia="en-AU"/>
              </w:rPr>
              <w:t xml:space="preserve"> </w:t>
            </w:r>
          </w:p>
        </w:tc>
        <w:tc>
          <w:tcPr>
            <w:tcW w:w="788" w:type="dxa"/>
            <w:tcBorders>
              <w:top w:val="nil"/>
              <w:left w:val="nil"/>
              <w:bottom w:val="nil"/>
              <w:right w:val="nil"/>
            </w:tcBorders>
          </w:tcPr>
          <w:p w:rsidR="00A46DCA" w:rsidRPr="00023820"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023820">
              <w:rPr>
                <w:rFonts w:eastAsiaTheme="minorEastAsia" w:cs="Calibri"/>
                <w:b/>
                <w:bCs/>
                <w:color w:val="000000"/>
                <w:lang w:eastAsia="en-AU"/>
              </w:rPr>
              <w:t xml:space="preserve"> </w:t>
            </w:r>
          </w:p>
        </w:tc>
        <w:tc>
          <w:tcPr>
            <w:tcW w:w="788" w:type="dxa"/>
            <w:tcBorders>
              <w:top w:val="nil"/>
              <w:left w:val="nil"/>
              <w:bottom w:val="nil"/>
              <w:right w:val="nil"/>
            </w:tcBorders>
          </w:tcPr>
          <w:p w:rsidR="00A46DCA" w:rsidRPr="00023820"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023820">
              <w:rPr>
                <w:rFonts w:eastAsiaTheme="minorEastAsia" w:cs="Calibri"/>
                <w:b/>
                <w:bCs/>
                <w:color w:val="000000"/>
                <w:lang w:eastAsia="en-AU"/>
              </w:rPr>
              <w:t xml:space="preserve"> </w:t>
            </w:r>
          </w:p>
        </w:tc>
        <w:tc>
          <w:tcPr>
            <w:tcW w:w="788" w:type="dxa"/>
            <w:tcBorders>
              <w:top w:val="nil"/>
              <w:left w:val="nil"/>
              <w:bottom w:val="nil"/>
              <w:right w:val="nil"/>
            </w:tcBorders>
          </w:tcPr>
          <w:p w:rsidR="00A46DCA" w:rsidRPr="00023820"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023820">
              <w:rPr>
                <w:rFonts w:eastAsiaTheme="minorEastAsia" w:cs="Calibri"/>
                <w:b/>
                <w:bCs/>
                <w:color w:val="000000"/>
                <w:lang w:eastAsia="en-AU"/>
              </w:rPr>
              <w:t xml:space="preserve"> </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3821" w:type="dxa"/>
            <w:tcBorders>
              <w:top w:val="nil"/>
              <w:left w:val="nil"/>
              <w:bottom w:val="nil"/>
              <w:right w:val="nil"/>
            </w:tcBorders>
          </w:tcPr>
          <w:p w:rsidR="00A46DCA" w:rsidRPr="00023820" w:rsidRDefault="00A46DCA" w:rsidP="00A26D04">
            <w:pPr>
              <w:keepLines w:val="0"/>
              <w:autoSpaceDE w:val="0"/>
              <w:autoSpaceDN w:val="0"/>
              <w:adjustRightInd w:val="0"/>
              <w:spacing w:after="0"/>
              <w:rPr>
                <w:rFonts w:eastAsiaTheme="minorEastAsia" w:cs="Calibri"/>
                <w:b/>
                <w:bCs/>
                <w:color w:val="000000"/>
                <w:szCs w:val="16"/>
                <w:lang w:eastAsia="en-AU"/>
              </w:rPr>
            </w:pPr>
            <w:r w:rsidRPr="00023820">
              <w:rPr>
                <w:rFonts w:eastAsiaTheme="minorEastAsia" w:cs="Calibri"/>
                <w:b/>
                <w:bCs/>
                <w:color w:val="000000"/>
                <w:szCs w:val="16"/>
                <w:lang w:eastAsia="en-AU"/>
              </w:rPr>
              <w:t>Net operating balance</w:t>
            </w:r>
          </w:p>
        </w:tc>
        <w:tc>
          <w:tcPr>
            <w:tcW w:w="788" w:type="dxa"/>
            <w:tcBorders>
              <w:top w:val="nil"/>
              <w:left w:val="nil"/>
              <w:bottom w:val="nil"/>
              <w:right w:val="nil"/>
            </w:tcBorders>
          </w:tcPr>
          <w:p w:rsidR="00A46DCA" w:rsidRPr="00023820"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Pr>
                <w:rFonts w:eastAsiaTheme="minorEastAsia" w:cs="Calibri"/>
                <w:b/>
                <w:bCs/>
                <w:color w:val="000000"/>
                <w:szCs w:val="16"/>
                <w:lang w:eastAsia="en-AU"/>
              </w:rPr>
              <w:t>113</w:t>
            </w:r>
          </w:p>
        </w:tc>
        <w:tc>
          <w:tcPr>
            <w:tcW w:w="788" w:type="dxa"/>
            <w:tcBorders>
              <w:top w:val="nil"/>
              <w:left w:val="nil"/>
              <w:bottom w:val="nil"/>
              <w:right w:val="nil"/>
            </w:tcBorders>
          </w:tcPr>
          <w:p w:rsidR="00A46DCA" w:rsidRPr="00023820"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Pr>
                <w:rFonts w:eastAsiaTheme="minorEastAsia" w:cs="Calibri"/>
                <w:b/>
                <w:bCs/>
                <w:color w:val="000000"/>
                <w:szCs w:val="16"/>
                <w:lang w:eastAsia="en-AU"/>
              </w:rPr>
              <w:t>733</w:t>
            </w:r>
          </w:p>
        </w:tc>
        <w:tc>
          <w:tcPr>
            <w:tcW w:w="788" w:type="dxa"/>
            <w:tcBorders>
              <w:top w:val="nil"/>
              <w:left w:val="nil"/>
              <w:bottom w:val="nil"/>
              <w:right w:val="nil"/>
            </w:tcBorders>
          </w:tcPr>
          <w:p w:rsidR="00A46DCA" w:rsidRPr="00023820"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023820">
              <w:rPr>
                <w:rFonts w:eastAsiaTheme="minorEastAsia" w:cs="Calibri"/>
                <w:b/>
                <w:bCs/>
                <w:color w:val="000000"/>
                <w:szCs w:val="16"/>
                <w:lang w:eastAsia="en-AU"/>
              </w:rPr>
              <w:t>1 438</w:t>
            </w:r>
          </w:p>
        </w:tc>
        <w:tc>
          <w:tcPr>
            <w:tcW w:w="788" w:type="dxa"/>
            <w:tcBorders>
              <w:top w:val="nil"/>
              <w:left w:val="nil"/>
              <w:bottom w:val="nil"/>
              <w:right w:val="nil"/>
            </w:tcBorders>
          </w:tcPr>
          <w:p w:rsidR="00A46DCA" w:rsidRPr="00023820"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023820">
              <w:rPr>
                <w:rFonts w:eastAsiaTheme="minorEastAsia" w:cs="Calibri"/>
                <w:b/>
                <w:bCs/>
                <w:color w:val="000000"/>
                <w:szCs w:val="16"/>
                <w:lang w:eastAsia="en-AU"/>
              </w:rPr>
              <w:t>1 432</w:t>
            </w:r>
          </w:p>
        </w:tc>
        <w:tc>
          <w:tcPr>
            <w:tcW w:w="788" w:type="dxa"/>
            <w:tcBorders>
              <w:top w:val="nil"/>
              <w:left w:val="nil"/>
              <w:bottom w:val="nil"/>
              <w:right w:val="nil"/>
            </w:tcBorders>
          </w:tcPr>
          <w:p w:rsidR="00A46DCA" w:rsidRPr="00023820"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023820">
              <w:rPr>
                <w:rFonts w:eastAsiaTheme="minorEastAsia" w:cs="Calibri"/>
                <w:b/>
                <w:bCs/>
                <w:color w:val="000000"/>
                <w:szCs w:val="16"/>
                <w:lang w:eastAsia="en-AU"/>
              </w:rPr>
              <w:t>1 905</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3821" w:type="dxa"/>
            <w:tcBorders>
              <w:top w:val="nil"/>
              <w:left w:val="nil"/>
              <w:bottom w:val="nil"/>
              <w:right w:val="nil"/>
            </w:tcBorders>
          </w:tcPr>
          <w:p w:rsidR="00A46DCA" w:rsidRPr="00023820" w:rsidRDefault="00A46DCA" w:rsidP="00A26D04">
            <w:pPr>
              <w:keepLines w:val="0"/>
              <w:autoSpaceDE w:val="0"/>
              <w:autoSpaceDN w:val="0"/>
              <w:adjustRightInd w:val="0"/>
              <w:spacing w:after="0"/>
              <w:rPr>
                <w:rFonts w:eastAsiaTheme="minorEastAsia" w:cs="Calibri"/>
                <w:color w:val="000000"/>
                <w:szCs w:val="16"/>
                <w:lang w:eastAsia="en-AU"/>
              </w:rPr>
            </w:pPr>
            <w:r w:rsidRPr="00023820">
              <w:rPr>
                <w:rFonts w:eastAsiaTheme="minorEastAsia" w:cs="Calibri"/>
                <w:color w:val="000000"/>
                <w:szCs w:val="16"/>
                <w:lang w:eastAsia="en-AU"/>
              </w:rPr>
              <w:t>Less: Net acquisition of non-financial assets from transactions</w:t>
            </w:r>
          </w:p>
        </w:tc>
        <w:tc>
          <w:tcPr>
            <w:tcW w:w="788" w:type="dxa"/>
            <w:tcBorders>
              <w:top w:val="nil"/>
              <w:left w:val="nil"/>
              <w:bottom w:val="nil"/>
              <w:right w:val="nil"/>
            </w:tcBorders>
          </w:tcPr>
          <w:p w:rsidR="00A46DCA" w:rsidRPr="00023820"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023820">
              <w:rPr>
                <w:rFonts w:eastAsiaTheme="minorEastAsia" w:cs="Calibri"/>
                <w:color w:val="000000"/>
                <w:szCs w:val="16"/>
                <w:lang w:eastAsia="en-AU"/>
              </w:rPr>
              <w:t>6 804</w:t>
            </w:r>
          </w:p>
        </w:tc>
        <w:tc>
          <w:tcPr>
            <w:tcW w:w="788" w:type="dxa"/>
            <w:tcBorders>
              <w:top w:val="nil"/>
              <w:left w:val="nil"/>
              <w:bottom w:val="nil"/>
              <w:right w:val="nil"/>
            </w:tcBorders>
          </w:tcPr>
          <w:p w:rsidR="00A46DCA" w:rsidRPr="00023820"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023820">
              <w:rPr>
                <w:rFonts w:eastAsiaTheme="minorEastAsia" w:cs="Calibri"/>
                <w:color w:val="000000"/>
                <w:szCs w:val="16"/>
                <w:lang w:eastAsia="en-AU"/>
              </w:rPr>
              <w:t>7 218</w:t>
            </w:r>
          </w:p>
        </w:tc>
        <w:tc>
          <w:tcPr>
            <w:tcW w:w="788" w:type="dxa"/>
            <w:tcBorders>
              <w:top w:val="nil"/>
              <w:left w:val="nil"/>
              <w:bottom w:val="nil"/>
              <w:right w:val="nil"/>
            </w:tcBorders>
          </w:tcPr>
          <w:p w:rsidR="00A46DCA" w:rsidRPr="00023820"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023820">
              <w:rPr>
                <w:rFonts w:eastAsiaTheme="minorEastAsia" w:cs="Calibri"/>
                <w:color w:val="000000"/>
                <w:szCs w:val="16"/>
                <w:lang w:eastAsia="en-AU"/>
              </w:rPr>
              <w:t>5 744</w:t>
            </w:r>
          </w:p>
        </w:tc>
        <w:tc>
          <w:tcPr>
            <w:tcW w:w="788" w:type="dxa"/>
            <w:tcBorders>
              <w:top w:val="nil"/>
              <w:left w:val="nil"/>
              <w:bottom w:val="nil"/>
              <w:right w:val="nil"/>
            </w:tcBorders>
          </w:tcPr>
          <w:p w:rsidR="00A46DCA" w:rsidRPr="00023820"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023820">
              <w:rPr>
                <w:rFonts w:eastAsiaTheme="minorEastAsia" w:cs="Calibri"/>
                <w:color w:val="000000"/>
                <w:szCs w:val="16"/>
                <w:lang w:eastAsia="en-AU"/>
              </w:rPr>
              <w:t>4 059</w:t>
            </w:r>
          </w:p>
        </w:tc>
        <w:tc>
          <w:tcPr>
            <w:tcW w:w="788" w:type="dxa"/>
            <w:tcBorders>
              <w:top w:val="nil"/>
              <w:left w:val="nil"/>
              <w:bottom w:val="nil"/>
              <w:right w:val="nil"/>
            </w:tcBorders>
          </w:tcPr>
          <w:p w:rsidR="00A46DCA" w:rsidRPr="00023820"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023820">
              <w:rPr>
                <w:rFonts w:eastAsiaTheme="minorEastAsia" w:cs="Calibri"/>
                <w:color w:val="000000"/>
                <w:szCs w:val="16"/>
                <w:lang w:eastAsia="en-AU"/>
              </w:rPr>
              <w:t>3 976</w:t>
            </w:r>
          </w:p>
        </w:tc>
      </w:tr>
      <w:tr w:rsidR="00A46DCA" w:rsidRPr="00023820" w:rsidTr="00A26D04">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1" w:type="dxa"/>
            <w:tcBorders>
              <w:top w:val="single" w:sz="6" w:space="0" w:color="000000"/>
              <w:bottom w:val="single" w:sz="12" w:space="0" w:color="000000"/>
            </w:tcBorders>
          </w:tcPr>
          <w:p w:rsidR="00A46DCA" w:rsidRPr="00023820" w:rsidRDefault="00A46DCA" w:rsidP="00A26D04">
            <w:pPr>
              <w:keepLines w:val="0"/>
              <w:autoSpaceDE w:val="0"/>
              <w:autoSpaceDN w:val="0"/>
              <w:adjustRightInd w:val="0"/>
              <w:spacing w:after="0"/>
              <w:rPr>
                <w:rFonts w:eastAsiaTheme="minorEastAsia" w:cs="Calibri"/>
                <w:bCs/>
                <w:color w:val="000000"/>
                <w:szCs w:val="16"/>
                <w:lang w:eastAsia="en-AU"/>
              </w:rPr>
            </w:pPr>
            <w:r w:rsidRPr="00023820">
              <w:rPr>
                <w:rFonts w:eastAsiaTheme="minorEastAsia" w:cs="Calibri"/>
                <w:bCs/>
                <w:color w:val="000000"/>
                <w:szCs w:val="16"/>
                <w:lang w:eastAsia="en-AU"/>
              </w:rPr>
              <w:t>Net lending/(borrowing)</w:t>
            </w:r>
          </w:p>
        </w:tc>
        <w:tc>
          <w:tcPr>
            <w:tcW w:w="788" w:type="dxa"/>
            <w:tcBorders>
              <w:top w:val="single" w:sz="6" w:space="0" w:color="000000"/>
              <w:bottom w:val="single" w:sz="12" w:space="0" w:color="000000"/>
            </w:tcBorders>
          </w:tcPr>
          <w:p w:rsidR="00A46DCA" w:rsidRPr="00023820" w:rsidRDefault="00A46DCA" w:rsidP="00A26D04">
            <w:pPr>
              <w:keepLines w:val="0"/>
              <w:autoSpaceDE w:val="0"/>
              <w:autoSpaceDN w:val="0"/>
              <w:adjustRightInd w:val="0"/>
              <w:spacing w:after="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6"/>
                <w:lang w:eastAsia="en-AU"/>
              </w:rPr>
            </w:pPr>
            <w:r>
              <w:rPr>
                <w:rFonts w:eastAsiaTheme="minorEastAsia" w:cs="Calibri"/>
                <w:bCs/>
                <w:color w:val="000000"/>
                <w:szCs w:val="16"/>
                <w:lang w:eastAsia="en-AU"/>
              </w:rPr>
              <w:t>(6 691)</w:t>
            </w:r>
          </w:p>
        </w:tc>
        <w:tc>
          <w:tcPr>
            <w:tcW w:w="788" w:type="dxa"/>
            <w:tcBorders>
              <w:top w:val="single" w:sz="6" w:space="0" w:color="000000"/>
              <w:bottom w:val="single" w:sz="12" w:space="0" w:color="000000"/>
            </w:tcBorders>
          </w:tcPr>
          <w:p w:rsidR="00A46DCA" w:rsidRPr="00023820" w:rsidRDefault="00A46DCA" w:rsidP="00A26D04">
            <w:pPr>
              <w:keepLines w:val="0"/>
              <w:autoSpaceDE w:val="0"/>
              <w:autoSpaceDN w:val="0"/>
              <w:adjustRightInd w:val="0"/>
              <w:spacing w:after="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6"/>
                <w:lang w:eastAsia="en-AU"/>
              </w:rPr>
            </w:pPr>
            <w:r>
              <w:rPr>
                <w:rFonts w:eastAsiaTheme="minorEastAsia" w:cs="Calibri"/>
                <w:bCs/>
                <w:color w:val="000000"/>
                <w:szCs w:val="16"/>
                <w:lang w:eastAsia="en-AU"/>
              </w:rPr>
              <w:t>(6 486)</w:t>
            </w:r>
          </w:p>
        </w:tc>
        <w:tc>
          <w:tcPr>
            <w:tcW w:w="788" w:type="dxa"/>
            <w:tcBorders>
              <w:top w:val="single" w:sz="6" w:space="0" w:color="000000"/>
              <w:bottom w:val="single" w:sz="12" w:space="0" w:color="000000"/>
            </w:tcBorders>
          </w:tcPr>
          <w:p w:rsidR="00A46DCA" w:rsidRPr="00023820" w:rsidRDefault="00A46DCA" w:rsidP="00A26D04">
            <w:pPr>
              <w:keepLines w:val="0"/>
              <w:autoSpaceDE w:val="0"/>
              <w:autoSpaceDN w:val="0"/>
              <w:adjustRightInd w:val="0"/>
              <w:spacing w:after="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6"/>
                <w:lang w:eastAsia="en-AU"/>
              </w:rPr>
            </w:pPr>
            <w:r>
              <w:rPr>
                <w:rFonts w:eastAsiaTheme="minorEastAsia" w:cs="Calibri"/>
                <w:bCs/>
                <w:color w:val="000000"/>
                <w:szCs w:val="16"/>
                <w:lang w:eastAsia="en-AU"/>
              </w:rPr>
              <w:t>(4 306)</w:t>
            </w:r>
          </w:p>
        </w:tc>
        <w:tc>
          <w:tcPr>
            <w:tcW w:w="788" w:type="dxa"/>
            <w:tcBorders>
              <w:top w:val="single" w:sz="6" w:space="0" w:color="000000"/>
              <w:bottom w:val="single" w:sz="12" w:space="0" w:color="000000"/>
            </w:tcBorders>
          </w:tcPr>
          <w:p w:rsidR="00A46DCA" w:rsidRPr="00023820" w:rsidRDefault="00A46DCA" w:rsidP="00A26D04">
            <w:pPr>
              <w:keepLines w:val="0"/>
              <w:autoSpaceDE w:val="0"/>
              <w:autoSpaceDN w:val="0"/>
              <w:adjustRightInd w:val="0"/>
              <w:spacing w:after="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6"/>
                <w:lang w:eastAsia="en-AU"/>
              </w:rPr>
            </w:pPr>
            <w:r>
              <w:rPr>
                <w:rFonts w:eastAsiaTheme="minorEastAsia" w:cs="Calibri"/>
                <w:bCs/>
                <w:color w:val="000000"/>
                <w:szCs w:val="16"/>
                <w:lang w:eastAsia="en-AU"/>
              </w:rPr>
              <w:t>(2 628)</w:t>
            </w:r>
          </w:p>
        </w:tc>
        <w:tc>
          <w:tcPr>
            <w:tcW w:w="788" w:type="dxa"/>
            <w:tcBorders>
              <w:top w:val="single" w:sz="6" w:space="0" w:color="000000"/>
              <w:bottom w:val="single" w:sz="12" w:space="0" w:color="000000"/>
            </w:tcBorders>
          </w:tcPr>
          <w:p w:rsidR="00A46DCA" w:rsidRPr="00023820" w:rsidRDefault="00A46DCA" w:rsidP="00A26D04">
            <w:pPr>
              <w:keepLines w:val="0"/>
              <w:autoSpaceDE w:val="0"/>
              <w:autoSpaceDN w:val="0"/>
              <w:adjustRightInd w:val="0"/>
              <w:spacing w:after="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6"/>
                <w:lang w:eastAsia="en-AU"/>
              </w:rPr>
            </w:pPr>
            <w:r>
              <w:rPr>
                <w:rFonts w:eastAsiaTheme="minorEastAsia" w:cs="Calibri"/>
                <w:bCs/>
                <w:color w:val="000000"/>
                <w:szCs w:val="16"/>
                <w:lang w:eastAsia="en-AU"/>
              </w:rPr>
              <w:t>(2 071)</w:t>
            </w:r>
          </w:p>
        </w:tc>
      </w:tr>
    </w:tbl>
    <w:p w:rsidR="00A46DCA" w:rsidRDefault="00A46DCA" w:rsidP="00A26D04">
      <w:pPr>
        <w:pStyle w:val="Source"/>
      </w:pPr>
      <w:r w:rsidRPr="00D87D22">
        <w:t>Source: Dep</w:t>
      </w:r>
      <w:r>
        <w:t>artment of Treasury and Finance</w:t>
      </w:r>
      <w:r w:rsidRPr="00352C54">
        <w:t xml:space="preserve"> </w:t>
      </w:r>
    </w:p>
    <w:p w:rsidR="00A46DCA" w:rsidRPr="005F55F3" w:rsidRDefault="00A46DCA" w:rsidP="00A26D04">
      <w:pPr>
        <w:pStyle w:val="Note"/>
      </w:pPr>
      <w:r>
        <w:t>Note:</w:t>
      </w:r>
    </w:p>
    <w:p w:rsidR="00A46DCA" w:rsidRPr="00CE5088" w:rsidRDefault="00A46DCA" w:rsidP="00A26D04">
      <w:pPr>
        <w:pStyle w:val="Note"/>
        <w:rPr>
          <w:b/>
        </w:rPr>
      </w:pPr>
      <w:r>
        <w:t>(a)</w:t>
      </w:r>
      <w:r>
        <w:tab/>
      </w:r>
      <w:r w:rsidRPr="00995E6E">
        <w:rPr>
          <w:rFonts w:cs="Times New Roman"/>
          <w:lang w:eastAsia="en-AU"/>
        </w:rPr>
        <w:t>Certain line items have been aggregated in the table above due to</w:t>
      </w:r>
      <w:r>
        <w:rPr>
          <w:rFonts w:cs="Times New Roman"/>
          <w:lang w:eastAsia="en-AU"/>
        </w:rPr>
        <w:t xml:space="preserve"> </w:t>
      </w:r>
      <w:r w:rsidRPr="00995E6E">
        <w:rPr>
          <w:rFonts w:cs="Times New Roman"/>
          <w:lang w:eastAsia="en-AU"/>
        </w:rPr>
        <w:t>commercial sensitivities</w:t>
      </w:r>
      <w:r>
        <w:rPr>
          <w:rFonts w:cs="Times New Roman"/>
          <w:lang w:eastAsia="en-AU"/>
        </w:rPr>
        <w:t>.</w:t>
      </w:r>
    </w:p>
    <w:p w:rsidR="00A46DCA" w:rsidRDefault="00A46DCA" w:rsidP="00A26D04"/>
    <w:p w:rsidR="00A46DCA" w:rsidRDefault="00A46DCA">
      <w:pPr>
        <w:keepLines w:val="0"/>
      </w:pPr>
      <w:r>
        <w:br w:type="page"/>
      </w:r>
    </w:p>
    <w:p w:rsidR="00A46DCA" w:rsidRPr="00023820" w:rsidRDefault="00A46DCA" w:rsidP="00A26D04">
      <w:pPr>
        <w:pStyle w:val="TableHeading"/>
        <w:rPr>
          <w:bCs/>
          <w:lang w:val="en-US"/>
        </w:rPr>
      </w:pPr>
      <w:r>
        <w:lastRenderedPageBreak/>
        <w:t>Table 5.8</w:t>
      </w:r>
      <w:r w:rsidR="008E5E35">
        <w:t>:</w:t>
      </w:r>
      <w:r>
        <w:tab/>
        <w:t>Non-financial public sector balance sheet as at 30 June</w:t>
      </w:r>
      <w:r>
        <w:tab/>
        <w:t xml:space="preserve">($ million) </w:t>
      </w:r>
    </w:p>
    <w:tbl>
      <w:tblPr>
        <w:tblStyle w:val="DTFTable"/>
        <w:tblW w:w="7780" w:type="dxa"/>
        <w:tblInd w:w="45" w:type="dxa"/>
        <w:tblLayout w:type="fixed"/>
        <w:tblCellMar>
          <w:left w:w="45" w:type="dxa"/>
          <w:right w:w="45" w:type="dxa"/>
        </w:tblCellMar>
        <w:tblLook w:val="06A0" w:firstRow="1" w:lastRow="0" w:firstColumn="1" w:lastColumn="0" w:noHBand="1" w:noVBand="1"/>
      </w:tblPr>
      <w:tblGrid>
        <w:gridCol w:w="3640"/>
        <w:gridCol w:w="828"/>
        <w:gridCol w:w="828"/>
        <w:gridCol w:w="828"/>
        <w:gridCol w:w="828"/>
        <w:gridCol w:w="828"/>
      </w:tblGrid>
      <w:tr w:rsidR="00A26D04" w:rsidRPr="00023820" w:rsidTr="008E5E35">
        <w:trPr>
          <w:cnfStyle w:val="100000000000" w:firstRow="1" w:lastRow="0" w:firstColumn="0" w:lastColumn="0" w:oddVBand="0" w:evenVBand="0" w:oddHBand="0" w:evenHBand="0" w:firstRowFirstColumn="0" w:firstRowLastColumn="0" w:lastRowFirstColumn="0" w:lastRowLastColumn="0"/>
          <w:trHeight w:val="197"/>
          <w:tblHeader/>
        </w:trPr>
        <w:tc>
          <w:tcPr>
            <w:cnfStyle w:val="001000000000" w:firstRow="0" w:lastRow="0" w:firstColumn="1" w:lastColumn="0" w:oddVBand="0" w:evenVBand="0" w:oddHBand="0" w:evenHBand="0" w:firstRowFirstColumn="0" w:firstRowLastColumn="0" w:lastRowFirstColumn="0" w:lastRowLastColumn="0"/>
            <w:tcW w:w="3640" w:type="dxa"/>
            <w:tcBorders>
              <w:top w:val="nil"/>
              <w:left w:val="nil"/>
              <w:right w:val="nil"/>
            </w:tcBorders>
            <w:shd w:val="solid" w:color="000000" w:fill="auto"/>
          </w:tcPr>
          <w:p w:rsidR="00A26D04" w:rsidRPr="00023820" w:rsidRDefault="00A26D04" w:rsidP="00A26D04">
            <w:pPr>
              <w:autoSpaceDE w:val="0"/>
              <w:autoSpaceDN w:val="0"/>
              <w:adjustRightInd w:val="0"/>
              <w:rPr>
                <w:rFonts w:eastAsiaTheme="minorEastAsia" w:cs="Calibri"/>
                <w:iCs/>
                <w:color w:val="FFFFFF"/>
                <w:lang w:eastAsia="en-AU"/>
              </w:rPr>
            </w:pPr>
            <w:r w:rsidRPr="00023820">
              <w:rPr>
                <w:rFonts w:eastAsiaTheme="minorEastAsia" w:cs="Calibri"/>
                <w:iCs/>
                <w:color w:val="FFFFFF"/>
                <w:lang w:eastAsia="en-AU"/>
              </w:rPr>
              <w:t xml:space="preserve">  </w:t>
            </w:r>
          </w:p>
        </w:tc>
        <w:tc>
          <w:tcPr>
            <w:tcW w:w="828" w:type="dxa"/>
            <w:tcBorders>
              <w:top w:val="nil"/>
              <w:left w:val="nil"/>
              <w:right w:val="nil"/>
            </w:tcBorders>
            <w:shd w:val="solid" w:color="000000" w:fill="auto"/>
          </w:tcPr>
          <w:p w:rsidR="00A26D04" w:rsidRPr="00023820" w:rsidRDefault="00A26D04" w:rsidP="00A26D0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023820">
              <w:rPr>
                <w:rFonts w:eastAsiaTheme="minorEastAsia" w:cs="Calibri"/>
                <w:iCs/>
                <w:color w:val="FFFFFF"/>
                <w:szCs w:val="16"/>
                <w:lang w:eastAsia="en-AU"/>
              </w:rPr>
              <w:t>2018</w:t>
            </w:r>
            <w:r>
              <w:rPr>
                <w:rFonts w:eastAsiaTheme="minorEastAsia" w:cs="Calibri"/>
                <w:iCs/>
                <w:color w:val="FFFFFF"/>
                <w:szCs w:val="16"/>
                <w:lang w:eastAsia="en-AU"/>
              </w:rPr>
              <w:br/>
            </w:r>
            <w:r w:rsidRPr="00023820">
              <w:rPr>
                <w:rFonts w:eastAsiaTheme="minorEastAsia" w:cs="Calibri"/>
                <w:iCs/>
                <w:color w:val="FFFFFF"/>
                <w:szCs w:val="16"/>
                <w:lang w:eastAsia="en-AU"/>
              </w:rPr>
              <w:t xml:space="preserve">budget </w:t>
            </w:r>
            <w:r w:rsidRPr="00023820">
              <w:rPr>
                <w:rFonts w:eastAsiaTheme="minorEastAsia" w:cs="Calibri"/>
                <w:iCs/>
                <w:color w:val="FFFFFF"/>
                <w:szCs w:val="16"/>
                <w:vertAlign w:val="superscript"/>
                <w:lang w:eastAsia="en-AU"/>
              </w:rPr>
              <w:t>(a)</w:t>
            </w:r>
          </w:p>
        </w:tc>
        <w:tc>
          <w:tcPr>
            <w:tcW w:w="828" w:type="dxa"/>
            <w:tcBorders>
              <w:top w:val="nil"/>
              <w:left w:val="nil"/>
              <w:right w:val="nil"/>
            </w:tcBorders>
            <w:shd w:val="solid" w:color="000000" w:fill="auto"/>
          </w:tcPr>
          <w:p w:rsidR="00A26D04" w:rsidRPr="00023820" w:rsidRDefault="00A26D04" w:rsidP="00A26D0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023820">
              <w:rPr>
                <w:rFonts w:eastAsiaTheme="minorEastAsia" w:cs="Calibri"/>
                <w:iCs/>
                <w:color w:val="FFFFFF"/>
                <w:szCs w:val="16"/>
                <w:lang w:eastAsia="en-AU"/>
              </w:rPr>
              <w:t>2018</w:t>
            </w:r>
            <w:r>
              <w:rPr>
                <w:rFonts w:eastAsiaTheme="minorEastAsia" w:cs="Calibri"/>
                <w:iCs/>
                <w:color w:val="FFFFFF"/>
                <w:szCs w:val="16"/>
                <w:lang w:eastAsia="en-AU"/>
              </w:rPr>
              <w:br/>
            </w:r>
            <w:r w:rsidRPr="00023820">
              <w:rPr>
                <w:rFonts w:eastAsiaTheme="minorEastAsia" w:cs="Calibri"/>
                <w:iCs/>
                <w:color w:val="FFFFFF"/>
                <w:szCs w:val="16"/>
                <w:lang w:eastAsia="en-AU"/>
              </w:rPr>
              <w:t>revised</w:t>
            </w:r>
          </w:p>
        </w:tc>
        <w:tc>
          <w:tcPr>
            <w:tcW w:w="828" w:type="dxa"/>
            <w:tcBorders>
              <w:top w:val="nil"/>
              <w:left w:val="nil"/>
              <w:right w:val="nil"/>
            </w:tcBorders>
            <w:shd w:val="solid" w:color="000000" w:fill="auto"/>
          </w:tcPr>
          <w:p w:rsidR="00A26D04" w:rsidRPr="00023820" w:rsidRDefault="00A26D04" w:rsidP="00A26D0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023820">
              <w:rPr>
                <w:rFonts w:eastAsiaTheme="minorEastAsia" w:cs="Calibri"/>
                <w:iCs/>
                <w:color w:val="FFFFFF"/>
                <w:szCs w:val="16"/>
                <w:lang w:eastAsia="en-AU"/>
              </w:rPr>
              <w:t>2019</w:t>
            </w:r>
            <w:r>
              <w:rPr>
                <w:rFonts w:eastAsiaTheme="minorEastAsia" w:cs="Calibri"/>
                <w:iCs/>
                <w:color w:val="FFFFFF"/>
                <w:szCs w:val="16"/>
                <w:lang w:eastAsia="en-AU"/>
              </w:rPr>
              <w:br/>
            </w:r>
            <w:r w:rsidRPr="00023820">
              <w:rPr>
                <w:rFonts w:eastAsiaTheme="minorEastAsia" w:cs="Calibri"/>
                <w:iCs/>
                <w:color w:val="FFFFFF"/>
                <w:szCs w:val="16"/>
                <w:lang w:eastAsia="en-AU"/>
              </w:rPr>
              <w:t>estimate</w:t>
            </w:r>
          </w:p>
        </w:tc>
        <w:tc>
          <w:tcPr>
            <w:tcW w:w="828" w:type="dxa"/>
            <w:tcBorders>
              <w:top w:val="nil"/>
              <w:left w:val="nil"/>
              <w:right w:val="nil"/>
            </w:tcBorders>
            <w:shd w:val="solid" w:color="000000" w:fill="auto"/>
          </w:tcPr>
          <w:p w:rsidR="00A26D04" w:rsidRPr="00023820" w:rsidRDefault="00A26D04" w:rsidP="00A26D0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023820">
              <w:rPr>
                <w:rFonts w:eastAsiaTheme="minorEastAsia" w:cs="Calibri"/>
                <w:iCs/>
                <w:color w:val="FFFFFF"/>
                <w:szCs w:val="16"/>
                <w:lang w:eastAsia="en-AU"/>
              </w:rPr>
              <w:t>2020</w:t>
            </w:r>
            <w:r>
              <w:rPr>
                <w:rFonts w:eastAsiaTheme="minorEastAsia" w:cs="Calibri"/>
                <w:iCs/>
                <w:color w:val="FFFFFF"/>
                <w:szCs w:val="16"/>
                <w:lang w:eastAsia="en-AU"/>
              </w:rPr>
              <w:br/>
            </w:r>
            <w:r w:rsidRPr="00023820">
              <w:rPr>
                <w:rFonts w:eastAsiaTheme="minorEastAsia" w:cs="Calibri"/>
                <w:iCs/>
                <w:color w:val="FFFFFF"/>
                <w:szCs w:val="16"/>
                <w:lang w:eastAsia="en-AU"/>
              </w:rPr>
              <w:t>estimate</w:t>
            </w:r>
          </w:p>
        </w:tc>
        <w:tc>
          <w:tcPr>
            <w:tcW w:w="828" w:type="dxa"/>
            <w:tcBorders>
              <w:top w:val="nil"/>
              <w:left w:val="nil"/>
              <w:right w:val="nil"/>
            </w:tcBorders>
            <w:shd w:val="solid" w:color="000000" w:fill="auto"/>
          </w:tcPr>
          <w:p w:rsidR="00A26D04" w:rsidRPr="00023820" w:rsidRDefault="00A26D04" w:rsidP="00A26D0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023820">
              <w:rPr>
                <w:rFonts w:eastAsiaTheme="minorEastAsia" w:cs="Calibri"/>
                <w:iCs/>
                <w:color w:val="FFFFFF"/>
                <w:szCs w:val="16"/>
                <w:lang w:eastAsia="en-AU"/>
              </w:rPr>
              <w:t>2021</w:t>
            </w:r>
            <w:r>
              <w:rPr>
                <w:rFonts w:eastAsiaTheme="minorEastAsia" w:cs="Calibri"/>
                <w:iCs/>
                <w:color w:val="FFFFFF"/>
                <w:szCs w:val="16"/>
                <w:lang w:eastAsia="en-AU"/>
              </w:rPr>
              <w:br/>
            </w:r>
            <w:r w:rsidRPr="00023820">
              <w:rPr>
                <w:rFonts w:eastAsiaTheme="minorEastAsia" w:cs="Calibri"/>
                <w:iCs/>
                <w:color w:val="FFFFFF"/>
                <w:szCs w:val="16"/>
                <w:lang w:eastAsia="en-AU"/>
              </w:rPr>
              <w:t>estimate</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3640" w:type="dxa"/>
            <w:tcBorders>
              <w:top w:val="nil"/>
              <w:left w:val="nil"/>
              <w:bottom w:val="nil"/>
              <w:right w:val="nil"/>
            </w:tcBorders>
          </w:tcPr>
          <w:p w:rsidR="00A46DCA" w:rsidRPr="00023820" w:rsidRDefault="00A46DCA" w:rsidP="00A26D04">
            <w:pPr>
              <w:keepLines w:val="0"/>
              <w:autoSpaceDE w:val="0"/>
              <w:autoSpaceDN w:val="0"/>
              <w:adjustRightInd w:val="0"/>
              <w:rPr>
                <w:rFonts w:eastAsiaTheme="minorEastAsia" w:cs="Calibri"/>
                <w:b/>
                <w:bCs/>
                <w:color w:val="000000"/>
                <w:szCs w:val="16"/>
                <w:lang w:eastAsia="en-AU"/>
              </w:rPr>
            </w:pPr>
            <w:r w:rsidRPr="00023820">
              <w:rPr>
                <w:rFonts w:eastAsiaTheme="minorEastAsia" w:cs="Calibri"/>
                <w:b/>
                <w:bCs/>
                <w:color w:val="000000"/>
                <w:szCs w:val="16"/>
                <w:lang w:eastAsia="en-AU"/>
              </w:rPr>
              <w:t>Assets</w:t>
            </w:r>
          </w:p>
        </w:tc>
        <w:tc>
          <w:tcPr>
            <w:tcW w:w="828"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023820">
              <w:rPr>
                <w:rFonts w:eastAsiaTheme="minorEastAsia" w:cs="Calibri"/>
                <w:b/>
                <w:bCs/>
                <w:color w:val="000000"/>
                <w:lang w:eastAsia="en-AU"/>
              </w:rPr>
              <w:t xml:space="preserve"> </w:t>
            </w:r>
          </w:p>
        </w:tc>
        <w:tc>
          <w:tcPr>
            <w:tcW w:w="828"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023820">
              <w:rPr>
                <w:rFonts w:eastAsiaTheme="minorEastAsia" w:cs="Calibri"/>
                <w:b/>
                <w:bCs/>
                <w:color w:val="000000"/>
                <w:lang w:eastAsia="en-AU"/>
              </w:rPr>
              <w:t xml:space="preserve"> </w:t>
            </w:r>
          </w:p>
        </w:tc>
        <w:tc>
          <w:tcPr>
            <w:tcW w:w="828"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023820">
              <w:rPr>
                <w:rFonts w:eastAsiaTheme="minorEastAsia" w:cs="Calibri"/>
                <w:b/>
                <w:bCs/>
                <w:color w:val="000000"/>
                <w:lang w:eastAsia="en-AU"/>
              </w:rPr>
              <w:t xml:space="preserve"> </w:t>
            </w:r>
          </w:p>
        </w:tc>
        <w:tc>
          <w:tcPr>
            <w:tcW w:w="828"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023820">
              <w:rPr>
                <w:rFonts w:eastAsiaTheme="minorEastAsia" w:cs="Calibri"/>
                <w:b/>
                <w:bCs/>
                <w:color w:val="000000"/>
                <w:lang w:eastAsia="en-AU"/>
              </w:rPr>
              <w:t xml:space="preserve"> </w:t>
            </w:r>
          </w:p>
        </w:tc>
        <w:tc>
          <w:tcPr>
            <w:tcW w:w="828"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023820">
              <w:rPr>
                <w:rFonts w:eastAsiaTheme="minorEastAsia" w:cs="Calibri"/>
                <w:b/>
                <w:bCs/>
                <w:color w:val="000000"/>
                <w:lang w:eastAsia="en-AU"/>
              </w:rPr>
              <w:t xml:space="preserve"> </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3640" w:type="dxa"/>
            <w:tcBorders>
              <w:top w:val="nil"/>
              <w:left w:val="nil"/>
              <w:bottom w:val="nil"/>
              <w:right w:val="nil"/>
            </w:tcBorders>
          </w:tcPr>
          <w:p w:rsidR="00A46DCA" w:rsidRPr="00023820" w:rsidRDefault="00A46DCA" w:rsidP="00A26D04">
            <w:pPr>
              <w:keepLines w:val="0"/>
              <w:autoSpaceDE w:val="0"/>
              <w:autoSpaceDN w:val="0"/>
              <w:adjustRightInd w:val="0"/>
              <w:rPr>
                <w:rFonts w:eastAsiaTheme="minorEastAsia" w:cs="Calibri"/>
                <w:b/>
                <w:bCs/>
                <w:color w:val="000000"/>
                <w:szCs w:val="16"/>
                <w:lang w:eastAsia="en-AU"/>
              </w:rPr>
            </w:pPr>
            <w:r w:rsidRPr="00023820">
              <w:rPr>
                <w:rFonts w:eastAsiaTheme="minorEastAsia" w:cs="Calibri"/>
                <w:b/>
                <w:bCs/>
                <w:color w:val="000000"/>
                <w:szCs w:val="16"/>
                <w:lang w:eastAsia="en-AU"/>
              </w:rPr>
              <w:t>Financial assets</w:t>
            </w:r>
          </w:p>
        </w:tc>
        <w:tc>
          <w:tcPr>
            <w:tcW w:w="828"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023820">
              <w:rPr>
                <w:rFonts w:eastAsiaTheme="minorEastAsia" w:cs="Calibri"/>
                <w:b/>
                <w:bCs/>
                <w:color w:val="000000"/>
                <w:lang w:eastAsia="en-AU"/>
              </w:rPr>
              <w:t xml:space="preserve"> </w:t>
            </w:r>
          </w:p>
        </w:tc>
        <w:tc>
          <w:tcPr>
            <w:tcW w:w="828"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023820">
              <w:rPr>
                <w:rFonts w:eastAsiaTheme="minorEastAsia" w:cs="Calibri"/>
                <w:b/>
                <w:bCs/>
                <w:color w:val="000000"/>
                <w:lang w:eastAsia="en-AU"/>
              </w:rPr>
              <w:t xml:space="preserve"> </w:t>
            </w:r>
          </w:p>
        </w:tc>
        <w:tc>
          <w:tcPr>
            <w:tcW w:w="828"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023820">
              <w:rPr>
                <w:rFonts w:eastAsiaTheme="minorEastAsia" w:cs="Calibri"/>
                <w:b/>
                <w:bCs/>
                <w:color w:val="000000"/>
                <w:lang w:eastAsia="en-AU"/>
              </w:rPr>
              <w:t xml:space="preserve"> </w:t>
            </w:r>
          </w:p>
        </w:tc>
        <w:tc>
          <w:tcPr>
            <w:tcW w:w="828"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023820">
              <w:rPr>
                <w:rFonts w:eastAsiaTheme="minorEastAsia" w:cs="Calibri"/>
                <w:b/>
                <w:bCs/>
                <w:color w:val="000000"/>
                <w:lang w:eastAsia="en-AU"/>
              </w:rPr>
              <w:t xml:space="preserve"> </w:t>
            </w:r>
          </w:p>
        </w:tc>
        <w:tc>
          <w:tcPr>
            <w:tcW w:w="828"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023820">
              <w:rPr>
                <w:rFonts w:eastAsiaTheme="minorEastAsia" w:cs="Calibri"/>
                <w:b/>
                <w:bCs/>
                <w:color w:val="000000"/>
                <w:lang w:eastAsia="en-AU"/>
              </w:rPr>
              <w:t xml:space="preserve"> </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3640" w:type="dxa"/>
            <w:tcBorders>
              <w:top w:val="nil"/>
              <w:left w:val="nil"/>
              <w:bottom w:val="nil"/>
              <w:right w:val="nil"/>
            </w:tcBorders>
          </w:tcPr>
          <w:p w:rsidR="00A46DCA" w:rsidRPr="00023820" w:rsidRDefault="00A46DCA" w:rsidP="00A26D04">
            <w:pPr>
              <w:keepLines w:val="0"/>
              <w:autoSpaceDE w:val="0"/>
              <w:autoSpaceDN w:val="0"/>
              <w:adjustRightInd w:val="0"/>
              <w:rPr>
                <w:rFonts w:eastAsiaTheme="minorEastAsia" w:cs="Calibri"/>
                <w:color w:val="000000"/>
                <w:szCs w:val="16"/>
                <w:lang w:eastAsia="en-AU"/>
              </w:rPr>
            </w:pPr>
            <w:r w:rsidRPr="00023820">
              <w:rPr>
                <w:rFonts w:eastAsiaTheme="minorEastAsia" w:cs="Calibri"/>
                <w:color w:val="000000"/>
                <w:szCs w:val="16"/>
                <w:lang w:eastAsia="en-AU"/>
              </w:rPr>
              <w:t>Cash and deposits</w:t>
            </w:r>
          </w:p>
        </w:tc>
        <w:tc>
          <w:tcPr>
            <w:tcW w:w="828"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023820">
              <w:rPr>
                <w:rFonts w:eastAsiaTheme="minorEastAsia" w:cs="Calibri"/>
                <w:color w:val="000000"/>
                <w:szCs w:val="16"/>
                <w:lang w:eastAsia="en-AU"/>
              </w:rPr>
              <w:t>6 811</w:t>
            </w:r>
          </w:p>
        </w:tc>
        <w:tc>
          <w:tcPr>
            <w:tcW w:w="828"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023820">
              <w:rPr>
                <w:rFonts w:eastAsiaTheme="minorEastAsia" w:cs="Calibri"/>
                <w:color w:val="000000"/>
                <w:szCs w:val="16"/>
                <w:lang w:eastAsia="en-AU"/>
              </w:rPr>
              <w:t>5 596</w:t>
            </w:r>
          </w:p>
        </w:tc>
        <w:tc>
          <w:tcPr>
            <w:tcW w:w="828"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023820">
              <w:rPr>
                <w:rFonts w:eastAsiaTheme="minorEastAsia" w:cs="Calibri"/>
                <w:color w:val="000000"/>
                <w:szCs w:val="16"/>
                <w:lang w:eastAsia="en-AU"/>
              </w:rPr>
              <w:t>6 017</w:t>
            </w:r>
          </w:p>
        </w:tc>
        <w:tc>
          <w:tcPr>
            <w:tcW w:w="828"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023820">
              <w:rPr>
                <w:rFonts w:eastAsiaTheme="minorEastAsia" w:cs="Calibri"/>
                <w:color w:val="000000"/>
                <w:szCs w:val="16"/>
                <w:lang w:eastAsia="en-AU"/>
              </w:rPr>
              <w:t>6 412</w:t>
            </w:r>
          </w:p>
        </w:tc>
        <w:tc>
          <w:tcPr>
            <w:tcW w:w="828"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023820">
              <w:rPr>
                <w:rFonts w:eastAsiaTheme="minorEastAsia" w:cs="Calibri"/>
                <w:color w:val="000000"/>
                <w:szCs w:val="16"/>
                <w:lang w:eastAsia="en-AU"/>
              </w:rPr>
              <w:t>6 765</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3640" w:type="dxa"/>
            <w:tcBorders>
              <w:top w:val="nil"/>
              <w:left w:val="nil"/>
              <w:bottom w:val="nil"/>
              <w:right w:val="nil"/>
            </w:tcBorders>
          </w:tcPr>
          <w:p w:rsidR="00A46DCA" w:rsidRPr="00023820" w:rsidRDefault="00A46DCA" w:rsidP="00A26D04">
            <w:pPr>
              <w:keepLines w:val="0"/>
              <w:autoSpaceDE w:val="0"/>
              <w:autoSpaceDN w:val="0"/>
              <w:adjustRightInd w:val="0"/>
              <w:rPr>
                <w:rFonts w:eastAsiaTheme="minorEastAsia" w:cs="Calibri"/>
                <w:color w:val="000000"/>
                <w:szCs w:val="16"/>
                <w:lang w:eastAsia="en-AU"/>
              </w:rPr>
            </w:pPr>
            <w:r w:rsidRPr="00023820">
              <w:rPr>
                <w:rFonts w:eastAsiaTheme="minorEastAsia" w:cs="Calibri"/>
                <w:color w:val="000000"/>
                <w:szCs w:val="16"/>
                <w:lang w:eastAsia="en-AU"/>
              </w:rPr>
              <w:t>Advances paid</w:t>
            </w:r>
          </w:p>
        </w:tc>
        <w:tc>
          <w:tcPr>
            <w:tcW w:w="828"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259</w:t>
            </w:r>
          </w:p>
        </w:tc>
        <w:tc>
          <w:tcPr>
            <w:tcW w:w="828"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272</w:t>
            </w:r>
          </w:p>
        </w:tc>
        <w:tc>
          <w:tcPr>
            <w:tcW w:w="828"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264</w:t>
            </w:r>
          </w:p>
        </w:tc>
        <w:tc>
          <w:tcPr>
            <w:tcW w:w="828"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256</w:t>
            </w:r>
          </w:p>
        </w:tc>
        <w:tc>
          <w:tcPr>
            <w:tcW w:w="828"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249</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3640" w:type="dxa"/>
            <w:tcBorders>
              <w:top w:val="nil"/>
              <w:left w:val="nil"/>
              <w:bottom w:val="nil"/>
              <w:right w:val="nil"/>
            </w:tcBorders>
          </w:tcPr>
          <w:p w:rsidR="00A46DCA" w:rsidRPr="00023820" w:rsidRDefault="00A46DCA" w:rsidP="00A26D04">
            <w:pPr>
              <w:keepLines w:val="0"/>
              <w:autoSpaceDE w:val="0"/>
              <w:autoSpaceDN w:val="0"/>
              <w:adjustRightInd w:val="0"/>
              <w:rPr>
                <w:rFonts w:eastAsiaTheme="minorEastAsia" w:cs="Calibri"/>
                <w:color w:val="000000"/>
                <w:szCs w:val="16"/>
                <w:lang w:eastAsia="en-AU"/>
              </w:rPr>
            </w:pPr>
            <w:r w:rsidRPr="00023820">
              <w:rPr>
                <w:rFonts w:eastAsiaTheme="minorEastAsia" w:cs="Calibri"/>
                <w:color w:val="000000"/>
                <w:szCs w:val="16"/>
                <w:lang w:eastAsia="en-AU"/>
              </w:rPr>
              <w:t>Receivables</w:t>
            </w:r>
          </w:p>
        </w:tc>
        <w:tc>
          <w:tcPr>
            <w:tcW w:w="828"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023820">
              <w:rPr>
                <w:rFonts w:eastAsiaTheme="minorEastAsia" w:cs="Calibri"/>
                <w:color w:val="000000"/>
                <w:szCs w:val="16"/>
                <w:lang w:eastAsia="en-AU"/>
              </w:rPr>
              <w:t>6 837</w:t>
            </w:r>
          </w:p>
        </w:tc>
        <w:tc>
          <w:tcPr>
            <w:tcW w:w="828"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023820">
              <w:rPr>
                <w:rFonts w:eastAsiaTheme="minorEastAsia" w:cs="Calibri"/>
                <w:color w:val="000000"/>
                <w:szCs w:val="16"/>
                <w:lang w:eastAsia="en-AU"/>
              </w:rPr>
              <w:t>6 844</w:t>
            </w:r>
          </w:p>
        </w:tc>
        <w:tc>
          <w:tcPr>
            <w:tcW w:w="828"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023820">
              <w:rPr>
                <w:rFonts w:eastAsiaTheme="minorEastAsia" w:cs="Calibri"/>
                <w:color w:val="000000"/>
                <w:szCs w:val="16"/>
                <w:lang w:eastAsia="en-AU"/>
              </w:rPr>
              <w:t>7 191</w:t>
            </w:r>
          </w:p>
        </w:tc>
        <w:tc>
          <w:tcPr>
            <w:tcW w:w="828"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023820">
              <w:rPr>
                <w:rFonts w:eastAsiaTheme="minorEastAsia" w:cs="Calibri"/>
                <w:color w:val="000000"/>
                <w:szCs w:val="16"/>
                <w:lang w:eastAsia="en-AU"/>
              </w:rPr>
              <w:t>7 505</w:t>
            </w:r>
          </w:p>
        </w:tc>
        <w:tc>
          <w:tcPr>
            <w:tcW w:w="828"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023820">
              <w:rPr>
                <w:rFonts w:eastAsiaTheme="minorEastAsia" w:cs="Calibri"/>
                <w:color w:val="000000"/>
                <w:szCs w:val="16"/>
                <w:lang w:eastAsia="en-AU"/>
              </w:rPr>
              <w:t>7 876</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3640" w:type="dxa"/>
            <w:tcBorders>
              <w:top w:val="nil"/>
              <w:left w:val="nil"/>
              <w:bottom w:val="nil"/>
              <w:right w:val="nil"/>
            </w:tcBorders>
          </w:tcPr>
          <w:p w:rsidR="00A46DCA" w:rsidRPr="00023820" w:rsidRDefault="00A46DCA" w:rsidP="00A26D04">
            <w:pPr>
              <w:keepLines w:val="0"/>
              <w:autoSpaceDE w:val="0"/>
              <w:autoSpaceDN w:val="0"/>
              <w:adjustRightInd w:val="0"/>
              <w:rPr>
                <w:rFonts w:eastAsiaTheme="minorEastAsia" w:cs="Calibri"/>
                <w:color w:val="000000"/>
                <w:szCs w:val="16"/>
                <w:lang w:eastAsia="en-AU"/>
              </w:rPr>
            </w:pPr>
            <w:r w:rsidRPr="00023820">
              <w:rPr>
                <w:rFonts w:eastAsiaTheme="minorEastAsia" w:cs="Calibri"/>
                <w:color w:val="000000"/>
                <w:szCs w:val="16"/>
                <w:lang w:eastAsia="en-AU"/>
              </w:rPr>
              <w:t>Investments, loans and placements</w:t>
            </w:r>
          </w:p>
        </w:tc>
        <w:tc>
          <w:tcPr>
            <w:tcW w:w="828"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023820">
              <w:rPr>
                <w:rFonts w:eastAsiaTheme="minorEastAsia" w:cs="Calibri"/>
                <w:color w:val="000000"/>
                <w:szCs w:val="16"/>
                <w:lang w:eastAsia="en-AU"/>
              </w:rPr>
              <w:t>3 868</w:t>
            </w:r>
          </w:p>
        </w:tc>
        <w:tc>
          <w:tcPr>
            <w:tcW w:w="828"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023820">
              <w:rPr>
                <w:rFonts w:eastAsiaTheme="minorEastAsia" w:cs="Calibri"/>
                <w:color w:val="000000"/>
                <w:szCs w:val="16"/>
                <w:lang w:eastAsia="en-AU"/>
              </w:rPr>
              <w:t>4 437</w:t>
            </w:r>
          </w:p>
        </w:tc>
        <w:tc>
          <w:tcPr>
            <w:tcW w:w="828"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023820">
              <w:rPr>
                <w:rFonts w:eastAsiaTheme="minorEastAsia" w:cs="Calibri"/>
                <w:color w:val="000000"/>
                <w:szCs w:val="16"/>
                <w:lang w:eastAsia="en-AU"/>
              </w:rPr>
              <w:t>4 250</w:t>
            </w:r>
          </w:p>
        </w:tc>
        <w:tc>
          <w:tcPr>
            <w:tcW w:w="828"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023820">
              <w:rPr>
                <w:rFonts w:eastAsiaTheme="minorEastAsia" w:cs="Calibri"/>
                <w:color w:val="000000"/>
                <w:szCs w:val="16"/>
                <w:lang w:eastAsia="en-AU"/>
              </w:rPr>
              <w:t>4 216</w:t>
            </w:r>
          </w:p>
        </w:tc>
        <w:tc>
          <w:tcPr>
            <w:tcW w:w="828"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023820">
              <w:rPr>
                <w:rFonts w:eastAsiaTheme="minorEastAsia" w:cs="Calibri"/>
                <w:color w:val="000000"/>
                <w:szCs w:val="16"/>
                <w:lang w:eastAsia="en-AU"/>
              </w:rPr>
              <w:t>4 123</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3640" w:type="dxa"/>
            <w:tcBorders>
              <w:top w:val="nil"/>
              <w:left w:val="nil"/>
              <w:bottom w:val="nil"/>
              <w:right w:val="nil"/>
            </w:tcBorders>
          </w:tcPr>
          <w:p w:rsidR="00A46DCA" w:rsidRPr="00023820" w:rsidRDefault="00A46DCA" w:rsidP="00A26D04">
            <w:pPr>
              <w:keepLines w:val="0"/>
              <w:autoSpaceDE w:val="0"/>
              <w:autoSpaceDN w:val="0"/>
              <w:adjustRightInd w:val="0"/>
              <w:rPr>
                <w:rFonts w:eastAsiaTheme="minorEastAsia" w:cs="Calibri"/>
                <w:color w:val="000000"/>
                <w:szCs w:val="16"/>
                <w:lang w:eastAsia="en-AU"/>
              </w:rPr>
            </w:pPr>
            <w:r w:rsidRPr="00023820">
              <w:rPr>
                <w:rFonts w:eastAsiaTheme="minorEastAsia" w:cs="Calibri"/>
                <w:color w:val="000000"/>
                <w:szCs w:val="16"/>
                <w:lang w:eastAsia="en-AU"/>
              </w:rPr>
              <w:t>Investments accounted for using equity method</w:t>
            </w:r>
          </w:p>
        </w:tc>
        <w:tc>
          <w:tcPr>
            <w:tcW w:w="828"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023820">
              <w:rPr>
                <w:rFonts w:eastAsiaTheme="minorEastAsia" w:cs="Calibri"/>
                <w:color w:val="000000"/>
                <w:szCs w:val="16"/>
                <w:lang w:eastAsia="en-AU"/>
              </w:rPr>
              <w:t>2 196</w:t>
            </w:r>
          </w:p>
        </w:tc>
        <w:tc>
          <w:tcPr>
            <w:tcW w:w="828"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023820">
              <w:rPr>
                <w:rFonts w:eastAsiaTheme="minorEastAsia" w:cs="Calibri"/>
                <w:color w:val="000000"/>
                <w:szCs w:val="16"/>
                <w:lang w:eastAsia="en-AU"/>
              </w:rPr>
              <w:t>2 211</w:t>
            </w:r>
          </w:p>
        </w:tc>
        <w:tc>
          <w:tcPr>
            <w:tcW w:w="828"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023820">
              <w:rPr>
                <w:rFonts w:eastAsiaTheme="minorEastAsia" w:cs="Calibri"/>
                <w:color w:val="000000"/>
                <w:szCs w:val="16"/>
                <w:lang w:eastAsia="en-AU"/>
              </w:rPr>
              <w:t>2 243</w:t>
            </w:r>
          </w:p>
        </w:tc>
        <w:tc>
          <w:tcPr>
            <w:tcW w:w="828"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023820">
              <w:rPr>
                <w:rFonts w:eastAsiaTheme="minorEastAsia" w:cs="Calibri"/>
                <w:color w:val="000000"/>
                <w:szCs w:val="16"/>
                <w:lang w:eastAsia="en-AU"/>
              </w:rPr>
              <w:t>2 278</w:t>
            </w:r>
          </w:p>
        </w:tc>
        <w:tc>
          <w:tcPr>
            <w:tcW w:w="828"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023820">
              <w:rPr>
                <w:rFonts w:eastAsiaTheme="minorEastAsia" w:cs="Calibri"/>
                <w:color w:val="000000"/>
                <w:szCs w:val="16"/>
                <w:lang w:eastAsia="en-AU"/>
              </w:rPr>
              <w:t>2 322</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3640" w:type="dxa"/>
            <w:tcBorders>
              <w:top w:val="nil"/>
              <w:left w:val="nil"/>
              <w:bottom w:val="single" w:sz="6" w:space="0" w:color="000000"/>
              <w:right w:val="nil"/>
            </w:tcBorders>
          </w:tcPr>
          <w:p w:rsidR="00A46DCA" w:rsidRPr="00023820" w:rsidRDefault="00A46DCA" w:rsidP="00A26D04">
            <w:pPr>
              <w:keepLines w:val="0"/>
              <w:autoSpaceDE w:val="0"/>
              <w:autoSpaceDN w:val="0"/>
              <w:adjustRightInd w:val="0"/>
              <w:rPr>
                <w:rFonts w:eastAsiaTheme="minorEastAsia" w:cs="Calibri"/>
                <w:color w:val="000000"/>
                <w:szCs w:val="16"/>
                <w:lang w:eastAsia="en-AU"/>
              </w:rPr>
            </w:pPr>
            <w:r w:rsidRPr="00023820">
              <w:rPr>
                <w:rFonts w:eastAsiaTheme="minorEastAsia" w:cs="Calibri"/>
                <w:color w:val="000000"/>
                <w:szCs w:val="16"/>
                <w:lang w:eastAsia="en-AU"/>
              </w:rPr>
              <w:t>Investments in other sector entities</w:t>
            </w:r>
          </w:p>
        </w:tc>
        <w:tc>
          <w:tcPr>
            <w:tcW w:w="828" w:type="dxa"/>
            <w:tcBorders>
              <w:top w:val="nil"/>
              <w:left w:val="nil"/>
              <w:bottom w:val="single" w:sz="6" w:space="0" w:color="000000"/>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023820">
              <w:rPr>
                <w:rFonts w:eastAsiaTheme="minorEastAsia" w:cs="Calibri"/>
                <w:color w:val="000000"/>
                <w:szCs w:val="16"/>
                <w:lang w:eastAsia="en-AU"/>
              </w:rPr>
              <w:t>3 190</w:t>
            </w:r>
          </w:p>
        </w:tc>
        <w:tc>
          <w:tcPr>
            <w:tcW w:w="828" w:type="dxa"/>
            <w:tcBorders>
              <w:top w:val="nil"/>
              <w:left w:val="nil"/>
              <w:bottom w:val="single" w:sz="6" w:space="0" w:color="000000"/>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023820">
              <w:rPr>
                <w:rFonts w:eastAsiaTheme="minorEastAsia" w:cs="Calibri"/>
                <w:color w:val="000000"/>
                <w:szCs w:val="16"/>
                <w:lang w:eastAsia="en-AU"/>
              </w:rPr>
              <w:t>3 346</w:t>
            </w:r>
          </w:p>
        </w:tc>
        <w:tc>
          <w:tcPr>
            <w:tcW w:w="828" w:type="dxa"/>
            <w:tcBorders>
              <w:top w:val="nil"/>
              <w:left w:val="nil"/>
              <w:bottom w:val="single" w:sz="6" w:space="0" w:color="000000"/>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023820">
              <w:rPr>
                <w:rFonts w:eastAsiaTheme="minorEastAsia" w:cs="Calibri"/>
                <w:color w:val="000000"/>
                <w:szCs w:val="16"/>
                <w:lang w:eastAsia="en-AU"/>
              </w:rPr>
              <w:t>2 811</w:t>
            </w:r>
          </w:p>
        </w:tc>
        <w:tc>
          <w:tcPr>
            <w:tcW w:w="828" w:type="dxa"/>
            <w:tcBorders>
              <w:top w:val="nil"/>
              <w:left w:val="nil"/>
              <w:bottom w:val="single" w:sz="6" w:space="0" w:color="000000"/>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023820">
              <w:rPr>
                <w:rFonts w:eastAsiaTheme="minorEastAsia" w:cs="Calibri"/>
                <w:color w:val="000000"/>
                <w:szCs w:val="16"/>
                <w:lang w:eastAsia="en-AU"/>
              </w:rPr>
              <w:t>2 389</w:t>
            </w:r>
          </w:p>
        </w:tc>
        <w:tc>
          <w:tcPr>
            <w:tcW w:w="828" w:type="dxa"/>
            <w:tcBorders>
              <w:top w:val="nil"/>
              <w:left w:val="nil"/>
              <w:bottom w:val="single" w:sz="6" w:space="0" w:color="000000"/>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023820">
              <w:rPr>
                <w:rFonts w:eastAsiaTheme="minorEastAsia" w:cs="Calibri"/>
                <w:color w:val="000000"/>
                <w:szCs w:val="16"/>
                <w:lang w:eastAsia="en-AU"/>
              </w:rPr>
              <w:t>1 619</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3640" w:type="dxa"/>
            <w:tcBorders>
              <w:top w:val="nil"/>
              <w:left w:val="nil"/>
              <w:bottom w:val="nil"/>
              <w:right w:val="nil"/>
            </w:tcBorders>
          </w:tcPr>
          <w:p w:rsidR="00A46DCA" w:rsidRPr="00023820" w:rsidRDefault="00A46DCA" w:rsidP="00A26D04">
            <w:pPr>
              <w:keepLines w:val="0"/>
              <w:autoSpaceDE w:val="0"/>
              <w:autoSpaceDN w:val="0"/>
              <w:adjustRightInd w:val="0"/>
              <w:rPr>
                <w:rFonts w:eastAsiaTheme="minorEastAsia" w:cs="Calibri"/>
                <w:b/>
                <w:bCs/>
                <w:color w:val="000000"/>
                <w:szCs w:val="16"/>
                <w:lang w:eastAsia="en-AU"/>
              </w:rPr>
            </w:pPr>
            <w:r w:rsidRPr="00023820">
              <w:rPr>
                <w:rFonts w:eastAsiaTheme="minorEastAsia" w:cs="Calibri"/>
                <w:b/>
                <w:bCs/>
                <w:color w:val="000000"/>
                <w:szCs w:val="16"/>
                <w:lang w:eastAsia="en-AU"/>
              </w:rPr>
              <w:t>Total financial assets</w:t>
            </w:r>
          </w:p>
        </w:tc>
        <w:tc>
          <w:tcPr>
            <w:tcW w:w="828"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023820">
              <w:rPr>
                <w:rFonts w:eastAsiaTheme="minorEastAsia" w:cs="Calibri"/>
                <w:b/>
                <w:bCs/>
                <w:color w:val="000000"/>
                <w:szCs w:val="16"/>
                <w:lang w:eastAsia="en-AU"/>
              </w:rPr>
              <w:t>23 161</w:t>
            </w:r>
          </w:p>
        </w:tc>
        <w:tc>
          <w:tcPr>
            <w:tcW w:w="828"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023820">
              <w:rPr>
                <w:rFonts w:eastAsiaTheme="minorEastAsia" w:cs="Calibri"/>
                <w:b/>
                <w:bCs/>
                <w:color w:val="000000"/>
                <w:szCs w:val="16"/>
                <w:lang w:eastAsia="en-AU"/>
              </w:rPr>
              <w:t>22 706</w:t>
            </w:r>
          </w:p>
        </w:tc>
        <w:tc>
          <w:tcPr>
            <w:tcW w:w="828"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023820">
              <w:rPr>
                <w:rFonts w:eastAsiaTheme="minorEastAsia" w:cs="Calibri"/>
                <w:b/>
                <w:bCs/>
                <w:color w:val="000000"/>
                <w:szCs w:val="16"/>
                <w:lang w:eastAsia="en-AU"/>
              </w:rPr>
              <w:t>22 775</w:t>
            </w:r>
          </w:p>
        </w:tc>
        <w:tc>
          <w:tcPr>
            <w:tcW w:w="828"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023820">
              <w:rPr>
                <w:rFonts w:eastAsiaTheme="minorEastAsia" w:cs="Calibri"/>
                <w:b/>
                <w:bCs/>
                <w:color w:val="000000"/>
                <w:szCs w:val="16"/>
                <w:lang w:eastAsia="en-AU"/>
              </w:rPr>
              <w:t>23 055</w:t>
            </w:r>
          </w:p>
        </w:tc>
        <w:tc>
          <w:tcPr>
            <w:tcW w:w="828"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023820">
              <w:rPr>
                <w:rFonts w:eastAsiaTheme="minorEastAsia" w:cs="Calibri"/>
                <w:b/>
                <w:bCs/>
                <w:color w:val="000000"/>
                <w:szCs w:val="16"/>
                <w:lang w:eastAsia="en-AU"/>
              </w:rPr>
              <w:t>22 954</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3640" w:type="dxa"/>
            <w:tcBorders>
              <w:top w:val="nil"/>
              <w:left w:val="nil"/>
              <w:bottom w:val="nil"/>
              <w:right w:val="nil"/>
            </w:tcBorders>
          </w:tcPr>
          <w:p w:rsidR="00A46DCA" w:rsidRPr="00023820" w:rsidRDefault="00A46DCA" w:rsidP="00A26D04">
            <w:pPr>
              <w:keepLines w:val="0"/>
              <w:autoSpaceDE w:val="0"/>
              <w:autoSpaceDN w:val="0"/>
              <w:adjustRightInd w:val="0"/>
              <w:rPr>
                <w:rFonts w:eastAsiaTheme="minorEastAsia" w:cs="Calibri"/>
                <w:b/>
                <w:bCs/>
                <w:color w:val="000000"/>
                <w:szCs w:val="16"/>
                <w:lang w:eastAsia="en-AU"/>
              </w:rPr>
            </w:pPr>
            <w:r w:rsidRPr="00023820">
              <w:rPr>
                <w:rFonts w:eastAsiaTheme="minorEastAsia" w:cs="Calibri"/>
                <w:b/>
                <w:bCs/>
                <w:color w:val="000000"/>
                <w:szCs w:val="16"/>
                <w:lang w:eastAsia="en-AU"/>
              </w:rPr>
              <w:t>Non-financial assets</w:t>
            </w:r>
          </w:p>
        </w:tc>
        <w:tc>
          <w:tcPr>
            <w:tcW w:w="828"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023820">
              <w:rPr>
                <w:rFonts w:eastAsiaTheme="minorEastAsia" w:cs="Calibri"/>
                <w:b/>
                <w:bCs/>
                <w:color w:val="000000"/>
                <w:lang w:eastAsia="en-AU"/>
              </w:rPr>
              <w:t xml:space="preserve"> </w:t>
            </w:r>
          </w:p>
        </w:tc>
        <w:tc>
          <w:tcPr>
            <w:tcW w:w="828"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023820">
              <w:rPr>
                <w:rFonts w:eastAsiaTheme="minorEastAsia" w:cs="Calibri"/>
                <w:b/>
                <w:bCs/>
                <w:color w:val="000000"/>
                <w:lang w:eastAsia="en-AU"/>
              </w:rPr>
              <w:t xml:space="preserve"> </w:t>
            </w:r>
          </w:p>
        </w:tc>
        <w:tc>
          <w:tcPr>
            <w:tcW w:w="828"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023820">
              <w:rPr>
                <w:rFonts w:eastAsiaTheme="minorEastAsia" w:cs="Calibri"/>
                <w:b/>
                <w:bCs/>
                <w:color w:val="000000"/>
                <w:lang w:eastAsia="en-AU"/>
              </w:rPr>
              <w:t xml:space="preserve"> </w:t>
            </w:r>
          </w:p>
        </w:tc>
        <w:tc>
          <w:tcPr>
            <w:tcW w:w="828"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023820">
              <w:rPr>
                <w:rFonts w:eastAsiaTheme="minorEastAsia" w:cs="Calibri"/>
                <w:b/>
                <w:bCs/>
                <w:color w:val="000000"/>
                <w:lang w:eastAsia="en-AU"/>
              </w:rPr>
              <w:t xml:space="preserve"> </w:t>
            </w:r>
          </w:p>
        </w:tc>
        <w:tc>
          <w:tcPr>
            <w:tcW w:w="828"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023820">
              <w:rPr>
                <w:rFonts w:eastAsiaTheme="minorEastAsia" w:cs="Calibri"/>
                <w:b/>
                <w:bCs/>
                <w:color w:val="000000"/>
                <w:lang w:eastAsia="en-AU"/>
              </w:rPr>
              <w:t xml:space="preserve"> </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3640" w:type="dxa"/>
            <w:tcBorders>
              <w:top w:val="nil"/>
              <w:left w:val="nil"/>
              <w:bottom w:val="nil"/>
              <w:right w:val="nil"/>
            </w:tcBorders>
          </w:tcPr>
          <w:p w:rsidR="00A46DCA" w:rsidRPr="00023820" w:rsidRDefault="00A46DCA" w:rsidP="00A26D04">
            <w:pPr>
              <w:keepLines w:val="0"/>
              <w:autoSpaceDE w:val="0"/>
              <w:autoSpaceDN w:val="0"/>
              <w:adjustRightInd w:val="0"/>
              <w:rPr>
                <w:rFonts w:eastAsiaTheme="minorEastAsia" w:cs="Calibri"/>
                <w:color w:val="000000"/>
                <w:szCs w:val="16"/>
                <w:lang w:eastAsia="en-AU"/>
              </w:rPr>
            </w:pPr>
            <w:r w:rsidRPr="00023820">
              <w:rPr>
                <w:rFonts w:eastAsiaTheme="minorEastAsia" w:cs="Calibri"/>
                <w:color w:val="000000"/>
                <w:szCs w:val="16"/>
                <w:lang w:eastAsia="en-AU"/>
              </w:rPr>
              <w:t>Inventories</w:t>
            </w:r>
          </w:p>
        </w:tc>
        <w:tc>
          <w:tcPr>
            <w:tcW w:w="828"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023820">
              <w:rPr>
                <w:rFonts w:eastAsiaTheme="minorEastAsia" w:cs="Calibri"/>
                <w:color w:val="000000"/>
                <w:szCs w:val="16"/>
                <w:lang w:eastAsia="en-AU"/>
              </w:rPr>
              <w:t>1 156</w:t>
            </w:r>
          </w:p>
        </w:tc>
        <w:tc>
          <w:tcPr>
            <w:tcW w:w="828"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935</w:t>
            </w:r>
          </w:p>
        </w:tc>
        <w:tc>
          <w:tcPr>
            <w:tcW w:w="828"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023820">
              <w:rPr>
                <w:rFonts w:eastAsiaTheme="minorEastAsia" w:cs="Calibri"/>
                <w:color w:val="000000"/>
                <w:szCs w:val="16"/>
                <w:lang w:eastAsia="en-AU"/>
              </w:rPr>
              <w:t>1 185</w:t>
            </w:r>
          </w:p>
        </w:tc>
        <w:tc>
          <w:tcPr>
            <w:tcW w:w="828"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023820">
              <w:rPr>
                <w:rFonts w:eastAsiaTheme="minorEastAsia" w:cs="Calibri"/>
                <w:color w:val="000000"/>
                <w:szCs w:val="16"/>
                <w:lang w:eastAsia="en-AU"/>
              </w:rPr>
              <w:t>1 459</w:t>
            </w:r>
          </w:p>
        </w:tc>
        <w:tc>
          <w:tcPr>
            <w:tcW w:w="828"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023820">
              <w:rPr>
                <w:rFonts w:eastAsiaTheme="minorEastAsia" w:cs="Calibri"/>
                <w:color w:val="000000"/>
                <w:szCs w:val="16"/>
                <w:lang w:eastAsia="en-AU"/>
              </w:rPr>
              <w:t>1 322</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3640" w:type="dxa"/>
            <w:tcBorders>
              <w:top w:val="nil"/>
              <w:left w:val="nil"/>
              <w:bottom w:val="nil"/>
              <w:right w:val="nil"/>
            </w:tcBorders>
          </w:tcPr>
          <w:p w:rsidR="00A46DCA" w:rsidRPr="00023820" w:rsidRDefault="00A46DCA" w:rsidP="00A26D04">
            <w:pPr>
              <w:keepLines w:val="0"/>
              <w:autoSpaceDE w:val="0"/>
              <w:autoSpaceDN w:val="0"/>
              <w:adjustRightInd w:val="0"/>
              <w:rPr>
                <w:rFonts w:eastAsiaTheme="minorEastAsia" w:cs="Calibri"/>
                <w:color w:val="000000"/>
                <w:szCs w:val="16"/>
                <w:lang w:eastAsia="en-AU"/>
              </w:rPr>
            </w:pPr>
            <w:r w:rsidRPr="00023820">
              <w:rPr>
                <w:rFonts w:eastAsiaTheme="minorEastAsia" w:cs="Calibri"/>
                <w:color w:val="000000"/>
                <w:szCs w:val="16"/>
                <w:lang w:eastAsia="en-AU"/>
              </w:rPr>
              <w:t>Non-financial assets held for sale</w:t>
            </w:r>
          </w:p>
        </w:tc>
        <w:tc>
          <w:tcPr>
            <w:tcW w:w="828"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431</w:t>
            </w:r>
          </w:p>
        </w:tc>
        <w:tc>
          <w:tcPr>
            <w:tcW w:w="828"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425</w:t>
            </w:r>
          </w:p>
        </w:tc>
        <w:tc>
          <w:tcPr>
            <w:tcW w:w="828"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426</w:t>
            </w:r>
          </w:p>
        </w:tc>
        <w:tc>
          <w:tcPr>
            <w:tcW w:w="828"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427</w:t>
            </w:r>
          </w:p>
        </w:tc>
        <w:tc>
          <w:tcPr>
            <w:tcW w:w="828"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428</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3640" w:type="dxa"/>
            <w:tcBorders>
              <w:top w:val="nil"/>
              <w:left w:val="nil"/>
              <w:bottom w:val="nil"/>
              <w:right w:val="nil"/>
            </w:tcBorders>
          </w:tcPr>
          <w:p w:rsidR="00A46DCA" w:rsidRPr="00023820" w:rsidRDefault="00A46DCA" w:rsidP="00A26D04">
            <w:pPr>
              <w:keepLines w:val="0"/>
              <w:autoSpaceDE w:val="0"/>
              <w:autoSpaceDN w:val="0"/>
              <w:adjustRightInd w:val="0"/>
              <w:rPr>
                <w:rFonts w:eastAsiaTheme="minorEastAsia" w:cs="Calibri"/>
                <w:color w:val="000000"/>
                <w:szCs w:val="16"/>
                <w:lang w:eastAsia="en-AU"/>
              </w:rPr>
            </w:pPr>
            <w:r w:rsidRPr="00023820">
              <w:rPr>
                <w:rFonts w:eastAsiaTheme="minorEastAsia" w:cs="Calibri"/>
                <w:color w:val="000000"/>
                <w:szCs w:val="16"/>
                <w:lang w:eastAsia="en-AU"/>
              </w:rPr>
              <w:t>Land, buildings, infrastructure, plant and equipment</w:t>
            </w:r>
          </w:p>
        </w:tc>
        <w:tc>
          <w:tcPr>
            <w:tcW w:w="828"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023820">
              <w:rPr>
                <w:rFonts w:eastAsiaTheme="minorEastAsia" w:cs="Calibri"/>
                <w:color w:val="000000"/>
                <w:szCs w:val="16"/>
                <w:lang w:eastAsia="en-AU"/>
              </w:rPr>
              <w:t>248 904</w:t>
            </w:r>
          </w:p>
        </w:tc>
        <w:tc>
          <w:tcPr>
            <w:tcW w:w="828"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023820">
              <w:rPr>
                <w:rFonts w:eastAsiaTheme="minorEastAsia" w:cs="Calibri"/>
                <w:color w:val="000000"/>
                <w:szCs w:val="16"/>
                <w:lang w:eastAsia="en-AU"/>
              </w:rPr>
              <w:t>249 554</w:t>
            </w:r>
          </w:p>
        </w:tc>
        <w:tc>
          <w:tcPr>
            <w:tcW w:w="828"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023820">
              <w:rPr>
                <w:rFonts w:eastAsiaTheme="minorEastAsia" w:cs="Calibri"/>
                <w:color w:val="000000"/>
                <w:szCs w:val="16"/>
                <w:lang w:eastAsia="en-AU"/>
              </w:rPr>
              <w:t>257 313</w:t>
            </w:r>
          </w:p>
        </w:tc>
        <w:tc>
          <w:tcPr>
            <w:tcW w:w="828"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023820">
              <w:rPr>
                <w:rFonts w:eastAsiaTheme="minorEastAsia" w:cs="Calibri"/>
                <w:color w:val="000000"/>
                <w:szCs w:val="16"/>
                <w:lang w:eastAsia="en-AU"/>
              </w:rPr>
              <w:t>270 764</w:t>
            </w:r>
          </w:p>
        </w:tc>
        <w:tc>
          <w:tcPr>
            <w:tcW w:w="828"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023820">
              <w:rPr>
                <w:rFonts w:eastAsiaTheme="minorEastAsia" w:cs="Calibri"/>
                <w:color w:val="000000"/>
                <w:szCs w:val="16"/>
                <w:lang w:eastAsia="en-AU"/>
              </w:rPr>
              <w:t>277 305</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3640" w:type="dxa"/>
            <w:tcBorders>
              <w:top w:val="nil"/>
              <w:left w:val="nil"/>
              <w:bottom w:val="nil"/>
              <w:right w:val="nil"/>
            </w:tcBorders>
          </w:tcPr>
          <w:p w:rsidR="00A46DCA" w:rsidRPr="00023820" w:rsidRDefault="00A46DCA" w:rsidP="00A26D04">
            <w:pPr>
              <w:keepLines w:val="0"/>
              <w:autoSpaceDE w:val="0"/>
              <w:autoSpaceDN w:val="0"/>
              <w:adjustRightInd w:val="0"/>
              <w:rPr>
                <w:rFonts w:eastAsiaTheme="minorEastAsia" w:cs="Calibri"/>
                <w:color w:val="000000"/>
                <w:szCs w:val="16"/>
                <w:lang w:eastAsia="en-AU"/>
              </w:rPr>
            </w:pPr>
            <w:r w:rsidRPr="00023820">
              <w:rPr>
                <w:rFonts w:eastAsiaTheme="minorEastAsia" w:cs="Calibri"/>
                <w:color w:val="000000"/>
                <w:szCs w:val="16"/>
                <w:lang w:eastAsia="en-AU"/>
              </w:rPr>
              <w:t>Other non-financial assets</w:t>
            </w:r>
          </w:p>
        </w:tc>
        <w:tc>
          <w:tcPr>
            <w:tcW w:w="828"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023820">
              <w:rPr>
                <w:rFonts w:eastAsiaTheme="minorEastAsia" w:cs="Calibri"/>
                <w:color w:val="000000"/>
                <w:szCs w:val="16"/>
                <w:lang w:eastAsia="en-AU"/>
              </w:rPr>
              <w:t>2 648</w:t>
            </w:r>
          </w:p>
        </w:tc>
        <w:tc>
          <w:tcPr>
            <w:tcW w:w="828"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023820">
              <w:rPr>
                <w:rFonts w:eastAsiaTheme="minorEastAsia" w:cs="Calibri"/>
                <w:color w:val="000000"/>
                <w:szCs w:val="16"/>
                <w:lang w:eastAsia="en-AU"/>
              </w:rPr>
              <w:t>2 611</w:t>
            </w:r>
          </w:p>
        </w:tc>
        <w:tc>
          <w:tcPr>
            <w:tcW w:w="828"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023820">
              <w:rPr>
                <w:rFonts w:eastAsiaTheme="minorEastAsia" w:cs="Calibri"/>
                <w:color w:val="000000"/>
                <w:szCs w:val="16"/>
                <w:lang w:eastAsia="en-AU"/>
              </w:rPr>
              <w:t>2 798</w:t>
            </w:r>
          </w:p>
        </w:tc>
        <w:tc>
          <w:tcPr>
            <w:tcW w:w="828"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023820">
              <w:rPr>
                <w:rFonts w:eastAsiaTheme="minorEastAsia" w:cs="Calibri"/>
                <w:color w:val="000000"/>
                <w:szCs w:val="16"/>
                <w:lang w:eastAsia="en-AU"/>
              </w:rPr>
              <w:t>3 434</w:t>
            </w:r>
          </w:p>
        </w:tc>
        <w:tc>
          <w:tcPr>
            <w:tcW w:w="828"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023820">
              <w:rPr>
                <w:rFonts w:eastAsiaTheme="minorEastAsia" w:cs="Calibri"/>
                <w:color w:val="000000"/>
                <w:szCs w:val="16"/>
                <w:lang w:eastAsia="en-AU"/>
              </w:rPr>
              <w:t>3 872</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3640" w:type="dxa"/>
            <w:tcBorders>
              <w:top w:val="single" w:sz="6" w:space="0" w:color="000000"/>
              <w:left w:val="nil"/>
              <w:bottom w:val="single" w:sz="6" w:space="0" w:color="000000"/>
              <w:right w:val="nil"/>
            </w:tcBorders>
          </w:tcPr>
          <w:p w:rsidR="00A46DCA" w:rsidRPr="00023820" w:rsidRDefault="00A46DCA" w:rsidP="00A26D04">
            <w:pPr>
              <w:keepLines w:val="0"/>
              <w:autoSpaceDE w:val="0"/>
              <w:autoSpaceDN w:val="0"/>
              <w:adjustRightInd w:val="0"/>
              <w:rPr>
                <w:rFonts w:eastAsiaTheme="minorEastAsia" w:cs="Calibri"/>
                <w:b/>
                <w:bCs/>
                <w:color w:val="000000"/>
                <w:szCs w:val="16"/>
                <w:lang w:eastAsia="en-AU"/>
              </w:rPr>
            </w:pPr>
            <w:r w:rsidRPr="00023820">
              <w:rPr>
                <w:rFonts w:eastAsiaTheme="minorEastAsia" w:cs="Calibri"/>
                <w:b/>
                <w:bCs/>
                <w:color w:val="000000"/>
                <w:szCs w:val="16"/>
                <w:lang w:eastAsia="en-AU"/>
              </w:rPr>
              <w:t>Total non-financial assets</w:t>
            </w:r>
          </w:p>
        </w:tc>
        <w:tc>
          <w:tcPr>
            <w:tcW w:w="828" w:type="dxa"/>
            <w:tcBorders>
              <w:top w:val="single" w:sz="6" w:space="0" w:color="000000"/>
              <w:left w:val="nil"/>
              <w:bottom w:val="single" w:sz="6" w:space="0" w:color="000000"/>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023820">
              <w:rPr>
                <w:rFonts w:eastAsiaTheme="minorEastAsia" w:cs="Calibri"/>
                <w:b/>
                <w:bCs/>
                <w:color w:val="000000"/>
                <w:szCs w:val="16"/>
                <w:lang w:eastAsia="en-AU"/>
              </w:rPr>
              <w:t>253 139</w:t>
            </w:r>
          </w:p>
        </w:tc>
        <w:tc>
          <w:tcPr>
            <w:tcW w:w="828" w:type="dxa"/>
            <w:tcBorders>
              <w:top w:val="single" w:sz="6" w:space="0" w:color="000000"/>
              <w:left w:val="nil"/>
              <w:bottom w:val="single" w:sz="6" w:space="0" w:color="000000"/>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023820">
              <w:rPr>
                <w:rFonts w:eastAsiaTheme="minorEastAsia" w:cs="Calibri"/>
                <w:b/>
                <w:bCs/>
                <w:color w:val="000000"/>
                <w:szCs w:val="16"/>
                <w:lang w:eastAsia="en-AU"/>
              </w:rPr>
              <w:t>253 524</w:t>
            </w:r>
          </w:p>
        </w:tc>
        <w:tc>
          <w:tcPr>
            <w:tcW w:w="828" w:type="dxa"/>
            <w:tcBorders>
              <w:top w:val="single" w:sz="6" w:space="0" w:color="000000"/>
              <w:left w:val="nil"/>
              <w:bottom w:val="single" w:sz="6" w:space="0" w:color="000000"/>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023820">
              <w:rPr>
                <w:rFonts w:eastAsiaTheme="minorEastAsia" w:cs="Calibri"/>
                <w:b/>
                <w:bCs/>
                <w:color w:val="000000"/>
                <w:szCs w:val="16"/>
                <w:lang w:eastAsia="en-AU"/>
              </w:rPr>
              <w:t>261 721</w:t>
            </w:r>
          </w:p>
        </w:tc>
        <w:tc>
          <w:tcPr>
            <w:tcW w:w="828" w:type="dxa"/>
            <w:tcBorders>
              <w:top w:val="single" w:sz="6" w:space="0" w:color="000000"/>
              <w:left w:val="nil"/>
              <w:bottom w:val="single" w:sz="6" w:space="0" w:color="000000"/>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023820">
              <w:rPr>
                <w:rFonts w:eastAsiaTheme="minorEastAsia" w:cs="Calibri"/>
                <w:b/>
                <w:bCs/>
                <w:color w:val="000000"/>
                <w:szCs w:val="16"/>
                <w:lang w:eastAsia="en-AU"/>
              </w:rPr>
              <w:t>276 084</w:t>
            </w:r>
          </w:p>
        </w:tc>
        <w:tc>
          <w:tcPr>
            <w:tcW w:w="828" w:type="dxa"/>
            <w:tcBorders>
              <w:top w:val="single" w:sz="6" w:space="0" w:color="000000"/>
              <w:left w:val="nil"/>
              <w:bottom w:val="single" w:sz="6" w:space="0" w:color="000000"/>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023820">
              <w:rPr>
                <w:rFonts w:eastAsiaTheme="minorEastAsia" w:cs="Calibri"/>
                <w:b/>
                <w:bCs/>
                <w:color w:val="000000"/>
                <w:szCs w:val="16"/>
                <w:lang w:eastAsia="en-AU"/>
              </w:rPr>
              <w:t>282 927</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3640" w:type="dxa"/>
            <w:tcBorders>
              <w:top w:val="nil"/>
              <w:left w:val="nil"/>
              <w:bottom w:val="nil"/>
              <w:right w:val="nil"/>
            </w:tcBorders>
          </w:tcPr>
          <w:p w:rsidR="00A46DCA" w:rsidRPr="00023820" w:rsidRDefault="00A46DCA" w:rsidP="00A26D04">
            <w:pPr>
              <w:keepLines w:val="0"/>
              <w:autoSpaceDE w:val="0"/>
              <w:autoSpaceDN w:val="0"/>
              <w:adjustRightInd w:val="0"/>
              <w:rPr>
                <w:rFonts w:eastAsiaTheme="minorEastAsia" w:cs="Calibri"/>
                <w:b/>
                <w:bCs/>
                <w:color w:val="000000"/>
                <w:szCs w:val="16"/>
                <w:lang w:eastAsia="en-AU"/>
              </w:rPr>
            </w:pPr>
            <w:r w:rsidRPr="00023820">
              <w:rPr>
                <w:rFonts w:eastAsiaTheme="minorEastAsia" w:cs="Calibri"/>
                <w:b/>
                <w:bCs/>
                <w:color w:val="000000"/>
                <w:szCs w:val="16"/>
                <w:lang w:eastAsia="en-AU"/>
              </w:rPr>
              <w:t>Total assets</w:t>
            </w:r>
          </w:p>
        </w:tc>
        <w:tc>
          <w:tcPr>
            <w:tcW w:w="828"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023820">
              <w:rPr>
                <w:rFonts w:eastAsiaTheme="minorEastAsia" w:cs="Calibri"/>
                <w:b/>
                <w:bCs/>
                <w:color w:val="000000"/>
                <w:szCs w:val="16"/>
                <w:lang w:eastAsia="en-AU"/>
              </w:rPr>
              <w:t>276 301</w:t>
            </w:r>
          </w:p>
        </w:tc>
        <w:tc>
          <w:tcPr>
            <w:tcW w:w="828"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023820">
              <w:rPr>
                <w:rFonts w:eastAsiaTheme="minorEastAsia" w:cs="Calibri"/>
                <w:b/>
                <w:bCs/>
                <w:color w:val="000000"/>
                <w:szCs w:val="16"/>
                <w:lang w:eastAsia="en-AU"/>
              </w:rPr>
              <w:t>276 230</w:t>
            </w:r>
          </w:p>
        </w:tc>
        <w:tc>
          <w:tcPr>
            <w:tcW w:w="828"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023820">
              <w:rPr>
                <w:rFonts w:eastAsiaTheme="minorEastAsia" w:cs="Calibri"/>
                <w:b/>
                <w:bCs/>
                <w:color w:val="000000"/>
                <w:szCs w:val="16"/>
                <w:lang w:eastAsia="en-AU"/>
              </w:rPr>
              <w:t>284 497</w:t>
            </w:r>
          </w:p>
        </w:tc>
        <w:tc>
          <w:tcPr>
            <w:tcW w:w="828"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023820">
              <w:rPr>
                <w:rFonts w:eastAsiaTheme="minorEastAsia" w:cs="Calibri"/>
                <w:b/>
                <w:bCs/>
                <w:color w:val="000000"/>
                <w:szCs w:val="16"/>
                <w:lang w:eastAsia="en-AU"/>
              </w:rPr>
              <w:t>299 139</w:t>
            </w:r>
          </w:p>
        </w:tc>
        <w:tc>
          <w:tcPr>
            <w:tcW w:w="828"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023820">
              <w:rPr>
                <w:rFonts w:eastAsiaTheme="minorEastAsia" w:cs="Calibri"/>
                <w:b/>
                <w:bCs/>
                <w:color w:val="000000"/>
                <w:szCs w:val="16"/>
                <w:lang w:eastAsia="en-AU"/>
              </w:rPr>
              <w:t>305 881</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3640" w:type="dxa"/>
            <w:tcBorders>
              <w:top w:val="nil"/>
              <w:left w:val="nil"/>
              <w:bottom w:val="nil"/>
              <w:right w:val="nil"/>
            </w:tcBorders>
          </w:tcPr>
          <w:p w:rsidR="00A46DCA" w:rsidRPr="00023820" w:rsidRDefault="00A46DCA" w:rsidP="00A26D04">
            <w:pPr>
              <w:keepLines w:val="0"/>
              <w:autoSpaceDE w:val="0"/>
              <w:autoSpaceDN w:val="0"/>
              <w:adjustRightInd w:val="0"/>
              <w:rPr>
                <w:rFonts w:eastAsiaTheme="minorEastAsia" w:cs="Calibri"/>
                <w:b/>
                <w:bCs/>
                <w:color w:val="000000"/>
                <w:szCs w:val="16"/>
                <w:lang w:eastAsia="en-AU"/>
              </w:rPr>
            </w:pPr>
            <w:r w:rsidRPr="00023820">
              <w:rPr>
                <w:rFonts w:eastAsiaTheme="minorEastAsia" w:cs="Calibri"/>
                <w:b/>
                <w:bCs/>
                <w:color w:val="000000"/>
                <w:szCs w:val="16"/>
                <w:lang w:eastAsia="en-AU"/>
              </w:rPr>
              <w:t>Liabilities</w:t>
            </w:r>
          </w:p>
        </w:tc>
        <w:tc>
          <w:tcPr>
            <w:tcW w:w="828"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023820">
              <w:rPr>
                <w:rFonts w:eastAsiaTheme="minorEastAsia" w:cs="Calibri"/>
                <w:b/>
                <w:bCs/>
                <w:color w:val="000000"/>
                <w:lang w:eastAsia="en-AU"/>
              </w:rPr>
              <w:t xml:space="preserve"> </w:t>
            </w:r>
          </w:p>
        </w:tc>
        <w:tc>
          <w:tcPr>
            <w:tcW w:w="828"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023820">
              <w:rPr>
                <w:rFonts w:eastAsiaTheme="minorEastAsia" w:cs="Calibri"/>
                <w:b/>
                <w:bCs/>
                <w:color w:val="000000"/>
                <w:lang w:eastAsia="en-AU"/>
              </w:rPr>
              <w:t xml:space="preserve"> </w:t>
            </w:r>
          </w:p>
        </w:tc>
        <w:tc>
          <w:tcPr>
            <w:tcW w:w="828"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023820">
              <w:rPr>
                <w:rFonts w:eastAsiaTheme="minorEastAsia" w:cs="Calibri"/>
                <w:b/>
                <w:bCs/>
                <w:color w:val="000000"/>
                <w:lang w:eastAsia="en-AU"/>
              </w:rPr>
              <w:t xml:space="preserve"> </w:t>
            </w:r>
          </w:p>
        </w:tc>
        <w:tc>
          <w:tcPr>
            <w:tcW w:w="828"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023820">
              <w:rPr>
                <w:rFonts w:eastAsiaTheme="minorEastAsia" w:cs="Calibri"/>
                <w:b/>
                <w:bCs/>
                <w:color w:val="000000"/>
                <w:lang w:eastAsia="en-AU"/>
              </w:rPr>
              <w:t xml:space="preserve"> </w:t>
            </w:r>
          </w:p>
        </w:tc>
        <w:tc>
          <w:tcPr>
            <w:tcW w:w="828"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023820">
              <w:rPr>
                <w:rFonts w:eastAsiaTheme="minorEastAsia" w:cs="Calibri"/>
                <w:b/>
                <w:bCs/>
                <w:color w:val="000000"/>
                <w:lang w:eastAsia="en-AU"/>
              </w:rPr>
              <w:t xml:space="preserve"> </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3640" w:type="dxa"/>
            <w:tcBorders>
              <w:top w:val="nil"/>
              <w:left w:val="nil"/>
              <w:bottom w:val="nil"/>
              <w:right w:val="nil"/>
            </w:tcBorders>
          </w:tcPr>
          <w:p w:rsidR="00A46DCA" w:rsidRPr="00023820" w:rsidRDefault="00A46DCA" w:rsidP="00A26D04">
            <w:pPr>
              <w:keepLines w:val="0"/>
              <w:autoSpaceDE w:val="0"/>
              <w:autoSpaceDN w:val="0"/>
              <w:adjustRightInd w:val="0"/>
              <w:rPr>
                <w:rFonts w:eastAsiaTheme="minorEastAsia" w:cs="Calibri"/>
                <w:color w:val="000000"/>
                <w:szCs w:val="16"/>
                <w:lang w:eastAsia="en-AU"/>
              </w:rPr>
            </w:pPr>
            <w:r w:rsidRPr="00023820">
              <w:rPr>
                <w:rFonts w:eastAsiaTheme="minorEastAsia" w:cs="Calibri"/>
                <w:color w:val="000000"/>
                <w:szCs w:val="16"/>
                <w:lang w:eastAsia="en-AU"/>
              </w:rPr>
              <w:t>Deposits held and advances received</w:t>
            </w:r>
          </w:p>
        </w:tc>
        <w:tc>
          <w:tcPr>
            <w:tcW w:w="828"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998</w:t>
            </w:r>
          </w:p>
        </w:tc>
        <w:tc>
          <w:tcPr>
            <w:tcW w:w="828"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940</w:t>
            </w:r>
          </w:p>
        </w:tc>
        <w:tc>
          <w:tcPr>
            <w:tcW w:w="828"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938</w:t>
            </w:r>
          </w:p>
        </w:tc>
        <w:tc>
          <w:tcPr>
            <w:tcW w:w="828"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939</w:t>
            </w:r>
          </w:p>
        </w:tc>
        <w:tc>
          <w:tcPr>
            <w:tcW w:w="828"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939</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3640" w:type="dxa"/>
            <w:tcBorders>
              <w:top w:val="nil"/>
              <w:left w:val="nil"/>
              <w:bottom w:val="nil"/>
              <w:right w:val="nil"/>
            </w:tcBorders>
          </w:tcPr>
          <w:p w:rsidR="00A46DCA" w:rsidRPr="00023820" w:rsidRDefault="00A46DCA" w:rsidP="00A26D04">
            <w:pPr>
              <w:keepLines w:val="0"/>
              <w:autoSpaceDE w:val="0"/>
              <w:autoSpaceDN w:val="0"/>
              <w:adjustRightInd w:val="0"/>
              <w:rPr>
                <w:rFonts w:eastAsiaTheme="minorEastAsia" w:cs="Calibri"/>
                <w:color w:val="000000"/>
                <w:szCs w:val="16"/>
                <w:lang w:eastAsia="en-AU"/>
              </w:rPr>
            </w:pPr>
            <w:r w:rsidRPr="00023820">
              <w:rPr>
                <w:rFonts w:eastAsiaTheme="minorEastAsia" w:cs="Calibri"/>
                <w:color w:val="000000"/>
                <w:szCs w:val="16"/>
                <w:lang w:eastAsia="en-AU"/>
              </w:rPr>
              <w:t>Payables</w:t>
            </w:r>
          </w:p>
        </w:tc>
        <w:tc>
          <w:tcPr>
            <w:tcW w:w="828"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023820">
              <w:rPr>
                <w:rFonts w:eastAsiaTheme="minorEastAsia" w:cs="Calibri"/>
                <w:color w:val="000000"/>
                <w:szCs w:val="16"/>
                <w:lang w:eastAsia="en-AU"/>
              </w:rPr>
              <w:t>15 452</w:t>
            </w:r>
          </w:p>
        </w:tc>
        <w:tc>
          <w:tcPr>
            <w:tcW w:w="828"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023820">
              <w:rPr>
                <w:rFonts w:eastAsiaTheme="minorEastAsia" w:cs="Calibri"/>
                <w:color w:val="000000"/>
                <w:szCs w:val="16"/>
                <w:lang w:eastAsia="en-AU"/>
              </w:rPr>
              <w:t>15 432</w:t>
            </w:r>
          </w:p>
        </w:tc>
        <w:tc>
          <w:tcPr>
            <w:tcW w:w="828"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023820">
              <w:rPr>
                <w:rFonts w:eastAsiaTheme="minorEastAsia" w:cs="Calibri"/>
                <w:color w:val="000000"/>
                <w:szCs w:val="16"/>
                <w:lang w:eastAsia="en-AU"/>
              </w:rPr>
              <w:t>16 974</w:t>
            </w:r>
          </w:p>
        </w:tc>
        <w:tc>
          <w:tcPr>
            <w:tcW w:w="828"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023820">
              <w:rPr>
                <w:rFonts w:eastAsiaTheme="minorEastAsia" w:cs="Calibri"/>
                <w:color w:val="000000"/>
                <w:szCs w:val="16"/>
                <w:lang w:eastAsia="en-AU"/>
              </w:rPr>
              <w:t>16 477</w:t>
            </w:r>
          </w:p>
        </w:tc>
        <w:tc>
          <w:tcPr>
            <w:tcW w:w="828"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023820">
              <w:rPr>
                <w:rFonts w:eastAsiaTheme="minorEastAsia" w:cs="Calibri"/>
                <w:color w:val="000000"/>
                <w:szCs w:val="16"/>
                <w:lang w:eastAsia="en-AU"/>
              </w:rPr>
              <w:t>15 669</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3640" w:type="dxa"/>
            <w:tcBorders>
              <w:top w:val="nil"/>
              <w:left w:val="nil"/>
              <w:bottom w:val="nil"/>
              <w:right w:val="nil"/>
            </w:tcBorders>
          </w:tcPr>
          <w:p w:rsidR="00A46DCA" w:rsidRPr="00023820" w:rsidRDefault="00A46DCA" w:rsidP="00A26D04">
            <w:pPr>
              <w:keepLines w:val="0"/>
              <w:autoSpaceDE w:val="0"/>
              <w:autoSpaceDN w:val="0"/>
              <w:adjustRightInd w:val="0"/>
              <w:rPr>
                <w:rFonts w:eastAsiaTheme="minorEastAsia" w:cs="Calibri"/>
                <w:color w:val="000000"/>
                <w:szCs w:val="16"/>
                <w:lang w:eastAsia="en-AU"/>
              </w:rPr>
            </w:pPr>
            <w:r w:rsidRPr="00023820">
              <w:rPr>
                <w:rFonts w:eastAsiaTheme="minorEastAsia" w:cs="Calibri"/>
                <w:color w:val="000000"/>
                <w:szCs w:val="16"/>
                <w:lang w:eastAsia="en-AU"/>
              </w:rPr>
              <w:t>Borrowings</w:t>
            </w:r>
          </w:p>
        </w:tc>
        <w:tc>
          <w:tcPr>
            <w:tcW w:w="828"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023820">
              <w:rPr>
                <w:rFonts w:eastAsiaTheme="minorEastAsia" w:cs="Calibri"/>
                <w:color w:val="000000"/>
                <w:szCs w:val="16"/>
                <w:lang w:eastAsia="en-AU"/>
              </w:rPr>
              <w:t>46 989</w:t>
            </w:r>
          </w:p>
        </w:tc>
        <w:tc>
          <w:tcPr>
            <w:tcW w:w="828"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023820">
              <w:rPr>
                <w:rFonts w:eastAsiaTheme="minorEastAsia" w:cs="Calibri"/>
                <w:color w:val="000000"/>
                <w:szCs w:val="16"/>
                <w:lang w:eastAsia="en-AU"/>
              </w:rPr>
              <w:t>46 381</w:t>
            </w:r>
          </w:p>
        </w:tc>
        <w:tc>
          <w:tcPr>
            <w:tcW w:w="828"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023820">
              <w:rPr>
                <w:rFonts w:eastAsiaTheme="minorEastAsia" w:cs="Calibri"/>
                <w:color w:val="000000"/>
                <w:szCs w:val="16"/>
                <w:lang w:eastAsia="en-AU"/>
              </w:rPr>
              <w:t>49 602</w:t>
            </w:r>
          </w:p>
        </w:tc>
        <w:tc>
          <w:tcPr>
            <w:tcW w:w="828"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023820">
              <w:rPr>
                <w:rFonts w:eastAsiaTheme="minorEastAsia" w:cs="Calibri"/>
                <w:color w:val="000000"/>
                <w:szCs w:val="16"/>
                <w:lang w:eastAsia="en-AU"/>
              </w:rPr>
              <w:t>53 328</w:t>
            </w:r>
          </w:p>
        </w:tc>
        <w:tc>
          <w:tcPr>
            <w:tcW w:w="828"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023820">
              <w:rPr>
                <w:rFonts w:eastAsiaTheme="minorEastAsia" w:cs="Calibri"/>
                <w:color w:val="000000"/>
                <w:szCs w:val="16"/>
                <w:lang w:eastAsia="en-AU"/>
              </w:rPr>
              <w:t>56 099</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3640" w:type="dxa"/>
            <w:tcBorders>
              <w:top w:val="nil"/>
              <w:left w:val="nil"/>
              <w:bottom w:val="nil"/>
              <w:right w:val="nil"/>
            </w:tcBorders>
          </w:tcPr>
          <w:p w:rsidR="00A46DCA" w:rsidRPr="00023820" w:rsidRDefault="00A46DCA" w:rsidP="00A26D04">
            <w:pPr>
              <w:keepLines w:val="0"/>
              <w:autoSpaceDE w:val="0"/>
              <w:autoSpaceDN w:val="0"/>
              <w:adjustRightInd w:val="0"/>
              <w:rPr>
                <w:rFonts w:eastAsiaTheme="minorEastAsia" w:cs="Calibri"/>
                <w:color w:val="000000"/>
                <w:szCs w:val="16"/>
                <w:lang w:eastAsia="en-AU"/>
              </w:rPr>
            </w:pPr>
            <w:r w:rsidRPr="00023820">
              <w:rPr>
                <w:rFonts w:eastAsiaTheme="minorEastAsia" w:cs="Calibri"/>
                <w:color w:val="000000"/>
                <w:szCs w:val="16"/>
                <w:lang w:eastAsia="en-AU"/>
              </w:rPr>
              <w:t>Employee benefits</w:t>
            </w:r>
          </w:p>
        </w:tc>
        <w:tc>
          <w:tcPr>
            <w:tcW w:w="828"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023820">
              <w:rPr>
                <w:rFonts w:eastAsiaTheme="minorEastAsia" w:cs="Calibri"/>
                <w:color w:val="000000"/>
                <w:szCs w:val="16"/>
                <w:lang w:eastAsia="en-AU"/>
              </w:rPr>
              <w:t>7 178</w:t>
            </w:r>
          </w:p>
        </w:tc>
        <w:tc>
          <w:tcPr>
            <w:tcW w:w="828"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023820">
              <w:rPr>
                <w:rFonts w:eastAsiaTheme="minorEastAsia" w:cs="Calibri"/>
                <w:color w:val="000000"/>
                <w:szCs w:val="16"/>
                <w:lang w:eastAsia="en-AU"/>
              </w:rPr>
              <w:t>7 202</w:t>
            </w:r>
          </w:p>
        </w:tc>
        <w:tc>
          <w:tcPr>
            <w:tcW w:w="828"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023820">
              <w:rPr>
                <w:rFonts w:eastAsiaTheme="minorEastAsia" w:cs="Calibri"/>
                <w:color w:val="000000"/>
                <w:szCs w:val="16"/>
                <w:lang w:eastAsia="en-AU"/>
              </w:rPr>
              <w:t>7 500</w:t>
            </w:r>
          </w:p>
        </w:tc>
        <w:tc>
          <w:tcPr>
            <w:tcW w:w="828"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023820">
              <w:rPr>
                <w:rFonts w:eastAsiaTheme="minorEastAsia" w:cs="Calibri"/>
                <w:color w:val="000000"/>
                <w:szCs w:val="16"/>
                <w:lang w:eastAsia="en-AU"/>
              </w:rPr>
              <w:t>7 761</w:t>
            </w:r>
          </w:p>
        </w:tc>
        <w:tc>
          <w:tcPr>
            <w:tcW w:w="828"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023820">
              <w:rPr>
                <w:rFonts w:eastAsiaTheme="minorEastAsia" w:cs="Calibri"/>
                <w:color w:val="000000"/>
                <w:szCs w:val="16"/>
                <w:lang w:eastAsia="en-AU"/>
              </w:rPr>
              <w:t>8 048</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3640" w:type="dxa"/>
            <w:tcBorders>
              <w:top w:val="nil"/>
              <w:left w:val="nil"/>
              <w:bottom w:val="nil"/>
              <w:right w:val="nil"/>
            </w:tcBorders>
          </w:tcPr>
          <w:p w:rsidR="00A46DCA" w:rsidRPr="00023820" w:rsidRDefault="00A46DCA" w:rsidP="00A26D04">
            <w:pPr>
              <w:keepLines w:val="0"/>
              <w:autoSpaceDE w:val="0"/>
              <w:autoSpaceDN w:val="0"/>
              <w:adjustRightInd w:val="0"/>
              <w:rPr>
                <w:rFonts w:eastAsiaTheme="minorEastAsia" w:cs="Calibri"/>
                <w:color w:val="000000"/>
                <w:szCs w:val="16"/>
                <w:lang w:eastAsia="en-AU"/>
              </w:rPr>
            </w:pPr>
            <w:r w:rsidRPr="00023820">
              <w:rPr>
                <w:rFonts w:eastAsiaTheme="minorEastAsia" w:cs="Calibri"/>
                <w:color w:val="000000"/>
                <w:szCs w:val="16"/>
                <w:lang w:eastAsia="en-AU"/>
              </w:rPr>
              <w:t>Superannuation</w:t>
            </w:r>
          </w:p>
        </w:tc>
        <w:tc>
          <w:tcPr>
            <w:tcW w:w="828"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023820">
              <w:rPr>
                <w:rFonts w:eastAsiaTheme="minorEastAsia" w:cs="Calibri"/>
                <w:color w:val="000000"/>
                <w:szCs w:val="16"/>
                <w:lang w:eastAsia="en-AU"/>
              </w:rPr>
              <w:t>24 024</w:t>
            </w:r>
          </w:p>
        </w:tc>
        <w:tc>
          <w:tcPr>
            <w:tcW w:w="828"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023820">
              <w:rPr>
                <w:rFonts w:eastAsiaTheme="minorEastAsia" w:cs="Calibri"/>
                <w:color w:val="000000"/>
                <w:szCs w:val="16"/>
                <w:lang w:eastAsia="en-AU"/>
              </w:rPr>
              <w:t>23 027</w:t>
            </w:r>
          </w:p>
        </w:tc>
        <w:tc>
          <w:tcPr>
            <w:tcW w:w="828"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023820">
              <w:rPr>
                <w:rFonts w:eastAsiaTheme="minorEastAsia" w:cs="Calibri"/>
                <w:color w:val="000000"/>
                <w:szCs w:val="16"/>
                <w:lang w:eastAsia="en-AU"/>
              </w:rPr>
              <w:t>22 095</w:t>
            </w:r>
          </w:p>
        </w:tc>
        <w:tc>
          <w:tcPr>
            <w:tcW w:w="828"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023820">
              <w:rPr>
                <w:rFonts w:eastAsiaTheme="minorEastAsia" w:cs="Calibri"/>
                <w:color w:val="000000"/>
                <w:szCs w:val="16"/>
                <w:lang w:eastAsia="en-AU"/>
              </w:rPr>
              <w:t>21 120</w:t>
            </w:r>
          </w:p>
        </w:tc>
        <w:tc>
          <w:tcPr>
            <w:tcW w:w="828"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023820">
              <w:rPr>
                <w:rFonts w:eastAsiaTheme="minorEastAsia" w:cs="Calibri"/>
                <w:color w:val="000000"/>
                <w:szCs w:val="16"/>
                <w:lang w:eastAsia="en-AU"/>
              </w:rPr>
              <w:t>20 109</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3640" w:type="dxa"/>
            <w:tcBorders>
              <w:top w:val="nil"/>
              <w:left w:val="nil"/>
              <w:bottom w:val="nil"/>
              <w:right w:val="nil"/>
            </w:tcBorders>
          </w:tcPr>
          <w:p w:rsidR="00A46DCA" w:rsidRPr="00023820" w:rsidRDefault="00A46DCA" w:rsidP="00A26D04">
            <w:pPr>
              <w:keepLines w:val="0"/>
              <w:autoSpaceDE w:val="0"/>
              <w:autoSpaceDN w:val="0"/>
              <w:adjustRightInd w:val="0"/>
              <w:rPr>
                <w:rFonts w:eastAsiaTheme="minorEastAsia" w:cs="Calibri"/>
                <w:color w:val="000000"/>
                <w:szCs w:val="16"/>
                <w:lang w:eastAsia="en-AU"/>
              </w:rPr>
            </w:pPr>
            <w:r w:rsidRPr="00023820">
              <w:rPr>
                <w:rFonts w:eastAsiaTheme="minorEastAsia" w:cs="Calibri"/>
                <w:color w:val="000000"/>
                <w:szCs w:val="16"/>
                <w:lang w:eastAsia="en-AU"/>
              </w:rPr>
              <w:t>Other provisions</w:t>
            </w:r>
          </w:p>
        </w:tc>
        <w:tc>
          <w:tcPr>
            <w:tcW w:w="828"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023820">
              <w:rPr>
                <w:rFonts w:eastAsiaTheme="minorEastAsia" w:cs="Calibri"/>
                <w:color w:val="000000"/>
                <w:szCs w:val="16"/>
                <w:lang w:eastAsia="en-AU"/>
              </w:rPr>
              <w:t>1 388</w:t>
            </w:r>
          </w:p>
        </w:tc>
        <w:tc>
          <w:tcPr>
            <w:tcW w:w="828"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023820">
              <w:rPr>
                <w:rFonts w:eastAsiaTheme="minorEastAsia" w:cs="Calibri"/>
                <w:color w:val="000000"/>
                <w:szCs w:val="16"/>
                <w:lang w:eastAsia="en-AU"/>
              </w:rPr>
              <w:t>1 027</w:t>
            </w:r>
          </w:p>
        </w:tc>
        <w:tc>
          <w:tcPr>
            <w:tcW w:w="828"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023820">
              <w:rPr>
                <w:rFonts w:eastAsiaTheme="minorEastAsia" w:cs="Calibri"/>
                <w:color w:val="000000"/>
                <w:szCs w:val="16"/>
                <w:lang w:eastAsia="en-AU"/>
              </w:rPr>
              <w:t>1 015</w:t>
            </w:r>
          </w:p>
        </w:tc>
        <w:tc>
          <w:tcPr>
            <w:tcW w:w="828"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023820">
              <w:rPr>
                <w:rFonts w:eastAsiaTheme="minorEastAsia" w:cs="Calibri"/>
                <w:color w:val="000000"/>
                <w:szCs w:val="16"/>
                <w:lang w:eastAsia="en-AU"/>
              </w:rPr>
              <w:t>1 326</w:t>
            </w:r>
          </w:p>
        </w:tc>
        <w:tc>
          <w:tcPr>
            <w:tcW w:w="828"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023820">
              <w:rPr>
                <w:rFonts w:eastAsiaTheme="minorEastAsia" w:cs="Calibri"/>
                <w:color w:val="000000"/>
                <w:szCs w:val="16"/>
                <w:lang w:eastAsia="en-AU"/>
              </w:rPr>
              <w:t>1 298</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3640" w:type="dxa"/>
            <w:tcBorders>
              <w:top w:val="single" w:sz="6" w:space="0" w:color="000000"/>
              <w:left w:val="nil"/>
              <w:bottom w:val="nil"/>
              <w:right w:val="nil"/>
            </w:tcBorders>
          </w:tcPr>
          <w:p w:rsidR="00A46DCA" w:rsidRPr="00023820" w:rsidRDefault="00A46DCA" w:rsidP="00A26D04">
            <w:pPr>
              <w:keepLines w:val="0"/>
              <w:autoSpaceDE w:val="0"/>
              <w:autoSpaceDN w:val="0"/>
              <w:adjustRightInd w:val="0"/>
              <w:rPr>
                <w:rFonts w:eastAsiaTheme="minorEastAsia" w:cs="Calibri"/>
                <w:b/>
                <w:bCs/>
                <w:color w:val="000000"/>
                <w:szCs w:val="16"/>
                <w:lang w:eastAsia="en-AU"/>
              </w:rPr>
            </w:pPr>
            <w:r w:rsidRPr="00023820">
              <w:rPr>
                <w:rFonts w:eastAsiaTheme="minorEastAsia" w:cs="Calibri"/>
                <w:b/>
                <w:bCs/>
                <w:color w:val="000000"/>
                <w:szCs w:val="16"/>
                <w:lang w:eastAsia="en-AU"/>
              </w:rPr>
              <w:t>Total liabilities</w:t>
            </w:r>
          </w:p>
        </w:tc>
        <w:tc>
          <w:tcPr>
            <w:tcW w:w="828" w:type="dxa"/>
            <w:tcBorders>
              <w:top w:val="single" w:sz="6" w:space="0" w:color="000000"/>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023820">
              <w:rPr>
                <w:rFonts w:eastAsiaTheme="minorEastAsia" w:cs="Calibri"/>
                <w:b/>
                <w:bCs/>
                <w:color w:val="000000"/>
                <w:szCs w:val="16"/>
                <w:lang w:eastAsia="en-AU"/>
              </w:rPr>
              <w:t>96 029</w:t>
            </w:r>
          </w:p>
        </w:tc>
        <w:tc>
          <w:tcPr>
            <w:tcW w:w="828" w:type="dxa"/>
            <w:tcBorders>
              <w:top w:val="single" w:sz="6" w:space="0" w:color="000000"/>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023820">
              <w:rPr>
                <w:rFonts w:eastAsiaTheme="minorEastAsia" w:cs="Calibri"/>
                <w:b/>
                <w:bCs/>
                <w:color w:val="000000"/>
                <w:szCs w:val="16"/>
                <w:lang w:eastAsia="en-AU"/>
              </w:rPr>
              <w:t>94 010</w:t>
            </w:r>
          </w:p>
        </w:tc>
        <w:tc>
          <w:tcPr>
            <w:tcW w:w="828" w:type="dxa"/>
            <w:tcBorders>
              <w:top w:val="single" w:sz="6" w:space="0" w:color="000000"/>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023820">
              <w:rPr>
                <w:rFonts w:eastAsiaTheme="minorEastAsia" w:cs="Calibri"/>
                <w:b/>
                <w:bCs/>
                <w:color w:val="000000"/>
                <w:szCs w:val="16"/>
                <w:lang w:eastAsia="en-AU"/>
              </w:rPr>
              <w:t>98 124</w:t>
            </w:r>
          </w:p>
        </w:tc>
        <w:tc>
          <w:tcPr>
            <w:tcW w:w="828" w:type="dxa"/>
            <w:tcBorders>
              <w:top w:val="single" w:sz="6" w:space="0" w:color="000000"/>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023820">
              <w:rPr>
                <w:rFonts w:eastAsiaTheme="minorEastAsia" w:cs="Calibri"/>
                <w:b/>
                <w:bCs/>
                <w:color w:val="000000"/>
                <w:szCs w:val="16"/>
                <w:lang w:eastAsia="en-AU"/>
              </w:rPr>
              <w:t>100 951</w:t>
            </w:r>
          </w:p>
        </w:tc>
        <w:tc>
          <w:tcPr>
            <w:tcW w:w="828" w:type="dxa"/>
            <w:tcBorders>
              <w:top w:val="single" w:sz="6" w:space="0" w:color="000000"/>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023820">
              <w:rPr>
                <w:rFonts w:eastAsiaTheme="minorEastAsia" w:cs="Calibri"/>
                <w:b/>
                <w:bCs/>
                <w:color w:val="000000"/>
                <w:szCs w:val="16"/>
                <w:lang w:eastAsia="en-AU"/>
              </w:rPr>
              <w:t>102 161</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3640" w:type="dxa"/>
            <w:tcBorders>
              <w:top w:val="single" w:sz="6" w:space="0" w:color="000000"/>
              <w:left w:val="nil"/>
              <w:bottom w:val="single" w:sz="12" w:space="0" w:color="000000"/>
              <w:right w:val="nil"/>
            </w:tcBorders>
          </w:tcPr>
          <w:p w:rsidR="00A46DCA" w:rsidRPr="00023820" w:rsidRDefault="00A46DCA" w:rsidP="00A26D04">
            <w:pPr>
              <w:keepLines w:val="0"/>
              <w:autoSpaceDE w:val="0"/>
              <w:autoSpaceDN w:val="0"/>
              <w:adjustRightInd w:val="0"/>
              <w:rPr>
                <w:rFonts w:eastAsiaTheme="minorEastAsia" w:cs="Calibri"/>
                <w:b/>
                <w:bCs/>
                <w:color w:val="000000"/>
                <w:szCs w:val="16"/>
                <w:lang w:eastAsia="en-AU"/>
              </w:rPr>
            </w:pPr>
            <w:r w:rsidRPr="00023820">
              <w:rPr>
                <w:rFonts w:eastAsiaTheme="minorEastAsia" w:cs="Calibri"/>
                <w:b/>
                <w:bCs/>
                <w:color w:val="000000"/>
                <w:szCs w:val="16"/>
                <w:lang w:eastAsia="en-AU"/>
              </w:rPr>
              <w:t>Net assets</w:t>
            </w:r>
          </w:p>
        </w:tc>
        <w:tc>
          <w:tcPr>
            <w:tcW w:w="828" w:type="dxa"/>
            <w:tcBorders>
              <w:top w:val="single" w:sz="6" w:space="0" w:color="000000"/>
              <w:left w:val="nil"/>
              <w:bottom w:val="single" w:sz="12" w:space="0" w:color="000000"/>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023820">
              <w:rPr>
                <w:rFonts w:eastAsiaTheme="minorEastAsia" w:cs="Calibri"/>
                <w:b/>
                <w:bCs/>
                <w:color w:val="000000"/>
                <w:szCs w:val="16"/>
                <w:lang w:eastAsia="en-AU"/>
              </w:rPr>
              <w:t>180 272</w:t>
            </w:r>
          </w:p>
        </w:tc>
        <w:tc>
          <w:tcPr>
            <w:tcW w:w="828" w:type="dxa"/>
            <w:tcBorders>
              <w:top w:val="single" w:sz="6" w:space="0" w:color="000000"/>
              <w:left w:val="nil"/>
              <w:bottom w:val="single" w:sz="12" w:space="0" w:color="000000"/>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023820">
              <w:rPr>
                <w:rFonts w:eastAsiaTheme="minorEastAsia" w:cs="Calibri"/>
                <w:b/>
                <w:bCs/>
                <w:color w:val="000000"/>
                <w:szCs w:val="16"/>
                <w:lang w:eastAsia="en-AU"/>
              </w:rPr>
              <w:t>182 220</w:t>
            </w:r>
          </w:p>
        </w:tc>
        <w:tc>
          <w:tcPr>
            <w:tcW w:w="828" w:type="dxa"/>
            <w:tcBorders>
              <w:top w:val="single" w:sz="6" w:space="0" w:color="000000"/>
              <w:left w:val="nil"/>
              <w:bottom w:val="single" w:sz="12" w:space="0" w:color="000000"/>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023820">
              <w:rPr>
                <w:rFonts w:eastAsiaTheme="minorEastAsia" w:cs="Calibri"/>
                <w:b/>
                <w:bCs/>
                <w:color w:val="000000"/>
                <w:szCs w:val="16"/>
                <w:lang w:eastAsia="en-AU"/>
              </w:rPr>
              <w:t>186 373</w:t>
            </w:r>
          </w:p>
        </w:tc>
        <w:tc>
          <w:tcPr>
            <w:tcW w:w="828" w:type="dxa"/>
            <w:tcBorders>
              <w:top w:val="single" w:sz="6" w:space="0" w:color="000000"/>
              <w:left w:val="nil"/>
              <w:bottom w:val="single" w:sz="12" w:space="0" w:color="000000"/>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023820">
              <w:rPr>
                <w:rFonts w:eastAsiaTheme="minorEastAsia" w:cs="Calibri"/>
                <w:b/>
                <w:bCs/>
                <w:color w:val="000000"/>
                <w:szCs w:val="16"/>
                <w:lang w:eastAsia="en-AU"/>
              </w:rPr>
              <w:t>198 188</w:t>
            </w:r>
          </w:p>
        </w:tc>
        <w:tc>
          <w:tcPr>
            <w:tcW w:w="828" w:type="dxa"/>
            <w:tcBorders>
              <w:top w:val="single" w:sz="6" w:space="0" w:color="000000"/>
              <w:left w:val="nil"/>
              <w:bottom w:val="single" w:sz="12" w:space="0" w:color="000000"/>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023820">
              <w:rPr>
                <w:rFonts w:eastAsiaTheme="minorEastAsia" w:cs="Calibri"/>
                <w:b/>
                <w:bCs/>
                <w:color w:val="000000"/>
                <w:szCs w:val="16"/>
                <w:lang w:eastAsia="en-AU"/>
              </w:rPr>
              <w:t>203 719</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3640" w:type="dxa"/>
            <w:tcBorders>
              <w:top w:val="nil"/>
              <w:left w:val="nil"/>
              <w:bottom w:val="nil"/>
              <w:right w:val="nil"/>
            </w:tcBorders>
          </w:tcPr>
          <w:p w:rsidR="00A46DCA" w:rsidRPr="00023820" w:rsidRDefault="00A46DCA" w:rsidP="00A26D04">
            <w:pPr>
              <w:keepLines w:val="0"/>
              <w:autoSpaceDE w:val="0"/>
              <w:autoSpaceDN w:val="0"/>
              <w:adjustRightInd w:val="0"/>
              <w:rPr>
                <w:rFonts w:eastAsiaTheme="minorEastAsia" w:cs="Calibri"/>
                <w:color w:val="000000"/>
                <w:szCs w:val="16"/>
                <w:lang w:eastAsia="en-AU"/>
              </w:rPr>
            </w:pPr>
            <w:r w:rsidRPr="00023820">
              <w:rPr>
                <w:rFonts w:eastAsiaTheme="minorEastAsia" w:cs="Calibri"/>
                <w:color w:val="000000"/>
                <w:szCs w:val="16"/>
                <w:lang w:eastAsia="en-AU"/>
              </w:rPr>
              <w:t>Accumulated surplus/(deficit)</w:t>
            </w:r>
          </w:p>
        </w:tc>
        <w:tc>
          <w:tcPr>
            <w:tcW w:w="828"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023820">
              <w:rPr>
                <w:rFonts w:eastAsiaTheme="minorEastAsia" w:cs="Calibri"/>
                <w:color w:val="000000"/>
                <w:szCs w:val="16"/>
                <w:lang w:eastAsia="en-AU"/>
              </w:rPr>
              <w:t>76 010</w:t>
            </w:r>
          </w:p>
        </w:tc>
        <w:tc>
          <w:tcPr>
            <w:tcW w:w="828"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023820">
              <w:rPr>
                <w:rFonts w:eastAsiaTheme="minorEastAsia" w:cs="Calibri"/>
                <w:color w:val="000000"/>
                <w:szCs w:val="16"/>
                <w:lang w:eastAsia="en-AU"/>
              </w:rPr>
              <w:t>77 740</w:t>
            </w:r>
          </w:p>
        </w:tc>
        <w:tc>
          <w:tcPr>
            <w:tcW w:w="828"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023820">
              <w:rPr>
                <w:rFonts w:eastAsiaTheme="minorEastAsia" w:cs="Calibri"/>
                <w:color w:val="000000"/>
                <w:szCs w:val="16"/>
                <w:lang w:eastAsia="en-AU"/>
              </w:rPr>
              <w:t>80 009</w:t>
            </w:r>
          </w:p>
        </w:tc>
        <w:tc>
          <w:tcPr>
            <w:tcW w:w="828"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023820">
              <w:rPr>
                <w:rFonts w:eastAsiaTheme="minorEastAsia" w:cs="Calibri"/>
                <w:color w:val="000000"/>
                <w:szCs w:val="16"/>
                <w:lang w:eastAsia="en-AU"/>
              </w:rPr>
              <w:t>82 152</w:t>
            </w:r>
          </w:p>
        </w:tc>
        <w:tc>
          <w:tcPr>
            <w:tcW w:w="828"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023820">
              <w:rPr>
                <w:rFonts w:eastAsiaTheme="minorEastAsia" w:cs="Calibri"/>
                <w:color w:val="000000"/>
                <w:szCs w:val="16"/>
                <w:lang w:eastAsia="en-AU"/>
              </w:rPr>
              <w:t>84 469</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3640" w:type="dxa"/>
            <w:tcBorders>
              <w:top w:val="nil"/>
              <w:left w:val="nil"/>
              <w:bottom w:val="nil"/>
              <w:right w:val="nil"/>
            </w:tcBorders>
          </w:tcPr>
          <w:p w:rsidR="00A46DCA" w:rsidRPr="00023820" w:rsidRDefault="00A46DCA" w:rsidP="00A26D04">
            <w:pPr>
              <w:keepLines w:val="0"/>
              <w:autoSpaceDE w:val="0"/>
              <w:autoSpaceDN w:val="0"/>
              <w:adjustRightInd w:val="0"/>
              <w:rPr>
                <w:rFonts w:eastAsiaTheme="minorEastAsia" w:cs="Calibri"/>
                <w:color w:val="000000"/>
                <w:szCs w:val="16"/>
                <w:lang w:eastAsia="en-AU"/>
              </w:rPr>
            </w:pPr>
            <w:r w:rsidRPr="00023820">
              <w:rPr>
                <w:rFonts w:eastAsiaTheme="minorEastAsia" w:cs="Calibri"/>
                <w:color w:val="000000"/>
                <w:szCs w:val="16"/>
                <w:lang w:eastAsia="en-AU"/>
              </w:rPr>
              <w:t>Reserves</w:t>
            </w:r>
          </w:p>
        </w:tc>
        <w:tc>
          <w:tcPr>
            <w:tcW w:w="828"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023820">
              <w:rPr>
                <w:rFonts w:eastAsiaTheme="minorEastAsia" w:cs="Calibri"/>
                <w:color w:val="000000"/>
                <w:szCs w:val="16"/>
                <w:lang w:eastAsia="en-AU"/>
              </w:rPr>
              <w:t>104 262</w:t>
            </w:r>
          </w:p>
        </w:tc>
        <w:tc>
          <w:tcPr>
            <w:tcW w:w="828"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023820">
              <w:rPr>
                <w:rFonts w:eastAsiaTheme="minorEastAsia" w:cs="Calibri"/>
                <w:color w:val="000000"/>
                <w:szCs w:val="16"/>
                <w:lang w:eastAsia="en-AU"/>
              </w:rPr>
              <w:t>104 480</w:t>
            </w:r>
          </w:p>
        </w:tc>
        <w:tc>
          <w:tcPr>
            <w:tcW w:w="828"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023820">
              <w:rPr>
                <w:rFonts w:eastAsiaTheme="minorEastAsia" w:cs="Calibri"/>
                <w:color w:val="000000"/>
                <w:szCs w:val="16"/>
                <w:lang w:eastAsia="en-AU"/>
              </w:rPr>
              <w:t>106 364</w:t>
            </w:r>
          </w:p>
        </w:tc>
        <w:tc>
          <w:tcPr>
            <w:tcW w:w="828"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023820">
              <w:rPr>
                <w:rFonts w:eastAsiaTheme="minorEastAsia" w:cs="Calibri"/>
                <w:color w:val="000000"/>
                <w:szCs w:val="16"/>
                <w:lang w:eastAsia="en-AU"/>
              </w:rPr>
              <w:t>116 036</w:t>
            </w:r>
          </w:p>
        </w:tc>
        <w:tc>
          <w:tcPr>
            <w:tcW w:w="828"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023820">
              <w:rPr>
                <w:rFonts w:eastAsiaTheme="minorEastAsia" w:cs="Calibri"/>
                <w:color w:val="000000"/>
                <w:szCs w:val="16"/>
                <w:lang w:eastAsia="en-AU"/>
              </w:rPr>
              <w:t>119 250</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3640" w:type="dxa"/>
            <w:tcBorders>
              <w:top w:val="single" w:sz="6" w:space="0" w:color="000000"/>
              <w:left w:val="nil"/>
              <w:bottom w:val="single" w:sz="12" w:space="0" w:color="000000"/>
              <w:right w:val="nil"/>
            </w:tcBorders>
          </w:tcPr>
          <w:p w:rsidR="00A46DCA" w:rsidRPr="00023820" w:rsidRDefault="00A46DCA" w:rsidP="00A26D04">
            <w:pPr>
              <w:keepLines w:val="0"/>
              <w:autoSpaceDE w:val="0"/>
              <w:autoSpaceDN w:val="0"/>
              <w:adjustRightInd w:val="0"/>
              <w:rPr>
                <w:rFonts w:eastAsiaTheme="minorEastAsia" w:cs="Calibri"/>
                <w:b/>
                <w:bCs/>
                <w:color w:val="000000"/>
                <w:szCs w:val="16"/>
                <w:lang w:eastAsia="en-AU"/>
              </w:rPr>
            </w:pPr>
            <w:r w:rsidRPr="00023820">
              <w:rPr>
                <w:rFonts w:eastAsiaTheme="minorEastAsia" w:cs="Calibri"/>
                <w:b/>
                <w:bCs/>
                <w:color w:val="000000"/>
                <w:szCs w:val="16"/>
                <w:lang w:eastAsia="en-AU"/>
              </w:rPr>
              <w:t>Net worth</w:t>
            </w:r>
          </w:p>
        </w:tc>
        <w:tc>
          <w:tcPr>
            <w:tcW w:w="828" w:type="dxa"/>
            <w:tcBorders>
              <w:top w:val="single" w:sz="6" w:space="0" w:color="000000"/>
              <w:left w:val="nil"/>
              <w:bottom w:val="single" w:sz="12" w:space="0" w:color="000000"/>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023820">
              <w:rPr>
                <w:rFonts w:eastAsiaTheme="minorEastAsia" w:cs="Calibri"/>
                <w:b/>
                <w:bCs/>
                <w:color w:val="000000"/>
                <w:szCs w:val="16"/>
                <w:lang w:eastAsia="en-AU"/>
              </w:rPr>
              <w:t>180 272</w:t>
            </w:r>
          </w:p>
        </w:tc>
        <w:tc>
          <w:tcPr>
            <w:tcW w:w="828" w:type="dxa"/>
            <w:tcBorders>
              <w:top w:val="single" w:sz="6" w:space="0" w:color="000000"/>
              <w:left w:val="nil"/>
              <w:bottom w:val="single" w:sz="12" w:space="0" w:color="000000"/>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023820">
              <w:rPr>
                <w:rFonts w:eastAsiaTheme="minorEastAsia" w:cs="Calibri"/>
                <w:b/>
                <w:bCs/>
                <w:color w:val="000000"/>
                <w:szCs w:val="16"/>
                <w:lang w:eastAsia="en-AU"/>
              </w:rPr>
              <w:t>182 220</w:t>
            </w:r>
          </w:p>
        </w:tc>
        <w:tc>
          <w:tcPr>
            <w:tcW w:w="828" w:type="dxa"/>
            <w:tcBorders>
              <w:top w:val="single" w:sz="6" w:space="0" w:color="000000"/>
              <w:left w:val="nil"/>
              <w:bottom w:val="single" w:sz="12" w:space="0" w:color="000000"/>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023820">
              <w:rPr>
                <w:rFonts w:eastAsiaTheme="minorEastAsia" w:cs="Calibri"/>
                <w:b/>
                <w:bCs/>
                <w:color w:val="000000"/>
                <w:szCs w:val="16"/>
                <w:lang w:eastAsia="en-AU"/>
              </w:rPr>
              <w:t>186 373</w:t>
            </w:r>
          </w:p>
        </w:tc>
        <w:tc>
          <w:tcPr>
            <w:tcW w:w="828" w:type="dxa"/>
            <w:tcBorders>
              <w:top w:val="single" w:sz="6" w:space="0" w:color="000000"/>
              <w:left w:val="nil"/>
              <w:bottom w:val="single" w:sz="12" w:space="0" w:color="000000"/>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023820">
              <w:rPr>
                <w:rFonts w:eastAsiaTheme="minorEastAsia" w:cs="Calibri"/>
                <w:b/>
                <w:bCs/>
                <w:color w:val="000000"/>
                <w:szCs w:val="16"/>
                <w:lang w:eastAsia="en-AU"/>
              </w:rPr>
              <w:t>198 188</w:t>
            </w:r>
          </w:p>
        </w:tc>
        <w:tc>
          <w:tcPr>
            <w:tcW w:w="828" w:type="dxa"/>
            <w:tcBorders>
              <w:top w:val="single" w:sz="6" w:space="0" w:color="000000"/>
              <w:left w:val="nil"/>
              <w:bottom w:val="single" w:sz="12" w:space="0" w:color="000000"/>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023820">
              <w:rPr>
                <w:rFonts w:eastAsiaTheme="minorEastAsia" w:cs="Calibri"/>
                <w:b/>
                <w:bCs/>
                <w:color w:val="000000"/>
                <w:szCs w:val="16"/>
                <w:lang w:eastAsia="en-AU"/>
              </w:rPr>
              <w:t>203 719</w:t>
            </w:r>
          </w:p>
        </w:tc>
      </w:tr>
      <w:tr w:rsidR="00A46DCA" w:rsidRPr="00023820" w:rsidTr="00A26D04">
        <w:trPr>
          <w:trHeight w:hRule="exact" w:val="120"/>
        </w:trPr>
        <w:tc>
          <w:tcPr>
            <w:cnfStyle w:val="001000000000" w:firstRow="0" w:lastRow="0" w:firstColumn="1" w:lastColumn="0" w:oddVBand="0" w:evenVBand="0" w:oddHBand="0" w:evenHBand="0" w:firstRowFirstColumn="0" w:firstRowLastColumn="0" w:lastRowFirstColumn="0" w:lastRowLastColumn="0"/>
            <w:tcW w:w="3640" w:type="dxa"/>
            <w:tcBorders>
              <w:top w:val="nil"/>
              <w:left w:val="nil"/>
              <w:bottom w:val="nil"/>
              <w:right w:val="nil"/>
            </w:tcBorders>
          </w:tcPr>
          <w:p w:rsidR="00A46DCA" w:rsidRPr="00023820" w:rsidRDefault="00A46DCA" w:rsidP="00A26D04">
            <w:pPr>
              <w:keepLines w:val="0"/>
              <w:autoSpaceDE w:val="0"/>
              <w:autoSpaceDN w:val="0"/>
              <w:adjustRightInd w:val="0"/>
              <w:rPr>
                <w:rFonts w:eastAsiaTheme="minorEastAsia" w:cs="Calibri"/>
                <w:color w:val="000000"/>
                <w:lang w:eastAsia="en-AU"/>
              </w:rPr>
            </w:pPr>
            <w:r w:rsidRPr="00023820">
              <w:rPr>
                <w:rFonts w:eastAsiaTheme="minorEastAsia" w:cs="Calibri"/>
                <w:color w:val="000000"/>
                <w:lang w:eastAsia="en-AU"/>
              </w:rPr>
              <w:t xml:space="preserve"> </w:t>
            </w:r>
          </w:p>
        </w:tc>
        <w:tc>
          <w:tcPr>
            <w:tcW w:w="828"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023820">
              <w:rPr>
                <w:rFonts w:eastAsiaTheme="minorEastAsia" w:cs="Calibri"/>
                <w:color w:val="000000"/>
                <w:lang w:eastAsia="en-AU"/>
              </w:rPr>
              <w:t xml:space="preserve"> </w:t>
            </w:r>
          </w:p>
        </w:tc>
        <w:tc>
          <w:tcPr>
            <w:tcW w:w="828"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023820">
              <w:rPr>
                <w:rFonts w:eastAsiaTheme="minorEastAsia" w:cs="Calibri"/>
                <w:color w:val="000000"/>
                <w:lang w:eastAsia="en-AU"/>
              </w:rPr>
              <w:t xml:space="preserve"> </w:t>
            </w:r>
          </w:p>
        </w:tc>
        <w:tc>
          <w:tcPr>
            <w:tcW w:w="828"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023820">
              <w:rPr>
                <w:rFonts w:eastAsiaTheme="minorEastAsia" w:cs="Calibri"/>
                <w:color w:val="000000"/>
                <w:lang w:eastAsia="en-AU"/>
              </w:rPr>
              <w:t xml:space="preserve"> </w:t>
            </w:r>
          </w:p>
        </w:tc>
        <w:tc>
          <w:tcPr>
            <w:tcW w:w="828"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023820">
              <w:rPr>
                <w:rFonts w:eastAsiaTheme="minorEastAsia" w:cs="Calibri"/>
                <w:color w:val="000000"/>
                <w:lang w:eastAsia="en-AU"/>
              </w:rPr>
              <w:t xml:space="preserve"> </w:t>
            </w:r>
          </w:p>
        </w:tc>
        <w:tc>
          <w:tcPr>
            <w:tcW w:w="828"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023820">
              <w:rPr>
                <w:rFonts w:eastAsiaTheme="minorEastAsia" w:cs="Calibri"/>
                <w:color w:val="000000"/>
                <w:lang w:eastAsia="en-AU"/>
              </w:rPr>
              <w:t xml:space="preserve"> </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3640" w:type="dxa"/>
            <w:tcBorders>
              <w:top w:val="nil"/>
              <w:left w:val="nil"/>
              <w:bottom w:val="nil"/>
              <w:right w:val="nil"/>
            </w:tcBorders>
          </w:tcPr>
          <w:p w:rsidR="00A46DCA" w:rsidRPr="00023820" w:rsidRDefault="00A46DCA" w:rsidP="00A26D04">
            <w:pPr>
              <w:keepLines w:val="0"/>
              <w:autoSpaceDE w:val="0"/>
              <w:autoSpaceDN w:val="0"/>
              <w:adjustRightInd w:val="0"/>
              <w:rPr>
                <w:rFonts w:eastAsiaTheme="minorEastAsia" w:cs="Calibri"/>
                <w:b/>
                <w:bCs/>
                <w:color w:val="000000"/>
                <w:szCs w:val="16"/>
                <w:lang w:eastAsia="en-AU"/>
              </w:rPr>
            </w:pPr>
            <w:r w:rsidRPr="00023820">
              <w:rPr>
                <w:rFonts w:eastAsiaTheme="minorEastAsia" w:cs="Calibri"/>
                <w:b/>
                <w:bCs/>
                <w:color w:val="000000"/>
                <w:szCs w:val="16"/>
                <w:lang w:eastAsia="en-AU"/>
              </w:rPr>
              <w:t>FISCAL AGGREGATES</w:t>
            </w:r>
          </w:p>
        </w:tc>
        <w:tc>
          <w:tcPr>
            <w:tcW w:w="828"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023820">
              <w:rPr>
                <w:rFonts w:eastAsiaTheme="minorEastAsia" w:cs="Calibri"/>
                <w:b/>
                <w:bCs/>
                <w:color w:val="000000"/>
                <w:lang w:eastAsia="en-AU"/>
              </w:rPr>
              <w:t xml:space="preserve"> </w:t>
            </w:r>
          </w:p>
        </w:tc>
        <w:tc>
          <w:tcPr>
            <w:tcW w:w="828"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023820">
              <w:rPr>
                <w:rFonts w:eastAsiaTheme="minorEastAsia" w:cs="Calibri"/>
                <w:b/>
                <w:bCs/>
                <w:color w:val="000000"/>
                <w:lang w:eastAsia="en-AU"/>
              </w:rPr>
              <w:t xml:space="preserve"> </w:t>
            </w:r>
          </w:p>
        </w:tc>
        <w:tc>
          <w:tcPr>
            <w:tcW w:w="828"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023820">
              <w:rPr>
                <w:rFonts w:eastAsiaTheme="minorEastAsia" w:cs="Calibri"/>
                <w:b/>
                <w:bCs/>
                <w:color w:val="000000"/>
                <w:lang w:eastAsia="en-AU"/>
              </w:rPr>
              <w:t xml:space="preserve"> </w:t>
            </w:r>
          </w:p>
        </w:tc>
        <w:tc>
          <w:tcPr>
            <w:tcW w:w="828"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023820">
              <w:rPr>
                <w:rFonts w:eastAsiaTheme="minorEastAsia" w:cs="Calibri"/>
                <w:b/>
                <w:bCs/>
                <w:color w:val="000000"/>
                <w:lang w:eastAsia="en-AU"/>
              </w:rPr>
              <w:t xml:space="preserve"> </w:t>
            </w:r>
          </w:p>
        </w:tc>
        <w:tc>
          <w:tcPr>
            <w:tcW w:w="828"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023820">
              <w:rPr>
                <w:rFonts w:eastAsiaTheme="minorEastAsia" w:cs="Calibri"/>
                <w:b/>
                <w:bCs/>
                <w:color w:val="000000"/>
                <w:lang w:eastAsia="en-AU"/>
              </w:rPr>
              <w:t xml:space="preserve"> </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3640" w:type="dxa"/>
            <w:tcBorders>
              <w:top w:val="nil"/>
              <w:left w:val="nil"/>
              <w:bottom w:val="nil"/>
              <w:right w:val="nil"/>
            </w:tcBorders>
          </w:tcPr>
          <w:p w:rsidR="00A46DCA" w:rsidRPr="00023820" w:rsidRDefault="00A46DCA" w:rsidP="00A26D04">
            <w:pPr>
              <w:keepLines w:val="0"/>
              <w:autoSpaceDE w:val="0"/>
              <w:autoSpaceDN w:val="0"/>
              <w:adjustRightInd w:val="0"/>
              <w:rPr>
                <w:rFonts w:eastAsiaTheme="minorEastAsia" w:cs="Calibri"/>
                <w:color w:val="000000"/>
                <w:szCs w:val="16"/>
                <w:lang w:eastAsia="en-AU"/>
              </w:rPr>
            </w:pPr>
            <w:r w:rsidRPr="00023820">
              <w:rPr>
                <w:rFonts w:eastAsiaTheme="minorEastAsia" w:cs="Calibri"/>
                <w:color w:val="000000"/>
                <w:szCs w:val="16"/>
                <w:lang w:eastAsia="en-AU"/>
              </w:rPr>
              <w:t>Net financial worth</w:t>
            </w:r>
          </w:p>
        </w:tc>
        <w:tc>
          <w:tcPr>
            <w:tcW w:w="828"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(72 868)</w:t>
            </w:r>
          </w:p>
        </w:tc>
        <w:tc>
          <w:tcPr>
            <w:tcW w:w="828"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(71 304)</w:t>
            </w:r>
          </w:p>
        </w:tc>
        <w:tc>
          <w:tcPr>
            <w:tcW w:w="828"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(75 348)</w:t>
            </w:r>
          </w:p>
        </w:tc>
        <w:tc>
          <w:tcPr>
            <w:tcW w:w="828"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(77 896)</w:t>
            </w:r>
          </w:p>
        </w:tc>
        <w:tc>
          <w:tcPr>
            <w:tcW w:w="828"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(79 207)</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3640" w:type="dxa"/>
            <w:tcBorders>
              <w:top w:val="nil"/>
              <w:left w:val="nil"/>
              <w:bottom w:val="nil"/>
              <w:right w:val="nil"/>
            </w:tcBorders>
          </w:tcPr>
          <w:p w:rsidR="00A46DCA" w:rsidRPr="00023820" w:rsidRDefault="00A46DCA" w:rsidP="00A26D04">
            <w:pPr>
              <w:keepLines w:val="0"/>
              <w:autoSpaceDE w:val="0"/>
              <w:autoSpaceDN w:val="0"/>
              <w:adjustRightInd w:val="0"/>
              <w:rPr>
                <w:rFonts w:eastAsiaTheme="minorEastAsia" w:cs="Calibri"/>
                <w:color w:val="000000"/>
                <w:szCs w:val="16"/>
                <w:lang w:eastAsia="en-AU"/>
              </w:rPr>
            </w:pPr>
            <w:r w:rsidRPr="00023820">
              <w:rPr>
                <w:rFonts w:eastAsiaTheme="minorEastAsia" w:cs="Calibri"/>
                <w:color w:val="000000"/>
                <w:szCs w:val="16"/>
                <w:lang w:eastAsia="en-AU"/>
              </w:rPr>
              <w:t>Net financial liabilities</w:t>
            </w:r>
          </w:p>
        </w:tc>
        <w:tc>
          <w:tcPr>
            <w:tcW w:w="828"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023820">
              <w:rPr>
                <w:rFonts w:eastAsiaTheme="minorEastAsia" w:cs="Calibri"/>
                <w:color w:val="000000"/>
                <w:szCs w:val="16"/>
                <w:lang w:eastAsia="en-AU"/>
              </w:rPr>
              <w:t>76 058</w:t>
            </w:r>
          </w:p>
        </w:tc>
        <w:tc>
          <w:tcPr>
            <w:tcW w:w="828"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023820">
              <w:rPr>
                <w:rFonts w:eastAsiaTheme="minorEastAsia" w:cs="Calibri"/>
                <w:color w:val="000000"/>
                <w:szCs w:val="16"/>
                <w:lang w:eastAsia="en-AU"/>
              </w:rPr>
              <w:t>74 650</w:t>
            </w:r>
          </w:p>
        </w:tc>
        <w:tc>
          <w:tcPr>
            <w:tcW w:w="828"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023820">
              <w:rPr>
                <w:rFonts w:eastAsiaTheme="minorEastAsia" w:cs="Calibri"/>
                <w:color w:val="000000"/>
                <w:szCs w:val="16"/>
                <w:lang w:eastAsia="en-AU"/>
              </w:rPr>
              <w:t>78 159</w:t>
            </w:r>
          </w:p>
        </w:tc>
        <w:tc>
          <w:tcPr>
            <w:tcW w:w="828"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023820">
              <w:rPr>
                <w:rFonts w:eastAsiaTheme="minorEastAsia" w:cs="Calibri"/>
                <w:color w:val="000000"/>
                <w:szCs w:val="16"/>
                <w:lang w:eastAsia="en-AU"/>
              </w:rPr>
              <w:t>80 284</w:t>
            </w:r>
          </w:p>
        </w:tc>
        <w:tc>
          <w:tcPr>
            <w:tcW w:w="828"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023820">
              <w:rPr>
                <w:rFonts w:eastAsiaTheme="minorEastAsia" w:cs="Calibri"/>
                <w:color w:val="000000"/>
                <w:szCs w:val="16"/>
                <w:lang w:eastAsia="en-AU"/>
              </w:rPr>
              <w:t>80 827</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3640" w:type="dxa"/>
            <w:tcBorders>
              <w:top w:val="nil"/>
              <w:left w:val="nil"/>
              <w:bottom w:val="single" w:sz="12" w:space="0" w:color="000000"/>
              <w:right w:val="nil"/>
            </w:tcBorders>
          </w:tcPr>
          <w:p w:rsidR="00A46DCA" w:rsidRPr="00023820" w:rsidRDefault="00A46DCA" w:rsidP="00A26D04">
            <w:pPr>
              <w:keepLines w:val="0"/>
              <w:autoSpaceDE w:val="0"/>
              <w:autoSpaceDN w:val="0"/>
              <w:adjustRightInd w:val="0"/>
              <w:rPr>
                <w:rFonts w:eastAsiaTheme="minorEastAsia" w:cs="Calibri"/>
                <w:color w:val="000000"/>
                <w:szCs w:val="16"/>
                <w:lang w:eastAsia="en-AU"/>
              </w:rPr>
            </w:pPr>
            <w:r w:rsidRPr="00023820">
              <w:rPr>
                <w:rFonts w:eastAsiaTheme="minorEastAsia" w:cs="Calibri"/>
                <w:color w:val="000000"/>
                <w:szCs w:val="16"/>
                <w:lang w:eastAsia="en-AU"/>
              </w:rPr>
              <w:t>Net debt</w:t>
            </w:r>
          </w:p>
        </w:tc>
        <w:tc>
          <w:tcPr>
            <w:tcW w:w="828" w:type="dxa"/>
            <w:tcBorders>
              <w:top w:val="nil"/>
              <w:left w:val="nil"/>
              <w:bottom w:val="single" w:sz="12" w:space="0" w:color="000000"/>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023820">
              <w:rPr>
                <w:rFonts w:eastAsiaTheme="minorEastAsia" w:cs="Calibri"/>
                <w:color w:val="000000"/>
                <w:szCs w:val="16"/>
                <w:lang w:eastAsia="en-AU"/>
              </w:rPr>
              <w:t>37 049</w:t>
            </w:r>
          </w:p>
        </w:tc>
        <w:tc>
          <w:tcPr>
            <w:tcW w:w="828" w:type="dxa"/>
            <w:tcBorders>
              <w:top w:val="nil"/>
              <w:left w:val="nil"/>
              <w:bottom w:val="single" w:sz="12" w:space="0" w:color="000000"/>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023820">
              <w:rPr>
                <w:rFonts w:eastAsiaTheme="minorEastAsia" w:cs="Calibri"/>
                <w:color w:val="000000"/>
                <w:szCs w:val="16"/>
                <w:lang w:eastAsia="en-AU"/>
              </w:rPr>
              <w:t>37 017</w:t>
            </w:r>
          </w:p>
        </w:tc>
        <w:tc>
          <w:tcPr>
            <w:tcW w:w="828" w:type="dxa"/>
            <w:tcBorders>
              <w:top w:val="nil"/>
              <w:left w:val="nil"/>
              <w:bottom w:val="single" w:sz="12" w:space="0" w:color="000000"/>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023820">
              <w:rPr>
                <w:rFonts w:eastAsiaTheme="minorEastAsia" w:cs="Calibri"/>
                <w:color w:val="000000"/>
                <w:szCs w:val="16"/>
                <w:lang w:eastAsia="en-AU"/>
              </w:rPr>
              <w:t>40 009</w:t>
            </w:r>
          </w:p>
        </w:tc>
        <w:tc>
          <w:tcPr>
            <w:tcW w:w="828" w:type="dxa"/>
            <w:tcBorders>
              <w:top w:val="nil"/>
              <w:left w:val="nil"/>
              <w:bottom w:val="single" w:sz="12" w:space="0" w:color="000000"/>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023820">
              <w:rPr>
                <w:rFonts w:eastAsiaTheme="minorEastAsia" w:cs="Calibri"/>
                <w:color w:val="000000"/>
                <w:szCs w:val="16"/>
                <w:lang w:eastAsia="en-AU"/>
              </w:rPr>
              <w:t>43 382</w:t>
            </w:r>
          </w:p>
        </w:tc>
        <w:tc>
          <w:tcPr>
            <w:tcW w:w="828" w:type="dxa"/>
            <w:tcBorders>
              <w:top w:val="nil"/>
              <w:left w:val="nil"/>
              <w:bottom w:val="single" w:sz="12" w:space="0" w:color="000000"/>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023820">
              <w:rPr>
                <w:rFonts w:eastAsiaTheme="minorEastAsia" w:cs="Calibri"/>
                <w:color w:val="000000"/>
                <w:szCs w:val="16"/>
                <w:lang w:eastAsia="en-AU"/>
              </w:rPr>
              <w:t>45 900</w:t>
            </w:r>
          </w:p>
        </w:tc>
      </w:tr>
    </w:tbl>
    <w:p w:rsidR="00A46DCA" w:rsidRDefault="00A46DCA" w:rsidP="00A26D04">
      <w:pPr>
        <w:pStyle w:val="Source"/>
      </w:pPr>
      <w:r w:rsidRPr="00D87D22">
        <w:t>Source: Dep</w:t>
      </w:r>
      <w:r>
        <w:t>artment of Treasury and Finance</w:t>
      </w:r>
      <w:r w:rsidRPr="00352C54">
        <w:t xml:space="preserve"> </w:t>
      </w:r>
    </w:p>
    <w:p w:rsidR="00A46DCA" w:rsidRDefault="00A46DCA" w:rsidP="00A26D04">
      <w:pPr>
        <w:pStyle w:val="Note"/>
      </w:pPr>
      <w:r>
        <w:t>Note:</w:t>
      </w:r>
    </w:p>
    <w:p w:rsidR="00A46DCA" w:rsidRPr="00926603" w:rsidRDefault="00A46DCA" w:rsidP="00A26D04">
      <w:pPr>
        <w:pStyle w:val="Note"/>
      </w:pPr>
      <w:r w:rsidRPr="00926603">
        <w:t>(a)</w:t>
      </w:r>
      <w:r w:rsidRPr="00926603">
        <w:tab/>
        <w:t>Balances represent actual</w:t>
      </w:r>
      <w:r>
        <w:t xml:space="preserve"> opening balances at 1 July 2017 plus 2017-18</w:t>
      </w:r>
      <w:r w:rsidRPr="00926603">
        <w:t xml:space="preserve"> budgeted movements.</w:t>
      </w:r>
    </w:p>
    <w:p w:rsidR="00A46DCA" w:rsidRDefault="00A46DCA" w:rsidP="00A26D04"/>
    <w:p w:rsidR="00A46DCA" w:rsidRDefault="00A46DCA" w:rsidP="00A26D04">
      <w:pPr>
        <w:pStyle w:val="Heading10"/>
      </w:pPr>
      <w:r>
        <w:br w:type="page"/>
      </w:r>
    </w:p>
    <w:p w:rsidR="00A46DCA" w:rsidRPr="00847D34" w:rsidRDefault="00A46DCA" w:rsidP="00A26D04">
      <w:pPr>
        <w:pStyle w:val="TableHeading"/>
        <w:rPr>
          <w:bCs/>
          <w:lang w:val="en-US"/>
        </w:rPr>
      </w:pPr>
      <w:r>
        <w:lastRenderedPageBreak/>
        <w:t>Table 5.9</w:t>
      </w:r>
      <w:r w:rsidR="008E5E35">
        <w:t>:</w:t>
      </w:r>
      <w:r>
        <w:tab/>
        <w:t xml:space="preserve">Non-financial public sector cash flow statement </w:t>
      </w:r>
      <w:r w:rsidR="006A017C">
        <w:br/>
      </w:r>
      <w:r>
        <w:t xml:space="preserve">for the financial year ended 30 June </w:t>
      </w:r>
      <w:r w:rsidRPr="00320CD5">
        <w:rPr>
          <w:vertAlign w:val="superscript"/>
        </w:rPr>
        <w:t>(a)</w:t>
      </w:r>
      <w:r>
        <w:tab/>
        <w:t>($ million)</w:t>
      </w:r>
    </w:p>
    <w:tbl>
      <w:tblPr>
        <w:tblStyle w:val="DTFTable"/>
        <w:tblW w:w="7765" w:type="dxa"/>
        <w:tblInd w:w="45" w:type="dxa"/>
        <w:tblLayout w:type="fixed"/>
        <w:tblCellMar>
          <w:left w:w="45" w:type="dxa"/>
          <w:right w:w="45" w:type="dxa"/>
        </w:tblCellMar>
        <w:tblLook w:val="06E0" w:firstRow="1" w:lastRow="1" w:firstColumn="1" w:lastColumn="0" w:noHBand="1" w:noVBand="1"/>
      </w:tblPr>
      <w:tblGrid>
        <w:gridCol w:w="3515"/>
        <w:gridCol w:w="850"/>
        <w:gridCol w:w="850"/>
        <w:gridCol w:w="850"/>
        <w:gridCol w:w="850"/>
        <w:gridCol w:w="850"/>
      </w:tblGrid>
      <w:tr w:rsidR="00A26D04" w:rsidRPr="00847D34" w:rsidTr="008E5E35">
        <w:trPr>
          <w:cnfStyle w:val="100000000000" w:firstRow="1" w:lastRow="0" w:firstColumn="0" w:lastColumn="0" w:oddVBand="0" w:evenVBand="0" w:oddHBand="0" w:evenHBand="0" w:firstRowFirstColumn="0" w:firstRowLastColumn="0" w:lastRowFirstColumn="0" w:lastRowLastColumn="0"/>
          <w:trHeight w:val="243"/>
          <w:tblHeader/>
        </w:trPr>
        <w:tc>
          <w:tcPr>
            <w:cnfStyle w:val="001000000000" w:firstRow="0" w:lastRow="0" w:firstColumn="1" w:lastColumn="0" w:oddVBand="0" w:evenVBand="0" w:oddHBand="0" w:evenHBand="0" w:firstRowFirstColumn="0" w:firstRowLastColumn="0" w:lastRowFirstColumn="0" w:lastRowLastColumn="0"/>
            <w:tcW w:w="3515" w:type="dxa"/>
            <w:tcBorders>
              <w:top w:val="nil"/>
              <w:left w:val="nil"/>
              <w:right w:val="nil"/>
            </w:tcBorders>
            <w:shd w:val="solid" w:color="000000" w:fill="auto"/>
          </w:tcPr>
          <w:p w:rsidR="00A26D04" w:rsidRPr="00847D34" w:rsidRDefault="00A26D04" w:rsidP="00A26D04">
            <w:pPr>
              <w:autoSpaceDE w:val="0"/>
              <w:autoSpaceDN w:val="0"/>
              <w:adjustRightInd w:val="0"/>
              <w:spacing w:after="0"/>
              <w:rPr>
                <w:rFonts w:eastAsiaTheme="minorEastAsia" w:cs="Calibri"/>
                <w:iCs/>
                <w:color w:val="FFFFFF"/>
                <w:sz w:val="16"/>
                <w:lang w:eastAsia="en-AU"/>
              </w:rPr>
            </w:pPr>
            <w:r w:rsidRPr="00847D34">
              <w:rPr>
                <w:rFonts w:eastAsiaTheme="minorEastAsia" w:cs="Calibri"/>
                <w:iCs/>
                <w:color w:val="FFFFFF"/>
                <w:sz w:val="16"/>
                <w:lang w:eastAsia="en-AU"/>
              </w:rPr>
              <w:t xml:space="preserve">  </w:t>
            </w:r>
          </w:p>
        </w:tc>
        <w:tc>
          <w:tcPr>
            <w:tcW w:w="850" w:type="dxa"/>
            <w:tcBorders>
              <w:top w:val="nil"/>
              <w:left w:val="nil"/>
              <w:right w:val="nil"/>
            </w:tcBorders>
            <w:shd w:val="solid" w:color="000000" w:fill="auto"/>
          </w:tcPr>
          <w:p w:rsidR="00A26D04" w:rsidRPr="00847D34" w:rsidRDefault="00A26D04" w:rsidP="00A26D04">
            <w:pPr>
              <w:keepLines w:val="0"/>
              <w:autoSpaceDE w:val="0"/>
              <w:autoSpaceDN w:val="0"/>
              <w:adjustRightInd w:val="0"/>
              <w:spacing w:after="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 w:val="16"/>
                <w:szCs w:val="16"/>
                <w:lang w:eastAsia="en-AU"/>
              </w:rPr>
            </w:pPr>
            <w:r w:rsidRPr="00847D34">
              <w:rPr>
                <w:rFonts w:eastAsiaTheme="minorEastAsia" w:cs="Calibri"/>
                <w:iCs/>
                <w:color w:val="FFFFFF"/>
                <w:sz w:val="16"/>
                <w:szCs w:val="16"/>
                <w:lang w:eastAsia="en-AU"/>
              </w:rPr>
              <w:t xml:space="preserve">2017-18 </w:t>
            </w:r>
            <w:r>
              <w:rPr>
                <w:rFonts w:eastAsiaTheme="minorEastAsia" w:cs="Calibri"/>
                <w:iCs/>
                <w:color w:val="FFFFFF"/>
                <w:sz w:val="16"/>
                <w:szCs w:val="16"/>
                <w:lang w:eastAsia="en-AU"/>
              </w:rPr>
              <w:br/>
            </w:r>
            <w:r w:rsidRPr="00847D34">
              <w:rPr>
                <w:rFonts w:eastAsiaTheme="minorEastAsia" w:cs="Calibri"/>
                <w:iCs/>
                <w:color w:val="FFFFFF"/>
                <w:sz w:val="16"/>
                <w:szCs w:val="16"/>
                <w:lang w:eastAsia="en-AU"/>
              </w:rPr>
              <w:t>budget</w:t>
            </w:r>
          </w:p>
        </w:tc>
        <w:tc>
          <w:tcPr>
            <w:tcW w:w="850" w:type="dxa"/>
            <w:tcBorders>
              <w:top w:val="nil"/>
              <w:left w:val="nil"/>
              <w:right w:val="nil"/>
            </w:tcBorders>
            <w:shd w:val="solid" w:color="000000" w:fill="auto"/>
          </w:tcPr>
          <w:p w:rsidR="00A26D04" w:rsidRPr="00847D34" w:rsidRDefault="00A26D04" w:rsidP="00A26D04">
            <w:pPr>
              <w:keepLines w:val="0"/>
              <w:autoSpaceDE w:val="0"/>
              <w:autoSpaceDN w:val="0"/>
              <w:adjustRightInd w:val="0"/>
              <w:spacing w:after="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 w:val="16"/>
                <w:szCs w:val="16"/>
                <w:lang w:eastAsia="en-AU"/>
              </w:rPr>
            </w:pPr>
            <w:r w:rsidRPr="00847D34">
              <w:rPr>
                <w:rFonts w:eastAsiaTheme="minorEastAsia" w:cs="Calibri"/>
                <w:iCs/>
                <w:color w:val="FFFFFF"/>
                <w:sz w:val="16"/>
                <w:szCs w:val="16"/>
                <w:lang w:eastAsia="en-AU"/>
              </w:rPr>
              <w:t xml:space="preserve">2017-18 </w:t>
            </w:r>
            <w:r>
              <w:rPr>
                <w:rFonts w:eastAsiaTheme="minorEastAsia" w:cs="Calibri"/>
                <w:iCs/>
                <w:color w:val="FFFFFF"/>
                <w:sz w:val="16"/>
                <w:szCs w:val="16"/>
                <w:lang w:eastAsia="en-AU"/>
              </w:rPr>
              <w:br/>
            </w:r>
            <w:r w:rsidRPr="00847D34">
              <w:rPr>
                <w:rFonts w:eastAsiaTheme="minorEastAsia" w:cs="Calibri"/>
                <w:iCs/>
                <w:color w:val="FFFFFF"/>
                <w:sz w:val="16"/>
                <w:szCs w:val="16"/>
                <w:lang w:eastAsia="en-AU"/>
              </w:rPr>
              <w:t>revised</w:t>
            </w:r>
          </w:p>
        </w:tc>
        <w:tc>
          <w:tcPr>
            <w:tcW w:w="850" w:type="dxa"/>
            <w:tcBorders>
              <w:top w:val="nil"/>
              <w:left w:val="nil"/>
              <w:right w:val="nil"/>
            </w:tcBorders>
            <w:shd w:val="solid" w:color="000000" w:fill="auto"/>
          </w:tcPr>
          <w:p w:rsidR="00A26D04" w:rsidRPr="00847D34" w:rsidRDefault="00A26D04" w:rsidP="00A26D04">
            <w:pPr>
              <w:keepLines w:val="0"/>
              <w:autoSpaceDE w:val="0"/>
              <w:autoSpaceDN w:val="0"/>
              <w:adjustRightInd w:val="0"/>
              <w:spacing w:after="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 w:val="16"/>
                <w:szCs w:val="16"/>
                <w:lang w:eastAsia="en-AU"/>
              </w:rPr>
            </w:pPr>
            <w:r w:rsidRPr="00847D34">
              <w:rPr>
                <w:rFonts w:eastAsiaTheme="minorEastAsia" w:cs="Calibri"/>
                <w:iCs/>
                <w:color w:val="FFFFFF"/>
                <w:sz w:val="16"/>
                <w:szCs w:val="16"/>
                <w:lang w:eastAsia="en-AU"/>
              </w:rPr>
              <w:t xml:space="preserve">2018-19 </w:t>
            </w:r>
            <w:r>
              <w:rPr>
                <w:rFonts w:eastAsiaTheme="minorEastAsia" w:cs="Calibri"/>
                <w:iCs/>
                <w:color w:val="FFFFFF"/>
                <w:sz w:val="16"/>
                <w:szCs w:val="16"/>
                <w:lang w:eastAsia="en-AU"/>
              </w:rPr>
              <w:br/>
            </w:r>
            <w:r w:rsidRPr="00847D34">
              <w:rPr>
                <w:rFonts w:eastAsiaTheme="minorEastAsia" w:cs="Calibri"/>
                <w:iCs/>
                <w:color w:val="FFFFFF"/>
                <w:sz w:val="16"/>
                <w:szCs w:val="16"/>
                <w:lang w:eastAsia="en-AU"/>
              </w:rPr>
              <w:t>estimate</w:t>
            </w:r>
          </w:p>
        </w:tc>
        <w:tc>
          <w:tcPr>
            <w:tcW w:w="850" w:type="dxa"/>
            <w:tcBorders>
              <w:top w:val="nil"/>
              <w:left w:val="nil"/>
              <w:right w:val="nil"/>
            </w:tcBorders>
            <w:shd w:val="solid" w:color="000000" w:fill="auto"/>
          </w:tcPr>
          <w:p w:rsidR="00A26D04" w:rsidRPr="00847D34" w:rsidRDefault="00A26D04" w:rsidP="00A26D04">
            <w:pPr>
              <w:keepLines w:val="0"/>
              <w:autoSpaceDE w:val="0"/>
              <w:autoSpaceDN w:val="0"/>
              <w:adjustRightInd w:val="0"/>
              <w:spacing w:after="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 w:val="16"/>
                <w:szCs w:val="16"/>
                <w:lang w:eastAsia="en-AU"/>
              </w:rPr>
            </w:pPr>
            <w:r w:rsidRPr="00847D34">
              <w:rPr>
                <w:rFonts w:eastAsiaTheme="minorEastAsia" w:cs="Calibri"/>
                <w:iCs/>
                <w:color w:val="FFFFFF"/>
                <w:sz w:val="16"/>
                <w:szCs w:val="16"/>
                <w:lang w:eastAsia="en-AU"/>
              </w:rPr>
              <w:t xml:space="preserve">2019-20 </w:t>
            </w:r>
            <w:r>
              <w:rPr>
                <w:rFonts w:eastAsiaTheme="minorEastAsia" w:cs="Calibri"/>
                <w:iCs/>
                <w:color w:val="FFFFFF"/>
                <w:sz w:val="16"/>
                <w:szCs w:val="16"/>
                <w:lang w:eastAsia="en-AU"/>
              </w:rPr>
              <w:br/>
            </w:r>
            <w:r w:rsidRPr="00847D34">
              <w:rPr>
                <w:rFonts w:eastAsiaTheme="minorEastAsia" w:cs="Calibri"/>
                <w:iCs/>
                <w:color w:val="FFFFFF"/>
                <w:sz w:val="16"/>
                <w:szCs w:val="16"/>
                <w:lang w:eastAsia="en-AU"/>
              </w:rPr>
              <w:t>estimate</w:t>
            </w:r>
          </w:p>
        </w:tc>
        <w:tc>
          <w:tcPr>
            <w:tcW w:w="850" w:type="dxa"/>
            <w:tcBorders>
              <w:top w:val="nil"/>
              <w:left w:val="nil"/>
              <w:right w:val="nil"/>
            </w:tcBorders>
            <w:shd w:val="solid" w:color="000000" w:fill="auto"/>
          </w:tcPr>
          <w:p w:rsidR="00A26D04" w:rsidRPr="00847D34" w:rsidRDefault="00A26D04" w:rsidP="00A26D04">
            <w:pPr>
              <w:keepLines w:val="0"/>
              <w:autoSpaceDE w:val="0"/>
              <w:autoSpaceDN w:val="0"/>
              <w:adjustRightInd w:val="0"/>
              <w:spacing w:after="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 w:val="16"/>
                <w:szCs w:val="16"/>
                <w:lang w:eastAsia="en-AU"/>
              </w:rPr>
            </w:pPr>
            <w:r w:rsidRPr="00847D34">
              <w:rPr>
                <w:rFonts w:eastAsiaTheme="minorEastAsia" w:cs="Calibri"/>
                <w:iCs/>
                <w:color w:val="FFFFFF"/>
                <w:sz w:val="16"/>
                <w:szCs w:val="16"/>
                <w:lang w:eastAsia="en-AU"/>
              </w:rPr>
              <w:t xml:space="preserve">2020-21 </w:t>
            </w:r>
            <w:r>
              <w:rPr>
                <w:rFonts w:eastAsiaTheme="minorEastAsia" w:cs="Calibri"/>
                <w:iCs/>
                <w:color w:val="FFFFFF"/>
                <w:sz w:val="16"/>
                <w:szCs w:val="16"/>
                <w:lang w:eastAsia="en-AU"/>
              </w:rPr>
              <w:br/>
            </w:r>
            <w:r w:rsidRPr="00847D34">
              <w:rPr>
                <w:rFonts w:eastAsiaTheme="minorEastAsia" w:cs="Calibri"/>
                <w:iCs/>
                <w:color w:val="FFFFFF"/>
                <w:sz w:val="16"/>
                <w:szCs w:val="16"/>
                <w:lang w:eastAsia="en-AU"/>
              </w:rPr>
              <w:t>estimate</w:t>
            </w:r>
          </w:p>
        </w:tc>
      </w:tr>
      <w:tr w:rsidR="00A46DCA" w:rsidRPr="00847D34" w:rsidTr="00A26D04">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A46DCA" w:rsidRPr="00847D34" w:rsidRDefault="00A46DCA" w:rsidP="00A26D04">
            <w:pPr>
              <w:keepLines w:val="0"/>
              <w:autoSpaceDE w:val="0"/>
              <w:autoSpaceDN w:val="0"/>
              <w:adjustRightInd w:val="0"/>
              <w:spacing w:after="0"/>
              <w:rPr>
                <w:rFonts w:eastAsiaTheme="minorEastAsia" w:cs="Calibri"/>
                <w:b/>
                <w:bCs/>
                <w:color w:val="000000"/>
                <w:sz w:val="16"/>
                <w:szCs w:val="16"/>
                <w:lang w:eastAsia="en-AU"/>
              </w:rPr>
            </w:pPr>
            <w:r w:rsidRPr="00847D34">
              <w:rPr>
                <w:rFonts w:eastAsiaTheme="minorEastAsia" w:cs="Calibri"/>
                <w:b/>
                <w:bCs/>
                <w:color w:val="000000"/>
                <w:sz w:val="16"/>
                <w:szCs w:val="16"/>
                <w:lang w:eastAsia="en-AU"/>
              </w:rPr>
              <w:t>Cash flows from operating activities</w:t>
            </w:r>
          </w:p>
        </w:tc>
        <w:tc>
          <w:tcPr>
            <w:tcW w:w="850" w:type="dxa"/>
            <w:tcBorders>
              <w:top w:val="nil"/>
              <w:left w:val="nil"/>
              <w:bottom w:val="nil"/>
              <w:right w:val="nil"/>
            </w:tcBorders>
          </w:tcPr>
          <w:p w:rsidR="00A46DCA" w:rsidRPr="00847D34"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lang w:eastAsia="en-AU"/>
              </w:rPr>
            </w:pPr>
            <w:r w:rsidRPr="00847D34">
              <w:rPr>
                <w:rFonts w:eastAsiaTheme="minorEastAsia" w:cs="Calibri"/>
                <w:b/>
                <w:bCs/>
                <w:color w:val="000000"/>
                <w:sz w:val="16"/>
                <w:lang w:eastAsia="en-AU"/>
              </w:rPr>
              <w:t xml:space="preserve"> </w:t>
            </w:r>
          </w:p>
        </w:tc>
        <w:tc>
          <w:tcPr>
            <w:tcW w:w="850" w:type="dxa"/>
            <w:tcBorders>
              <w:top w:val="nil"/>
              <w:left w:val="nil"/>
              <w:bottom w:val="nil"/>
              <w:right w:val="nil"/>
            </w:tcBorders>
          </w:tcPr>
          <w:p w:rsidR="00A46DCA" w:rsidRPr="00847D34"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lang w:eastAsia="en-AU"/>
              </w:rPr>
            </w:pPr>
            <w:r w:rsidRPr="00847D34">
              <w:rPr>
                <w:rFonts w:eastAsiaTheme="minorEastAsia" w:cs="Calibri"/>
                <w:b/>
                <w:bCs/>
                <w:color w:val="000000"/>
                <w:sz w:val="16"/>
                <w:lang w:eastAsia="en-AU"/>
              </w:rPr>
              <w:t xml:space="preserve"> </w:t>
            </w:r>
          </w:p>
        </w:tc>
        <w:tc>
          <w:tcPr>
            <w:tcW w:w="850" w:type="dxa"/>
            <w:tcBorders>
              <w:top w:val="nil"/>
              <w:left w:val="nil"/>
              <w:bottom w:val="nil"/>
              <w:right w:val="nil"/>
            </w:tcBorders>
          </w:tcPr>
          <w:p w:rsidR="00A46DCA" w:rsidRPr="00847D34"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lang w:eastAsia="en-AU"/>
              </w:rPr>
            </w:pPr>
            <w:r w:rsidRPr="00847D34">
              <w:rPr>
                <w:rFonts w:eastAsiaTheme="minorEastAsia" w:cs="Calibri"/>
                <w:b/>
                <w:bCs/>
                <w:color w:val="000000"/>
                <w:sz w:val="16"/>
                <w:lang w:eastAsia="en-AU"/>
              </w:rPr>
              <w:t xml:space="preserve"> </w:t>
            </w:r>
          </w:p>
        </w:tc>
        <w:tc>
          <w:tcPr>
            <w:tcW w:w="850" w:type="dxa"/>
            <w:tcBorders>
              <w:top w:val="nil"/>
              <w:left w:val="nil"/>
              <w:bottom w:val="nil"/>
              <w:right w:val="nil"/>
            </w:tcBorders>
          </w:tcPr>
          <w:p w:rsidR="00A46DCA" w:rsidRPr="00847D34"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lang w:eastAsia="en-AU"/>
              </w:rPr>
            </w:pPr>
            <w:r w:rsidRPr="00847D34">
              <w:rPr>
                <w:rFonts w:eastAsiaTheme="minorEastAsia" w:cs="Calibri"/>
                <w:b/>
                <w:bCs/>
                <w:color w:val="000000"/>
                <w:sz w:val="16"/>
                <w:lang w:eastAsia="en-AU"/>
              </w:rPr>
              <w:t xml:space="preserve"> </w:t>
            </w:r>
          </w:p>
        </w:tc>
        <w:tc>
          <w:tcPr>
            <w:tcW w:w="850" w:type="dxa"/>
            <w:tcBorders>
              <w:top w:val="nil"/>
              <w:left w:val="nil"/>
              <w:bottom w:val="nil"/>
              <w:right w:val="nil"/>
            </w:tcBorders>
          </w:tcPr>
          <w:p w:rsidR="00A46DCA" w:rsidRPr="00847D34"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lang w:eastAsia="en-AU"/>
              </w:rPr>
            </w:pPr>
            <w:r w:rsidRPr="00847D34">
              <w:rPr>
                <w:rFonts w:eastAsiaTheme="minorEastAsia" w:cs="Calibri"/>
                <w:b/>
                <w:bCs/>
                <w:color w:val="000000"/>
                <w:sz w:val="16"/>
                <w:lang w:eastAsia="en-AU"/>
              </w:rPr>
              <w:t xml:space="preserve"> </w:t>
            </w:r>
          </w:p>
        </w:tc>
      </w:tr>
      <w:tr w:rsidR="00A46DCA" w:rsidRPr="00847D34" w:rsidTr="00A26D04">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A46DCA" w:rsidRPr="00847D34" w:rsidRDefault="00A46DCA" w:rsidP="00A26D04">
            <w:pPr>
              <w:keepLines w:val="0"/>
              <w:autoSpaceDE w:val="0"/>
              <w:autoSpaceDN w:val="0"/>
              <w:adjustRightInd w:val="0"/>
              <w:spacing w:after="0"/>
              <w:rPr>
                <w:rFonts w:eastAsiaTheme="minorEastAsia" w:cs="Calibri"/>
                <w:b/>
                <w:bCs/>
                <w:color w:val="000000"/>
                <w:sz w:val="16"/>
                <w:szCs w:val="16"/>
                <w:lang w:eastAsia="en-AU"/>
              </w:rPr>
            </w:pPr>
            <w:r w:rsidRPr="00847D34">
              <w:rPr>
                <w:rFonts w:eastAsiaTheme="minorEastAsia" w:cs="Calibri"/>
                <w:b/>
                <w:bCs/>
                <w:color w:val="000000"/>
                <w:sz w:val="16"/>
                <w:szCs w:val="16"/>
                <w:lang w:eastAsia="en-AU"/>
              </w:rPr>
              <w:t>Receipts</w:t>
            </w:r>
          </w:p>
        </w:tc>
        <w:tc>
          <w:tcPr>
            <w:tcW w:w="850" w:type="dxa"/>
            <w:tcBorders>
              <w:top w:val="nil"/>
              <w:left w:val="nil"/>
              <w:bottom w:val="nil"/>
              <w:right w:val="nil"/>
            </w:tcBorders>
          </w:tcPr>
          <w:p w:rsidR="00A46DCA" w:rsidRPr="00847D34"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lang w:eastAsia="en-AU"/>
              </w:rPr>
            </w:pPr>
            <w:r w:rsidRPr="00847D34">
              <w:rPr>
                <w:rFonts w:eastAsiaTheme="minorEastAsia" w:cs="Calibri"/>
                <w:b/>
                <w:bCs/>
                <w:color w:val="000000"/>
                <w:sz w:val="16"/>
                <w:lang w:eastAsia="en-AU"/>
              </w:rPr>
              <w:t xml:space="preserve"> </w:t>
            </w:r>
          </w:p>
        </w:tc>
        <w:tc>
          <w:tcPr>
            <w:tcW w:w="850" w:type="dxa"/>
            <w:tcBorders>
              <w:top w:val="nil"/>
              <w:left w:val="nil"/>
              <w:bottom w:val="nil"/>
              <w:right w:val="nil"/>
            </w:tcBorders>
          </w:tcPr>
          <w:p w:rsidR="00A46DCA" w:rsidRPr="00847D34"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lang w:eastAsia="en-AU"/>
              </w:rPr>
            </w:pPr>
            <w:r w:rsidRPr="00847D34">
              <w:rPr>
                <w:rFonts w:eastAsiaTheme="minorEastAsia" w:cs="Calibri"/>
                <w:b/>
                <w:bCs/>
                <w:color w:val="000000"/>
                <w:sz w:val="16"/>
                <w:lang w:eastAsia="en-AU"/>
              </w:rPr>
              <w:t xml:space="preserve"> </w:t>
            </w:r>
          </w:p>
        </w:tc>
        <w:tc>
          <w:tcPr>
            <w:tcW w:w="850" w:type="dxa"/>
            <w:tcBorders>
              <w:top w:val="nil"/>
              <w:left w:val="nil"/>
              <w:bottom w:val="nil"/>
              <w:right w:val="nil"/>
            </w:tcBorders>
          </w:tcPr>
          <w:p w:rsidR="00A46DCA" w:rsidRPr="00847D34"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lang w:eastAsia="en-AU"/>
              </w:rPr>
            </w:pPr>
            <w:r w:rsidRPr="00847D34">
              <w:rPr>
                <w:rFonts w:eastAsiaTheme="minorEastAsia" w:cs="Calibri"/>
                <w:b/>
                <w:bCs/>
                <w:color w:val="000000"/>
                <w:sz w:val="16"/>
                <w:lang w:eastAsia="en-AU"/>
              </w:rPr>
              <w:t xml:space="preserve"> </w:t>
            </w:r>
          </w:p>
        </w:tc>
        <w:tc>
          <w:tcPr>
            <w:tcW w:w="850" w:type="dxa"/>
            <w:tcBorders>
              <w:top w:val="nil"/>
              <w:left w:val="nil"/>
              <w:bottom w:val="nil"/>
              <w:right w:val="nil"/>
            </w:tcBorders>
          </w:tcPr>
          <w:p w:rsidR="00A46DCA" w:rsidRPr="00847D34"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lang w:eastAsia="en-AU"/>
              </w:rPr>
            </w:pPr>
            <w:r w:rsidRPr="00847D34">
              <w:rPr>
                <w:rFonts w:eastAsiaTheme="minorEastAsia" w:cs="Calibri"/>
                <w:b/>
                <w:bCs/>
                <w:color w:val="000000"/>
                <w:sz w:val="16"/>
                <w:lang w:eastAsia="en-AU"/>
              </w:rPr>
              <w:t xml:space="preserve"> </w:t>
            </w:r>
          </w:p>
        </w:tc>
        <w:tc>
          <w:tcPr>
            <w:tcW w:w="850" w:type="dxa"/>
            <w:tcBorders>
              <w:top w:val="nil"/>
              <w:left w:val="nil"/>
              <w:bottom w:val="nil"/>
              <w:right w:val="nil"/>
            </w:tcBorders>
          </w:tcPr>
          <w:p w:rsidR="00A46DCA" w:rsidRPr="00847D34"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lang w:eastAsia="en-AU"/>
              </w:rPr>
            </w:pPr>
            <w:r w:rsidRPr="00847D34">
              <w:rPr>
                <w:rFonts w:eastAsiaTheme="minorEastAsia" w:cs="Calibri"/>
                <w:b/>
                <w:bCs/>
                <w:color w:val="000000"/>
                <w:sz w:val="16"/>
                <w:lang w:eastAsia="en-AU"/>
              </w:rPr>
              <w:t xml:space="preserve"> </w:t>
            </w:r>
          </w:p>
        </w:tc>
      </w:tr>
      <w:tr w:rsidR="00A46DCA" w:rsidRPr="00847D34" w:rsidTr="00A26D04">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A46DCA" w:rsidRPr="00847D34" w:rsidRDefault="00A46DCA" w:rsidP="00A26D04">
            <w:pPr>
              <w:keepLines w:val="0"/>
              <w:autoSpaceDE w:val="0"/>
              <w:autoSpaceDN w:val="0"/>
              <w:adjustRightInd w:val="0"/>
              <w:spacing w:after="0"/>
              <w:rPr>
                <w:rFonts w:eastAsiaTheme="minorEastAsia" w:cs="Calibri"/>
                <w:color w:val="000000"/>
                <w:sz w:val="16"/>
                <w:szCs w:val="16"/>
                <w:lang w:eastAsia="en-AU"/>
              </w:rPr>
            </w:pPr>
            <w:r w:rsidRPr="00847D34">
              <w:rPr>
                <w:rFonts w:eastAsiaTheme="minorEastAsia" w:cs="Calibri"/>
                <w:color w:val="000000"/>
                <w:sz w:val="16"/>
                <w:szCs w:val="16"/>
                <w:lang w:eastAsia="en-AU"/>
              </w:rPr>
              <w:t>Taxes received</w:t>
            </w:r>
          </w:p>
        </w:tc>
        <w:tc>
          <w:tcPr>
            <w:tcW w:w="850" w:type="dxa"/>
            <w:tcBorders>
              <w:top w:val="nil"/>
              <w:left w:val="nil"/>
              <w:bottom w:val="nil"/>
              <w:right w:val="nil"/>
            </w:tcBorders>
          </w:tcPr>
          <w:p w:rsidR="00A46DCA" w:rsidRPr="00847D34"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lang w:eastAsia="en-AU"/>
              </w:rPr>
            </w:pPr>
            <w:r w:rsidRPr="00847D34">
              <w:rPr>
                <w:rFonts w:eastAsiaTheme="minorEastAsia" w:cs="Calibri"/>
                <w:color w:val="000000"/>
                <w:sz w:val="16"/>
                <w:szCs w:val="16"/>
                <w:lang w:eastAsia="en-AU"/>
              </w:rPr>
              <w:t>21 330</w:t>
            </w:r>
          </w:p>
        </w:tc>
        <w:tc>
          <w:tcPr>
            <w:tcW w:w="850" w:type="dxa"/>
            <w:tcBorders>
              <w:top w:val="nil"/>
              <w:left w:val="nil"/>
              <w:bottom w:val="nil"/>
              <w:right w:val="nil"/>
            </w:tcBorders>
          </w:tcPr>
          <w:p w:rsidR="00A46DCA" w:rsidRPr="00847D34"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lang w:eastAsia="en-AU"/>
              </w:rPr>
            </w:pPr>
            <w:r w:rsidRPr="00847D34">
              <w:rPr>
                <w:rFonts w:eastAsiaTheme="minorEastAsia" w:cs="Calibri"/>
                <w:color w:val="000000"/>
                <w:sz w:val="16"/>
                <w:szCs w:val="16"/>
                <w:lang w:eastAsia="en-AU"/>
              </w:rPr>
              <w:t>21 649</w:t>
            </w:r>
          </w:p>
        </w:tc>
        <w:tc>
          <w:tcPr>
            <w:tcW w:w="850" w:type="dxa"/>
            <w:tcBorders>
              <w:top w:val="nil"/>
              <w:left w:val="nil"/>
              <w:bottom w:val="nil"/>
              <w:right w:val="nil"/>
            </w:tcBorders>
          </w:tcPr>
          <w:p w:rsidR="00A46DCA" w:rsidRPr="00847D34"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lang w:eastAsia="en-AU"/>
              </w:rPr>
            </w:pPr>
            <w:r w:rsidRPr="00847D34">
              <w:rPr>
                <w:rFonts w:eastAsiaTheme="minorEastAsia" w:cs="Calibri"/>
                <w:color w:val="000000"/>
                <w:sz w:val="16"/>
                <w:szCs w:val="16"/>
                <w:lang w:eastAsia="en-AU"/>
              </w:rPr>
              <w:t>23 261</w:t>
            </w:r>
          </w:p>
        </w:tc>
        <w:tc>
          <w:tcPr>
            <w:tcW w:w="850" w:type="dxa"/>
            <w:tcBorders>
              <w:top w:val="nil"/>
              <w:left w:val="nil"/>
              <w:bottom w:val="nil"/>
              <w:right w:val="nil"/>
            </w:tcBorders>
          </w:tcPr>
          <w:p w:rsidR="00A46DCA" w:rsidRPr="00847D34"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lang w:eastAsia="en-AU"/>
              </w:rPr>
            </w:pPr>
            <w:r w:rsidRPr="00847D34">
              <w:rPr>
                <w:rFonts w:eastAsiaTheme="minorEastAsia" w:cs="Calibri"/>
                <w:color w:val="000000"/>
                <w:sz w:val="16"/>
                <w:szCs w:val="16"/>
                <w:lang w:eastAsia="en-AU"/>
              </w:rPr>
              <w:t>24 245</w:t>
            </w:r>
          </w:p>
        </w:tc>
        <w:tc>
          <w:tcPr>
            <w:tcW w:w="850" w:type="dxa"/>
            <w:tcBorders>
              <w:top w:val="nil"/>
              <w:left w:val="nil"/>
              <w:bottom w:val="nil"/>
              <w:right w:val="nil"/>
            </w:tcBorders>
          </w:tcPr>
          <w:p w:rsidR="00A46DCA" w:rsidRPr="00847D34"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lang w:eastAsia="en-AU"/>
              </w:rPr>
            </w:pPr>
            <w:r w:rsidRPr="00847D34">
              <w:rPr>
                <w:rFonts w:eastAsiaTheme="minorEastAsia" w:cs="Calibri"/>
                <w:color w:val="000000"/>
                <w:sz w:val="16"/>
                <w:szCs w:val="16"/>
                <w:lang w:eastAsia="en-AU"/>
              </w:rPr>
              <w:t>25 042</w:t>
            </w:r>
          </w:p>
        </w:tc>
      </w:tr>
      <w:tr w:rsidR="00A46DCA" w:rsidRPr="00847D34" w:rsidTr="00A26D04">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A46DCA" w:rsidRPr="00847D34" w:rsidRDefault="00A46DCA" w:rsidP="00A26D04">
            <w:pPr>
              <w:keepLines w:val="0"/>
              <w:autoSpaceDE w:val="0"/>
              <w:autoSpaceDN w:val="0"/>
              <w:adjustRightInd w:val="0"/>
              <w:spacing w:after="0"/>
              <w:rPr>
                <w:rFonts w:eastAsiaTheme="minorEastAsia" w:cs="Calibri"/>
                <w:color w:val="000000"/>
                <w:sz w:val="16"/>
                <w:szCs w:val="16"/>
                <w:lang w:eastAsia="en-AU"/>
              </w:rPr>
            </w:pPr>
            <w:r w:rsidRPr="00847D34">
              <w:rPr>
                <w:rFonts w:eastAsiaTheme="minorEastAsia" w:cs="Calibri"/>
                <w:color w:val="000000"/>
                <w:sz w:val="16"/>
                <w:szCs w:val="16"/>
                <w:lang w:eastAsia="en-AU"/>
              </w:rPr>
              <w:t>Grants</w:t>
            </w:r>
          </w:p>
        </w:tc>
        <w:tc>
          <w:tcPr>
            <w:tcW w:w="850" w:type="dxa"/>
            <w:tcBorders>
              <w:top w:val="nil"/>
              <w:left w:val="nil"/>
              <w:bottom w:val="nil"/>
              <w:right w:val="nil"/>
            </w:tcBorders>
          </w:tcPr>
          <w:p w:rsidR="00A46DCA" w:rsidRPr="00847D34"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lang w:eastAsia="en-AU"/>
              </w:rPr>
            </w:pPr>
            <w:r w:rsidRPr="00847D34">
              <w:rPr>
                <w:rFonts w:eastAsiaTheme="minorEastAsia" w:cs="Calibri"/>
                <w:color w:val="000000"/>
                <w:sz w:val="16"/>
                <w:szCs w:val="16"/>
                <w:lang w:eastAsia="en-AU"/>
              </w:rPr>
              <w:t>29 799</w:t>
            </w:r>
          </w:p>
        </w:tc>
        <w:tc>
          <w:tcPr>
            <w:tcW w:w="850" w:type="dxa"/>
            <w:tcBorders>
              <w:top w:val="nil"/>
              <w:left w:val="nil"/>
              <w:bottom w:val="nil"/>
              <w:right w:val="nil"/>
            </w:tcBorders>
          </w:tcPr>
          <w:p w:rsidR="00A46DCA" w:rsidRPr="00847D34"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lang w:eastAsia="en-AU"/>
              </w:rPr>
            </w:pPr>
            <w:r w:rsidRPr="00847D34">
              <w:rPr>
                <w:rFonts w:eastAsiaTheme="minorEastAsia" w:cs="Calibri"/>
                <w:color w:val="000000"/>
                <w:sz w:val="16"/>
                <w:szCs w:val="16"/>
                <w:lang w:eastAsia="en-AU"/>
              </w:rPr>
              <w:t>30 203</w:t>
            </w:r>
          </w:p>
        </w:tc>
        <w:tc>
          <w:tcPr>
            <w:tcW w:w="850" w:type="dxa"/>
            <w:tcBorders>
              <w:top w:val="nil"/>
              <w:left w:val="nil"/>
              <w:bottom w:val="nil"/>
              <w:right w:val="nil"/>
            </w:tcBorders>
          </w:tcPr>
          <w:p w:rsidR="00A46DCA" w:rsidRPr="00847D34"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lang w:eastAsia="en-AU"/>
              </w:rPr>
            </w:pPr>
            <w:r w:rsidRPr="00847D34">
              <w:rPr>
                <w:rFonts w:eastAsiaTheme="minorEastAsia" w:cs="Calibri"/>
                <w:color w:val="000000"/>
                <w:sz w:val="16"/>
                <w:szCs w:val="16"/>
                <w:lang w:eastAsia="en-AU"/>
              </w:rPr>
              <w:t>32 205</w:t>
            </w:r>
          </w:p>
        </w:tc>
        <w:tc>
          <w:tcPr>
            <w:tcW w:w="850" w:type="dxa"/>
            <w:tcBorders>
              <w:top w:val="nil"/>
              <w:left w:val="nil"/>
              <w:bottom w:val="nil"/>
              <w:right w:val="nil"/>
            </w:tcBorders>
          </w:tcPr>
          <w:p w:rsidR="00A46DCA" w:rsidRPr="00847D34"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lang w:eastAsia="en-AU"/>
              </w:rPr>
            </w:pPr>
            <w:r w:rsidRPr="00847D34">
              <w:rPr>
                <w:rFonts w:eastAsiaTheme="minorEastAsia" w:cs="Calibri"/>
                <w:color w:val="000000"/>
                <w:sz w:val="16"/>
                <w:szCs w:val="16"/>
                <w:lang w:eastAsia="en-AU"/>
              </w:rPr>
              <w:t>32 184</w:t>
            </w:r>
          </w:p>
        </w:tc>
        <w:tc>
          <w:tcPr>
            <w:tcW w:w="850" w:type="dxa"/>
            <w:tcBorders>
              <w:top w:val="nil"/>
              <w:left w:val="nil"/>
              <w:bottom w:val="nil"/>
              <w:right w:val="nil"/>
            </w:tcBorders>
          </w:tcPr>
          <w:p w:rsidR="00A46DCA" w:rsidRPr="00847D34"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lang w:eastAsia="en-AU"/>
              </w:rPr>
            </w:pPr>
            <w:r w:rsidRPr="00847D34">
              <w:rPr>
                <w:rFonts w:eastAsiaTheme="minorEastAsia" w:cs="Calibri"/>
                <w:color w:val="000000"/>
                <w:sz w:val="16"/>
                <w:szCs w:val="16"/>
                <w:lang w:eastAsia="en-AU"/>
              </w:rPr>
              <w:t>33 407</w:t>
            </w:r>
          </w:p>
        </w:tc>
      </w:tr>
      <w:tr w:rsidR="00A46DCA" w:rsidRPr="00847D34" w:rsidTr="00A26D04">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A46DCA" w:rsidRPr="00847D34" w:rsidRDefault="00A46DCA" w:rsidP="00A26D04">
            <w:pPr>
              <w:keepLines w:val="0"/>
              <w:autoSpaceDE w:val="0"/>
              <w:autoSpaceDN w:val="0"/>
              <w:adjustRightInd w:val="0"/>
              <w:spacing w:after="0"/>
              <w:rPr>
                <w:rFonts w:eastAsiaTheme="minorEastAsia" w:cs="Calibri"/>
                <w:color w:val="000000"/>
                <w:sz w:val="16"/>
                <w:szCs w:val="16"/>
                <w:vertAlign w:val="superscript"/>
                <w:lang w:eastAsia="en-AU"/>
              </w:rPr>
            </w:pPr>
            <w:r w:rsidRPr="00847D34">
              <w:rPr>
                <w:rFonts w:eastAsiaTheme="minorEastAsia" w:cs="Calibri"/>
                <w:color w:val="000000"/>
                <w:sz w:val="16"/>
                <w:szCs w:val="16"/>
                <w:lang w:eastAsia="en-AU"/>
              </w:rPr>
              <w:t xml:space="preserve">Sales of goods and services </w:t>
            </w:r>
            <w:r w:rsidRPr="00847D34">
              <w:rPr>
                <w:rFonts w:eastAsiaTheme="minorEastAsia" w:cs="Calibri"/>
                <w:color w:val="000000"/>
                <w:sz w:val="16"/>
                <w:szCs w:val="16"/>
                <w:vertAlign w:val="superscript"/>
                <w:lang w:eastAsia="en-AU"/>
              </w:rPr>
              <w:t>(b)</w:t>
            </w:r>
          </w:p>
        </w:tc>
        <w:tc>
          <w:tcPr>
            <w:tcW w:w="850" w:type="dxa"/>
            <w:tcBorders>
              <w:top w:val="nil"/>
              <w:left w:val="nil"/>
              <w:bottom w:val="nil"/>
              <w:right w:val="nil"/>
            </w:tcBorders>
          </w:tcPr>
          <w:p w:rsidR="00A46DCA" w:rsidRPr="00847D34"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lang w:eastAsia="en-AU"/>
              </w:rPr>
            </w:pPr>
            <w:r w:rsidRPr="00847D34">
              <w:rPr>
                <w:rFonts w:eastAsiaTheme="minorEastAsia" w:cs="Calibri"/>
                <w:color w:val="000000"/>
                <w:sz w:val="16"/>
                <w:szCs w:val="16"/>
                <w:lang w:eastAsia="en-AU"/>
              </w:rPr>
              <w:t>12 627</w:t>
            </w:r>
          </w:p>
        </w:tc>
        <w:tc>
          <w:tcPr>
            <w:tcW w:w="850" w:type="dxa"/>
            <w:tcBorders>
              <w:top w:val="nil"/>
              <w:left w:val="nil"/>
              <w:bottom w:val="nil"/>
              <w:right w:val="nil"/>
            </w:tcBorders>
          </w:tcPr>
          <w:p w:rsidR="00A46DCA" w:rsidRPr="00847D34"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lang w:eastAsia="en-AU"/>
              </w:rPr>
            </w:pPr>
            <w:r w:rsidRPr="00847D34">
              <w:rPr>
                <w:rFonts w:eastAsiaTheme="minorEastAsia" w:cs="Calibri"/>
                <w:color w:val="000000"/>
                <w:sz w:val="16"/>
                <w:szCs w:val="16"/>
                <w:lang w:eastAsia="en-AU"/>
              </w:rPr>
              <w:t>12 798</w:t>
            </w:r>
          </w:p>
        </w:tc>
        <w:tc>
          <w:tcPr>
            <w:tcW w:w="850" w:type="dxa"/>
            <w:tcBorders>
              <w:top w:val="nil"/>
              <w:left w:val="nil"/>
              <w:bottom w:val="nil"/>
              <w:right w:val="nil"/>
            </w:tcBorders>
          </w:tcPr>
          <w:p w:rsidR="00A46DCA" w:rsidRPr="00847D34"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lang w:eastAsia="en-AU"/>
              </w:rPr>
            </w:pPr>
            <w:r w:rsidRPr="00847D34">
              <w:rPr>
                <w:rFonts w:eastAsiaTheme="minorEastAsia" w:cs="Calibri"/>
                <w:color w:val="000000"/>
                <w:sz w:val="16"/>
                <w:szCs w:val="16"/>
                <w:lang w:eastAsia="en-AU"/>
              </w:rPr>
              <w:t>14 372</w:t>
            </w:r>
          </w:p>
        </w:tc>
        <w:tc>
          <w:tcPr>
            <w:tcW w:w="850" w:type="dxa"/>
            <w:tcBorders>
              <w:top w:val="nil"/>
              <w:left w:val="nil"/>
              <w:bottom w:val="nil"/>
              <w:right w:val="nil"/>
            </w:tcBorders>
          </w:tcPr>
          <w:p w:rsidR="00A46DCA" w:rsidRPr="00847D34"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lang w:eastAsia="en-AU"/>
              </w:rPr>
            </w:pPr>
            <w:r w:rsidRPr="00847D34">
              <w:rPr>
                <w:rFonts w:eastAsiaTheme="minorEastAsia" w:cs="Calibri"/>
                <w:color w:val="000000"/>
                <w:sz w:val="16"/>
                <w:szCs w:val="16"/>
                <w:lang w:eastAsia="en-AU"/>
              </w:rPr>
              <w:t>13 235</w:t>
            </w:r>
          </w:p>
        </w:tc>
        <w:tc>
          <w:tcPr>
            <w:tcW w:w="850" w:type="dxa"/>
            <w:tcBorders>
              <w:top w:val="nil"/>
              <w:left w:val="nil"/>
              <w:bottom w:val="nil"/>
              <w:right w:val="nil"/>
            </w:tcBorders>
          </w:tcPr>
          <w:p w:rsidR="00A46DCA" w:rsidRPr="00847D34"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lang w:eastAsia="en-AU"/>
              </w:rPr>
            </w:pPr>
            <w:r w:rsidRPr="00847D34">
              <w:rPr>
                <w:rFonts w:eastAsiaTheme="minorEastAsia" w:cs="Calibri"/>
                <w:color w:val="000000"/>
                <w:sz w:val="16"/>
                <w:szCs w:val="16"/>
                <w:lang w:eastAsia="en-AU"/>
              </w:rPr>
              <w:t>14 191</w:t>
            </w:r>
          </w:p>
        </w:tc>
      </w:tr>
      <w:tr w:rsidR="00A46DCA" w:rsidRPr="00847D34" w:rsidTr="00A26D04">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A46DCA" w:rsidRPr="00847D34" w:rsidRDefault="00A46DCA" w:rsidP="00A26D04">
            <w:pPr>
              <w:keepLines w:val="0"/>
              <w:autoSpaceDE w:val="0"/>
              <w:autoSpaceDN w:val="0"/>
              <w:adjustRightInd w:val="0"/>
              <w:spacing w:after="0"/>
              <w:rPr>
                <w:rFonts w:eastAsiaTheme="minorEastAsia" w:cs="Calibri"/>
                <w:color w:val="000000"/>
                <w:sz w:val="16"/>
                <w:szCs w:val="16"/>
                <w:lang w:eastAsia="en-AU"/>
              </w:rPr>
            </w:pPr>
            <w:r w:rsidRPr="00847D34">
              <w:rPr>
                <w:rFonts w:eastAsiaTheme="minorEastAsia" w:cs="Calibri"/>
                <w:color w:val="000000"/>
                <w:sz w:val="16"/>
                <w:szCs w:val="16"/>
                <w:lang w:eastAsia="en-AU"/>
              </w:rPr>
              <w:t>Interest received</w:t>
            </w:r>
          </w:p>
        </w:tc>
        <w:tc>
          <w:tcPr>
            <w:tcW w:w="850" w:type="dxa"/>
            <w:tcBorders>
              <w:top w:val="nil"/>
              <w:left w:val="nil"/>
              <w:bottom w:val="nil"/>
              <w:right w:val="nil"/>
            </w:tcBorders>
          </w:tcPr>
          <w:p w:rsidR="00A46DCA" w:rsidRPr="00847D34"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lang w:eastAsia="en-AU"/>
              </w:rPr>
            </w:pPr>
            <w:r>
              <w:rPr>
                <w:rFonts w:eastAsiaTheme="minorEastAsia" w:cs="Calibri"/>
                <w:color w:val="000000"/>
                <w:sz w:val="16"/>
                <w:szCs w:val="16"/>
                <w:lang w:eastAsia="en-AU"/>
              </w:rPr>
              <w:t>349</w:t>
            </w:r>
          </w:p>
        </w:tc>
        <w:tc>
          <w:tcPr>
            <w:tcW w:w="850" w:type="dxa"/>
            <w:tcBorders>
              <w:top w:val="nil"/>
              <w:left w:val="nil"/>
              <w:bottom w:val="nil"/>
              <w:right w:val="nil"/>
            </w:tcBorders>
          </w:tcPr>
          <w:p w:rsidR="00A46DCA" w:rsidRPr="00847D34"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lang w:eastAsia="en-AU"/>
              </w:rPr>
            </w:pPr>
            <w:r>
              <w:rPr>
                <w:rFonts w:eastAsiaTheme="minorEastAsia" w:cs="Calibri"/>
                <w:color w:val="000000"/>
                <w:sz w:val="16"/>
                <w:szCs w:val="16"/>
                <w:lang w:eastAsia="en-AU"/>
              </w:rPr>
              <w:t>353</w:t>
            </w:r>
          </w:p>
        </w:tc>
        <w:tc>
          <w:tcPr>
            <w:tcW w:w="850" w:type="dxa"/>
            <w:tcBorders>
              <w:top w:val="nil"/>
              <w:left w:val="nil"/>
              <w:bottom w:val="nil"/>
              <w:right w:val="nil"/>
            </w:tcBorders>
          </w:tcPr>
          <w:p w:rsidR="00A46DCA" w:rsidRPr="00847D34"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lang w:eastAsia="en-AU"/>
              </w:rPr>
            </w:pPr>
            <w:r>
              <w:rPr>
                <w:rFonts w:eastAsiaTheme="minorEastAsia" w:cs="Calibri"/>
                <w:color w:val="000000"/>
                <w:sz w:val="16"/>
                <w:szCs w:val="16"/>
                <w:lang w:eastAsia="en-AU"/>
              </w:rPr>
              <w:t>368</w:t>
            </w:r>
          </w:p>
        </w:tc>
        <w:tc>
          <w:tcPr>
            <w:tcW w:w="850" w:type="dxa"/>
            <w:tcBorders>
              <w:top w:val="nil"/>
              <w:left w:val="nil"/>
              <w:bottom w:val="nil"/>
              <w:right w:val="nil"/>
            </w:tcBorders>
          </w:tcPr>
          <w:p w:rsidR="00A46DCA" w:rsidRPr="00847D34"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lang w:eastAsia="en-AU"/>
              </w:rPr>
            </w:pPr>
            <w:r>
              <w:rPr>
                <w:rFonts w:eastAsiaTheme="minorEastAsia" w:cs="Calibri"/>
                <w:color w:val="000000"/>
                <w:sz w:val="16"/>
                <w:szCs w:val="16"/>
                <w:lang w:eastAsia="en-AU"/>
              </w:rPr>
              <w:t>402</w:t>
            </w:r>
          </w:p>
        </w:tc>
        <w:tc>
          <w:tcPr>
            <w:tcW w:w="850" w:type="dxa"/>
            <w:tcBorders>
              <w:top w:val="nil"/>
              <w:left w:val="nil"/>
              <w:bottom w:val="nil"/>
              <w:right w:val="nil"/>
            </w:tcBorders>
          </w:tcPr>
          <w:p w:rsidR="00A46DCA" w:rsidRPr="00847D34"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lang w:eastAsia="en-AU"/>
              </w:rPr>
            </w:pPr>
            <w:r>
              <w:rPr>
                <w:rFonts w:eastAsiaTheme="minorEastAsia" w:cs="Calibri"/>
                <w:color w:val="000000"/>
                <w:sz w:val="16"/>
                <w:szCs w:val="16"/>
                <w:lang w:eastAsia="en-AU"/>
              </w:rPr>
              <w:t>397</w:t>
            </w:r>
          </w:p>
        </w:tc>
      </w:tr>
      <w:tr w:rsidR="00A46DCA" w:rsidRPr="00847D34" w:rsidTr="00A26D04">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A46DCA" w:rsidRPr="00847D34" w:rsidRDefault="00A46DCA" w:rsidP="00A26D04">
            <w:pPr>
              <w:keepLines w:val="0"/>
              <w:autoSpaceDE w:val="0"/>
              <w:autoSpaceDN w:val="0"/>
              <w:adjustRightInd w:val="0"/>
              <w:spacing w:after="0"/>
              <w:rPr>
                <w:rFonts w:eastAsiaTheme="minorEastAsia" w:cs="Calibri"/>
                <w:color w:val="000000"/>
                <w:sz w:val="16"/>
                <w:szCs w:val="16"/>
                <w:lang w:eastAsia="en-AU"/>
              </w:rPr>
            </w:pPr>
            <w:r w:rsidRPr="00847D34">
              <w:rPr>
                <w:rFonts w:eastAsiaTheme="minorEastAsia" w:cs="Calibri"/>
                <w:color w:val="000000"/>
                <w:sz w:val="16"/>
                <w:szCs w:val="16"/>
                <w:lang w:eastAsia="en-AU"/>
              </w:rPr>
              <w:t>Dividends, income tax equivalent and rate equivalent receipts</w:t>
            </w:r>
          </w:p>
        </w:tc>
        <w:tc>
          <w:tcPr>
            <w:tcW w:w="850" w:type="dxa"/>
            <w:tcBorders>
              <w:top w:val="nil"/>
              <w:left w:val="nil"/>
              <w:bottom w:val="nil"/>
              <w:right w:val="nil"/>
            </w:tcBorders>
          </w:tcPr>
          <w:p w:rsidR="00A46DCA" w:rsidRPr="00847D34"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lang w:eastAsia="en-AU"/>
              </w:rPr>
            </w:pPr>
            <w:r>
              <w:rPr>
                <w:rFonts w:eastAsiaTheme="minorEastAsia" w:cs="Calibri"/>
                <w:color w:val="000000"/>
                <w:sz w:val="16"/>
                <w:szCs w:val="16"/>
                <w:lang w:eastAsia="en-AU"/>
              </w:rPr>
              <w:t>524</w:t>
            </w:r>
          </w:p>
        </w:tc>
        <w:tc>
          <w:tcPr>
            <w:tcW w:w="850" w:type="dxa"/>
            <w:tcBorders>
              <w:top w:val="nil"/>
              <w:left w:val="nil"/>
              <w:bottom w:val="nil"/>
              <w:right w:val="nil"/>
            </w:tcBorders>
          </w:tcPr>
          <w:p w:rsidR="00A46DCA" w:rsidRPr="00847D34"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lang w:eastAsia="en-AU"/>
              </w:rPr>
            </w:pPr>
            <w:r>
              <w:rPr>
                <w:rFonts w:eastAsiaTheme="minorEastAsia" w:cs="Calibri"/>
                <w:color w:val="000000"/>
                <w:sz w:val="16"/>
                <w:szCs w:val="16"/>
                <w:lang w:eastAsia="en-AU"/>
              </w:rPr>
              <w:t>548</w:t>
            </w:r>
          </w:p>
        </w:tc>
        <w:tc>
          <w:tcPr>
            <w:tcW w:w="850" w:type="dxa"/>
            <w:tcBorders>
              <w:top w:val="nil"/>
              <w:left w:val="nil"/>
              <w:bottom w:val="nil"/>
              <w:right w:val="nil"/>
            </w:tcBorders>
          </w:tcPr>
          <w:p w:rsidR="00A46DCA" w:rsidRPr="00847D34"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lang w:eastAsia="en-AU"/>
              </w:rPr>
            </w:pPr>
            <w:r>
              <w:rPr>
                <w:rFonts w:eastAsiaTheme="minorEastAsia" w:cs="Calibri"/>
                <w:color w:val="000000"/>
                <w:sz w:val="16"/>
                <w:szCs w:val="16"/>
                <w:lang w:eastAsia="en-AU"/>
              </w:rPr>
              <w:t>155</w:t>
            </w:r>
          </w:p>
        </w:tc>
        <w:tc>
          <w:tcPr>
            <w:tcW w:w="850" w:type="dxa"/>
            <w:tcBorders>
              <w:top w:val="nil"/>
              <w:left w:val="nil"/>
              <w:bottom w:val="nil"/>
              <w:right w:val="nil"/>
            </w:tcBorders>
          </w:tcPr>
          <w:p w:rsidR="00A46DCA" w:rsidRPr="00847D34"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lang w:eastAsia="en-AU"/>
              </w:rPr>
            </w:pPr>
            <w:r>
              <w:rPr>
                <w:rFonts w:eastAsiaTheme="minorEastAsia" w:cs="Calibri"/>
                <w:color w:val="000000"/>
                <w:sz w:val="16"/>
                <w:szCs w:val="16"/>
                <w:lang w:eastAsia="en-AU"/>
              </w:rPr>
              <w:t>156</w:t>
            </w:r>
          </w:p>
        </w:tc>
        <w:tc>
          <w:tcPr>
            <w:tcW w:w="850" w:type="dxa"/>
            <w:tcBorders>
              <w:top w:val="nil"/>
              <w:left w:val="nil"/>
              <w:bottom w:val="nil"/>
              <w:right w:val="nil"/>
            </w:tcBorders>
          </w:tcPr>
          <w:p w:rsidR="00A46DCA" w:rsidRPr="00847D34"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lang w:eastAsia="en-AU"/>
              </w:rPr>
            </w:pPr>
            <w:r>
              <w:rPr>
                <w:rFonts w:eastAsiaTheme="minorEastAsia" w:cs="Calibri"/>
                <w:color w:val="000000"/>
                <w:sz w:val="16"/>
                <w:szCs w:val="16"/>
                <w:lang w:eastAsia="en-AU"/>
              </w:rPr>
              <w:t>229</w:t>
            </w:r>
          </w:p>
        </w:tc>
      </w:tr>
      <w:tr w:rsidR="00A46DCA" w:rsidRPr="00847D34" w:rsidTr="00A26D04">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single" w:sz="6" w:space="0" w:color="000000"/>
              <w:right w:val="nil"/>
            </w:tcBorders>
          </w:tcPr>
          <w:p w:rsidR="00A46DCA" w:rsidRPr="00847D34" w:rsidRDefault="00A46DCA" w:rsidP="00A26D04">
            <w:pPr>
              <w:keepLines w:val="0"/>
              <w:autoSpaceDE w:val="0"/>
              <w:autoSpaceDN w:val="0"/>
              <w:adjustRightInd w:val="0"/>
              <w:spacing w:after="0"/>
              <w:rPr>
                <w:rFonts w:eastAsiaTheme="minorEastAsia" w:cs="Calibri"/>
                <w:color w:val="000000"/>
                <w:sz w:val="16"/>
                <w:szCs w:val="16"/>
                <w:lang w:eastAsia="en-AU"/>
              </w:rPr>
            </w:pPr>
            <w:r w:rsidRPr="00847D34">
              <w:rPr>
                <w:rFonts w:eastAsiaTheme="minorEastAsia" w:cs="Calibri"/>
                <w:color w:val="000000"/>
                <w:sz w:val="16"/>
                <w:szCs w:val="16"/>
                <w:lang w:eastAsia="en-AU"/>
              </w:rPr>
              <w:t>Other receipts</w:t>
            </w:r>
          </w:p>
        </w:tc>
        <w:tc>
          <w:tcPr>
            <w:tcW w:w="850" w:type="dxa"/>
            <w:tcBorders>
              <w:top w:val="nil"/>
              <w:left w:val="nil"/>
              <w:bottom w:val="single" w:sz="6" w:space="0" w:color="000000"/>
              <w:right w:val="nil"/>
            </w:tcBorders>
          </w:tcPr>
          <w:p w:rsidR="00A46DCA" w:rsidRPr="00847D34"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lang w:eastAsia="en-AU"/>
              </w:rPr>
            </w:pPr>
            <w:r w:rsidRPr="00847D34">
              <w:rPr>
                <w:rFonts w:eastAsiaTheme="minorEastAsia" w:cs="Calibri"/>
                <w:color w:val="000000"/>
                <w:sz w:val="16"/>
                <w:szCs w:val="16"/>
                <w:lang w:eastAsia="en-AU"/>
              </w:rPr>
              <w:t>2 541</w:t>
            </w:r>
          </w:p>
        </w:tc>
        <w:tc>
          <w:tcPr>
            <w:tcW w:w="850" w:type="dxa"/>
            <w:tcBorders>
              <w:top w:val="nil"/>
              <w:left w:val="nil"/>
              <w:bottom w:val="single" w:sz="6" w:space="0" w:color="000000"/>
              <w:right w:val="nil"/>
            </w:tcBorders>
          </w:tcPr>
          <w:p w:rsidR="00A46DCA" w:rsidRPr="00847D34"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lang w:eastAsia="en-AU"/>
              </w:rPr>
            </w:pPr>
            <w:r w:rsidRPr="00847D34">
              <w:rPr>
                <w:rFonts w:eastAsiaTheme="minorEastAsia" w:cs="Calibri"/>
                <w:color w:val="000000"/>
                <w:sz w:val="16"/>
                <w:szCs w:val="16"/>
                <w:lang w:eastAsia="en-AU"/>
              </w:rPr>
              <w:t>2 575</w:t>
            </w:r>
          </w:p>
        </w:tc>
        <w:tc>
          <w:tcPr>
            <w:tcW w:w="850" w:type="dxa"/>
            <w:tcBorders>
              <w:top w:val="nil"/>
              <w:left w:val="nil"/>
              <w:bottom w:val="single" w:sz="6" w:space="0" w:color="000000"/>
              <w:right w:val="nil"/>
            </w:tcBorders>
          </w:tcPr>
          <w:p w:rsidR="00A46DCA" w:rsidRPr="00847D34"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lang w:eastAsia="en-AU"/>
              </w:rPr>
            </w:pPr>
            <w:r w:rsidRPr="00847D34">
              <w:rPr>
                <w:rFonts w:eastAsiaTheme="minorEastAsia" w:cs="Calibri"/>
                <w:color w:val="000000"/>
                <w:sz w:val="16"/>
                <w:szCs w:val="16"/>
                <w:lang w:eastAsia="en-AU"/>
              </w:rPr>
              <w:t>2 469</w:t>
            </w:r>
          </w:p>
        </w:tc>
        <w:tc>
          <w:tcPr>
            <w:tcW w:w="850" w:type="dxa"/>
            <w:tcBorders>
              <w:top w:val="nil"/>
              <w:left w:val="nil"/>
              <w:bottom w:val="single" w:sz="6" w:space="0" w:color="000000"/>
              <w:right w:val="nil"/>
            </w:tcBorders>
          </w:tcPr>
          <w:p w:rsidR="00A46DCA" w:rsidRPr="00847D34"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lang w:eastAsia="en-AU"/>
              </w:rPr>
            </w:pPr>
            <w:r w:rsidRPr="00847D34">
              <w:rPr>
                <w:rFonts w:eastAsiaTheme="minorEastAsia" w:cs="Calibri"/>
                <w:color w:val="000000"/>
                <w:sz w:val="16"/>
                <w:szCs w:val="16"/>
                <w:lang w:eastAsia="en-AU"/>
              </w:rPr>
              <w:t>2 375</w:t>
            </w:r>
          </w:p>
        </w:tc>
        <w:tc>
          <w:tcPr>
            <w:tcW w:w="850" w:type="dxa"/>
            <w:tcBorders>
              <w:top w:val="nil"/>
              <w:left w:val="nil"/>
              <w:bottom w:val="single" w:sz="6" w:space="0" w:color="000000"/>
              <w:right w:val="nil"/>
            </w:tcBorders>
          </w:tcPr>
          <w:p w:rsidR="00A46DCA" w:rsidRPr="00847D34"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lang w:eastAsia="en-AU"/>
              </w:rPr>
            </w:pPr>
            <w:r w:rsidRPr="00847D34">
              <w:rPr>
                <w:rFonts w:eastAsiaTheme="minorEastAsia" w:cs="Calibri"/>
                <w:color w:val="000000"/>
                <w:sz w:val="16"/>
                <w:szCs w:val="16"/>
                <w:lang w:eastAsia="en-AU"/>
              </w:rPr>
              <w:t>2 485</w:t>
            </w:r>
          </w:p>
        </w:tc>
      </w:tr>
      <w:tr w:rsidR="00A46DCA" w:rsidRPr="00847D34" w:rsidTr="00A26D04">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A46DCA" w:rsidRPr="00847D34" w:rsidRDefault="00A46DCA" w:rsidP="00A26D04">
            <w:pPr>
              <w:keepLines w:val="0"/>
              <w:autoSpaceDE w:val="0"/>
              <w:autoSpaceDN w:val="0"/>
              <w:adjustRightInd w:val="0"/>
              <w:spacing w:after="0"/>
              <w:rPr>
                <w:rFonts w:eastAsiaTheme="minorEastAsia" w:cs="Calibri"/>
                <w:b/>
                <w:bCs/>
                <w:color w:val="000000"/>
                <w:sz w:val="16"/>
                <w:szCs w:val="16"/>
                <w:lang w:eastAsia="en-AU"/>
              </w:rPr>
            </w:pPr>
            <w:r w:rsidRPr="00847D34">
              <w:rPr>
                <w:rFonts w:eastAsiaTheme="minorEastAsia" w:cs="Calibri"/>
                <w:b/>
                <w:bCs/>
                <w:color w:val="000000"/>
                <w:sz w:val="16"/>
                <w:szCs w:val="16"/>
                <w:lang w:eastAsia="en-AU"/>
              </w:rPr>
              <w:t>Total receipts</w:t>
            </w:r>
          </w:p>
        </w:tc>
        <w:tc>
          <w:tcPr>
            <w:tcW w:w="850" w:type="dxa"/>
            <w:tcBorders>
              <w:top w:val="nil"/>
              <w:left w:val="nil"/>
              <w:bottom w:val="nil"/>
              <w:right w:val="nil"/>
            </w:tcBorders>
          </w:tcPr>
          <w:p w:rsidR="00A46DCA" w:rsidRPr="00847D34"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szCs w:val="16"/>
                <w:lang w:eastAsia="en-AU"/>
              </w:rPr>
            </w:pPr>
            <w:r w:rsidRPr="00847D34">
              <w:rPr>
                <w:rFonts w:eastAsiaTheme="minorEastAsia" w:cs="Calibri"/>
                <w:b/>
                <w:bCs/>
                <w:color w:val="000000"/>
                <w:sz w:val="16"/>
                <w:szCs w:val="16"/>
                <w:lang w:eastAsia="en-AU"/>
              </w:rPr>
              <w:t>67 170</w:t>
            </w:r>
          </w:p>
        </w:tc>
        <w:tc>
          <w:tcPr>
            <w:tcW w:w="850" w:type="dxa"/>
            <w:tcBorders>
              <w:top w:val="nil"/>
              <w:left w:val="nil"/>
              <w:bottom w:val="nil"/>
              <w:right w:val="nil"/>
            </w:tcBorders>
          </w:tcPr>
          <w:p w:rsidR="00A46DCA" w:rsidRPr="00847D34"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szCs w:val="16"/>
                <w:lang w:eastAsia="en-AU"/>
              </w:rPr>
            </w:pPr>
            <w:r w:rsidRPr="00847D34">
              <w:rPr>
                <w:rFonts w:eastAsiaTheme="minorEastAsia" w:cs="Calibri"/>
                <w:b/>
                <w:bCs/>
                <w:color w:val="000000"/>
                <w:sz w:val="16"/>
                <w:szCs w:val="16"/>
                <w:lang w:eastAsia="en-AU"/>
              </w:rPr>
              <w:t>68 126</w:t>
            </w:r>
          </w:p>
        </w:tc>
        <w:tc>
          <w:tcPr>
            <w:tcW w:w="850" w:type="dxa"/>
            <w:tcBorders>
              <w:top w:val="nil"/>
              <w:left w:val="nil"/>
              <w:bottom w:val="nil"/>
              <w:right w:val="nil"/>
            </w:tcBorders>
          </w:tcPr>
          <w:p w:rsidR="00A46DCA" w:rsidRPr="00847D34"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szCs w:val="16"/>
                <w:lang w:eastAsia="en-AU"/>
              </w:rPr>
            </w:pPr>
            <w:r w:rsidRPr="00847D34">
              <w:rPr>
                <w:rFonts w:eastAsiaTheme="minorEastAsia" w:cs="Calibri"/>
                <w:b/>
                <w:bCs/>
                <w:color w:val="000000"/>
                <w:sz w:val="16"/>
                <w:szCs w:val="16"/>
                <w:lang w:eastAsia="en-AU"/>
              </w:rPr>
              <w:t>72 831</w:t>
            </w:r>
          </w:p>
        </w:tc>
        <w:tc>
          <w:tcPr>
            <w:tcW w:w="850" w:type="dxa"/>
            <w:tcBorders>
              <w:top w:val="nil"/>
              <w:left w:val="nil"/>
              <w:bottom w:val="nil"/>
              <w:right w:val="nil"/>
            </w:tcBorders>
          </w:tcPr>
          <w:p w:rsidR="00A46DCA" w:rsidRPr="00847D34"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szCs w:val="16"/>
                <w:lang w:eastAsia="en-AU"/>
              </w:rPr>
            </w:pPr>
            <w:r w:rsidRPr="00847D34">
              <w:rPr>
                <w:rFonts w:eastAsiaTheme="minorEastAsia" w:cs="Calibri"/>
                <w:b/>
                <w:bCs/>
                <w:color w:val="000000"/>
                <w:sz w:val="16"/>
                <w:szCs w:val="16"/>
                <w:lang w:eastAsia="en-AU"/>
              </w:rPr>
              <w:t>72 597</w:t>
            </w:r>
          </w:p>
        </w:tc>
        <w:tc>
          <w:tcPr>
            <w:tcW w:w="850" w:type="dxa"/>
            <w:tcBorders>
              <w:top w:val="nil"/>
              <w:left w:val="nil"/>
              <w:bottom w:val="nil"/>
              <w:right w:val="nil"/>
            </w:tcBorders>
          </w:tcPr>
          <w:p w:rsidR="00A46DCA" w:rsidRPr="00847D34"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szCs w:val="16"/>
                <w:lang w:eastAsia="en-AU"/>
              </w:rPr>
            </w:pPr>
            <w:r w:rsidRPr="00847D34">
              <w:rPr>
                <w:rFonts w:eastAsiaTheme="minorEastAsia" w:cs="Calibri"/>
                <w:b/>
                <w:bCs/>
                <w:color w:val="000000"/>
                <w:sz w:val="16"/>
                <w:szCs w:val="16"/>
                <w:lang w:eastAsia="en-AU"/>
              </w:rPr>
              <w:t>75 751</w:t>
            </w:r>
          </w:p>
        </w:tc>
      </w:tr>
      <w:tr w:rsidR="00A46DCA" w:rsidRPr="00847D34" w:rsidTr="00A26D04">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A46DCA" w:rsidRPr="00847D34" w:rsidRDefault="00A46DCA" w:rsidP="00A26D04">
            <w:pPr>
              <w:keepLines w:val="0"/>
              <w:autoSpaceDE w:val="0"/>
              <w:autoSpaceDN w:val="0"/>
              <w:adjustRightInd w:val="0"/>
              <w:spacing w:after="0"/>
              <w:rPr>
                <w:rFonts w:eastAsiaTheme="minorEastAsia" w:cs="Calibri"/>
                <w:b/>
                <w:bCs/>
                <w:color w:val="000000"/>
                <w:sz w:val="16"/>
                <w:szCs w:val="16"/>
                <w:lang w:eastAsia="en-AU"/>
              </w:rPr>
            </w:pPr>
            <w:r w:rsidRPr="00847D34">
              <w:rPr>
                <w:rFonts w:eastAsiaTheme="minorEastAsia" w:cs="Calibri"/>
                <w:b/>
                <w:bCs/>
                <w:color w:val="000000"/>
                <w:sz w:val="16"/>
                <w:szCs w:val="16"/>
                <w:lang w:eastAsia="en-AU"/>
              </w:rPr>
              <w:t>Payments</w:t>
            </w:r>
          </w:p>
        </w:tc>
        <w:tc>
          <w:tcPr>
            <w:tcW w:w="850" w:type="dxa"/>
            <w:tcBorders>
              <w:top w:val="nil"/>
              <w:left w:val="nil"/>
              <w:bottom w:val="nil"/>
              <w:right w:val="nil"/>
            </w:tcBorders>
          </w:tcPr>
          <w:p w:rsidR="00A46DCA" w:rsidRPr="00847D34"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lang w:eastAsia="en-AU"/>
              </w:rPr>
            </w:pPr>
            <w:r w:rsidRPr="00847D34">
              <w:rPr>
                <w:rFonts w:eastAsiaTheme="minorEastAsia" w:cs="Calibri"/>
                <w:b/>
                <w:bCs/>
                <w:color w:val="000000"/>
                <w:sz w:val="16"/>
                <w:lang w:eastAsia="en-AU"/>
              </w:rPr>
              <w:t xml:space="preserve"> </w:t>
            </w:r>
          </w:p>
        </w:tc>
        <w:tc>
          <w:tcPr>
            <w:tcW w:w="850" w:type="dxa"/>
            <w:tcBorders>
              <w:top w:val="nil"/>
              <w:left w:val="nil"/>
              <w:bottom w:val="nil"/>
              <w:right w:val="nil"/>
            </w:tcBorders>
          </w:tcPr>
          <w:p w:rsidR="00A46DCA" w:rsidRPr="00847D34"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lang w:eastAsia="en-AU"/>
              </w:rPr>
            </w:pPr>
            <w:r w:rsidRPr="00847D34">
              <w:rPr>
                <w:rFonts w:eastAsiaTheme="minorEastAsia" w:cs="Calibri"/>
                <w:b/>
                <w:bCs/>
                <w:color w:val="000000"/>
                <w:sz w:val="16"/>
                <w:lang w:eastAsia="en-AU"/>
              </w:rPr>
              <w:t xml:space="preserve"> </w:t>
            </w:r>
          </w:p>
        </w:tc>
        <w:tc>
          <w:tcPr>
            <w:tcW w:w="850" w:type="dxa"/>
            <w:tcBorders>
              <w:top w:val="nil"/>
              <w:left w:val="nil"/>
              <w:bottom w:val="nil"/>
              <w:right w:val="nil"/>
            </w:tcBorders>
          </w:tcPr>
          <w:p w:rsidR="00A46DCA" w:rsidRPr="00847D34"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lang w:eastAsia="en-AU"/>
              </w:rPr>
            </w:pPr>
            <w:r w:rsidRPr="00847D34">
              <w:rPr>
                <w:rFonts w:eastAsiaTheme="minorEastAsia" w:cs="Calibri"/>
                <w:b/>
                <w:bCs/>
                <w:color w:val="000000"/>
                <w:sz w:val="16"/>
                <w:lang w:eastAsia="en-AU"/>
              </w:rPr>
              <w:t xml:space="preserve"> </w:t>
            </w:r>
          </w:p>
        </w:tc>
        <w:tc>
          <w:tcPr>
            <w:tcW w:w="850" w:type="dxa"/>
            <w:tcBorders>
              <w:top w:val="nil"/>
              <w:left w:val="nil"/>
              <w:bottom w:val="nil"/>
              <w:right w:val="nil"/>
            </w:tcBorders>
          </w:tcPr>
          <w:p w:rsidR="00A46DCA" w:rsidRPr="00847D34"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lang w:eastAsia="en-AU"/>
              </w:rPr>
            </w:pPr>
            <w:r w:rsidRPr="00847D34">
              <w:rPr>
                <w:rFonts w:eastAsiaTheme="minorEastAsia" w:cs="Calibri"/>
                <w:b/>
                <w:bCs/>
                <w:color w:val="000000"/>
                <w:sz w:val="16"/>
                <w:lang w:eastAsia="en-AU"/>
              </w:rPr>
              <w:t xml:space="preserve"> </w:t>
            </w:r>
          </w:p>
        </w:tc>
        <w:tc>
          <w:tcPr>
            <w:tcW w:w="850" w:type="dxa"/>
            <w:tcBorders>
              <w:top w:val="nil"/>
              <w:left w:val="nil"/>
              <w:bottom w:val="nil"/>
              <w:right w:val="nil"/>
            </w:tcBorders>
          </w:tcPr>
          <w:p w:rsidR="00A46DCA" w:rsidRPr="00847D34"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lang w:eastAsia="en-AU"/>
              </w:rPr>
            </w:pPr>
            <w:r w:rsidRPr="00847D34">
              <w:rPr>
                <w:rFonts w:eastAsiaTheme="minorEastAsia" w:cs="Calibri"/>
                <w:b/>
                <w:bCs/>
                <w:color w:val="000000"/>
                <w:sz w:val="16"/>
                <w:lang w:eastAsia="en-AU"/>
              </w:rPr>
              <w:t xml:space="preserve"> </w:t>
            </w:r>
          </w:p>
        </w:tc>
      </w:tr>
      <w:tr w:rsidR="00A46DCA" w:rsidRPr="00847D34" w:rsidTr="00A26D04">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A46DCA" w:rsidRPr="00847D34" w:rsidRDefault="00A46DCA" w:rsidP="00A26D04">
            <w:pPr>
              <w:keepLines w:val="0"/>
              <w:autoSpaceDE w:val="0"/>
              <w:autoSpaceDN w:val="0"/>
              <w:adjustRightInd w:val="0"/>
              <w:spacing w:after="0"/>
              <w:rPr>
                <w:rFonts w:eastAsiaTheme="minorEastAsia" w:cs="Calibri"/>
                <w:color w:val="000000"/>
                <w:sz w:val="16"/>
                <w:szCs w:val="16"/>
                <w:lang w:eastAsia="en-AU"/>
              </w:rPr>
            </w:pPr>
            <w:r w:rsidRPr="00847D34">
              <w:rPr>
                <w:rFonts w:eastAsiaTheme="minorEastAsia" w:cs="Calibri"/>
                <w:color w:val="000000"/>
                <w:sz w:val="16"/>
                <w:szCs w:val="16"/>
                <w:lang w:eastAsia="en-AU"/>
              </w:rPr>
              <w:t>Payments for employees</w:t>
            </w:r>
          </w:p>
        </w:tc>
        <w:tc>
          <w:tcPr>
            <w:tcW w:w="850" w:type="dxa"/>
            <w:tcBorders>
              <w:top w:val="nil"/>
              <w:left w:val="nil"/>
              <w:bottom w:val="nil"/>
              <w:right w:val="nil"/>
            </w:tcBorders>
          </w:tcPr>
          <w:p w:rsidR="00A46DCA" w:rsidRPr="00847D34"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lang w:eastAsia="en-AU"/>
              </w:rPr>
            </w:pPr>
            <w:r>
              <w:rPr>
                <w:rFonts w:eastAsiaTheme="minorEastAsia" w:cs="Calibri"/>
                <w:color w:val="000000"/>
                <w:sz w:val="16"/>
                <w:szCs w:val="16"/>
                <w:lang w:eastAsia="en-AU"/>
              </w:rPr>
              <w:t>(23 952)</w:t>
            </w:r>
          </w:p>
        </w:tc>
        <w:tc>
          <w:tcPr>
            <w:tcW w:w="850" w:type="dxa"/>
            <w:tcBorders>
              <w:top w:val="nil"/>
              <w:left w:val="nil"/>
              <w:bottom w:val="nil"/>
              <w:right w:val="nil"/>
            </w:tcBorders>
          </w:tcPr>
          <w:p w:rsidR="00A46DCA" w:rsidRPr="00847D34"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lang w:eastAsia="en-AU"/>
              </w:rPr>
            </w:pPr>
            <w:r>
              <w:rPr>
                <w:rFonts w:eastAsiaTheme="minorEastAsia" w:cs="Calibri"/>
                <w:color w:val="000000"/>
                <w:sz w:val="16"/>
                <w:szCs w:val="16"/>
                <w:lang w:eastAsia="en-AU"/>
              </w:rPr>
              <w:t>(24 008)</w:t>
            </w:r>
          </w:p>
        </w:tc>
        <w:tc>
          <w:tcPr>
            <w:tcW w:w="850" w:type="dxa"/>
            <w:tcBorders>
              <w:top w:val="nil"/>
              <w:left w:val="nil"/>
              <w:bottom w:val="nil"/>
              <w:right w:val="nil"/>
            </w:tcBorders>
          </w:tcPr>
          <w:p w:rsidR="00A46DCA" w:rsidRPr="00847D34"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lang w:eastAsia="en-AU"/>
              </w:rPr>
            </w:pPr>
            <w:r>
              <w:rPr>
                <w:rFonts w:eastAsiaTheme="minorEastAsia" w:cs="Calibri"/>
                <w:color w:val="000000"/>
                <w:sz w:val="16"/>
                <w:szCs w:val="16"/>
                <w:lang w:eastAsia="en-AU"/>
              </w:rPr>
              <w:t>(25 523)</w:t>
            </w:r>
          </w:p>
        </w:tc>
        <w:tc>
          <w:tcPr>
            <w:tcW w:w="850" w:type="dxa"/>
            <w:tcBorders>
              <w:top w:val="nil"/>
              <w:left w:val="nil"/>
              <w:bottom w:val="nil"/>
              <w:right w:val="nil"/>
            </w:tcBorders>
          </w:tcPr>
          <w:p w:rsidR="00A46DCA" w:rsidRPr="00847D34"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lang w:eastAsia="en-AU"/>
              </w:rPr>
            </w:pPr>
            <w:r>
              <w:rPr>
                <w:rFonts w:eastAsiaTheme="minorEastAsia" w:cs="Calibri"/>
                <w:color w:val="000000"/>
                <w:sz w:val="16"/>
                <w:szCs w:val="16"/>
                <w:lang w:eastAsia="en-AU"/>
              </w:rPr>
              <w:t>(26 118)</w:t>
            </w:r>
          </w:p>
        </w:tc>
        <w:tc>
          <w:tcPr>
            <w:tcW w:w="850" w:type="dxa"/>
            <w:tcBorders>
              <w:top w:val="nil"/>
              <w:left w:val="nil"/>
              <w:bottom w:val="nil"/>
              <w:right w:val="nil"/>
            </w:tcBorders>
          </w:tcPr>
          <w:p w:rsidR="00A46DCA" w:rsidRPr="00847D34"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lang w:eastAsia="en-AU"/>
              </w:rPr>
            </w:pPr>
            <w:r>
              <w:rPr>
                <w:rFonts w:eastAsiaTheme="minorEastAsia" w:cs="Calibri"/>
                <w:color w:val="000000"/>
                <w:sz w:val="16"/>
                <w:szCs w:val="16"/>
                <w:lang w:eastAsia="en-AU"/>
              </w:rPr>
              <w:t>(26 912)</w:t>
            </w:r>
          </w:p>
        </w:tc>
      </w:tr>
      <w:tr w:rsidR="00A46DCA" w:rsidRPr="00847D34" w:rsidTr="00A26D04">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A46DCA" w:rsidRPr="00847D34" w:rsidRDefault="00A46DCA" w:rsidP="00A26D04">
            <w:pPr>
              <w:keepLines w:val="0"/>
              <w:autoSpaceDE w:val="0"/>
              <w:autoSpaceDN w:val="0"/>
              <w:adjustRightInd w:val="0"/>
              <w:spacing w:after="0"/>
              <w:rPr>
                <w:rFonts w:eastAsiaTheme="minorEastAsia" w:cs="Calibri"/>
                <w:color w:val="000000"/>
                <w:sz w:val="16"/>
                <w:szCs w:val="16"/>
                <w:lang w:eastAsia="en-AU"/>
              </w:rPr>
            </w:pPr>
            <w:r w:rsidRPr="00847D34">
              <w:rPr>
                <w:rFonts w:eastAsiaTheme="minorEastAsia" w:cs="Calibri"/>
                <w:color w:val="000000"/>
                <w:sz w:val="16"/>
                <w:szCs w:val="16"/>
                <w:lang w:eastAsia="en-AU"/>
              </w:rPr>
              <w:t>Superannuation</w:t>
            </w:r>
          </w:p>
        </w:tc>
        <w:tc>
          <w:tcPr>
            <w:tcW w:w="850" w:type="dxa"/>
            <w:tcBorders>
              <w:top w:val="nil"/>
              <w:left w:val="nil"/>
              <w:bottom w:val="nil"/>
              <w:right w:val="nil"/>
            </w:tcBorders>
          </w:tcPr>
          <w:p w:rsidR="00A46DCA" w:rsidRPr="00847D34"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lang w:eastAsia="en-AU"/>
              </w:rPr>
            </w:pPr>
            <w:r>
              <w:rPr>
                <w:rFonts w:eastAsiaTheme="minorEastAsia" w:cs="Calibri"/>
                <w:color w:val="000000"/>
                <w:sz w:val="16"/>
                <w:szCs w:val="16"/>
                <w:lang w:eastAsia="en-AU"/>
              </w:rPr>
              <w:t>(3 223)</w:t>
            </w:r>
          </w:p>
        </w:tc>
        <w:tc>
          <w:tcPr>
            <w:tcW w:w="850" w:type="dxa"/>
            <w:tcBorders>
              <w:top w:val="nil"/>
              <w:left w:val="nil"/>
              <w:bottom w:val="nil"/>
              <w:right w:val="nil"/>
            </w:tcBorders>
          </w:tcPr>
          <w:p w:rsidR="00A46DCA" w:rsidRPr="00847D34"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lang w:eastAsia="en-AU"/>
              </w:rPr>
            </w:pPr>
            <w:r>
              <w:rPr>
                <w:rFonts w:eastAsiaTheme="minorEastAsia" w:cs="Calibri"/>
                <w:color w:val="000000"/>
                <w:sz w:val="16"/>
                <w:szCs w:val="16"/>
                <w:lang w:eastAsia="en-AU"/>
              </w:rPr>
              <w:t>(3 262)</w:t>
            </w:r>
          </w:p>
        </w:tc>
        <w:tc>
          <w:tcPr>
            <w:tcW w:w="850" w:type="dxa"/>
            <w:tcBorders>
              <w:top w:val="nil"/>
              <w:left w:val="nil"/>
              <w:bottom w:val="nil"/>
              <w:right w:val="nil"/>
            </w:tcBorders>
          </w:tcPr>
          <w:p w:rsidR="00A46DCA" w:rsidRPr="00847D34"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lang w:eastAsia="en-AU"/>
              </w:rPr>
            </w:pPr>
            <w:r>
              <w:rPr>
                <w:rFonts w:eastAsiaTheme="minorEastAsia" w:cs="Calibri"/>
                <w:color w:val="000000"/>
                <w:sz w:val="16"/>
                <w:szCs w:val="16"/>
                <w:lang w:eastAsia="en-AU"/>
              </w:rPr>
              <w:t>(3 338)</w:t>
            </w:r>
          </w:p>
        </w:tc>
        <w:tc>
          <w:tcPr>
            <w:tcW w:w="850" w:type="dxa"/>
            <w:tcBorders>
              <w:top w:val="nil"/>
              <w:left w:val="nil"/>
              <w:bottom w:val="nil"/>
              <w:right w:val="nil"/>
            </w:tcBorders>
          </w:tcPr>
          <w:p w:rsidR="00A46DCA" w:rsidRPr="00847D34"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lang w:eastAsia="en-AU"/>
              </w:rPr>
            </w:pPr>
            <w:r>
              <w:rPr>
                <w:rFonts w:eastAsiaTheme="minorEastAsia" w:cs="Calibri"/>
                <w:color w:val="000000"/>
                <w:sz w:val="16"/>
                <w:szCs w:val="16"/>
                <w:lang w:eastAsia="en-AU"/>
              </w:rPr>
              <w:t>(3 404)</w:t>
            </w:r>
          </w:p>
        </w:tc>
        <w:tc>
          <w:tcPr>
            <w:tcW w:w="850" w:type="dxa"/>
            <w:tcBorders>
              <w:top w:val="nil"/>
              <w:left w:val="nil"/>
              <w:bottom w:val="nil"/>
              <w:right w:val="nil"/>
            </w:tcBorders>
          </w:tcPr>
          <w:p w:rsidR="00A46DCA" w:rsidRPr="00847D34"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lang w:eastAsia="en-AU"/>
              </w:rPr>
            </w:pPr>
            <w:r>
              <w:rPr>
                <w:rFonts w:eastAsiaTheme="minorEastAsia" w:cs="Calibri"/>
                <w:color w:val="000000"/>
                <w:sz w:val="16"/>
                <w:szCs w:val="16"/>
                <w:lang w:eastAsia="en-AU"/>
              </w:rPr>
              <w:t>(3 443)</w:t>
            </w:r>
          </w:p>
        </w:tc>
      </w:tr>
      <w:tr w:rsidR="00A46DCA" w:rsidRPr="00847D34" w:rsidTr="00A26D04">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A46DCA" w:rsidRPr="00847D34" w:rsidRDefault="00A46DCA" w:rsidP="00A26D04">
            <w:pPr>
              <w:keepLines w:val="0"/>
              <w:autoSpaceDE w:val="0"/>
              <w:autoSpaceDN w:val="0"/>
              <w:adjustRightInd w:val="0"/>
              <w:spacing w:after="0"/>
              <w:rPr>
                <w:rFonts w:eastAsiaTheme="minorEastAsia" w:cs="Calibri"/>
                <w:color w:val="000000"/>
                <w:sz w:val="16"/>
                <w:szCs w:val="16"/>
                <w:lang w:eastAsia="en-AU"/>
              </w:rPr>
            </w:pPr>
            <w:r w:rsidRPr="00847D34">
              <w:rPr>
                <w:rFonts w:eastAsiaTheme="minorEastAsia" w:cs="Calibri"/>
                <w:color w:val="000000"/>
                <w:sz w:val="16"/>
                <w:szCs w:val="16"/>
                <w:lang w:eastAsia="en-AU"/>
              </w:rPr>
              <w:t>Interest paid</w:t>
            </w:r>
          </w:p>
        </w:tc>
        <w:tc>
          <w:tcPr>
            <w:tcW w:w="850" w:type="dxa"/>
            <w:tcBorders>
              <w:top w:val="nil"/>
              <w:left w:val="nil"/>
              <w:bottom w:val="nil"/>
              <w:right w:val="nil"/>
            </w:tcBorders>
          </w:tcPr>
          <w:p w:rsidR="00A46DCA" w:rsidRPr="00847D34"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lang w:eastAsia="en-AU"/>
              </w:rPr>
            </w:pPr>
            <w:r>
              <w:rPr>
                <w:rFonts w:eastAsiaTheme="minorEastAsia" w:cs="Calibri"/>
                <w:color w:val="000000"/>
                <w:sz w:val="16"/>
                <w:szCs w:val="16"/>
                <w:lang w:eastAsia="en-AU"/>
              </w:rPr>
              <w:t>(2 558)</w:t>
            </w:r>
          </w:p>
        </w:tc>
        <w:tc>
          <w:tcPr>
            <w:tcW w:w="850" w:type="dxa"/>
            <w:tcBorders>
              <w:top w:val="nil"/>
              <w:left w:val="nil"/>
              <w:bottom w:val="nil"/>
              <w:right w:val="nil"/>
            </w:tcBorders>
          </w:tcPr>
          <w:p w:rsidR="00A46DCA" w:rsidRPr="00847D34"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lang w:eastAsia="en-AU"/>
              </w:rPr>
            </w:pPr>
            <w:r>
              <w:rPr>
                <w:rFonts w:eastAsiaTheme="minorEastAsia" w:cs="Calibri"/>
                <w:color w:val="000000"/>
                <w:sz w:val="16"/>
                <w:szCs w:val="16"/>
                <w:lang w:eastAsia="en-AU"/>
              </w:rPr>
              <w:t>(2 633)</w:t>
            </w:r>
          </w:p>
        </w:tc>
        <w:tc>
          <w:tcPr>
            <w:tcW w:w="850" w:type="dxa"/>
            <w:tcBorders>
              <w:top w:val="nil"/>
              <w:left w:val="nil"/>
              <w:bottom w:val="nil"/>
              <w:right w:val="nil"/>
            </w:tcBorders>
          </w:tcPr>
          <w:p w:rsidR="00A46DCA" w:rsidRPr="00847D34"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lang w:eastAsia="en-AU"/>
              </w:rPr>
            </w:pPr>
            <w:r>
              <w:rPr>
                <w:rFonts w:eastAsiaTheme="minorEastAsia" w:cs="Calibri"/>
                <w:color w:val="000000"/>
                <w:sz w:val="16"/>
                <w:szCs w:val="16"/>
                <w:lang w:eastAsia="en-AU"/>
              </w:rPr>
              <w:t>(2 691)</w:t>
            </w:r>
          </w:p>
        </w:tc>
        <w:tc>
          <w:tcPr>
            <w:tcW w:w="850" w:type="dxa"/>
            <w:tcBorders>
              <w:top w:val="nil"/>
              <w:left w:val="nil"/>
              <w:bottom w:val="nil"/>
              <w:right w:val="nil"/>
            </w:tcBorders>
          </w:tcPr>
          <w:p w:rsidR="00A46DCA" w:rsidRPr="00847D34"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lang w:eastAsia="en-AU"/>
              </w:rPr>
            </w:pPr>
            <w:r>
              <w:rPr>
                <w:rFonts w:eastAsiaTheme="minorEastAsia" w:cs="Calibri"/>
                <w:color w:val="000000"/>
                <w:sz w:val="16"/>
                <w:szCs w:val="16"/>
                <w:lang w:eastAsia="en-AU"/>
              </w:rPr>
              <w:t>(2 767)</w:t>
            </w:r>
          </w:p>
        </w:tc>
        <w:tc>
          <w:tcPr>
            <w:tcW w:w="850" w:type="dxa"/>
            <w:tcBorders>
              <w:top w:val="nil"/>
              <w:left w:val="nil"/>
              <w:bottom w:val="nil"/>
              <w:right w:val="nil"/>
            </w:tcBorders>
          </w:tcPr>
          <w:p w:rsidR="00A46DCA" w:rsidRPr="00847D34"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lang w:eastAsia="en-AU"/>
              </w:rPr>
            </w:pPr>
            <w:r>
              <w:rPr>
                <w:rFonts w:eastAsiaTheme="minorEastAsia" w:cs="Calibri"/>
                <w:color w:val="000000"/>
                <w:sz w:val="16"/>
                <w:szCs w:val="16"/>
                <w:lang w:eastAsia="en-AU"/>
              </w:rPr>
              <w:t>(2 894)</w:t>
            </w:r>
          </w:p>
        </w:tc>
      </w:tr>
      <w:tr w:rsidR="00A46DCA" w:rsidRPr="00847D34" w:rsidTr="00A26D04">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A46DCA" w:rsidRPr="00847D34" w:rsidRDefault="00A46DCA" w:rsidP="00A26D04">
            <w:pPr>
              <w:keepLines w:val="0"/>
              <w:autoSpaceDE w:val="0"/>
              <w:autoSpaceDN w:val="0"/>
              <w:adjustRightInd w:val="0"/>
              <w:spacing w:after="0"/>
              <w:rPr>
                <w:rFonts w:eastAsiaTheme="minorEastAsia" w:cs="Calibri"/>
                <w:color w:val="000000"/>
                <w:sz w:val="16"/>
                <w:szCs w:val="16"/>
                <w:lang w:eastAsia="en-AU"/>
              </w:rPr>
            </w:pPr>
            <w:r w:rsidRPr="00847D34">
              <w:rPr>
                <w:rFonts w:eastAsiaTheme="minorEastAsia" w:cs="Calibri"/>
                <w:color w:val="000000"/>
                <w:sz w:val="16"/>
                <w:szCs w:val="16"/>
                <w:lang w:eastAsia="en-AU"/>
              </w:rPr>
              <w:t>Grants and subsidies</w:t>
            </w:r>
          </w:p>
        </w:tc>
        <w:tc>
          <w:tcPr>
            <w:tcW w:w="850" w:type="dxa"/>
            <w:tcBorders>
              <w:top w:val="nil"/>
              <w:left w:val="nil"/>
              <w:bottom w:val="nil"/>
              <w:right w:val="nil"/>
            </w:tcBorders>
          </w:tcPr>
          <w:p w:rsidR="00A46DCA" w:rsidRPr="00847D34"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lang w:eastAsia="en-AU"/>
              </w:rPr>
            </w:pPr>
            <w:r>
              <w:rPr>
                <w:rFonts w:eastAsiaTheme="minorEastAsia" w:cs="Calibri"/>
                <w:color w:val="000000"/>
                <w:sz w:val="16"/>
                <w:szCs w:val="16"/>
                <w:lang w:eastAsia="en-AU"/>
              </w:rPr>
              <w:t>(7 975)</w:t>
            </w:r>
          </w:p>
        </w:tc>
        <w:tc>
          <w:tcPr>
            <w:tcW w:w="850" w:type="dxa"/>
            <w:tcBorders>
              <w:top w:val="nil"/>
              <w:left w:val="nil"/>
              <w:bottom w:val="nil"/>
              <w:right w:val="nil"/>
            </w:tcBorders>
          </w:tcPr>
          <w:p w:rsidR="00A46DCA" w:rsidRPr="00847D34"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lang w:eastAsia="en-AU"/>
              </w:rPr>
            </w:pPr>
            <w:r>
              <w:rPr>
                <w:rFonts w:eastAsiaTheme="minorEastAsia" w:cs="Calibri"/>
                <w:color w:val="000000"/>
                <w:sz w:val="16"/>
                <w:szCs w:val="16"/>
                <w:lang w:eastAsia="en-AU"/>
              </w:rPr>
              <w:t>(7 298)</w:t>
            </w:r>
          </w:p>
        </w:tc>
        <w:tc>
          <w:tcPr>
            <w:tcW w:w="850" w:type="dxa"/>
            <w:tcBorders>
              <w:top w:val="nil"/>
              <w:left w:val="nil"/>
              <w:bottom w:val="nil"/>
              <w:right w:val="nil"/>
            </w:tcBorders>
          </w:tcPr>
          <w:p w:rsidR="00A46DCA" w:rsidRPr="00847D34"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lang w:eastAsia="en-AU"/>
              </w:rPr>
            </w:pPr>
            <w:r>
              <w:rPr>
                <w:rFonts w:eastAsiaTheme="minorEastAsia" w:cs="Calibri"/>
                <w:color w:val="000000"/>
                <w:sz w:val="16"/>
                <w:szCs w:val="16"/>
                <w:lang w:eastAsia="en-AU"/>
              </w:rPr>
              <w:t>(8 875)</w:t>
            </w:r>
          </w:p>
        </w:tc>
        <w:tc>
          <w:tcPr>
            <w:tcW w:w="850" w:type="dxa"/>
            <w:tcBorders>
              <w:top w:val="nil"/>
              <w:left w:val="nil"/>
              <w:bottom w:val="nil"/>
              <w:right w:val="nil"/>
            </w:tcBorders>
          </w:tcPr>
          <w:p w:rsidR="00A46DCA" w:rsidRPr="00847D34"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lang w:eastAsia="en-AU"/>
              </w:rPr>
            </w:pPr>
            <w:r>
              <w:rPr>
                <w:rFonts w:eastAsiaTheme="minorEastAsia" w:cs="Calibri"/>
                <w:color w:val="000000"/>
                <w:sz w:val="16"/>
                <w:szCs w:val="16"/>
                <w:lang w:eastAsia="en-AU"/>
              </w:rPr>
              <w:t>(9 648)</w:t>
            </w:r>
          </w:p>
        </w:tc>
        <w:tc>
          <w:tcPr>
            <w:tcW w:w="850" w:type="dxa"/>
            <w:tcBorders>
              <w:top w:val="nil"/>
              <w:left w:val="nil"/>
              <w:bottom w:val="nil"/>
              <w:right w:val="nil"/>
            </w:tcBorders>
          </w:tcPr>
          <w:p w:rsidR="00A46DCA" w:rsidRPr="00847D34"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lang w:eastAsia="en-AU"/>
              </w:rPr>
            </w:pPr>
            <w:r>
              <w:rPr>
                <w:rFonts w:eastAsiaTheme="minorEastAsia" w:cs="Calibri"/>
                <w:color w:val="000000"/>
                <w:sz w:val="16"/>
                <w:szCs w:val="16"/>
                <w:lang w:eastAsia="en-AU"/>
              </w:rPr>
              <w:t>(10 003)</w:t>
            </w:r>
          </w:p>
        </w:tc>
      </w:tr>
      <w:tr w:rsidR="00A46DCA" w:rsidRPr="00847D34" w:rsidTr="00A26D04">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A46DCA" w:rsidRPr="00847D34" w:rsidRDefault="00A46DCA" w:rsidP="00A26D04">
            <w:pPr>
              <w:keepLines w:val="0"/>
              <w:autoSpaceDE w:val="0"/>
              <w:autoSpaceDN w:val="0"/>
              <w:adjustRightInd w:val="0"/>
              <w:spacing w:after="0"/>
              <w:rPr>
                <w:rFonts w:eastAsiaTheme="minorEastAsia" w:cs="Calibri"/>
                <w:color w:val="000000"/>
                <w:sz w:val="16"/>
                <w:szCs w:val="16"/>
                <w:vertAlign w:val="superscript"/>
                <w:lang w:eastAsia="en-AU"/>
              </w:rPr>
            </w:pPr>
            <w:r w:rsidRPr="00847D34">
              <w:rPr>
                <w:rFonts w:eastAsiaTheme="minorEastAsia" w:cs="Calibri"/>
                <w:color w:val="000000"/>
                <w:sz w:val="16"/>
                <w:szCs w:val="16"/>
                <w:lang w:eastAsia="en-AU"/>
              </w:rPr>
              <w:t xml:space="preserve">Goods and services </w:t>
            </w:r>
            <w:r w:rsidRPr="00847D34">
              <w:rPr>
                <w:rFonts w:eastAsiaTheme="minorEastAsia" w:cs="Calibri"/>
                <w:color w:val="000000"/>
                <w:sz w:val="16"/>
                <w:szCs w:val="16"/>
                <w:vertAlign w:val="superscript"/>
                <w:lang w:eastAsia="en-AU"/>
              </w:rPr>
              <w:t>(b)</w:t>
            </w:r>
          </w:p>
        </w:tc>
        <w:tc>
          <w:tcPr>
            <w:tcW w:w="850" w:type="dxa"/>
            <w:tcBorders>
              <w:top w:val="nil"/>
              <w:left w:val="nil"/>
              <w:bottom w:val="nil"/>
              <w:right w:val="nil"/>
            </w:tcBorders>
          </w:tcPr>
          <w:p w:rsidR="00A46DCA" w:rsidRPr="00847D34"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lang w:eastAsia="en-AU"/>
              </w:rPr>
            </w:pPr>
            <w:r>
              <w:rPr>
                <w:rFonts w:eastAsiaTheme="minorEastAsia" w:cs="Calibri"/>
                <w:color w:val="000000"/>
                <w:sz w:val="16"/>
                <w:szCs w:val="16"/>
                <w:lang w:eastAsia="en-AU"/>
              </w:rPr>
              <w:t>(23 999)</w:t>
            </w:r>
          </w:p>
        </w:tc>
        <w:tc>
          <w:tcPr>
            <w:tcW w:w="850" w:type="dxa"/>
            <w:tcBorders>
              <w:top w:val="nil"/>
              <w:left w:val="nil"/>
              <w:bottom w:val="nil"/>
              <w:right w:val="nil"/>
            </w:tcBorders>
          </w:tcPr>
          <w:p w:rsidR="00A46DCA" w:rsidRPr="00847D34"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lang w:eastAsia="en-AU"/>
              </w:rPr>
            </w:pPr>
            <w:r>
              <w:rPr>
                <w:rFonts w:eastAsiaTheme="minorEastAsia" w:cs="Calibri"/>
                <w:color w:val="000000"/>
                <w:sz w:val="16"/>
                <w:szCs w:val="16"/>
                <w:lang w:eastAsia="en-AU"/>
              </w:rPr>
              <w:t>(25 305)</w:t>
            </w:r>
          </w:p>
        </w:tc>
        <w:tc>
          <w:tcPr>
            <w:tcW w:w="850" w:type="dxa"/>
            <w:tcBorders>
              <w:top w:val="nil"/>
              <w:left w:val="nil"/>
              <w:bottom w:val="nil"/>
              <w:right w:val="nil"/>
            </w:tcBorders>
          </w:tcPr>
          <w:p w:rsidR="00A46DCA" w:rsidRPr="00847D34"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lang w:eastAsia="en-AU"/>
              </w:rPr>
            </w:pPr>
            <w:r>
              <w:rPr>
                <w:rFonts w:eastAsiaTheme="minorEastAsia" w:cs="Calibri"/>
                <w:color w:val="000000"/>
                <w:sz w:val="16"/>
                <w:szCs w:val="16"/>
                <w:lang w:eastAsia="en-AU"/>
              </w:rPr>
              <w:t>(24 354)</w:t>
            </w:r>
          </w:p>
        </w:tc>
        <w:tc>
          <w:tcPr>
            <w:tcW w:w="850" w:type="dxa"/>
            <w:tcBorders>
              <w:top w:val="nil"/>
              <w:left w:val="nil"/>
              <w:bottom w:val="nil"/>
              <w:right w:val="nil"/>
            </w:tcBorders>
          </w:tcPr>
          <w:p w:rsidR="00A46DCA" w:rsidRPr="00847D34"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lang w:eastAsia="en-AU"/>
              </w:rPr>
            </w:pPr>
            <w:r>
              <w:rPr>
                <w:rFonts w:eastAsiaTheme="minorEastAsia" w:cs="Calibri"/>
                <w:color w:val="000000"/>
                <w:sz w:val="16"/>
                <w:szCs w:val="16"/>
                <w:lang w:eastAsia="en-AU"/>
              </w:rPr>
              <w:t>(24 345)</w:t>
            </w:r>
          </w:p>
        </w:tc>
        <w:tc>
          <w:tcPr>
            <w:tcW w:w="850" w:type="dxa"/>
            <w:tcBorders>
              <w:top w:val="nil"/>
              <w:left w:val="nil"/>
              <w:bottom w:val="nil"/>
              <w:right w:val="nil"/>
            </w:tcBorders>
          </w:tcPr>
          <w:p w:rsidR="00A46DCA" w:rsidRPr="00847D34"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lang w:eastAsia="en-AU"/>
              </w:rPr>
            </w:pPr>
            <w:r>
              <w:rPr>
                <w:rFonts w:eastAsiaTheme="minorEastAsia" w:cs="Calibri"/>
                <w:color w:val="000000"/>
                <w:sz w:val="16"/>
                <w:szCs w:val="16"/>
                <w:lang w:eastAsia="en-AU"/>
              </w:rPr>
              <w:t>(25 416)</w:t>
            </w:r>
          </w:p>
        </w:tc>
      </w:tr>
      <w:tr w:rsidR="00A46DCA" w:rsidRPr="00847D34" w:rsidTr="00A26D04">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A46DCA" w:rsidRPr="00847D34" w:rsidRDefault="00A46DCA" w:rsidP="00A26D04">
            <w:pPr>
              <w:keepLines w:val="0"/>
              <w:autoSpaceDE w:val="0"/>
              <w:autoSpaceDN w:val="0"/>
              <w:adjustRightInd w:val="0"/>
              <w:spacing w:after="0"/>
              <w:rPr>
                <w:rFonts w:eastAsiaTheme="minorEastAsia" w:cs="Calibri"/>
                <w:color w:val="000000"/>
                <w:sz w:val="16"/>
                <w:szCs w:val="16"/>
                <w:lang w:eastAsia="en-AU"/>
              </w:rPr>
            </w:pPr>
            <w:r w:rsidRPr="00847D34">
              <w:rPr>
                <w:rFonts w:eastAsiaTheme="minorEastAsia" w:cs="Calibri"/>
                <w:color w:val="000000"/>
                <w:sz w:val="16"/>
                <w:szCs w:val="16"/>
                <w:lang w:eastAsia="en-AU"/>
              </w:rPr>
              <w:t>Other payments</w:t>
            </w:r>
          </w:p>
        </w:tc>
        <w:tc>
          <w:tcPr>
            <w:tcW w:w="850" w:type="dxa"/>
            <w:tcBorders>
              <w:top w:val="nil"/>
              <w:left w:val="nil"/>
              <w:bottom w:val="nil"/>
              <w:right w:val="nil"/>
            </w:tcBorders>
          </w:tcPr>
          <w:p w:rsidR="00A46DCA" w:rsidRPr="00847D34"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lang w:eastAsia="en-AU"/>
              </w:rPr>
            </w:pPr>
            <w:r>
              <w:rPr>
                <w:rFonts w:eastAsiaTheme="minorEastAsia" w:cs="Calibri"/>
                <w:color w:val="000000"/>
                <w:sz w:val="16"/>
                <w:szCs w:val="16"/>
                <w:lang w:eastAsia="en-AU"/>
              </w:rPr>
              <w:t>(737)</w:t>
            </w:r>
          </w:p>
        </w:tc>
        <w:tc>
          <w:tcPr>
            <w:tcW w:w="850" w:type="dxa"/>
            <w:tcBorders>
              <w:top w:val="nil"/>
              <w:left w:val="nil"/>
              <w:bottom w:val="nil"/>
              <w:right w:val="nil"/>
            </w:tcBorders>
          </w:tcPr>
          <w:p w:rsidR="00A46DCA" w:rsidRPr="00847D34"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lang w:eastAsia="en-AU"/>
              </w:rPr>
            </w:pPr>
            <w:r>
              <w:rPr>
                <w:rFonts w:eastAsiaTheme="minorEastAsia" w:cs="Calibri"/>
                <w:color w:val="000000"/>
                <w:sz w:val="16"/>
                <w:szCs w:val="16"/>
                <w:lang w:eastAsia="en-AU"/>
              </w:rPr>
              <w:t>(735)</w:t>
            </w:r>
          </w:p>
        </w:tc>
        <w:tc>
          <w:tcPr>
            <w:tcW w:w="850" w:type="dxa"/>
            <w:tcBorders>
              <w:top w:val="nil"/>
              <w:left w:val="nil"/>
              <w:bottom w:val="nil"/>
              <w:right w:val="nil"/>
            </w:tcBorders>
          </w:tcPr>
          <w:p w:rsidR="00A46DCA" w:rsidRPr="00847D34"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lang w:eastAsia="en-AU"/>
              </w:rPr>
            </w:pPr>
            <w:r>
              <w:rPr>
                <w:rFonts w:eastAsiaTheme="minorEastAsia" w:cs="Calibri"/>
                <w:color w:val="000000"/>
                <w:sz w:val="16"/>
                <w:szCs w:val="16"/>
                <w:lang w:eastAsia="en-AU"/>
              </w:rPr>
              <w:t>(754)</w:t>
            </w:r>
          </w:p>
        </w:tc>
        <w:tc>
          <w:tcPr>
            <w:tcW w:w="850" w:type="dxa"/>
            <w:tcBorders>
              <w:top w:val="nil"/>
              <w:left w:val="nil"/>
              <w:bottom w:val="nil"/>
              <w:right w:val="nil"/>
            </w:tcBorders>
          </w:tcPr>
          <w:p w:rsidR="00A46DCA" w:rsidRPr="00847D34"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lang w:eastAsia="en-AU"/>
              </w:rPr>
            </w:pPr>
            <w:r>
              <w:rPr>
                <w:rFonts w:eastAsiaTheme="minorEastAsia" w:cs="Calibri"/>
                <w:color w:val="000000"/>
                <w:sz w:val="16"/>
                <w:szCs w:val="16"/>
                <w:lang w:eastAsia="en-AU"/>
              </w:rPr>
              <w:t>(788)</w:t>
            </w:r>
          </w:p>
        </w:tc>
        <w:tc>
          <w:tcPr>
            <w:tcW w:w="850" w:type="dxa"/>
            <w:tcBorders>
              <w:top w:val="nil"/>
              <w:left w:val="nil"/>
              <w:bottom w:val="nil"/>
              <w:right w:val="nil"/>
            </w:tcBorders>
          </w:tcPr>
          <w:p w:rsidR="00A46DCA" w:rsidRPr="00847D34"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lang w:eastAsia="en-AU"/>
              </w:rPr>
            </w:pPr>
            <w:r>
              <w:rPr>
                <w:rFonts w:eastAsiaTheme="minorEastAsia" w:cs="Calibri"/>
                <w:color w:val="000000"/>
                <w:sz w:val="16"/>
                <w:szCs w:val="16"/>
                <w:lang w:eastAsia="en-AU"/>
              </w:rPr>
              <w:t>(830)</w:t>
            </w:r>
          </w:p>
        </w:tc>
      </w:tr>
      <w:tr w:rsidR="00A46DCA" w:rsidRPr="00847D34" w:rsidTr="00A26D04">
        <w:tc>
          <w:tcPr>
            <w:cnfStyle w:val="001000000000" w:firstRow="0" w:lastRow="0" w:firstColumn="1" w:lastColumn="0" w:oddVBand="0" w:evenVBand="0" w:oddHBand="0" w:evenHBand="0" w:firstRowFirstColumn="0" w:firstRowLastColumn="0" w:lastRowFirstColumn="0" w:lastRowLastColumn="0"/>
            <w:tcW w:w="3515" w:type="dxa"/>
            <w:tcBorders>
              <w:top w:val="single" w:sz="6" w:space="0" w:color="000000"/>
              <w:left w:val="nil"/>
              <w:bottom w:val="single" w:sz="6" w:space="0" w:color="000000"/>
              <w:right w:val="nil"/>
            </w:tcBorders>
          </w:tcPr>
          <w:p w:rsidR="00A46DCA" w:rsidRPr="00847D34" w:rsidRDefault="00A46DCA" w:rsidP="00A26D04">
            <w:pPr>
              <w:keepLines w:val="0"/>
              <w:autoSpaceDE w:val="0"/>
              <w:autoSpaceDN w:val="0"/>
              <w:adjustRightInd w:val="0"/>
              <w:spacing w:after="0"/>
              <w:rPr>
                <w:rFonts w:eastAsiaTheme="minorEastAsia" w:cs="Calibri"/>
                <w:b/>
                <w:bCs/>
                <w:color w:val="000000"/>
                <w:sz w:val="16"/>
                <w:szCs w:val="16"/>
                <w:lang w:eastAsia="en-AU"/>
              </w:rPr>
            </w:pPr>
            <w:r w:rsidRPr="00847D34">
              <w:rPr>
                <w:rFonts w:eastAsiaTheme="minorEastAsia" w:cs="Calibri"/>
                <w:b/>
                <w:bCs/>
                <w:color w:val="000000"/>
                <w:sz w:val="16"/>
                <w:szCs w:val="16"/>
                <w:lang w:eastAsia="en-AU"/>
              </w:rPr>
              <w:t>Total payments</w:t>
            </w:r>
          </w:p>
        </w:tc>
        <w:tc>
          <w:tcPr>
            <w:tcW w:w="850" w:type="dxa"/>
            <w:tcBorders>
              <w:top w:val="single" w:sz="6" w:space="0" w:color="000000"/>
              <w:left w:val="nil"/>
              <w:bottom w:val="single" w:sz="6" w:space="0" w:color="000000"/>
              <w:right w:val="nil"/>
            </w:tcBorders>
          </w:tcPr>
          <w:p w:rsidR="00A46DCA" w:rsidRPr="00847D34"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szCs w:val="16"/>
                <w:lang w:eastAsia="en-AU"/>
              </w:rPr>
            </w:pPr>
            <w:r>
              <w:rPr>
                <w:rFonts w:eastAsiaTheme="minorEastAsia" w:cs="Calibri"/>
                <w:b/>
                <w:bCs/>
                <w:color w:val="000000"/>
                <w:sz w:val="16"/>
                <w:szCs w:val="16"/>
                <w:lang w:eastAsia="en-AU"/>
              </w:rPr>
              <w:t>(62 442)</w:t>
            </w:r>
          </w:p>
        </w:tc>
        <w:tc>
          <w:tcPr>
            <w:tcW w:w="850" w:type="dxa"/>
            <w:tcBorders>
              <w:top w:val="single" w:sz="6" w:space="0" w:color="000000"/>
              <w:left w:val="nil"/>
              <w:bottom w:val="single" w:sz="6" w:space="0" w:color="000000"/>
              <w:right w:val="nil"/>
            </w:tcBorders>
          </w:tcPr>
          <w:p w:rsidR="00A46DCA" w:rsidRPr="00847D34"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szCs w:val="16"/>
                <w:lang w:eastAsia="en-AU"/>
              </w:rPr>
            </w:pPr>
            <w:r>
              <w:rPr>
                <w:rFonts w:eastAsiaTheme="minorEastAsia" w:cs="Calibri"/>
                <w:b/>
                <w:bCs/>
                <w:color w:val="000000"/>
                <w:sz w:val="16"/>
                <w:szCs w:val="16"/>
                <w:lang w:eastAsia="en-AU"/>
              </w:rPr>
              <w:t>(63 242)</w:t>
            </w:r>
          </w:p>
        </w:tc>
        <w:tc>
          <w:tcPr>
            <w:tcW w:w="850" w:type="dxa"/>
            <w:tcBorders>
              <w:top w:val="single" w:sz="6" w:space="0" w:color="000000"/>
              <w:left w:val="nil"/>
              <w:bottom w:val="single" w:sz="6" w:space="0" w:color="000000"/>
              <w:right w:val="nil"/>
            </w:tcBorders>
          </w:tcPr>
          <w:p w:rsidR="00A46DCA" w:rsidRPr="00847D34"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szCs w:val="16"/>
                <w:lang w:eastAsia="en-AU"/>
              </w:rPr>
            </w:pPr>
            <w:r>
              <w:rPr>
                <w:rFonts w:eastAsiaTheme="minorEastAsia" w:cs="Calibri"/>
                <w:b/>
                <w:bCs/>
                <w:color w:val="000000"/>
                <w:sz w:val="16"/>
                <w:szCs w:val="16"/>
                <w:lang w:eastAsia="en-AU"/>
              </w:rPr>
              <w:t>(65 535)</w:t>
            </w:r>
          </w:p>
        </w:tc>
        <w:tc>
          <w:tcPr>
            <w:tcW w:w="850" w:type="dxa"/>
            <w:tcBorders>
              <w:top w:val="single" w:sz="6" w:space="0" w:color="000000"/>
              <w:left w:val="nil"/>
              <w:bottom w:val="single" w:sz="6" w:space="0" w:color="000000"/>
              <w:right w:val="nil"/>
            </w:tcBorders>
          </w:tcPr>
          <w:p w:rsidR="00A46DCA" w:rsidRPr="00847D34"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szCs w:val="16"/>
                <w:lang w:eastAsia="en-AU"/>
              </w:rPr>
            </w:pPr>
            <w:r>
              <w:rPr>
                <w:rFonts w:eastAsiaTheme="minorEastAsia" w:cs="Calibri"/>
                <w:b/>
                <w:bCs/>
                <w:color w:val="000000"/>
                <w:sz w:val="16"/>
                <w:szCs w:val="16"/>
                <w:lang w:eastAsia="en-AU"/>
              </w:rPr>
              <w:t>(67 071)</w:t>
            </w:r>
          </w:p>
        </w:tc>
        <w:tc>
          <w:tcPr>
            <w:tcW w:w="850" w:type="dxa"/>
            <w:tcBorders>
              <w:top w:val="single" w:sz="6" w:space="0" w:color="000000"/>
              <w:left w:val="nil"/>
              <w:bottom w:val="single" w:sz="6" w:space="0" w:color="000000"/>
              <w:right w:val="nil"/>
            </w:tcBorders>
          </w:tcPr>
          <w:p w:rsidR="00A46DCA" w:rsidRPr="00847D34"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szCs w:val="16"/>
                <w:lang w:eastAsia="en-AU"/>
              </w:rPr>
            </w:pPr>
            <w:r>
              <w:rPr>
                <w:rFonts w:eastAsiaTheme="minorEastAsia" w:cs="Calibri"/>
                <w:b/>
                <w:bCs/>
                <w:color w:val="000000"/>
                <w:sz w:val="16"/>
                <w:szCs w:val="16"/>
                <w:lang w:eastAsia="en-AU"/>
              </w:rPr>
              <w:t>(69 498)</w:t>
            </w:r>
          </w:p>
        </w:tc>
      </w:tr>
      <w:tr w:rsidR="00A46DCA" w:rsidRPr="00847D34" w:rsidTr="00A26D04">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A46DCA" w:rsidRPr="00847D34" w:rsidRDefault="00A46DCA" w:rsidP="00A26D04">
            <w:pPr>
              <w:keepLines w:val="0"/>
              <w:autoSpaceDE w:val="0"/>
              <w:autoSpaceDN w:val="0"/>
              <w:adjustRightInd w:val="0"/>
              <w:spacing w:after="0"/>
              <w:rPr>
                <w:rFonts w:eastAsiaTheme="minorEastAsia" w:cs="Calibri"/>
                <w:b/>
                <w:bCs/>
                <w:color w:val="000000"/>
                <w:sz w:val="16"/>
                <w:szCs w:val="16"/>
                <w:lang w:eastAsia="en-AU"/>
              </w:rPr>
            </w:pPr>
            <w:r w:rsidRPr="00847D34">
              <w:rPr>
                <w:rFonts w:eastAsiaTheme="minorEastAsia" w:cs="Calibri"/>
                <w:b/>
                <w:bCs/>
                <w:color w:val="000000"/>
                <w:sz w:val="16"/>
                <w:szCs w:val="16"/>
                <w:lang w:eastAsia="en-AU"/>
              </w:rPr>
              <w:t>Net cash flows from operating activities</w:t>
            </w:r>
          </w:p>
        </w:tc>
        <w:tc>
          <w:tcPr>
            <w:tcW w:w="850" w:type="dxa"/>
            <w:tcBorders>
              <w:top w:val="nil"/>
              <w:left w:val="nil"/>
              <w:bottom w:val="nil"/>
              <w:right w:val="nil"/>
            </w:tcBorders>
          </w:tcPr>
          <w:p w:rsidR="00A46DCA" w:rsidRPr="00847D34"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szCs w:val="16"/>
                <w:lang w:eastAsia="en-AU"/>
              </w:rPr>
            </w:pPr>
            <w:r w:rsidRPr="00847D34">
              <w:rPr>
                <w:rFonts w:eastAsiaTheme="minorEastAsia" w:cs="Calibri"/>
                <w:b/>
                <w:bCs/>
                <w:color w:val="000000"/>
                <w:sz w:val="16"/>
                <w:szCs w:val="16"/>
                <w:lang w:eastAsia="en-AU"/>
              </w:rPr>
              <w:t>4 728</w:t>
            </w:r>
          </w:p>
        </w:tc>
        <w:tc>
          <w:tcPr>
            <w:tcW w:w="850" w:type="dxa"/>
            <w:tcBorders>
              <w:top w:val="nil"/>
              <w:left w:val="nil"/>
              <w:bottom w:val="nil"/>
              <w:right w:val="nil"/>
            </w:tcBorders>
          </w:tcPr>
          <w:p w:rsidR="00A46DCA" w:rsidRPr="00847D34"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szCs w:val="16"/>
                <w:lang w:eastAsia="en-AU"/>
              </w:rPr>
            </w:pPr>
            <w:r w:rsidRPr="00847D34">
              <w:rPr>
                <w:rFonts w:eastAsiaTheme="minorEastAsia" w:cs="Calibri"/>
                <w:b/>
                <w:bCs/>
                <w:color w:val="000000"/>
                <w:sz w:val="16"/>
                <w:szCs w:val="16"/>
                <w:lang w:eastAsia="en-AU"/>
              </w:rPr>
              <w:t>4 885</w:t>
            </w:r>
          </w:p>
        </w:tc>
        <w:tc>
          <w:tcPr>
            <w:tcW w:w="850" w:type="dxa"/>
            <w:tcBorders>
              <w:top w:val="nil"/>
              <w:left w:val="nil"/>
              <w:bottom w:val="nil"/>
              <w:right w:val="nil"/>
            </w:tcBorders>
          </w:tcPr>
          <w:p w:rsidR="00A46DCA" w:rsidRPr="00847D34"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szCs w:val="16"/>
                <w:lang w:eastAsia="en-AU"/>
              </w:rPr>
            </w:pPr>
            <w:r w:rsidRPr="00847D34">
              <w:rPr>
                <w:rFonts w:eastAsiaTheme="minorEastAsia" w:cs="Calibri"/>
                <w:b/>
                <w:bCs/>
                <w:color w:val="000000"/>
                <w:sz w:val="16"/>
                <w:szCs w:val="16"/>
                <w:lang w:eastAsia="en-AU"/>
              </w:rPr>
              <w:t>7 295</w:t>
            </w:r>
          </w:p>
        </w:tc>
        <w:tc>
          <w:tcPr>
            <w:tcW w:w="850" w:type="dxa"/>
            <w:tcBorders>
              <w:top w:val="nil"/>
              <w:left w:val="nil"/>
              <w:bottom w:val="nil"/>
              <w:right w:val="nil"/>
            </w:tcBorders>
          </w:tcPr>
          <w:p w:rsidR="00A46DCA" w:rsidRPr="00847D34"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szCs w:val="16"/>
                <w:lang w:eastAsia="en-AU"/>
              </w:rPr>
            </w:pPr>
            <w:r w:rsidRPr="00847D34">
              <w:rPr>
                <w:rFonts w:eastAsiaTheme="minorEastAsia" w:cs="Calibri"/>
                <w:b/>
                <w:bCs/>
                <w:color w:val="000000"/>
                <w:sz w:val="16"/>
                <w:szCs w:val="16"/>
                <w:lang w:eastAsia="en-AU"/>
              </w:rPr>
              <w:t>5 525</w:t>
            </w:r>
          </w:p>
        </w:tc>
        <w:tc>
          <w:tcPr>
            <w:tcW w:w="850" w:type="dxa"/>
            <w:tcBorders>
              <w:top w:val="nil"/>
              <w:left w:val="nil"/>
              <w:bottom w:val="nil"/>
              <w:right w:val="nil"/>
            </w:tcBorders>
          </w:tcPr>
          <w:p w:rsidR="00A46DCA" w:rsidRPr="00847D34"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szCs w:val="16"/>
                <w:lang w:eastAsia="en-AU"/>
              </w:rPr>
            </w:pPr>
            <w:r w:rsidRPr="00847D34">
              <w:rPr>
                <w:rFonts w:eastAsiaTheme="minorEastAsia" w:cs="Calibri"/>
                <w:b/>
                <w:bCs/>
                <w:color w:val="000000"/>
                <w:sz w:val="16"/>
                <w:szCs w:val="16"/>
                <w:lang w:eastAsia="en-AU"/>
              </w:rPr>
              <w:t>6 253</w:t>
            </w:r>
          </w:p>
        </w:tc>
      </w:tr>
      <w:tr w:rsidR="00A46DCA" w:rsidRPr="00847D34" w:rsidTr="00A26D04">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A46DCA" w:rsidRPr="00847D34" w:rsidRDefault="00A46DCA" w:rsidP="00A26D04">
            <w:pPr>
              <w:keepLines w:val="0"/>
              <w:autoSpaceDE w:val="0"/>
              <w:autoSpaceDN w:val="0"/>
              <w:adjustRightInd w:val="0"/>
              <w:spacing w:after="0"/>
              <w:rPr>
                <w:rFonts w:eastAsiaTheme="minorEastAsia" w:cs="Calibri"/>
                <w:b/>
                <w:bCs/>
                <w:color w:val="000000"/>
                <w:sz w:val="16"/>
                <w:szCs w:val="16"/>
                <w:lang w:eastAsia="en-AU"/>
              </w:rPr>
            </w:pPr>
            <w:r w:rsidRPr="00847D34">
              <w:rPr>
                <w:rFonts w:eastAsiaTheme="minorEastAsia" w:cs="Calibri"/>
                <w:b/>
                <w:bCs/>
                <w:color w:val="000000"/>
                <w:sz w:val="16"/>
                <w:szCs w:val="16"/>
                <w:lang w:eastAsia="en-AU"/>
              </w:rPr>
              <w:t>Cash flows from investing activities</w:t>
            </w:r>
          </w:p>
        </w:tc>
        <w:tc>
          <w:tcPr>
            <w:tcW w:w="850" w:type="dxa"/>
            <w:tcBorders>
              <w:top w:val="nil"/>
              <w:left w:val="nil"/>
              <w:bottom w:val="nil"/>
              <w:right w:val="nil"/>
            </w:tcBorders>
          </w:tcPr>
          <w:p w:rsidR="00A46DCA" w:rsidRPr="00847D34"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lang w:eastAsia="en-AU"/>
              </w:rPr>
            </w:pPr>
            <w:r w:rsidRPr="00847D34">
              <w:rPr>
                <w:rFonts w:eastAsiaTheme="minorEastAsia" w:cs="Calibri"/>
                <w:b/>
                <w:bCs/>
                <w:color w:val="000000"/>
                <w:sz w:val="16"/>
                <w:lang w:eastAsia="en-AU"/>
              </w:rPr>
              <w:t xml:space="preserve"> </w:t>
            </w:r>
          </w:p>
        </w:tc>
        <w:tc>
          <w:tcPr>
            <w:tcW w:w="850" w:type="dxa"/>
            <w:tcBorders>
              <w:top w:val="nil"/>
              <w:left w:val="nil"/>
              <w:bottom w:val="nil"/>
              <w:right w:val="nil"/>
            </w:tcBorders>
          </w:tcPr>
          <w:p w:rsidR="00A46DCA" w:rsidRPr="00847D34"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lang w:eastAsia="en-AU"/>
              </w:rPr>
            </w:pPr>
            <w:r w:rsidRPr="00847D34">
              <w:rPr>
                <w:rFonts w:eastAsiaTheme="minorEastAsia" w:cs="Calibri"/>
                <w:b/>
                <w:bCs/>
                <w:color w:val="000000"/>
                <w:sz w:val="16"/>
                <w:lang w:eastAsia="en-AU"/>
              </w:rPr>
              <w:t xml:space="preserve"> </w:t>
            </w:r>
          </w:p>
        </w:tc>
        <w:tc>
          <w:tcPr>
            <w:tcW w:w="850" w:type="dxa"/>
            <w:tcBorders>
              <w:top w:val="nil"/>
              <w:left w:val="nil"/>
              <w:bottom w:val="nil"/>
              <w:right w:val="nil"/>
            </w:tcBorders>
          </w:tcPr>
          <w:p w:rsidR="00A46DCA" w:rsidRPr="00847D34"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lang w:eastAsia="en-AU"/>
              </w:rPr>
            </w:pPr>
            <w:r w:rsidRPr="00847D34">
              <w:rPr>
                <w:rFonts w:eastAsiaTheme="minorEastAsia" w:cs="Calibri"/>
                <w:b/>
                <w:bCs/>
                <w:color w:val="000000"/>
                <w:sz w:val="16"/>
                <w:lang w:eastAsia="en-AU"/>
              </w:rPr>
              <w:t xml:space="preserve"> </w:t>
            </w:r>
          </w:p>
        </w:tc>
        <w:tc>
          <w:tcPr>
            <w:tcW w:w="850" w:type="dxa"/>
            <w:tcBorders>
              <w:top w:val="nil"/>
              <w:left w:val="nil"/>
              <w:bottom w:val="nil"/>
              <w:right w:val="nil"/>
            </w:tcBorders>
          </w:tcPr>
          <w:p w:rsidR="00A46DCA" w:rsidRPr="00847D34"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lang w:eastAsia="en-AU"/>
              </w:rPr>
            </w:pPr>
            <w:r w:rsidRPr="00847D34">
              <w:rPr>
                <w:rFonts w:eastAsiaTheme="minorEastAsia" w:cs="Calibri"/>
                <w:b/>
                <w:bCs/>
                <w:color w:val="000000"/>
                <w:sz w:val="16"/>
                <w:lang w:eastAsia="en-AU"/>
              </w:rPr>
              <w:t xml:space="preserve"> </w:t>
            </w:r>
          </w:p>
        </w:tc>
        <w:tc>
          <w:tcPr>
            <w:tcW w:w="850" w:type="dxa"/>
            <w:tcBorders>
              <w:top w:val="nil"/>
              <w:left w:val="nil"/>
              <w:bottom w:val="nil"/>
              <w:right w:val="nil"/>
            </w:tcBorders>
          </w:tcPr>
          <w:p w:rsidR="00A46DCA" w:rsidRPr="00847D34"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lang w:eastAsia="en-AU"/>
              </w:rPr>
            </w:pPr>
            <w:r w:rsidRPr="00847D34">
              <w:rPr>
                <w:rFonts w:eastAsiaTheme="minorEastAsia" w:cs="Calibri"/>
                <w:b/>
                <w:bCs/>
                <w:color w:val="000000"/>
                <w:sz w:val="16"/>
                <w:lang w:eastAsia="en-AU"/>
              </w:rPr>
              <w:t xml:space="preserve"> </w:t>
            </w:r>
          </w:p>
        </w:tc>
      </w:tr>
      <w:tr w:rsidR="00A46DCA" w:rsidRPr="00847D34" w:rsidTr="00A26D04">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A46DCA" w:rsidRPr="00847D34" w:rsidRDefault="00A46DCA" w:rsidP="008E5E35">
            <w:pPr>
              <w:keepLines w:val="0"/>
              <w:autoSpaceDE w:val="0"/>
              <w:autoSpaceDN w:val="0"/>
              <w:adjustRightInd w:val="0"/>
              <w:spacing w:after="0"/>
              <w:rPr>
                <w:rFonts w:eastAsiaTheme="minorEastAsia" w:cs="Calibri"/>
                <w:color w:val="000000"/>
                <w:sz w:val="16"/>
                <w:szCs w:val="16"/>
                <w:lang w:eastAsia="en-AU"/>
              </w:rPr>
            </w:pPr>
            <w:r w:rsidRPr="00847D34">
              <w:rPr>
                <w:rFonts w:eastAsiaTheme="minorEastAsia" w:cs="Calibri"/>
                <w:color w:val="000000"/>
                <w:sz w:val="16"/>
                <w:szCs w:val="16"/>
                <w:lang w:eastAsia="en-AU"/>
              </w:rPr>
              <w:t>Net cash flows from investments in non-financial assets</w:t>
            </w:r>
          </w:p>
        </w:tc>
        <w:tc>
          <w:tcPr>
            <w:tcW w:w="850" w:type="dxa"/>
            <w:tcBorders>
              <w:top w:val="nil"/>
              <w:left w:val="nil"/>
              <w:bottom w:val="nil"/>
              <w:right w:val="nil"/>
            </w:tcBorders>
          </w:tcPr>
          <w:p w:rsidR="00A46DCA" w:rsidRPr="00847D34"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lang w:eastAsia="en-AU"/>
              </w:rPr>
            </w:pPr>
            <w:r>
              <w:rPr>
                <w:rFonts w:eastAsiaTheme="minorEastAsia" w:cs="Calibri"/>
                <w:color w:val="000000"/>
                <w:sz w:val="16"/>
                <w:szCs w:val="16"/>
                <w:lang w:eastAsia="en-AU"/>
              </w:rPr>
              <w:t>(11 328)</w:t>
            </w:r>
          </w:p>
        </w:tc>
        <w:tc>
          <w:tcPr>
            <w:tcW w:w="850" w:type="dxa"/>
            <w:tcBorders>
              <w:top w:val="nil"/>
              <w:left w:val="nil"/>
              <w:bottom w:val="nil"/>
              <w:right w:val="nil"/>
            </w:tcBorders>
          </w:tcPr>
          <w:p w:rsidR="00A46DCA" w:rsidRPr="00847D34"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lang w:eastAsia="en-AU"/>
              </w:rPr>
            </w:pPr>
            <w:r>
              <w:rPr>
                <w:rFonts w:eastAsiaTheme="minorEastAsia" w:cs="Calibri"/>
                <w:color w:val="000000"/>
                <w:sz w:val="16"/>
                <w:szCs w:val="16"/>
                <w:lang w:eastAsia="en-AU"/>
              </w:rPr>
              <w:t>(11 518)</w:t>
            </w:r>
          </w:p>
        </w:tc>
        <w:tc>
          <w:tcPr>
            <w:tcW w:w="850" w:type="dxa"/>
            <w:tcBorders>
              <w:top w:val="nil"/>
              <w:left w:val="nil"/>
              <w:bottom w:val="nil"/>
              <w:right w:val="nil"/>
            </w:tcBorders>
          </w:tcPr>
          <w:p w:rsidR="00A46DCA" w:rsidRPr="00847D34"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lang w:eastAsia="en-AU"/>
              </w:rPr>
            </w:pPr>
            <w:r>
              <w:rPr>
                <w:rFonts w:eastAsiaTheme="minorEastAsia" w:cs="Calibri"/>
                <w:color w:val="000000"/>
                <w:sz w:val="16"/>
                <w:szCs w:val="16"/>
                <w:lang w:eastAsia="en-AU"/>
              </w:rPr>
              <w:t>(10 555)</w:t>
            </w:r>
          </w:p>
        </w:tc>
        <w:tc>
          <w:tcPr>
            <w:tcW w:w="850" w:type="dxa"/>
            <w:tcBorders>
              <w:top w:val="nil"/>
              <w:left w:val="nil"/>
              <w:bottom w:val="nil"/>
              <w:right w:val="nil"/>
            </w:tcBorders>
          </w:tcPr>
          <w:p w:rsidR="00A46DCA" w:rsidRPr="00847D34"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lang w:eastAsia="en-AU"/>
              </w:rPr>
            </w:pPr>
            <w:r>
              <w:rPr>
                <w:rFonts w:eastAsiaTheme="minorEastAsia" w:cs="Calibri"/>
                <w:color w:val="000000"/>
                <w:sz w:val="16"/>
                <w:szCs w:val="16"/>
                <w:lang w:eastAsia="en-AU"/>
              </w:rPr>
              <w:t>(9 264)</w:t>
            </w:r>
          </w:p>
        </w:tc>
        <w:tc>
          <w:tcPr>
            <w:tcW w:w="850" w:type="dxa"/>
            <w:tcBorders>
              <w:top w:val="nil"/>
              <w:left w:val="nil"/>
              <w:bottom w:val="nil"/>
              <w:right w:val="nil"/>
            </w:tcBorders>
          </w:tcPr>
          <w:p w:rsidR="00A46DCA" w:rsidRPr="00847D34"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lang w:eastAsia="en-AU"/>
              </w:rPr>
            </w:pPr>
            <w:r>
              <w:rPr>
                <w:rFonts w:eastAsiaTheme="minorEastAsia" w:cs="Calibri"/>
                <w:color w:val="000000"/>
                <w:sz w:val="16"/>
                <w:szCs w:val="16"/>
                <w:lang w:eastAsia="en-AU"/>
              </w:rPr>
              <w:t>(8 870)</w:t>
            </w:r>
          </w:p>
        </w:tc>
      </w:tr>
      <w:tr w:rsidR="00A46DCA" w:rsidRPr="00847D34" w:rsidTr="00A26D04">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A46DCA" w:rsidRPr="00847D34" w:rsidRDefault="00A46DCA" w:rsidP="008E5E35">
            <w:pPr>
              <w:keepLines w:val="0"/>
              <w:autoSpaceDE w:val="0"/>
              <w:autoSpaceDN w:val="0"/>
              <w:adjustRightInd w:val="0"/>
              <w:spacing w:after="0"/>
              <w:rPr>
                <w:rFonts w:eastAsiaTheme="minorEastAsia" w:cs="Calibri"/>
                <w:color w:val="000000"/>
                <w:sz w:val="16"/>
                <w:szCs w:val="16"/>
                <w:lang w:eastAsia="en-AU"/>
              </w:rPr>
            </w:pPr>
            <w:r w:rsidRPr="00847D34">
              <w:rPr>
                <w:rFonts w:eastAsiaTheme="minorEastAsia" w:cs="Calibri"/>
                <w:color w:val="000000"/>
                <w:sz w:val="16"/>
                <w:szCs w:val="16"/>
                <w:lang w:eastAsia="en-AU"/>
              </w:rPr>
              <w:t>Net cash flows from investments in financial assets for policy purposes</w:t>
            </w:r>
          </w:p>
        </w:tc>
        <w:tc>
          <w:tcPr>
            <w:tcW w:w="850" w:type="dxa"/>
            <w:tcBorders>
              <w:top w:val="nil"/>
              <w:left w:val="nil"/>
              <w:bottom w:val="nil"/>
              <w:right w:val="nil"/>
            </w:tcBorders>
          </w:tcPr>
          <w:p w:rsidR="00A46DCA" w:rsidRPr="00847D34"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lang w:eastAsia="en-AU"/>
              </w:rPr>
            </w:pPr>
            <w:r>
              <w:rPr>
                <w:rFonts w:eastAsiaTheme="minorEastAsia" w:cs="Calibri"/>
                <w:color w:val="000000"/>
                <w:sz w:val="16"/>
                <w:szCs w:val="16"/>
                <w:lang w:eastAsia="en-AU"/>
              </w:rPr>
              <w:t>50</w:t>
            </w:r>
          </w:p>
        </w:tc>
        <w:tc>
          <w:tcPr>
            <w:tcW w:w="850" w:type="dxa"/>
            <w:tcBorders>
              <w:top w:val="nil"/>
              <w:left w:val="nil"/>
              <w:bottom w:val="nil"/>
              <w:right w:val="nil"/>
            </w:tcBorders>
          </w:tcPr>
          <w:p w:rsidR="00A46DCA" w:rsidRPr="00847D34"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lang w:eastAsia="en-AU"/>
              </w:rPr>
            </w:pPr>
            <w:r>
              <w:rPr>
                <w:rFonts w:eastAsiaTheme="minorEastAsia" w:cs="Calibri"/>
                <w:color w:val="000000"/>
                <w:sz w:val="16"/>
                <w:szCs w:val="16"/>
                <w:lang w:eastAsia="en-AU"/>
              </w:rPr>
              <w:t>69</w:t>
            </w:r>
          </w:p>
        </w:tc>
        <w:tc>
          <w:tcPr>
            <w:tcW w:w="850" w:type="dxa"/>
            <w:tcBorders>
              <w:top w:val="nil"/>
              <w:left w:val="nil"/>
              <w:bottom w:val="nil"/>
              <w:right w:val="nil"/>
            </w:tcBorders>
          </w:tcPr>
          <w:p w:rsidR="00A46DCA" w:rsidRPr="00847D34"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lang w:eastAsia="en-AU"/>
              </w:rPr>
            </w:pPr>
            <w:r>
              <w:rPr>
                <w:rFonts w:eastAsiaTheme="minorEastAsia" w:cs="Calibri"/>
                <w:color w:val="000000"/>
                <w:sz w:val="16"/>
                <w:szCs w:val="16"/>
                <w:lang w:eastAsia="en-AU"/>
              </w:rPr>
              <w:t>681</w:t>
            </w:r>
          </w:p>
        </w:tc>
        <w:tc>
          <w:tcPr>
            <w:tcW w:w="850" w:type="dxa"/>
            <w:tcBorders>
              <w:top w:val="nil"/>
              <w:left w:val="nil"/>
              <w:bottom w:val="nil"/>
              <w:right w:val="nil"/>
            </w:tcBorders>
          </w:tcPr>
          <w:p w:rsidR="00A46DCA" w:rsidRPr="00847D34"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lang w:eastAsia="en-AU"/>
              </w:rPr>
            </w:pPr>
            <w:r>
              <w:rPr>
                <w:rFonts w:eastAsiaTheme="minorEastAsia" w:cs="Calibri"/>
                <w:color w:val="000000"/>
                <w:sz w:val="16"/>
                <w:szCs w:val="16"/>
                <w:lang w:eastAsia="en-AU"/>
              </w:rPr>
              <w:t>670</w:t>
            </w:r>
          </w:p>
        </w:tc>
        <w:tc>
          <w:tcPr>
            <w:tcW w:w="850" w:type="dxa"/>
            <w:tcBorders>
              <w:top w:val="nil"/>
              <w:left w:val="nil"/>
              <w:bottom w:val="nil"/>
              <w:right w:val="nil"/>
            </w:tcBorders>
          </w:tcPr>
          <w:p w:rsidR="00A46DCA" w:rsidRPr="00847D34"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lang w:eastAsia="en-AU"/>
              </w:rPr>
            </w:pPr>
            <w:r w:rsidRPr="00847D34">
              <w:rPr>
                <w:rFonts w:eastAsiaTheme="minorEastAsia" w:cs="Calibri"/>
                <w:color w:val="000000"/>
                <w:sz w:val="16"/>
                <w:szCs w:val="16"/>
                <w:lang w:eastAsia="en-AU"/>
              </w:rPr>
              <w:t>1 119</w:t>
            </w:r>
          </w:p>
        </w:tc>
      </w:tr>
      <w:tr w:rsidR="00A46DCA" w:rsidRPr="00847D34" w:rsidTr="00A26D04">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single" w:sz="6" w:space="0" w:color="000000"/>
              <w:right w:val="nil"/>
            </w:tcBorders>
          </w:tcPr>
          <w:p w:rsidR="00A46DCA" w:rsidRPr="00847D34" w:rsidRDefault="00A46DCA" w:rsidP="00A26D04">
            <w:pPr>
              <w:keepLines w:val="0"/>
              <w:autoSpaceDE w:val="0"/>
              <w:autoSpaceDN w:val="0"/>
              <w:adjustRightInd w:val="0"/>
              <w:spacing w:after="0"/>
              <w:rPr>
                <w:rFonts w:eastAsiaTheme="minorEastAsia" w:cs="Calibri"/>
                <w:color w:val="000000"/>
                <w:sz w:val="16"/>
                <w:szCs w:val="16"/>
                <w:lang w:eastAsia="en-AU"/>
              </w:rPr>
            </w:pPr>
            <w:r w:rsidRPr="00847D34">
              <w:rPr>
                <w:rFonts w:eastAsiaTheme="minorEastAsia" w:cs="Calibri"/>
                <w:color w:val="000000"/>
                <w:sz w:val="16"/>
                <w:szCs w:val="16"/>
                <w:lang w:eastAsia="en-AU"/>
              </w:rPr>
              <w:t>Net cash flows from investment in financial assets for liquidity management purposes</w:t>
            </w:r>
          </w:p>
        </w:tc>
        <w:tc>
          <w:tcPr>
            <w:tcW w:w="850" w:type="dxa"/>
            <w:tcBorders>
              <w:top w:val="nil"/>
              <w:left w:val="nil"/>
              <w:bottom w:val="single" w:sz="6" w:space="0" w:color="000000"/>
              <w:right w:val="nil"/>
            </w:tcBorders>
          </w:tcPr>
          <w:p w:rsidR="00A46DCA" w:rsidRPr="00847D34"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lang w:eastAsia="en-AU"/>
              </w:rPr>
            </w:pPr>
            <w:r>
              <w:rPr>
                <w:rFonts w:eastAsiaTheme="minorEastAsia" w:cs="Calibri"/>
                <w:color w:val="000000"/>
                <w:sz w:val="16"/>
                <w:szCs w:val="16"/>
                <w:lang w:eastAsia="en-AU"/>
              </w:rPr>
              <w:t>949</w:t>
            </w:r>
          </w:p>
        </w:tc>
        <w:tc>
          <w:tcPr>
            <w:tcW w:w="850" w:type="dxa"/>
            <w:tcBorders>
              <w:top w:val="nil"/>
              <w:left w:val="nil"/>
              <w:bottom w:val="single" w:sz="6" w:space="0" w:color="000000"/>
              <w:right w:val="nil"/>
            </w:tcBorders>
          </w:tcPr>
          <w:p w:rsidR="00A46DCA" w:rsidRPr="00847D34"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lang w:eastAsia="en-AU"/>
              </w:rPr>
            </w:pPr>
            <w:r>
              <w:rPr>
                <w:rFonts w:eastAsiaTheme="minorEastAsia" w:cs="Calibri"/>
                <w:color w:val="000000"/>
                <w:sz w:val="16"/>
                <w:szCs w:val="16"/>
                <w:lang w:eastAsia="en-AU"/>
              </w:rPr>
              <w:t>411</w:t>
            </w:r>
          </w:p>
        </w:tc>
        <w:tc>
          <w:tcPr>
            <w:tcW w:w="850" w:type="dxa"/>
            <w:tcBorders>
              <w:top w:val="nil"/>
              <w:left w:val="nil"/>
              <w:bottom w:val="single" w:sz="6" w:space="0" w:color="000000"/>
              <w:right w:val="nil"/>
            </w:tcBorders>
          </w:tcPr>
          <w:p w:rsidR="00A46DCA" w:rsidRPr="00847D34"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lang w:eastAsia="en-AU"/>
              </w:rPr>
            </w:pPr>
            <w:r>
              <w:rPr>
                <w:rFonts w:eastAsiaTheme="minorEastAsia" w:cs="Calibri"/>
                <w:color w:val="000000"/>
                <w:sz w:val="16"/>
                <w:szCs w:val="16"/>
                <w:lang w:eastAsia="en-AU"/>
              </w:rPr>
              <w:t>206</w:t>
            </w:r>
          </w:p>
        </w:tc>
        <w:tc>
          <w:tcPr>
            <w:tcW w:w="850" w:type="dxa"/>
            <w:tcBorders>
              <w:top w:val="nil"/>
              <w:left w:val="nil"/>
              <w:bottom w:val="single" w:sz="6" w:space="0" w:color="000000"/>
              <w:right w:val="nil"/>
            </w:tcBorders>
          </w:tcPr>
          <w:p w:rsidR="00A46DCA" w:rsidRPr="00847D34"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lang w:eastAsia="en-AU"/>
              </w:rPr>
            </w:pPr>
            <w:r>
              <w:rPr>
                <w:rFonts w:eastAsiaTheme="minorEastAsia" w:cs="Calibri"/>
                <w:color w:val="000000"/>
                <w:sz w:val="16"/>
                <w:szCs w:val="16"/>
                <w:lang w:eastAsia="en-AU"/>
              </w:rPr>
              <w:t>91</w:t>
            </w:r>
          </w:p>
        </w:tc>
        <w:tc>
          <w:tcPr>
            <w:tcW w:w="850" w:type="dxa"/>
            <w:tcBorders>
              <w:top w:val="nil"/>
              <w:left w:val="nil"/>
              <w:bottom w:val="single" w:sz="6" w:space="0" w:color="000000"/>
              <w:right w:val="nil"/>
            </w:tcBorders>
          </w:tcPr>
          <w:p w:rsidR="00A46DCA" w:rsidRPr="00847D34"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lang w:eastAsia="en-AU"/>
              </w:rPr>
            </w:pPr>
            <w:r>
              <w:rPr>
                <w:rFonts w:eastAsiaTheme="minorEastAsia" w:cs="Calibri"/>
                <w:color w:val="000000"/>
                <w:sz w:val="16"/>
                <w:szCs w:val="16"/>
                <w:lang w:eastAsia="en-AU"/>
              </w:rPr>
              <w:t>128</w:t>
            </w:r>
          </w:p>
        </w:tc>
      </w:tr>
      <w:tr w:rsidR="00A46DCA" w:rsidRPr="00847D34" w:rsidTr="00A26D04">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A46DCA" w:rsidRPr="00847D34" w:rsidRDefault="00A46DCA" w:rsidP="00A26D04">
            <w:pPr>
              <w:keepLines w:val="0"/>
              <w:autoSpaceDE w:val="0"/>
              <w:autoSpaceDN w:val="0"/>
              <w:adjustRightInd w:val="0"/>
              <w:spacing w:after="0"/>
              <w:rPr>
                <w:rFonts w:eastAsiaTheme="minorEastAsia" w:cs="Calibri"/>
                <w:b/>
                <w:bCs/>
                <w:color w:val="000000"/>
                <w:sz w:val="16"/>
                <w:szCs w:val="16"/>
                <w:lang w:eastAsia="en-AU"/>
              </w:rPr>
            </w:pPr>
            <w:r w:rsidRPr="00847D34">
              <w:rPr>
                <w:rFonts w:eastAsiaTheme="minorEastAsia" w:cs="Calibri"/>
                <w:b/>
                <w:bCs/>
                <w:color w:val="000000"/>
                <w:sz w:val="16"/>
                <w:szCs w:val="16"/>
                <w:lang w:eastAsia="en-AU"/>
              </w:rPr>
              <w:t>Net cash flows from investing activities</w:t>
            </w:r>
          </w:p>
        </w:tc>
        <w:tc>
          <w:tcPr>
            <w:tcW w:w="850" w:type="dxa"/>
            <w:tcBorders>
              <w:top w:val="nil"/>
              <w:left w:val="nil"/>
              <w:bottom w:val="nil"/>
              <w:right w:val="nil"/>
            </w:tcBorders>
          </w:tcPr>
          <w:p w:rsidR="00A46DCA" w:rsidRPr="00847D34"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szCs w:val="16"/>
                <w:lang w:eastAsia="en-AU"/>
              </w:rPr>
            </w:pPr>
            <w:r>
              <w:rPr>
                <w:rFonts w:eastAsiaTheme="minorEastAsia" w:cs="Calibri"/>
                <w:b/>
                <w:bCs/>
                <w:color w:val="000000"/>
                <w:sz w:val="16"/>
                <w:szCs w:val="16"/>
                <w:lang w:eastAsia="en-AU"/>
              </w:rPr>
              <w:t>(10 330)</w:t>
            </w:r>
          </w:p>
        </w:tc>
        <w:tc>
          <w:tcPr>
            <w:tcW w:w="850" w:type="dxa"/>
            <w:tcBorders>
              <w:top w:val="nil"/>
              <w:left w:val="nil"/>
              <w:bottom w:val="nil"/>
              <w:right w:val="nil"/>
            </w:tcBorders>
          </w:tcPr>
          <w:p w:rsidR="00A46DCA" w:rsidRPr="00847D34"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szCs w:val="16"/>
                <w:lang w:eastAsia="en-AU"/>
              </w:rPr>
            </w:pPr>
            <w:r>
              <w:rPr>
                <w:rFonts w:eastAsiaTheme="minorEastAsia" w:cs="Calibri"/>
                <w:b/>
                <w:bCs/>
                <w:color w:val="000000"/>
                <w:sz w:val="16"/>
                <w:szCs w:val="16"/>
                <w:lang w:eastAsia="en-AU"/>
              </w:rPr>
              <w:t>(11 037)</w:t>
            </w:r>
          </w:p>
        </w:tc>
        <w:tc>
          <w:tcPr>
            <w:tcW w:w="850" w:type="dxa"/>
            <w:tcBorders>
              <w:top w:val="nil"/>
              <w:left w:val="nil"/>
              <w:bottom w:val="nil"/>
              <w:right w:val="nil"/>
            </w:tcBorders>
          </w:tcPr>
          <w:p w:rsidR="00A46DCA" w:rsidRPr="00847D34"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szCs w:val="16"/>
                <w:lang w:eastAsia="en-AU"/>
              </w:rPr>
            </w:pPr>
            <w:r>
              <w:rPr>
                <w:rFonts w:eastAsiaTheme="minorEastAsia" w:cs="Calibri"/>
                <w:b/>
                <w:bCs/>
                <w:color w:val="000000"/>
                <w:sz w:val="16"/>
                <w:szCs w:val="16"/>
                <w:lang w:eastAsia="en-AU"/>
              </w:rPr>
              <w:t>(9 668)</w:t>
            </w:r>
          </w:p>
        </w:tc>
        <w:tc>
          <w:tcPr>
            <w:tcW w:w="850" w:type="dxa"/>
            <w:tcBorders>
              <w:top w:val="nil"/>
              <w:left w:val="nil"/>
              <w:bottom w:val="nil"/>
              <w:right w:val="nil"/>
            </w:tcBorders>
          </w:tcPr>
          <w:p w:rsidR="00A46DCA" w:rsidRPr="00847D34"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szCs w:val="16"/>
                <w:lang w:eastAsia="en-AU"/>
              </w:rPr>
            </w:pPr>
            <w:r>
              <w:rPr>
                <w:rFonts w:eastAsiaTheme="minorEastAsia" w:cs="Calibri"/>
                <w:b/>
                <w:bCs/>
                <w:color w:val="000000"/>
                <w:sz w:val="16"/>
                <w:szCs w:val="16"/>
                <w:lang w:eastAsia="en-AU"/>
              </w:rPr>
              <w:t>(8 503)</w:t>
            </w:r>
          </w:p>
        </w:tc>
        <w:tc>
          <w:tcPr>
            <w:tcW w:w="850" w:type="dxa"/>
            <w:tcBorders>
              <w:top w:val="nil"/>
              <w:left w:val="nil"/>
              <w:bottom w:val="nil"/>
              <w:right w:val="nil"/>
            </w:tcBorders>
          </w:tcPr>
          <w:p w:rsidR="00A46DCA" w:rsidRPr="00847D34"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szCs w:val="16"/>
                <w:lang w:eastAsia="en-AU"/>
              </w:rPr>
            </w:pPr>
            <w:r>
              <w:rPr>
                <w:rFonts w:eastAsiaTheme="minorEastAsia" w:cs="Calibri"/>
                <w:b/>
                <w:bCs/>
                <w:color w:val="000000"/>
                <w:sz w:val="16"/>
                <w:szCs w:val="16"/>
                <w:lang w:eastAsia="en-AU"/>
              </w:rPr>
              <w:t>(7 624)</w:t>
            </w:r>
          </w:p>
        </w:tc>
      </w:tr>
      <w:tr w:rsidR="00A46DCA" w:rsidRPr="00847D34" w:rsidTr="00A26D04">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A46DCA" w:rsidRPr="00847D34" w:rsidRDefault="00A46DCA" w:rsidP="00A26D04">
            <w:pPr>
              <w:keepLines w:val="0"/>
              <w:autoSpaceDE w:val="0"/>
              <w:autoSpaceDN w:val="0"/>
              <w:adjustRightInd w:val="0"/>
              <w:spacing w:after="0"/>
              <w:rPr>
                <w:rFonts w:eastAsiaTheme="minorEastAsia" w:cs="Calibri"/>
                <w:b/>
                <w:bCs/>
                <w:color w:val="000000"/>
                <w:sz w:val="16"/>
                <w:szCs w:val="16"/>
                <w:lang w:eastAsia="en-AU"/>
              </w:rPr>
            </w:pPr>
            <w:r w:rsidRPr="00847D34">
              <w:rPr>
                <w:rFonts w:eastAsiaTheme="minorEastAsia" w:cs="Calibri"/>
                <w:b/>
                <w:bCs/>
                <w:color w:val="000000"/>
                <w:sz w:val="16"/>
                <w:szCs w:val="16"/>
                <w:lang w:eastAsia="en-AU"/>
              </w:rPr>
              <w:t>Cash flows from financing activities</w:t>
            </w:r>
          </w:p>
        </w:tc>
        <w:tc>
          <w:tcPr>
            <w:tcW w:w="850" w:type="dxa"/>
            <w:tcBorders>
              <w:top w:val="nil"/>
              <w:left w:val="nil"/>
              <w:bottom w:val="nil"/>
              <w:right w:val="nil"/>
            </w:tcBorders>
          </w:tcPr>
          <w:p w:rsidR="00A46DCA" w:rsidRPr="00847D34"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lang w:eastAsia="en-AU"/>
              </w:rPr>
            </w:pPr>
            <w:r w:rsidRPr="00847D34">
              <w:rPr>
                <w:rFonts w:eastAsiaTheme="minorEastAsia" w:cs="Calibri"/>
                <w:b/>
                <w:bCs/>
                <w:color w:val="000000"/>
                <w:sz w:val="16"/>
                <w:lang w:eastAsia="en-AU"/>
              </w:rPr>
              <w:t xml:space="preserve"> </w:t>
            </w:r>
          </w:p>
        </w:tc>
        <w:tc>
          <w:tcPr>
            <w:tcW w:w="850" w:type="dxa"/>
            <w:tcBorders>
              <w:top w:val="nil"/>
              <w:left w:val="nil"/>
              <w:bottom w:val="nil"/>
              <w:right w:val="nil"/>
            </w:tcBorders>
          </w:tcPr>
          <w:p w:rsidR="00A46DCA" w:rsidRPr="00847D34"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lang w:eastAsia="en-AU"/>
              </w:rPr>
            </w:pPr>
            <w:r w:rsidRPr="00847D34">
              <w:rPr>
                <w:rFonts w:eastAsiaTheme="minorEastAsia" w:cs="Calibri"/>
                <w:b/>
                <w:bCs/>
                <w:color w:val="000000"/>
                <w:sz w:val="16"/>
                <w:lang w:eastAsia="en-AU"/>
              </w:rPr>
              <w:t xml:space="preserve"> </w:t>
            </w:r>
          </w:p>
        </w:tc>
        <w:tc>
          <w:tcPr>
            <w:tcW w:w="850" w:type="dxa"/>
            <w:tcBorders>
              <w:top w:val="nil"/>
              <w:left w:val="nil"/>
              <w:bottom w:val="nil"/>
              <w:right w:val="nil"/>
            </w:tcBorders>
          </w:tcPr>
          <w:p w:rsidR="00A46DCA" w:rsidRPr="00847D34"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lang w:eastAsia="en-AU"/>
              </w:rPr>
            </w:pPr>
            <w:r w:rsidRPr="00847D34">
              <w:rPr>
                <w:rFonts w:eastAsiaTheme="minorEastAsia" w:cs="Calibri"/>
                <w:b/>
                <w:bCs/>
                <w:color w:val="000000"/>
                <w:sz w:val="16"/>
                <w:lang w:eastAsia="en-AU"/>
              </w:rPr>
              <w:t xml:space="preserve"> </w:t>
            </w:r>
          </w:p>
        </w:tc>
        <w:tc>
          <w:tcPr>
            <w:tcW w:w="850" w:type="dxa"/>
            <w:tcBorders>
              <w:top w:val="nil"/>
              <w:left w:val="nil"/>
              <w:bottom w:val="nil"/>
              <w:right w:val="nil"/>
            </w:tcBorders>
          </w:tcPr>
          <w:p w:rsidR="00A46DCA" w:rsidRPr="00847D34"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lang w:eastAsia="en-AU"/>
              </w:rPr>
            </w:pPr>
            <w:r w:rsidRPr="00847D34">
              <w:rPr>
                <w:rFonts w:eastAsiaTheme="minorEastAsia" w:cs="Calibri"/>
                <w:b/>
                <w:bCs/>
                <w:color w:val="000000"/>
                <w:sz w:val="16"/>
                <w:lang w:eastAsia="en-AU"/>
              </w:rPr>
              <w:t xml:space="preserve"> </w:t>
            </w:r>
          </w:p>
        </w:tc>
        <w:tc>
          <w:tcPr>
            <w:tcW w:w="850" w:type="dxa"/>
            <w:tcBorders>
              <w:top w:val="nil"/>
              <w:left w:val="nil"/>
              <w:bottom w:val="nil"/>
              <w:right w:val="nil"/>
            </w:tcBorders>
          </w:tcPr>
          <w:p w:rsidR="00A46DCA" w:rsidRPr="00847D34"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lang w:eastAsia="en-AU"/>
              </w:rPr>
            </w:pPr>
            <w:r w:rsidRPr="00847D34">
              <w:rPr>
                <w:rFonts w:eastAsiaTheme="minorEastAsia" w:cs="Calibri"/>
                <w:b/>
                <w:bCs/>
                <w:color w:val="000000"/>
                <w:sz w:val="16"/>
                <w:lang w:eastAsia="en-AU"/>
              </w:rPr>
              <w:t xml:space="preserve"> </w:t>
            </w:r>
          </w:p>
        </w:tc>
      </w:tr>
      <w:tr w:rsidR="00A46DCA" w:rsidRPr="00847D34" w:rsidTr="00A26D04">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A46DCA" w:rsidRPr="00847D34" w:rsidRDefault="00A46DCA" w:rsidP="00A26D04">
            <w:pPr>
              <w:keepLines w:val="0"/>
              <w:autoSpaceDE w:val="0"/>
              <w:autoSpaceDN w:val="0"/>
              <w:adjustRightInd w:val="0"/>
              <w:spacing w:after="0"/>
              <w:rPr>
                <w:rFonts w:eastAsiaTheme="minorEastAsia" w:cs="Calibri"/>
                <w:color w:val="000000"/>
                <w:sz w:val="16"/>
                <w:szCs w:val="16"/>
                <w:lang w:eastAsia="en-AU"/>
              </w:rPr>
            </w:pPr>
            <w:r w:rsidRPr="00847D34">
              <w:rPr>
                <w:rFonts w:eastAsiaTheme="minorEastAsia" w:cs="Calibri"/>
                <w:color w:val="000000"/>
                <w:sz w:val="16"/>
                <w:szCs w:val="16"/>
                <w:lang w:eastAsia="en-AU"/>
              </w:rPr>
              <w:t>Advances received (net)</w:t>
            </w:r>
          </w:p>
        </w:tc>
        <w:tc>
          <w:tcPr>
            <w:tcW w:w="850" w:type="dxa"/>
            <w:tcBorders>
              <w:top w:val="nil"/>
              <w:left w:val="nil"/>
              <w:bottom w:val="nil"/>
              <w:right w:val="nil"/>
            </w:tcBorders>
          </w:tcPr>
          <w:p w:rsidR="00A46DCA" w:rsidRPr="00847D34"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lang w:eastAsia="en-AU"/>
              </w:rPr>
            </w:pPr>
            <w:r w:rsidRPr="00847D34">
              <w:rPr>
                <w:rFonts w:eastAsiaTheme="minorEastAsia" w:cs="Calibri"/>
                <w:color w:val="000000"/>
                <w:sz w:val="16"/>
                <w:szCs w:val="16"/>
                <w:lang w:eastAsia="en-AU"/>
              </w:rPr>
              <w:t xml:space="preserve"> </w:t>
            </w:r>
          </w:p>
        </w:tc>
        <w:tc>
          <w:tcPr>
            <w:tcW w:w="850" w:type="dxa"/>
            <w:tcBorders>
              <w:top w:val="nil"/>
              <w:left w:val="nil"/>
              <w:bottom w:val="nil"/>
              <w:right w:val="nil"/>
            </w:tcBorders>
          </w:tcPr>
          <w:p w:rsidR="00A46DCA" w:rsidRPr="00847D34"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lang w:eastAsia="en-AU"/>
              </w:rPr>
            </w:pPr>
            <w:r w:rsidRPr="00847D34">
              <w:rPr>
                <w:rFonts w:eastAsiaTheme="minorEastAsia" w:cs="Calibri"/>
                <w:color w:val="000000"/>
                <w:sz w:val="16"/>
                <w:szCs w:val="16"/>
                <w:lang w:eastAsia="en-AU"/>
              </w:rPr>
              <w:t xml:space="preserve"> </w:t>
            </w:r>
          </w:p>
        </w:tc>
        <w:tc>
          <w:tcPr>
            <w:tcW w:w="850" w:type="dxa"/>
            <w:tcBorders>
              <w:top w:val="nil"/>
              <w:left w:val="nil"/>
              <w:bottom w:val="nil"/>
              <w:right w:val="nil"/>
            </w:tcBorders>
          </w:tcPr>
          <w:p w:rsidR="00A46DCA" w:rsidRPr="00847D34"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lang w:eastAsia="en-AU"/>
              </w:rPr>
            </w:pPr>
            <w:r w:rsidRPr="00847D34">
              <w:rPr>
                <w:rFonts w:eastAsiaTheme="minorEastAsia" w:cs="Calibri"/>
                <w:color w:val="000000"/>
                <w:sz w:val="16"/>
                <w:szCs w:val="16"/>
                <w:lang w:eastAsia="en-AU"/>
              </w:rPr>
              <w:t xml:space="preserve"> </w:t>
            </w:r>
          </w:p>
        </w:tc>
        <w:tc>
          <w:tcPr>
            <w:tcW w:w="850" w:type="dxa"/>
            <w:tcBorders>
              <w:top w:val="nil"/>
              <w:left w:val="nil"/>
              <w:bottom w:val="nil"/>
              <w:right w:val="nil"/>
            </w:tcBorders>
          </w:tcPr>
          <w:p w:rsidR="00A46DCA" w:rsidRPr="00847D34"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lang w:eastAsia="en-AU"/>
              </w:rPr>
            </w:pPr>
            <w:r w:rsidRPr="00847D34">
              <w:rPr>
                <w:rFonts w:eastAsiaTheme="minorEastAsia" w:cs="Calibri"/>
                <w:color w:val="000000"/>
                <w:sz w:val="16"/>
                <w:szCs w:val="16"/>
                <w:lang w:eastAsia="en-AU"/>
              </w:rPr>
              <w:t xml:space="preserve"> </w:t>
            </w:r>
          </w:p>
        </w:tc>
        <w:tc>
          <w:tcPr>
            <w:tcW w:w="850" w:type="dxa"/>
            <w:tcBorders>
              <w:top w:val="nil"/>
              <w:left w:val="nil"/>
              <w:bottom w:val="nil"/>
              <w:right w:val="nil"/>
            </w:tcBorders>
          </w:tcPr>
          <w:p w:rsidR="00A46DCA" w:rsidRPr="00847D34"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lang w:eastAsia="en-AU"/>
              </w:rPr>
            </w:pPr>
            <w:r w:rsidRPr="00847D34">
              <w:rPr>
                <w:rFonts w:eastAsiaTheme="minorEastAsia" w:cs="Calibri"/>
                <w:color w:val="000000"/>
                <w:sz w:val="16"/>
                <w:szCs w:val="16"/>
                <w:lang w:eastAsia="en-AU"/>
              </w:rPr>
              <w:t xml:space="preserve"> </w:t>
            </w:r>
          </w:p>
        </w:tc>
      </w:tr>
      <w:tr w:rsidR="00A46DCA" w:rsidRPr="00847D34" w:rsidTr="00A26D04">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A46DCA" w:rsidRPr="00847D34" w:rsidRDefault="00A46DCA" w:rsidP="00A26D04">
            <w:pPr>
              <w:keepLines w:val="0"/>
              <w:autoSpaceDE w:val="0"/>
              <w:autoSpaceDN w:val="0"/>
              <w:adjustRightInd w:val="0"/>
              <w:spacing w:after="0"/>
              <w:rPr>
                <w:rFonts w:eastAsiaTheme="minorEastAsia" w:cs="Calibri"/>
                <w:color w:val="000000"/>
                <w:sz w:val="16"/>
                <w:szCs w:val="16"/>
                <w:lang w:eastAsia="en-AU"/>
              </w:rPr>
            </w:pPr>
            <w:r w:rsidRPr="00847D34">
              <w:rPr>
                <w:rFonts w:eastAsiaTheme="minorEastAsia" w:cs="Calibri"/>
                <w:color w:val="000000"/>
                <w:sz w:val="16"/>
                <w:szCs w:val="16"/>
                <w:lang w:eastAsia="en-AU"/>
              </w:rPr>
              <w:t>Net borrowings</w:t>
            </w:r>
          </w:p>
        </w:tc>
        <w:tc>
          <w:tcPr>
            <w:tcW w:w="850" w:type="dxa"/>
            <w:tcBorders>
              <w:top w:val="nil"/>
              <w:left w:val="nil"/>
              <w:bottom w:val="nil"/>
              <w:right w:val="nil"/>
            </w:tcBorders>
          </w:tcPr>
          <w:p w:rsidR="00A46DCA" w:rsidRPr="00847D34"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lang w:eastAsia="en-AU"/>
              </w:rPr>
            </w:pPr>
            <w:r w:rsidRPr="00847D34">
              <w:rPr>
                <w:rFonts w:eastAsiaTheme="minorEastAsia" w:cs="Calibri"/>
                <w:color w:val="000000"/>
                <w:sz w:val="16"/>
                <w:szCs w:val="16"/>
                <w:lang w:eastAsia="en-AU"/>
              </w:rPr>
              <w:t>5 729</w:t>
            </w:r>
          </w:p>
        </w:tc>
        <w:tc>
          <w:tcPr>
            <w:tcW w:w="850" w:type="dxa"/>
            <w:tcBorders>
              <w:top w:val="nil"/>
              <w:left w:val="nil"/>
              <w:bottom w:val="nil"/>
              <w:right w:val="nil"/>
            </w:tcBorders>
          </w:tcPr>
          <w:p w:rsidR="00A46DCA" w:rsidRPr="00847D34"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lang w:eastAsia="en-AU"/>
              </w:rPr>
            </w:pPr>
            <w:r w:rsidRPr="00847D34">
              <w:rPr>
                <w:rFonts w:eastAsiaTheme="minorEastAsia" w:cs="Calibri"/>
                <w:color w:val="000000"/>
                <w:sz w:val="16"/>
                <w:szCs w:val="16"/>
                <w:lang w:eastAsia="en-AU"/>
              </w:rPr>
              <w:t>5 122</w:t>
            </w:r>
          </w:p>
        </w:tc>
        <w:tc>
          <w:tcPr>
            <w:tcW w:w="850" w:type="dxa"/>
            <w:tcBorders>
              <w:top w:val="nil"/>
              <w:left w:val="nil"/>
              <w:bottom w:val="nil"/>
              <w:right w:val="nil"/>
            </w:tcBorders>
          </w:tcPr>
          <w:p w:rsidR="00A46DCA" w:rsidRPr="00847D34"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lang w:eastAsia="en-AU"/>
              </w:rPr>
            </w:pPr>
            <w:r w:rsidRPr="00847D34">
              <w:rPr>
                <w:rFonts w:eastAsiaTheme="minorEastAsia" w:cs="Calibri"/>
                <w:color w:val="000000"/>
                <w:sz w:val="16"/>
                <w:szCs w:val="16"/>
                <w:lang w:eastAsia="en-AU"/>
              </w:rPr>
              <w:t>2 790</w:t>
            </w:r>
          </w:p>
        </w:tc>
        <w:tc>
          <w:tcPr>
            <w:tcW w:w="850" w:type="dxa"/>
            <w:tcBorders>
              <w:top w:val="nil"/>
              <w:left w:val="nil"/>
              <w:bottom w:val="nil"/>
              <w:right w:val="nil"/>
            </w:tcBorders>
          </w:tcPr>
          <w:p w:rsidR="00A46DCA" w:rsidRPr="00847D34"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lang w:eastAsia="en-AU"/>
              </w:rPr>
            </w:pPr>
            <w:r w:rsidRPr="00847D34">
              <w:rPr>
                <w:rFonts w:eastAsiaTheme="minorEastAsia" w:cs="Calibri"/>
                <w:color w:val="000000"/>
                <w:sz w:val="16"/>
                <w:szCs w:val="16"/>
                <w:lang w:eastAsia="en-AU"/>
              </w:rPr>
              <w:t>3 370</w:t>
            </w:r>
          </w:p>
        </w:tc>
        <w:tc>
          <w:tcPr>
            <w:tcW w:w="850" w:type="dxa"/>
            <w:tcBorders>
              <w:top w:val="nil"/>
              <w:left w:val="nil"/>
              <w:bottom w:val="nil"/>
              <w:right w:val="nil"/>
            </w:tcBorders>
          </w:tcPr>
          <w:p w:rsidR="00A46DCA" w:rsidRPr="00847D34"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lang w:eastAsia="en-AU"/>
              </w:rPr>
            </w:pPr>
            <w:r w:rsidRPr="00847D34">
              <w:rPr>
                <w:rFonts w:eastAsiaTheme="minorEastAsia" w:cs="Calibri"/>
                <w:color w:val="000000"/>
                <w:sz w:val="16"/>
                <w:szCs w:val="16"/>
                <w:lang w:eastAsia="en-AU"/>
              </w:rPr>
              <w:t>1 724</w:t>
            </w:r>
          </w:p>
        </w:tc>
      </w:tr>
      <w:tr w:rsidR="00A46DCA" w:rsidRPr="00847D34" w:rsidTr="00A26D04">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A46DCA" w:rsidRPr="00847D34" w:rsidRDefault="00A46DCA" w:rsidP="00A26D04">
            <w:pPr>
              <w:keepLines w:val="0"/>
              <w:autoSpaceDE w:val="0"/>
              <w:autoSpaceDN w:val="0"/>
              <w:adjustRightInd w:val="0"/>
              <w:spacing w:after="0"/>
              <w:rPr>
                <w:rFonts w:eastAsiaTheme="minorEastAsia" w:cs="Calibri"/>
                <w:color w:val="000000"/>
                <w:sz w:val="16"/>
                <w:szCs w:val="16"/>
                <w:lang w:eastAsia="en-AU"/>
              </w:rPr>
            </w:pPr>
            <w:r w:rsidRPr="00847D34">
              <w:rPr>
                <w:rFonts w:eastAsiaTheme="minorEastAsia" w:cs="Calibri"/>
                <w:color w:val="000000"/>
                <w:sz w:val="16"/>
                <w:szCs w:val="16"/>
                <w:lang w:eastAsia="en-AU"/>
              </w:rPr>
              <w:t>Deposits received (net)</w:t>
            </w:r>
          </w:p>
        </w:tc>
        <w:tc>
          <w:tcPr>
            <w:tcW w:w="850" w:type="dxa"/>
            <w:tcBorders>
              <w:top w:val="nil"/>
              <w:left w:val="nil"/>
              <w:bottom w:val="nil"/>
              <w:right w:val="nil"/>
            </w:tcBorders>
          </w:tcPr>
          <w:p w:rsidR="00A46DCA" w:rsidRPr="00847D34"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lang w:eastAsia="en-AU"/>
              </w:rPr>
            </w:pPr>
            <w:r>
              <w:rPr>
                <w:rFonts w:eastAsiaTheme="minorEastAsia" w:cs="Calibri"/>
                <w:color w:val="000000"/>
                <w:sz w:val="16"/>
                <w:szCs w:val="16"/>
                <w:lang w:eastAsia="en-AU"/>
              </w:rPr>
              <w:t>1</w:t>
            </w:r>
          </w:p>
        </w:tc>
        <w:tc>
          <w:tcPr>
            <w:tcW w:w="850" w:type="dxa"/>
            <w:tcBorders>
              <w:top w:val="nil"/>
              <w:left w:val="nil"/>
              <w:bottom w:val="nil"/>
              <w:right w:val="nil"/>
            </w:tcBorders>
          </w:tcPr>
          <w:p w:rsidR="00A46DCA" w:rsidRPr="00847D34"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lang w:eastAsia="en-AU"/>
              </w:rPr>
            </w:pPr>
            <w:r>
              <w:rPr>
                <w:rFonts w:eastAsiaTheme="minorEastAsia" w:cs="Calibri"/>
                <w:color w:val="000000"/>
                <w:sz w:val="16"/>
                <w:szCs w:val="16"/>
                <w:lang w:eastAsia="en-AU"/>
              </w:rPr>
              <w:t>(56)</w:t>
            </w:r>
          </w:p>
        </w:tc>
        <w:tc>
          <w:tcPr>
            <w:tcW w:w="850" w:type="dxa"/>
            <w:tcBorders>
              <w:top w:val="nil"/>
              <w:left w:val="nil"/>
              <w:bottom w:val="nil"/>
              <w:right w:val="nil"/>
            </w:tcBorders>
          </w:tcPr>
          <w:p w:rsidR="00A46DCA" w:rsidRPr="00847D34"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lang w:eastAsia="en-AU"/>
              </w:rPr>
            </w:pPr>
            <w:r>
              <w:rPr>
                <w:rFonts w:eastAsiaTheme="minorEastAsia" w:cs="Calibri"/>
                <w:color w:val="000000"/>
                <w:sz w:val="16"/>
                <w:szCs w:val="16"/>
                <w:lang w:eastAsia="en-AU"/>
              </w:rPr>
              <w:t>(3)</w:t>
            </w:r>
          </w:p>
        </w:tc>
        <w:tc>
          <w:tcPr>
            <w:tcW w:w="850" w:type="dxa"/>
            <w:tcBorders>
              <w:top w:val="nil"/>
              <w:left w:val="nil"/>
              <w:bottom w:val="nil"/>
              <w:right w:val="nil"/>
            </w:tcBorders>
          </w:tcPr>
          <w:p w:rsidR="00A46DCA" w:rsidRPr="00847D34"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lang w:eastAsia="en-AU"/>
              </w:rPr>
            </w:pPr>
            <w:r>
              <w:rPr>
                <w:rFonts w:eastAsiaTheme="minorEastAsia" w:cs="Calibri"/>
                <w:color w:val="000000"/>
                <w:sz w:val="16"/>
                <w:szCs w:val="16"/>
                <w:lang w:eastAsia="en-AU"/>
              </w:rPr>
              <w:t>1</w:t>
            </w:r>
          </w:p>
        </w:tc>
        <w:tc>
          <w:tcPr>
            <w:tcW w:w="850" w:type="dxa"/>
            <w:tcBorders>
              <w:top w:val="nil"/>
              <w:left w:val="nil"/>
              <w:bottom w:val="nil"/>
              <w:right w:val="nil"/>
            </w:tcBorders>
          </w:tcPr>
          <w:p w:rsidR="00A46DCA" w:rsidRPr="00847D34"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lang w:eastAsia="en-AU"/>
              </w:rPr>
            </w:pPr>
            <w:r>
              <w:rPr>
                <w:rFonts w:eastAsiaTheme="minorEastAsia" w:cs="Calibri"/>
                <w:color w:val="000000"/>
                <w:sz w:val="16"/>
                <w:szCs w:val="16"/>
                <w:lang w:eastAsia="en-AU"/>
              </w:rPr>
              <w:t>..</w:t>
            </w:r>
          </w:p>
        </w:tc>
      </w:tr>
      <w:tr w:rsidR="00A46DCA" w:rsidRPr="00847D34" w:rsidTr="00A26D04">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A46DCA" w:rsidRPr="00847D34" w:rsidRDefault="00A46DCA" w:rsidP="00A26D04">
            <w:pPr>
              <w:keepLines w:val="0"/>
              <w:autoSpaceDE w:val="0"/>
              <w:autoSpaceDN w:val="0"/>
              <w:adjustRightInd w:val="0"/>
              <w:spacing w:after="0"/>
              <w:rPr>
                <w:rFonts w:eastAsiaTheme="minorEastAsia" w:cs="Calibri"/>
                <w:color w:val="000000"/>
                <w:sz w:val="16"/>
                <w:szCs w:val="16"/>
                <w:lang w:eastAsia="en-AU"/>
              </w:rPr>
            </w:pPr>
            <w:r w:rsidRPr="00847D34">
              <w:rPr>
                <w:rFonts w:eastAsiaTheme="minorEastAsia" w:cs="Calibri"/>
                <w:color w:val="000000"/>
                <w:sz w:val="16"/>
                <w:szCs w:val="16"/>
                <w:lang w:eastAsia="en-AU"/>
              </w:rPr>
              <w:t>Other financing (net)</w:t>
            </w:r>
          </w:p>
        </w:tc>
        <w:tc>
          <w:tcPr>
            <w:tcW w:w="850" w:type="dxa"/>
            <w:tcBorders>
              <w:top w:val="nil"/>
              <w:left w:val="nil"/>
              <w:bottom w:val="nil"/>
              <w:right w:val="nil"/>
            </w:tcBorders>
          </w:tcPr>
          <w:p w:rsidR="00A46DCA" w:rsidRPr="00847D34"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lang w:eastAsia="en-AU"/>
              </w:rPr>
            </w:pPr>
            <w:r>
              <w:rPr>
                <w:rFonts w:eastAsiaTheme="minorEastAsia" w:cs="Calibri"/>
                <w:color w:val="000000"/>
                <w:sz w:val="16"/>
                <w:szCs w:val="16"/>
                <w:lang w:eastAsia="en-AU"/>
              </w:rPr>
              <w:t>..</w:t>
            </w:r>
          </w:p>
        </w:tc>
        <w:tc>
          <w:tcPr>
            <w:tcW w:w="850" w:type="dxa"/>
            <w:tcBorders>
              <w:top w:val="nil"/>
              <w:left w:val="nil"/>
              <w:bottom w:val="nil"/>
              <w:right w:val="nil"/>
            </w:tcBorders>
          </w:tcPr>
          <w:p w:rsidR="00A46DCA" w:rsidRPr="00847D34"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lang w:eastAsia="en-AU"/>
              </w:rPr>
            </w:pPr>
            <w:r>
              <w:rPr>
                <w:rFonts w:eastAsiaTheme="minorEastAsia" w:cs="Calibri"/>
                <w:color w:val="000000"/>
                <w:sz w:val="16"/>
                <w:szCs w:val="16"/>
                <w:lang w:eastAsia="en-AU"/>
              </w:rPr>
              <w:t>..</w:t>
            </w:r>
          </w:p>
        </w:tc>
        <w:tc>
          <w:tcPr>
            <w:tcW w:w="850" w:type="dxa"/>
            <w:tcBorders>
              <w:top w:val="nil"/>
              <w:left w:val="nil"/>
              <w:bottom w:val="nil"/>
              <w:right w:val="nil"/>
            </w:tcBorders>
          </w:tcPr>
          <w:p w:rsidR="00A46DCA" w:rsidRPr="00847D34"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lang w:eastAsia="en-AU"/>
              </w:rPr>
            </w:pPr>
            <w:r w:rsidRPr="00847D34">
              <w:rPr>
                <w:rFonts w:eastAsiaTheme="minorEastAsia" w:cs="Calibri"/>
                <w:color w:val="000000"/>
                <w:sz w:val="16"/>
                <w:szCs w:val="16"/>
                <w:lang w:eastAsia="en-AU"/>
              </w:rPr>
              <w:t>..</w:t>
            </w:r>
          </w:p>
        </w:tc>
        <w:tc>
          <w:tcPr>
            <w:tcW w:w="850" w:type="dxa"/>
            <w:tcBorders>
              <w:top w:val="nil"/>
              <w:left w:val="nil"/>
              <w:bottom w:val="nil"/>
              <w:right w:val="nil"/>
            </w:tcBorders>
          </w:tcPr>
          <w:p w:rsidR="00A46DCA" w:rsidRPr="00847D34"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lang w:eastAsia="en-AU"/>
              </w:rPr>
            </w:pPr>
            <w:r w:rsidRPr="00847D34">
              <w:rPr>
                <w:rFonts w:eastAsiaTheme="minorEastAsia" w:cs="Calibri"/>
                <w:color w:val="000000"/>
                <w:sz w:val="16"/>
                <w:szCs w:val="16"/>
                <w:lang w:eastAsia="en-AU"/>
              </w:rPr>
              <w:t>..</w:t>
            </w:r>
          </w:p>
        </w:tc>
        <w:tc>
          <w:tcPr>
            <w:tcW w:w="850" w:type="dxa"/>
            <w:tcBorders>
              <w:top w:val="nil"/>
              <w:left w:val="nil"/>
              <w:bottom w:val="nil"/>
              <w:right w:val="nil"/>
            </w:tcBorders>
          </w:tcPr>
          <w:p w:rsidR="00A46DCA" w:rsidRPr="00847D34"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lang w:eastAsia="en-AU"/>
              </w:rPr>
            </w:pPr>
            <w:r w:rsidRPr="00847D34">
              <w:rPr>
                <w:rFonts w:eastAsiaTheme="minorEastAsia" w:cs="Calibri"/>
                <w:color w:val="000000"/>
                <w:sz w:val="16"/>
                <w:szCs w:val="16"/>
                <w:lang w:eastAsia="en-AU"/>
              </w:rPr>
              <w:t>..</w:t>
            </w:r>
          </w:p>
        </w:tc>
      </w:tr>
      <w:tr w:rsidR="00A46DCA" w:rsidRPr="00847D34" w:rsidTr="00A26D04">
        <w:tc>
          <w:tcPr>
            <w:cnfStyle w:val="001000000000" w:firstRow="0" w:lastRow="0" w:firstColumn="1" w:lastColumn="0" w:oddVBand="0" w:evenVBand="0" w:oddHBand="0" w:evenHBand="0" w:firstRowFirstColumn="0" w:firstRowLastColumn="0" w:lastRowFirstColumn="0" w:lastRowLastColumn="0"/>
            <w:tcW w:w="3515" w:type="dxa"/>
            <w:tcBorders>
              <w:top w:val="single" w:sz="6" w:space="0" w:color="000000"/>
              <w:left w:val="nil"/>
              <w:bottom w:val="single" w:sz="6" w:space="0" w:color="000000"/>
              <w:right w:val="nil"/>
            </w:tcBorders>
          </w:tcPr>
          <w:p w:rsidR="00A46DCA" w:rsidRPr="00847D34" w:rsidRDefault="00A46DCA" w:rsidP="00A26D04">
            <w:pPr>
              <w:keepLines w:val="0"/>
              <w:autoSpaceDE w:val="0"/>
              <w:autoSpaceDN w:val="0"/>
              <w:adjustRightInd w:val="0"/>
              <w:spacing w:after="0"/>
              <w:rPr>
                <w:rFonts w:eastAsiaTheme="minorEastAsia" w:cs="Calibri"/>
                <w:b/>
                <w:bCs/>
                <w:color w:val="000000"/>
                <w:sz w:val="16"/>
                <w:szCs w:val="16"/>
                <w:lang w:eastAsia="en-AU"/>
              </w:rPr>
            </w:pPr>
            <w:r w:rsidRPr="00847D34">
              <w:rPr>
                <w:rFonts w:eastAsiaTheme="minorEastAsia" w:cs="Calibri"/>
                <w:b/>
                <w:bCs/>
                <w:color w:val="000000"/>
                <w:sz w:val="16"/>
                <w:szCs w:val="16"/>
                <w:lang w:eastAsia="en-AU"/>
              </w:rPr>
              <w:t>Net cash flows from financing activities</w:t>
            </w:r>
          </w:p>
        </w:tc>
        <w:tc>
          <w:tcPr>
            <w:tcW w:w="850" w:type="dxa"/>
            <w:tcBorders>
              <w:top w:val="single" w:sz="6" w:space="0" w:color="000000"/>
              <w:left w:val="nil"/>
              <w:bottom w:val="single" w:sz="6" w:space="0" w:color="000000"/>
              <w:right w:val="nil"/>
            </w:tcBorders>
          </w:tcPr>
          <w:p w:rsidR="00A46DCA" w:rsidRPr="00847D34"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szCs w:val="16"/>
                <w:lang w:eastAsia="en-AU"/>
              </w:rPr>
            </w:pPr>
            <w:r w:rsidRPr="00847D34">
              <w:rPr>
                <w:rFonts w:eastAsiaTheme="minorEastAsia" w:cs="Calibri"/>
                <w:b/>
                <w:bCs/>
                <w:color w:val="000000"/>
                <w:sz w:val="16"/>
                <w:szCs w:val="16"/>
                <w:lang w:eastAsia="en-AU"/>
              </w:rPr>
              <w:t>5 730</w:t>
            </w:r>
          </w:p>
        </w:tc>
        <w:tc>
          <w:tcPr>
            <w:tcW w:w="850" w:type="dxa"/>
            <w:tcBorders>
              <w:top w:val="single" w:sz="6" w:space="0" w:color="000000"/>
              <w:left w:val="nil"/>
              <w:bottom w:val="single" w:sz="6" w:space="0" w:color="000000"/>
              <w:right w:val="nil"/>
            </w:tcBorders>
          </w:tcPr>
          <w:p w:rsidR="00A46DCA" w:rsidRPr="00847D34"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szCs w:val="16"/>
                <w:lang w:eastAsia="en-AU"/>
              </w:rPr>
            </w:pPr>
            <w:r w:rsidRPr="00847D34">
              <w:rPr>
                <w:rFonts w:eastAsiaTheme="minorEastAsia" w:cs="Calibri"/>
                <w:b/>
                <w:bCs/>
                <w:color w:val="000000"/>
                <w:sz w:val="16"/>
                <w:szCs w:val="16"/>
                <w:lang w:eastAsia="en-AU"/>
              </w:rPr>
              <w:t>5 065</w:t>
            </w:r>
          </w:p>
        </w:tc>
        <w:tc>
          <w:tcPr>
            <w:tcW w:w="850" w:type="dxa"/>
            <w:tcBorders>
              <w:top w:val="single" w:sz="6" w:space="0" w:color="000000"/>
              <w:left w:val="nil"/>
              <w:bottom w:val="single" w:sz="6" w:space="0" w:color="000000"/>
              <w:right w:val="nil"/>
            </w:tcBorders>
          </w:tcPr>
          <w:p w:rsidR="00A46DCA" w:rsidRPr="00847D34"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szCs w:val="16"/>
                <w:lang w:eastAsia="en-AU"/>
              </w:rPr>
            </w:pPr>
            <w:r w:rsidRPr="00847D34">
              <w:rPr>
                <w:rFonts w:eastAsiaTheme="minorEastAsia" w:cs="Calibri"/>
                <w:b/>
                <w:bCs/>
                <w:color w:val="000000"/>
                <w:sz w:val="16"/>
                <w:szCs w:val="16"/>
                <w:lang w:eastAsia="en-AU"/>
              </w:rPr>
              <w:t>2 788</w:t>
            </w:r>
          </w:p>
        </w:tc>
        <w:tc>
          <w:tcPr>
            <w:tcW w:w="850" w:type="dxa"/>
            <w:tcBorders>
              <w:top w:val="single" w:sz="6" w:space="0" w:color="000000"/>
              <w:left w:val="nil"/>
              <w:bottom w:val="single" w:sz="6" w:space="0" w:color="000000"/>
              <w:right w:val="nil"/>
            </w:tcBorders>
          </w:tcPr>
          <w:p w:rsidR="00A46DCA" w:rsidRPr="00847D34"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szCs w:val="16"/>
                <w:lang w:eastAsia="en-AU"/>
              </w:rPr>
            </w:pPr>
            <w:r w:rsidRPr="00847D34">
              <w:rPr>
                <w:rFonts w:eastAsiaTheme="minorEastAsia" w:cs="Calibri"/>
                <w:b/>
                <w:bCs/>
                <w:color w:val="000000"/>
                <w:sz w:val="16"/>
                <w:szCs w:val="16"/>
                <w:lang w:eastAsia="en-AU"/>
              </w:rPr>
              <w:t>3 371</w:t>
            </w:r>
          </w:p>
        </w:tc>
        <w:tc>
          <w:tcPr>
            <w:tcW w:w="850" w:type="dxa"/>
            <w:tcBorders>
              <w:top w:val="single" w:sz="6" w:space="0" w:color="000000"/>
              <w:left w:val="nil"/>
              <w:bottom w:val="single" w:sz="6" w:space="0" w:color="000000"/>
              <w:right w:val="nil"/>
            </w:tcBorders>
          </w:tcPr>
          <w:p w:rsidR="00A46DCA" w:rsidRPr="00847D34"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szCs w:val="16"/>
                <w:lang w:eastAsia="en-AU"/>
              </w:rPr>
            </w:pPr>
            <w:r w:rsidRPr="00847D34">
              <w:rPr>
                <w:rFonts w:eastAsiaTheme="minorEastAsia" w:cs="Calibri"/>
                <w:b/>
                <w:bCs/>
                <w:color w:val="000000"/>
                <w:sz w:val="16"/>
                <w:szCs w:val="16"/>
                <w:lang w:eastAsia="en-AU"/>
              </w:rPr>
              <w:t>1 724</w:t>
            </w:r>
          </w:p>
        </w:tc>
      </w:tr>
      <w:tr w:rsidR="00A46DCA" w:rsidRPr="00847D34" w:rsidTr="00A26D04">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A46DCA" w:rsidRPr="00847D34" w:rsidRDefault="00A46DCA" w:rsidP="00A26D04">
            <w:pPr>
              <w:keepLines w:val="0"/>
              <w:autoSpaceDE w:val="0"/>
              <w:autoSpaceDN w:val="0"/>
              <w:adjustRightInd w:val="0"/>
              <w:spacing w:after="0"/>
              <w:rPr>
                <w:rFonts w:eastAsiaTheme="minorEastAsia" w:cs="Calibri"/>
                <w:b/>
                <w:bCs/>
                <w:color w:val="000000"/>
                <w:sz w:val="16"/>
                <w:szCs w:val="16"/>
                <w:lang w:eastAsia="en-AU"/>
              </w:rPr>
            </w:pPr>
            <w:r w:rsidRPr="00847D34">
              <w:rPr>
                <w:rFonts w:eastAsiaTheme="minorEastAsia" w:cs="Calibri"/>
                <w:b/>
                <w:bCs/>
                <w:color w:val="000000"/>
                <w:sz w:val="16"/>
                <w:szCs w:val="16"/>
                <w:lang w:eastAsia="en-AU"/>
              </w:rPr>
              <w:t>Net increase/(decrease) in cash and cash equivalents</w:t>
            </w:r>
          </w:p>
        </w:tc>
        <w:tc>
          <w:tcPr>
            <w:tcW w:w="850" w:type="dxa"/>
            <w:tcBorders>
              <w:top w:val="nil"/>
              <w:left w:val="nil"/>
              <w:bottom w:val="nil"/>
              <w:right w:val="nil"/>
            </w:tcBorders>
          </w:tcPr>
          <w:p w:rsidR="00A46DCA" w:rsidRPr="00847D34"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szCs w:val="16"/>
                <w:lang w:eastAsia="en-AU"/>
              </w:rPr>
            </w:pPr>
            <w:r>
              <w:rPr>
                <w:rFonts w:eastAsiaTheme="minorEastAsia" w:cs="Calibri"/>
                <w:b/>
                <w:bCs/>
                <w:color w:val="000000"/>
                <w:sz w:val="16"/>
                <w:szCs w:val="16"/>
                <w:lang w:eastAsia="en-AU"/>
              </w:rPr>
              <w:t>127</w:t>
            </w:r>
          </w:p>
        </w:tc>
        <w:tc>
          <w:tcPr>
            <w:tcW w:w="850" w:type="dxa"/>
            <w:tcBorders>
              <w:top w:val="nil"/>
              <w:left w:val="nil"/>
              <w:bottom w:val="nil"/>
              <w:right w:val="nil"/>
            </w:tcBorders>
          </w:tcPr>
          <w:p w:rsidR="00A46DCA" w:rsidRPr="00847D34"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szCs w:val="16"/>
                <w:lang w:eastAsia="en-AU"/>
              </w:rPr>
            </w:pPr>
            <w:r>
              <w:rPr>
                <w:rFonts w:eastAsiaTheme="minorEastAsia" w:cs="Calibri"/>
                <w:b/>
                <w:bCs/>
                <w:color w:val="000000"/>
                <w:sz w:val="16"/>
                <w:szCs w:val="16"/>
                <w:lang w:eastAsia="en-AU"/>
              </w:rPr>
              <w:t>(1 087)</w:t>
            </w:r>
          </w:p>
        </w:tc>
        <w:tc>
          <w:tcPr>
            <w:tcW w:w="850" w:type="dxa"/>
            <w:tcBorders>
              <w:top w:val="nil"/>
              <w:left w:val="nil"/>
              <w:bottom w:val="nil"/>
              <w:right w:val="nil"/>
            </w:tcBorders>
          </w:tcPr>
          <w:p w:rsidR="00A46DCA" w:rsidRPr="00847D34"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szCs w:val="16"/>
                <w:lang w:eastAsia="en-AU"/>
              </w:rPr>
            </w:pPr>
            <w:r>
              <w:rPr>
                <w:rFonts w:eastAsiaTheme="minorEastAsia" w:cs="Calibri"/>
                <w:b/>
                <w:bCs/>
                <w:color w:val="000000"/>
                <w:sz w:val="16"/>
                <w:szCs w:val="16"/>
                <w:lang w:eastAsia="en-AU"/>
              </w:rPr>
              <w:t>415</w:t>
            </w:r>
          </w:p>
        </w:tc>
        <w:tc>
          <w:tcPr>
            <w:tcW w:w="850" w:type="dxa"/>
            <w:tcBorders>
              <w:top w:val="nil"/>
              <w:left w:val="nil"/>
              <w:bottom w:val="nil"/>
              <w:right w:val="nil"/>
            </w:tcBorders>
          </w:tcPr>
          <w:p w:rsidR="00A46DCA" w:rsidRPr="00847D34"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szCs w:val="16"/>
                <w:lang w:eastAsia="en-AU"/>
              </w:rPr>
            </w:pPr>
            <w:r>
              <w:rPr>
                <w:rFonts w:eastAsiaTheme="minorEastAsia" w:cs="Calibri"/>
                <w:b/>
                <w:bCs/>
                <w:color w:val="000000"/>
                <w:sz w:val="16"/>
                <w:szCs w:val="16"/>
                <w:lang w:eastAsia="en-AU"/>
              </w:rPr>
              <w:t>393</w:t>
            </w:r>
          </w:p>
        </w:tc>
        <w:tc>
          <w:tcPr>
            <w:tcW w:w="850" w:type="dxa"/>
            <w:tcBorders>
              <w:top w:val="nil"/>
              <w:left w:val="nil"/>
              <w:bottom w:val="nil"/>
              <w:right w:val="nil"/>
            </w:tcBorders>
          </w:tcPr>
          <w:p w:rsidR="00A46DCA" w:rsidRPr="00847D34"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szCs w:val="16"/>
                <w:lang w:eastAsia="en-AU"/>
              </w:rPr>
            </w:pPr>
            <w:r>
              <w:rPr>
                <w:rFonts w:eastAsiaTheme="minorEastAsia" w:cs="Calibri"/>
                <w:b/>
                <w:bCs/>
                <w:color w:val="000000"/>
                <w:sz w:val="16"/>
                <w:szCs w:val="16"/>
                <w:lang w:eastAsia="en-AU"/>
              </w:rPr>
              <w:t>353</w:t>
            </w:r>
          </w:p>
        </w:tc>
      </w:tr>
      <w:tr w:rsidR="00A46DCA" w:rsidRPr="00847D34" w:rsidTr="00A26D04">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A46DCA" w:rsidRPr="00847D34" w:rsidRDefault="00A46DCA" w:rsidP="00A26D04">
            <w:pPr>
              <w:keepLines w:val="0"/>
              <w:autoSpaceDE w:val="0"/>
              <w:autoSpaceDN w:val="0"/>
              <w:adjustRightInd w:val="0"/>
              <w:spacing w:after="0"/>
              <w:rPr>
                <w:rFonts w:eastAsiaTheme="minorEastAsia" w:cs="Calibri"/>
                <w:color w:val="000000"/>
                <w:sz w:val="16"/>
                <w:szCs w:val="16"/>
                <w:vertAlign w:val="superscript"/>
                <w:lang w:eastAsia="en-AU"/>
              </w:rPr>
            </w:pPr>
            <w:r w:rsidRPr="00847D34">
              <w:rPr>
                <w:rFonts w:eastAsiaTheme="minorEastAsia" w:cs="Calibri"/>
                <w:color w:val="000000"/>
                <w:sz w:val="16"/>
                <w:szCs w:val="16"/>
                <w:lang w:eastAsia="en-AU"/>
              </w:rPr>
              <w:t xml:space="preserve">Cash and cash equivalents at beginning of </w:t>
            </w:r>
            <w:r w:rsidR="008E5E35">
              <w:rPr>
                <w:rFonts w:eastAsiaTheme="minorEastAsia" w:cs="Calibri"/>
                <w:color w:val="000000"/>
                <w:sz w:val="16"/>
                <w:szCs w:val="16"/>
                <w:lang w:eastAsia="en-AU"/>
              </w:rPr>
              <w:br/>
            </w:r>
            <w:r w:rsidRPr="00847D34">
              <w:rPr>
                <w:rFonts w:eastAsiaTheme="minorEastAsia" w:cs="Calibri"/>
                <w:color w:val="000000"/>
                <w:sz w:val="16"/>
                <w:szCs w:val="16"/>
                <w:lang w:eastAsia="en-AU"/>
              </w:rPr>
              <w:t xml:space="preserve">reporting period </w:t>
            </w:r>
            <w:r w:rsidRPr="00847D34">
              <w:rPr>
                <w:rFonts w:eastAsiaTheme="minorEastAsia" w:cs="Calibri"/>
                <w:color w:val="000000"/>
                <w:sz w:val="16"/>
                <w:szCs w:val="16"/>
                <w:vertAlign w:val="superscript"/>
                <w:lang w:eastAsia="en-AU"/>
              </w:rPr>
              <w:t>(c)</w:t>
            </w:r>
          </w:p>
        </w:tc>
        <w:tc>
          <w:tcPr>
            <w:tcW w:w="850" w:type="dxa"/>
            <w:tcBorders>
              <w:top w:val="nil"/>
              <w:left w:val="nil"/>
              <w:bottom w:val="nil"/>
              <w:right w:val="nil"/>
            </w:tcBorders>
          </w:tcPr>
          <w:p w:rsidR="00A46DCA" w:rsidRPr="00847D34"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lang w:eastAsia="en-AU"/>
              </w:rPr>
            </w:pPr>
            <w:r w:rsidRPr="00847D34">
              <w:rPr>
                <w:rFonts w:eastAsiaTheme="minorEastAsia" w:cs="Calibri"/>
                <w:color w:val="000000"/>
                <w:sz w:val="16"/>
                <w:szCs w:val="16"/>
                <w:lang w:eastAsia="en-AU"/>
              </w:rPr>
              <w:t>6 683</w:t>
            </w:r>
          </w:p>
        </w:tc>
        <w:tc>
          <w:tcPr>
            <w:tcW w:w="850" w:type="dxa"/>
            <w:tcBorders>
              <w:top w:val="nil"/>
              <w:left w:val="nil"/>
              <w:bottom w:val="nil"/>
              <w:right w:val="nil"/>
            </w:tcBorders>
          </w:tcPr>
          <w:p w:rsidR="00A46DCA" w:rsidRPr="00847D34"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lang w:eastAsia="en-AU"/>
              </w:rPr>
            </w:pPr>
            <w:r w:rsidRPr="00847D34">
              <w:rPr>
                <w:rFonts w:eastAsiaTheme="minorEastAsia" w:cs="Calibri"/>
                <w:color w:val="000000"/>
                <w:sz w:val="16"/>
                <w:szCs w:val="16"/>
                <w:lang w:eastAsia="en-AU"/>
              </w:rPr>
              <w:t>6 683</w:t>
            </w:r>
          </w:p>
        </w:tc>
        <w:tc>
          <w:tcPr>
            <w:tcW w:w="850" w:type="dxa"/>
            <w:tcBorders>
              <w:top w:val="nil"/>
              <w:left w:val="nil"/>
              <w:bottom w:val="nil"/>
              <w:right w:val="nil"/>
            </w:tcBorders>
          </w:tcPr>
          <w:p w:rsidR="00A46DCA" w:rsidRPr="00847D34"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lang w:eastAsia="en-AU"/>
              </w:rPr>
            </w:pPr>
            <w:r w:rsidRPr="00847D34">
              <w:rPr>
                <w:rFonts w:eastAsiaTheme="minorEastAsia" w:cs="Calibri"/>
                <w:color w:val="000000"/>
                <w:sz w:val="16"/>
                <w:szCs w:val="16"/>
                <w:lang w:eastAsia="en-AU"/>
              </w:rPr>
              <w:t>5 595</w:t>
            </w:r>
          </w:p>
        </w:tc>
        <w:tc>
          <w:tcPr>
            <w:tcW w:w="850" w:type="dxa"/>
            <w:tcBorders>
              <w:top w:val="nil"/>
              <w:left w:val="nil"/>
              <w:bottom w:val="nil"/>
              <w:right w:val="nil"/>
            </w:tcBorders>
          </w:tcPr>
          <w:p w:rsidR="00A46DCA" w:rsidRPr="00847D34"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lang w:eastAsia="en-AU"/>
              </w:rPr>
            </w:pPr>
            <w:r w:rsidRPr="00847D34">
              <w:rPr>
                <w:rFonts w:eastAsiaTheme="minorEastAsia" w:cs="Calibri"/>
                <w:color w:val="000000"/>
                <w:sz w:val="16"/>
                <w:szCs w:val="16"/>
                <w:lang w:eastAsia="en-AU"/>
              </w:rPr>
              <w:t>6 010</w:t>
            </w:r>
          </w:p>
        </w:tc>
        <w:tc>
          <w:tcPr>
            <w:tcW w:w="850" w:type="dxa"/>
            <w:tcBorders>
              <w:top w:val="nil"/>
              <w:left w:val="nil"/>
              <w:bottom w:val="nil"/>
              <w:right w:val="nil"/>
            </w:tcBorders>
          </w:tcPr>
          <w:p w:rsidR="00A46DCA" w:rsidRPr="00847D34"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lang w:eastAsia="en-AU"/>
              </w:rPr>
            </w:pPr>
            <w:r w:rsidRPr="00847D34">
              <w:rPr>
                <w:rFonts w:eastAsiaTheme="minorEastAsia" w:cs="Calibri"/>
                <w:color w:val="000000"/>
                <w:sz w:val="16"/>
                <w:szCs w:val="16"/>
                <w:lang w:eastAsia="en-AU"/>
              </w:rPr>
              <w:t>6 404</w:t>
            </w:r>
          </w:p>
        </w:tc>
      </w:tr>
      <w:tr w:rsidR="00A46DCA" w:rsidRPr="00847D34" w:rsidTr="00A26D04">
        <w:tc>
          <w:tcPr>
            <w:cnfStyle w:val="001000000000" w:firstRow="0" w:lastRow="0" w:firstColumn="1" w:lastColumn="0" w:oddVBand="0" w:evenVBand="0" w:oddHBand="0" w:evenHBand="0" w:firstRowFirstColumn="0" w:firstRowLastColumn="0" w:lastRowFirstColumn="0" w:lastRowLastColumn="0"/>
            <w:tcW w:w="3515" w:type="dxa"/>
            <w:tcBorders>
              <w:top w:val="single" w:sz="6" w:space="0" w:color="000000"/>
              <w:left w:val="nil"/>
              <w:bottom w:val="single" w:sz="12" w:space="0" w:color="000000"/>
              <w:right w:val="nil"/>
            </w:tcBorders>
          </w:tcPr>
          <w:p w:rsidR="00A46DCA" w:rsidRPr="00847D34" w:rsidRDefault="00A46DCA" w:rsidP="00A26D04">
            <w:pPr>
              <w:keepLines w:val="0"/>
              <w:autoSpaceDE w:val="0"/>
              <w:autoSpaceDN w:val="0"/>
              <w:adjustRightInd w:val="0"/>
              <w:spacing w:after="0"/>
              <w:rPr>
                <w:rFonts w:eastAsiaTheme="minorEastAsia" w:cs="Calibri"/>
                <w:b/>
                <w:bCs/>
                <w:color w:val="000000"/>
                <w:sz w:val="16"/>
                <w:szCs w:val="16"/>
                <w:vertAlign w:val="superscript"/>
                <w:lang w:eastAsia="en-AU"/>
              </w:rPr>
            </w:pPr>
            <w:r w:rsidRPr="00847D34">
              <w:rPr>
                <w:rFonts w:eastAsiaTheme="minorEastAsia" w:cs="Calibri"/>
                <w:b/>
                <w:bCs/>
                <w:color w:val="000000"/>
                <w:sz w:val="16"/>
                <w:szCs w:val="16"/>
                <w:lang w:eastAsia="en-AU"/>
              </w:rPr>
              <w:t xml:space="preserve">Cash and cash equivalents at end of </w:t>
            </w:r>
            <w:r w:rsidR="008E5E35">
              <w:rPr>
                <w:rFonts w:eastAsiaTheme="minorEastAsia" w:cs="Calibri"/>
                <w:b/>
                <w:bCs/>
                <w:color w:val="000000"/>
                <w:sz w:val="16"/>
                <w:szCs w:val="16"/>
                <w:lang w:eastAsia="en-AU"/>
              </w:rPr>
              <w:br/>
            </w:r>
            <w:r w:rsidRPr="00847D34">
              <w:rPr>
                <w:rFonts w:eastAsiaTheme="minorEastAsia" w:cs="Calibri"/>
                <w:b/>
                <w:bCs/>
                <w:color w:val="000000"/>
                <w:sz w:val="16"/>
                <w:szCs w:val="16"/>
                <w:lang w:eastAsia="en-AU"/>
              </w:rPr>
              <w:t xml:space="preserve">reporting period </w:t>
            </w:r>
            <w:r w:rsidRPr="00847D34">
              <w:rPr>
                <w:rFonts w:eastAsiaTheme="minorEastAsia" w:cs="Calibri"/>
                <w:b/>
                <w:bCs/>
                <w:color w:val="000000"/>
                <w:sz w:val="16"/>
                <w:szCs w:val="16"/>
                <w:vertAlign w:val="superscript"/>
                <w:lang w:eastAsia="en-AU"/>
              </w:rPr>
              <w:t>(c)</w:t>
            </w:r>
            <w:r>
              <w:rPr>
                <w:rFonts w:eastAsiaTheme="minorEastAsia" w:cs="Calibri"/>
                <w:b/>
                <w:bCs/>
                <w:color w:val="000000"/>
                <w:sz w:val="16"/>
                <w:szCs w:val="16"/>
                <w:vertAlign w:val="superscript"/>
                <w:lang w:eastAsia="en-AU"/>
              </w:rPr>
              <w:t>(d)</w:t>
            </w:r>
          </w:p>
        </w:tc>
        <w:tc>
          <w:tcPr>
            <w:tcW w:w="850" w:type="dxa"/>
            <w:tcBorders>
              <w:top w:val="single" w:sz="6" w:space="0" w:color="000000"/>
              <w:left w:val="nil"/>
              <w:bottom w:val="single" w:sz="12" w:space="0" w:color="000000"/>
              <w:right w:val="nil"/>
            </w:tcBorders>
          </w:tcPr>
          <w:p w:rsidR="00A46DCA" w:rsidRPr="00847D34"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szCs w:val="16"/>
                <w:lang w:eastAsia="en-AU"/>
              </w:rPr>
            </w:pPr>
            <w:r w:rsidRPr="00847D34">
              <w:rPr>
                <w:rFonts w:eastAsiaTheme="minorEastAsia" w:cs="Calibri"/>
                <w:b/>
                <w:bCs/>
                <w:color w:val="000000"/>
                <w:sz w:val="16"/>
                <w:szCs w:val="16"/>
                <w:lang w:eastAsia="en-AU"/>
              </w:rPr>
              <w:t>6 810</w:t>
            </w:r>
          </w:p>
        </w:tc>
        <w:tc>
          <w:tcPr>
            <w:tcW w:w="850" w:type="dxa"/>
            <w:tcBorders>
              <w:top w:val="single" w:sz="6" w:space="0" w:color="000000"/>
              <w:left w:val="nil"/>
              <w:bottom w:val="single" w:sz="12" w:space="0" w:color="000000"/>
              <w:right w:val="nil"/>
            </w:tcBorders>
          </w:tcPr>
          <w:p w:rsidR="00A46DCA" w:rsidRPr="00847D34"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szCs w:val="16"/>
                <w:lang w:eastAsia="en-AU"/>
              </w:rPr>
            </w:pPr>
            <w:r w:rsidRPr="00847D34">
              <w:rPr>
                <w:rFonts w:eastAsiaTheme="minorEastAsia" w:cs="Calibri"/>
                <w:b/>
                <w:bCs/>
                <w:color w:val="000000"/>
                <w:sz w:val="16"/>
                <w:szCs w:val="16"/>
                <w:lang w:eastAsia="en-AU"/>
              </w:rPr>
              <w:t>5 595</w:t>
            </w:r>
          </w:p>
        </w:tc>
        <w:tc>
          <w:tcPr>
            <w:tcW w:w="850" w:type="dxa"/>
            <w:tcBorders>
              <w:top w:val="single" w:sz="6" w:space="0" w:color="000000"/>
              <w:left w:val="nil"/>
              <w:bottom w:val="single" w:sz="12" w:space="0" w:color="000000"/>
              <w:right w:val="nil"/>
            </w:tcBorders>
          </w:tcPr>
          <w:p w:rsidR="00A46DCA" w:rsidRPr="00847D34"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szCs w:val="16"/>
                <w:lang w:eastAsia="en-AU"/>
              </w:rPr>
            </w:pPr>
            <w:r w:rsidRPr="00847D34">
              <w:rPr>
                <w:rFonts w:eastAsiaTheme="minorEastAsia" w:cs="Calibri"/>
                <w:b/>
                <w:bCs/>
                <w:color w:val="000000"/>
                <w:sz w:val="16"/>
                <w:szCs w:val="16"/>
                <w:lang w:eastAsia="en-AU"/>
              </w:rPr>
              <w:t>6 010</w:t>
            </w:r>
          </w:p>
        </w:tc>
        <w:tc>
          <w:tcPr>
            <w:tcW w:w="850" w:type="dxa"/>
            <w:tcBorders>
              <w:top w:val="single" w:sz="6" w:space="0" w:color="000000"/>
              <w:left w:val="nil"/>
              <w:bottom w:val="single" w:sz="12" w:space="0" w:color="000000"/>
              <w:right w:val="nil"/>
            </w:tcBorders>
          </w:tcPr>
          <w:p w:rsidR="00A46DCA" w:rsidRPr="00847D34"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szCs w:val="16"/>
                <w:lang w:eastAsia="en-AU"/>
              </w:rPr>
            </w:pPr>
            <w:r w:rsidRPr="00847D34">
              <w:rPr>
                <w:rFonts w:eastAsiaTheme="minorEastAsia" w:cs="Calibri"/>
                <w:b/>
                <w:bCs/>
                <w:color w:val="000000"/>
                <w:sz w:val="16"/>
                <w:szCs w:val="16"/>
                <w:lang w:eastAsia="en-AU"/>
              </w:rPr>
              <w:t>6 404</w:t>
            </w:r>
          </w:p>
        </w:tc>
        <w:tc>
          <w:tcPr>
            <w:tcW w:w="850" w:type="dxa"/>
            <w:tcBorders>
              <w:top w:val="single" w:sz="6" w:space="0" w:color="000000"/>
              <w:left w:val="nil"/>
              <w:bottom w:val="single" w:sz="12" w:space="0" w:color="000000"/>
              <w:right w:val="nil"/>
            </w:tcBorders>
          </w:tcPr>
          <w:p w:rsidR="00A46DCA" w:rsidRPr="00847D34"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szCs w:val="16"/>
                <w:lang w:eastAsia="en-AU"/>
              </w:rPr>
            </w:pPr>
            <w:r w:rsidRPr="00847D34">
              <w:rPr>
                <w:rFonts w:eastAsiaTheme="minorEastAsia" w:cs="Calibri"/>
                <w:b/>
                <w:bCs/>
                <w:color w:val="000000"/>
                <w:sz w:val="16"/>
                <w:szCs w:val="16"/>
                <w:lang w:eastAsia="en-AU"/>
              </w:rPr>
              <w:t>6 757</w:t>
            </w:r>
          </w:p>
        </w:tc>
      </w:tr>
      <w:tr w:rsidR="00A46DCA" w:rsidRPr="00847D34" w:rsidTr="00A26D04">
        <w:trPr>
          <w:trHeight w:hRule="exact" w:val="120"/>
        </w:trPr>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A46DCA" w:rsidRPr="00847D34" w:rsidRDefault="00A46DCA" w:rsidP="00A26D04">
            <w:pPr>
              <w:keepLines w:val="0"/>
              <w:autoSpaceDE w:val="0"/>
              <w:autoSpaceDN w:val="0"/>
              <w:adjustRightInd w:val="0"/>
              <w:spacing w:after="0"/>
              <w:rPr>
                <w:rFonts w:eastAsiaTheme="minorEastAsia" w:cs="Calibri"/>
                <w:color w:val="000000"/>
                <w:sz w:val="16"/>
                <w:lang w:eastAsia="en-AU"/>
              </w:rPr>
            </w:pPr>
            <w:r w:rsidRPr="00847D34">
              <w:rPr>
                <w:rFonts w:eastAsiaTheme="minorEastAsia" w:cs="Calibri"/>
                <w:color w:val="000000"/>
                <w:sz w:val="16"/>
                <w:lang w:eastAsia="en-AU"/>
              </w:rPr>
              <w:t xml:space="preserve"> </w:t>
            </w:r>
          </w:p>
        </w:tc>
        <w:tc>
          <w:tcPr>
            <w:tcW w:w="850" w:type="dxa"/>
            <w:tcBorders>
              <w:top w:val="nil"/>
              <w:left w:val="nil"/>
              <w:bottom w:val="nil"/>
              <w:right w:val="nil"/>
            </w:tcBorders>
          </w:tcPr>
          <w:p w:rsidR="00A46DCA" w:rsidRPr="00847D34"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lang w:eastAsia="en-AU"/>
              </w:rPr>
            </w:pPr>
            <w:r w:rsidRPr="00847D34">
              <w:rPr>
                <w:rFonts w:eastAsiaTheme="minorEastAsia" w:cs="Calibri"/>
                <w:color w:val="000000"/>
                <w:sz w:val="16"/>
                <w:lang w:eastAsia="en-AU"/>
              </w:rPr>
              <w:t xml:space="preserve"> </w:t>
            </w:r>
          </w:p>
        </w:tc>
        <w:tc>
          <w:tcPr>
            <w:tcW w:w="850" w:type="dxa"/>
            <w:tcBorders>
              <w:top w:val="nil"/>
              <w:left w:val="nil"/>
              <w:bottom w:val="nil"/>
              <w:right w:val="nil"/>
            </w:tcBorders>
          </w:tcPr>
          <w:p w:rsidR="00A46DCA" w:rsidRPr="00847D34"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lang w:eastAsia="en-AU"/>
              </w:rPr>
            </w:pPr>
            <w:r w:rsidRPr="00847D34">
              <w:rPr>
                <w:rFonts w:eastAsiaTheme="minorEastAsia" w:cs="Calibri"/>
                <w:color w:val="000000"/>
                <w:sz w:val="16"/>
                <w:lang w:eastAsia="en-AU"/>
              </w:rPr>
              <w:t xml:space="preserve"> </w:t>
            </w:r>
          </w:p>
        </w:tc>
        <w:tc>
          <w:tcPr>
            <w:tcW w:w="850" w:type="dxa"/>
            <w:tcBorders>
              <w:top w:val="nil"/>
              <w:left w:val="nil"/>
              <w:bottom w:val="nil"/>
              <w:right w:val="nil"/>
            </w:tcBorders>
          </w:tcPr>
          <w:p w:rsidR="00A46DCA" w:rsidRPr="00847D34"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lang w:eastAsia="en-AU"/>
              </w:rPr>
            </w:pPr>
            <w:r w:rsidRPr="00847D34">
              <w:rPr>
                <w:rFonts w:eastAsiaTheme="minorEastAsia" w:cs="Calibri"/>
                <w:color w:val="000000"/>
                <w:sz w:val="16"/>
                <w:lang w:eastAsia="en-AU"/>
              </w:rPr>
              <w:t xml:space="preserve"> </w:t>
            </w:r>
          </w:p>
        </w:tc>
        <w:tc>
          <w:tcPr>
            <w:tcW w:w="850" w:type="dxa"/>
            <w:tcBorders>
              <w:top w:val="nil"/>
              <w:left w:val="nil"/>
              <w:bottom w:val="nil"/>
              <w:right w:val="nil"/>
            </w:tcBorders>
          </w:tcPr>
          <w:p w:rsidR="00A46DCA" w:rsidRPr="00847D34"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lang w:eastAsia="en-AU"/>
              </w:rPr>
            </w:pPr>
            <w:r w:rsidRPr="00847D34">
              <w:rPr>
                <w:rFonts w:eastAsiaTheme="minorEastAsia" w:cs="Calibri"/>
                <w:color w:val="000000"/>
                <w:sz w:val="16"/>
                <w:lang w:eastAsia="en-AU"/>
              </w:rPr>
              <w:t xml:space="preserve"> </w:t>
            </w:r>
          </w:p>
        </w:tc>
        <w:tc>
          <w:tcPr>
            <w:tcW w:w="850" w:type="dxa"/>
            <w:tcBorders>
              <w:top w:val="nil"/>
              <w:left w:val="nil"/>
              <w:bottom w:val="nil"/>
              <w:right w:val="nil"/>
            </w:tcBorders>
          </w:tcPr>
          <w:p w:rsidR="00A46DCA" w:rsidRPr="00847D34"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lang w:eastAsia="en-AU"/>
              </w:rPr>
            </w:pPr>
            <w:r w:rsidRPr="00847D34">
              <w:rPr>
                <w:rFonts w:eastAsiaTheme="minorEastAsia" w:cs="Calibri"/>
                <w:color w:val="000000"/>
                <w:sz w:val="16"/>
                <w:lang w:eastAsia="en-AU"/>
              </w:rPr>
              <w:t xml:space="preserve"> </w:t>
            </w:r>
          </w:p>
        </w:tc>
      </w:tr>
      <w:tr w:rsidR="00A46DCA" w:rsidRPr="00847D34" w:rsidTr="00A26D04">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A46DCA" w:rsidRPr="00847D34" w:rsidRDefault="00A46DCA" w:rsidP="00A26D04">
            <w:pPr>
              <w:keepLines w:val="0"/>
              <w:autoSpaceDE w:val="0"/>
              <w:autoSpaceDN w:val="0"/>
              <w:adjustRightInd w:val="0"/>
              <w:spacing w:after="0"/>
              <w:rPr>
                <w:rFonts w:eastAsiaTheme="minorEastAsia" w:cs="Calibri"/>
                <w:b/>
                <w:bCs/>
                <w:color w:val="000000"/>
                <w:sz w:val="16"/>
                <w:szCs w:val="16"/>
                <w:lang w:eastAsia="en-AU"/>
              </w:rPr>
            </w:pPr>
            <w:r w:rsidRPr="00847D34">
              <w:rPr>
                <w:rFonts w:eastAsiaTheme="minorEastAsia" w:cs="Calibri"/>
                <w:b/>
                <w:bCs/>
                <w:color w:val="000000"/>
                <w:sz w:val="16"/>
                <w:szCs w:val="16"/>
                <w:lang w:eastAsia="en-AU"/>
              </w:rPr>
              <w:t>FISCAL AGGREGATES</w:t>
            </w:r>
          </w:p>
        </w:tc>
        <w:tc>
          <w:tcPr>
            <w:tcW w:w="850" w:type="dxa"/>
            <w:tcBorders>
              <w:top w:val="nil"/>
              <w:left w:val="nil"/>
              <w:bottom w:val="nil"/>
              <w:right w:val="nil"/>
            </w:tcBorders>
          </w:tcPr>
          <w:p w:rsidR="00A46DCA" w:rsidRPr="00847D34"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lang w:eastAsia="en-AU"/>
              </w:rPr>
            </w:pPr>
            <w:r w:rsidRPr="00847D34">
              <w:rPr>
                <w:rFonts w:eastAsiaTheme="minorEastAsia" w:cs="Calibri"/>
                <w:b/>
                <w:bCs/>
                <w:color w:val="000000"/>
                <w:sz w:val="16"/>
                <w:lang w:eastAsia="en-AU"/>
              </w:rPr>
              <w:t xml:space="preserve"> </w:t>
            </w:r>
          </w:p>
        </w:tc>
        <w:tc>
          <w:tcPr>
            <w:tcW w:w="850" w:type="dxa"/>
            <w:tcBorders>
              <w:top w:val="nil"/>
              <w:left w:val="nil"/>
              <w:bottom w:val="nil"/>
              <w:right w:val="nil"/>
            </w:tcBorders>
          </w:tcPr>
          <w:p w:rsidR="00A46DCA" w:rsidRPr="00847D34"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lang w:eastAsia="en-AU"/>
              </w:rPr>
            </w:pPr>
            <w:r w:rsidRPr="00847D34">
              <w:rPr>
                <w:rFonts w:eastAsiaTheme="minorEastAsia" w:cs="Calibri"/>
                <w:b/>
                <w:bCs/>
                <w:color w:val="000000"/>
                <w:sz w:val="16"/>
                <w:lang w:eastAsia="en-AU"/>
              </w:rPr>
              <w:t xml:space="preserve"> </w:t>
            </w:r>
          </w:p>
        </w:tc>
        <w:tc>
          <w:tcPr>
            <w:tcW w:w="850" w:type="dxa"/>
            <w:tcBorders>
              <w:top w:val="nil"/>
              <w:left w:val="nil"/>
              <w:bottom w:val="nil"/>
              <w:right w:val="nil"/>
            </w:tcBorders>
          </w:tcPr>
          <w:p w:rsidR="00A46DCA" w:rsidRPr="00847D34"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lang w:eastAsia="en-AU"/>
              </w:rPr>
            </w:pPr>
            <w:r w:rsidRPr="00847D34">
              <w:rPr>
                <w:rFonts w:eastAsiaTheme="minorEastAsia" w:cs="Calibri"/>
                <w:b/>
                <w:bCs/>
                <w:color w:val="000000"/>
                <w:sz w:val="16"/>
                <w:lang w:eastAsia="en-AU"/>
              </w:rPr>
              <w:t xml:space="preserve"> </w:t>
            </w:r>
          </w:p>
        </w:tc>
        <w:tc>
          <w:tcPr>
            <w:tcW w:w="850" w:type="dxa"/>
            <w:tcBorders>
              <w:top w:val="nil"/>
              <w:left w:val="nil"/>
              <w:bottom w:val="nil"/>
              <w:right w:val="nil"/>
            </w:tcBorders>
          </w:tcPr>
          <w:p w:rsidR="00A46DCA" w:rsidRPr="00847D34"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lang w:eastAsia="en-AU"/>
              </w:rPr>
            </w:pPr>
            <w:r w:rsidRPr="00847D34">
              <w:rPr>
                <w:rFonts w:eastAsiaTheme="minorEastAsia" w:cs="Calibri"/>
                <w:b/>
                <w:bCs/>
                <w:color w:val="000000"/>
                <w:sz w:val="16"/>
                <w:lang w:eastAsia="en-AU"/>
              </w:rPr>
              <w:t xml:space="preserve"> </w:t>
            </w:r>
          </w:p>
        </w:tc>
        <w:tc>
          <w:tcPr>
            <w:tcW w:w="850" w:type="dxa"/>
            <w:tcBorders>
              <w:top w:val="nil"/>
              <w:left w:val="nil"/>
              <w:bottom w:val="nil"/>
              <w:right w:val="nil"/>
            </w:tcBorders>
          </w:tcPr>
          <w:p w:rsidR="00A46DCA" w:rsidRPr="00847D34"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lang w:eastAsia="en-AU"/>
              </w:rPr>
            </w:pPr>
            <w:r w:rsidRPr="00847D34">
              <w:rPr>
                <w:rFonts w:eastAsiaTheme="minorEastAsia" w:cs="Calibri"/>
                <w:b/>
                <w:bCs/>
                <w:color w:val="000000"/>
                <w:sz w:val="16"/>
                <w:lang w:eastAsia="en-AU"/>
              </w:rPr>
              <w:t xml:space="preserve"> </w:t>
            </w:r>
          </w:p>
        </w:tc>
      </w:tr>
      <w:tr w:rsidR="00A46DCA" w:rsidRPr="00847D34" w:rsidTr="00A26D04">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A46DCA" w:rsidRPr="00847D34" w:rsidRDefault="00A46DCA" w:rsidP="00A26D04">
            <w:pPr>
              <w:keepLines w:val="0"/>
              <w:autoSpaceDE w:val="0"/>
              <w:autoSpaceDN w:val="0"/>
              <w:adjustRightInd w:val="0"/>
              <w:spacing w:after="0"/>
              <w:rPr>
                <w:rFonts w:eastAsiaTheme="minorEastAsia" w:cs="Calibri"/>
                <w:color w:val="000000"/>
                <w:sz w:val="16"/>
                <w:szCs w:val="16"/>
                <w:lang w:eastAsia="en-AU"/>
              </w:rPr>
            </w:pPr>
            <w:r w:rsidRPr="00847D34">
              <w:rPr>
                <w:rFonts w:eastAsiaTheme="minorEastAsia" w:cs="Calibri"/>
                <w:color w:val="000000"/>
                <w:sz w:val="16"/>
                <w:szCs w:val="16"/>
                <w:lang w:eastAsia="en-AU"/>
              </w:rPr>
              <w:t>Net cash flows from operating activities</w:t>
            </w:r>
          </w:p>
        </w:tc>
        <w:tc>
          <w:tcPr>
            <w:tcW w:w="850" w:type="dxa"/>
            <w:tcBorders>
              <w:top w:val="nil"/>
              <w:left w:val="nil"/>
              <w:bottom w:val="nil"/>
              <w:right w:val="nil"/>
            </w:tcBorders>
          </w:tcPr>
          <w:p w:rsidR="00A46DCA" w:rsidRPr="00847D34"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lang w:eastAsia="en-AU"/>
              </w:rPr>
            </w:pPr>
            <w:r w:rsidRPr="00847D34">
              <w:rPr>
                <w:rFonts w:eastAsiaTheme="minorEastAsia" w:cs="Calibri"/>
                <w:color w:val="000000"/>
                <w:sz w:val="16"/>
                <w:szCs w:val="16"/>
                <w:lang w:eastAsia="en-AU"/>
              </w:rPr>
              <w:t>4 728</w:t>
            </w:r>
          </w:p>
        </w:tc>
        <w:tc>
          <w:tcPr>
            <w:tcW w:w="850" w:type="dxa"/>
            <w:tcBorders>
              <w:top w:val="nil"/>
              <w:left w:val="nil"/>
              <w:bottom w:val="nil"/>
              <w:right w:val="nil"/>
            </w:tcBorders>
          </w:tcPr>
          <w:p w:rsidR="00A46DCA" w:rsidRPr="00847D34"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lang w:eastAsia="en-AU"/>
              </w:rPr>
            </w:pPr>
            <w:r w:rsidRPr="00847D34">
              <w:rPr>
                <w:rFonts w:eastAsiaTheme="minorEastAsia" w:cs="Calibri"/>
                <w:color w:val="000000"/>
                <w:sz w:val="16"/>
                <w:szCs w:val="16"/>
                <w:lang w:eastAsia="en-AU"/>
              </w:rPr>
              <w:t>4 885</w:t>
            </w:r>
          </w:p>
        </w:tc>
        <w:tc>
          <w:tcPr>
            <w:tcW w:w="850" w:type="dxa"/>
            <w:tcBorders>
              <w:top w:val="nil"/>
              <w:left w:val="nil"/>
              <w:bottom w:val="nil"/>
              <w:right w:val="nil"/>
            </w:tcBorders>
          </w:tcPr>
          <w:p w:rsidR="00A46DCA" w:rsidRPr="00847D34"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lang w:eastAsia="en-AU"/>
              </w:rPr>
            </w:pPr>
            <w:r w:rsidRPr="00847D34">
              <w:rPr>
                <w:rFonts w:eastAsiaTheme="minorEastAsia" w:cs="Calibri"/>
                <w:color w:val="000000"/>
                <w:sz w:val="16"/>
                <w:szCs w:val="16"/>
                <w:lang w:eastAsia="en-AU"/>
              </w:rPr>
              <w:t>7 295</w:t>
            </w:r>
          </w:p>
        </w:tc>
        <w:tc>
          <w:tcPr>
            <w:tcW w:w="850" w:type="dxa"/>
            <w:tcBorders>
              <w:top w:val="nil"/>
              <w:left w:val="nil"/>
              <w:bottom w:val="nil"/>
              <w:right w:val="nil"/>
            </w:tcBorders>
          </w:tcPr>
          <w:p w:rsidR="00A46DCA" w:rsidRPr="00847D34"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lang w:eastAsia="en-AU"/>
              </w:rPr>
            </w:pPr>
            <w:r w:rsidRPr="00847D34">
              <w:rPr>
                <w:rFonts w:eastAsiaTheme="minorEastAsia" w:cs="Calibri"/>
                <w:color w:val="000000"/>
                <w:sz w:val="16"/>
                <w:szCs w:val="16"/>
                <w:lang w:eastAsia="en-AU"/>
              </w:rPr>
              <w:t>5 525</w:t>
            </w:r>
          </w:p>
        </w:tc>
        <w:tc>
          <w:tcPr>
            <w:tcW w:w="850" w:type="dxa"/>
            <w:tcBorders>
              <w:top w:val="nil"/>
              <w:left w:val="nil"/>
              <w:bottom w:val="nil"/>
              <w:right w:val="nil"/>
            </w:tcBorders>
          </w:tcPr>
          <w:p w:rsidR="00A46DCA" w:rsidRPr="00847D34"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lang w:eastAsia="en-AU"/>
              </w:rPr>
            </w:pPr>
            <w:r w:rsidRPr="00847D34">
              <w:rPr>
                <w:rFonts w:eastAsiaTheme="minorEastAsia" w:cs="Calibri"/>
                <w:color w:val="000000"/>
                <w:sz w:val="16"/>
                <w:szCs w:val="16"/>
                <w:lang w:eastAsia="en-AU"/>
              </w:rPr>
              <w:t>6 253</w:t>
            </w:r>
          </w:p>
        </w:tc>
      </w:tr>
      <w:tr w:rsidR="00A46DCA" w:rsidRPr="00847D34" w:rsidTr="00A26D04">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A46DCA" w:rsidRPr="00847D34" w:rsidRDefault="00A46DCA" w:rsidP="00A26D04">
            <w:pPr>
              <w:keepLines w:val="0"/>
              <w:autoSpaceDE w:val="0"/>
              <w:autoSpaceDN w:val="0"/>
              <w:adjustRightInd w:val="0"/>
              <w:spacing w:after="0"/>
              <w:rPr>
                <w:rFonts w:eastAsiaTheme="minorEastAsia" w:cs="Calibri"/>
                <w:color w:val="000000"/>
                <w:sz w:val="16"/>
                <w:szCs w:val="16"/>
                <w:lang w:eastAsia="en-AU"/>
              </w:rPr>
            </w:pPr>
            <w:r w:rsidRPr="00847D34">
              <w:rPr>
                <w:rFonts w:eastAsiaTheme="minorEastAsia" w:cs="Calibri"/>
                <w:color w:val="000000"/>
                <w:sz w:val="16"/>
                <w:szCs w:val="16"/>
                <w:lang w:eastAsia="en-AU"/>
              </w:rPr>
              <w:t>Net cash flows from investments in non-financial assets</w:t>
            </w:r>
          </w:p>
        </w:tc>
        <w:tc>
          <w:tcPr>
            <w:tcW w:w="850" w:type="dxa"/>
            <w:tcBorders>
              <w:top w:val="nil"/>
              <w:left w:val="nil"/>
              <w:bottom w:val="nil"/>
              <w:right w:val="nil"/>
            </w:tcBorders>
          </w:tcPr>
          <w:p w:rsidR="00A46DCA" w:rsidRPr="00847D34"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lang w:eastAsia="en-AU"/>
              </w:rPr>
            </w:pPr>
            <w:r>
              <w:rPr>
                <w:rFonts w:eastAsiaTheme="minorEastAsia" w:cs="Calibri"/>
                <w:color w:val="000000"/>
                <w:sz w:val="16"/>
                <w:szCs w:val="16"/>
                <w:lang w:eastAsia="en-AU"/>
              </w:rPr>
              <w:t>(11 328)</w:t>
            </w:r>
          </w:p>
        </w:tc>
        <w:tc>
          <w:tcPr>
            <w:tcW w:w="850" w:type="dxa"/>
            <w:tcBorders>
              <w:top w:val="nil"/>
              <w:left w:val="nil"/>
              <w:bottom w:val="nil"/>
              <w:right w:val="nil"/>
            </w:tcBorders>
          </w:tcPr>
          <w:p w:rsidR="00A46DCA" w:rsidRPr="00847D34"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lang w:eastAsia="en-AU"/>
              </w:rPr>
            </w:pPr>
            <w:r>
              <w:rPr>
                <w:rFonts w:eastAsiaTheme="minorEastAsia" w:cs="Calibri"/>
                <w:color w:val="000000"/>
                <w:sz w:val="16"/>
                <w:szCs w:val="16"/>
                <w:lang w:eastAsia="en-AU"/>
              </w:rPr>
              <w:t>(11 518)</w:t>
            </w:r>
          </w:p>
        </w:tc>
        <w:tc>
          <w:tcPr>
            <w:tcW w:w="850" w:type="dxa"/>
            <w:tcBorders>
              <w:top w:val="nil"/>
              <w:left w:val="nil"/>
              <w:bottom w:val="nil"/>
              <w:right w:val="nil"/>
            </w:tcBorders>
          </w:tcPr>
          <w:p w:rsidR="00A46DCA" w:rsidRPr="00847D34"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lang w:eastAsia="en-AU"/>
              </w:rPr>
            </w:pPr>
            <w:r>
              <w:rPr>
                <w:rFonts w:eastAsiaTheme="minorEastAsia" w:cs="Calibri"/>
                <w:color w:val="000000"/>
                <w:sz w:val="16"/>
                <w:szCs w:val="16"/>
                <w:lang w:eastAsia="en-AU"/>
              </w:rPr>
              <w:t>(10 555)</w:t>
            </w:r>
          </w:p>
        </w:tc>
        <w:tc>
          <w:tcPr>
            <w:tcW w:w="850" w:type="dxa"/>
            <w:tcBorders>
              <w:top w:val="nil"/>
              <w:left w:val="nil"/>
              <w:bottom w:val="nil"/>
              <w:right w:val="nil"/>
            </w:tcBorders>
          </w:tcPr>
          <w:p w:rsidR="00A46DCA" w:rsidRPr="00847D34"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lang w:eastAsia="en-AU"/>
              </w:rPr>
            </w:pPr>
            <w:r>
              <w:rPr>
                <w:rFonts w:eastAsiaTheme="minorEastAsia" w:cs="Calibri"/>
                <w:color w:val="000000"/>
                <w:sz w:val="16"/>
                <w:szCs w:val="16"/>
                <w:lang w:eastAsia="en-AU"/>
              </w:rPr>
              <w:t>(9 264)</w:t>
            </w:r>
          </w:p>
        </w:tc>
        <w:tc>
          <w:tcPr>
            <w:tcW w:w="850" w:type="dxa"/>
            <w:tcBorders>
              <w:top w:val="nil"/>
              <w:left w:val="nil"/>
              <w:bottom w:val="nil"/>
              <w:right w:val="nil"/>
            </w:tcBorders>
          </w:tcPr>
          <w:p w:rsidR="00A46DCA" w:rsidRPr="00847D34"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lang w:eastAsia="en-AU"/>
              </w:rPr>
            </w:pPr>
            <w:r>
              <w:rPr>
                <w:rFonts w:eastAsiaTheme="minorEastAsia" w:cs="Calibri"/>
                <w:color w:val="000000"/>
                <w:sz w:val="16"/>
                <w:szCs w:val="16"/>
                <w:lang w:eastAsia="en-AU"/>
              </w:rPr>
              <w:t>(8 870)</w:t>
            </w:r>
          </w:p>
        </w:tc>
      </w:tr>
      <w:tr w:rsidR="00A46DCA" w:rsidRPr="00847D34" w:rsidTr="00A26D04">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5" w:type="dxa"/>
            <w:tcBorders>
              <w:top w:val="single" w:sz="6" w:space="0" w:color="000000"/>
              <w:bottom w:val="single" w:sz="12" w:space="0" w:color="000000"/>
            </w:tcBorders>
          </w:tcPr>
          <w:p w:rsidR="00A46DCA" w:rsidRPr="00847D34" w:rsidRDefault="00A46DCA" w:rsidP="00A26D04">
            <w:pPr>
              <w:keepLines w:val="0"/>
              <w:autoSpaceDE w:val="0"/>
              <w:autoSpaceDN w:val="0"/>
              <w:adjustRightInd w:val="0"/>
              <w:spacing w:after="0"/>
              <w:rPr>
                <w:rFonts w:eastAsiaTheme="minorEastAsia" w:cs="Calibri"/>
                <w:bCs/>
                <w:color w:val="000000"/>
                <w:sz w:val="16"/>
                <w:szCs w:val="16"/>
                <w:lang w:eastAsia="en-AU"/>
              </w:rPr>
            </w:pPr>
            <w:r w:rsidRPr="00847D34">
              <w:rPr>
                <w:rFonts w:eastAsiaTheme="minorEastAsia" w:cs="Calibri"/>
                <w:bCs/>
                <w:color w:val="000000"/>
                <w:sz w:val="16"/>
                <w:szCs w:val="16"/>
                <w:lang w:eastAsia="en-AU"/>
              </w:rPr>
              <w:t>Cash surplus/(deficit)</w:t>
            </w:r>
          </w:p>
        </w:tc>
        <w:tc>
          <w:tcPr>
            <w:tcW w:w="850" w:type="dxa"/>
            <w:tcBorders>
              <w:top w:val="single" w:sz="6" w:space="0" w:color="000000"/>
              <w:bottom w:val="single" w:sz="12" w:space="0" w:color="000000"/>
            </w:tcBorders>
          </w:tcPr>
          <w:p w:rsidR="00A46DCA" w:rsidRPr="00847D34" w:rsidRDefault="00A46DCA" w:rsidP="00A26D04">
            <w:pPr>
              <w:keepLines w:val="0"/>
              <w:autoSpaceDE w:val="0"/>
              <w:autoSpaceDN w:val="0"/>
              <w:adjustRightInd w:val="0"/>
              <w:spacing w:after="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 w:val="16"/>
                <w:szCs w:val="16"/>
                <w:lang w:eastAsia="en-AU"/>
              </w:rPr>
            </w:pPr>
            <w:r>
              <w:rPr>
                <w:rFonts w:eastAsiaTheme="minorEastAsia" w:cs="Calibri"/>
                <w:bCs/>
                <w:color w:val="000000"/>
                <w:sz w:val="16"/>
                <w:szCs w:val="16"/>
                <w:lang w:eastAsia="en-AU"/>
              </w:rPr>
              <w:t>(6 600)</w:t>
            </w:r>
          </w:p>
        </w:tc>
        <w:tc>
          <w:tcPr>
            <w:tcW w:w="850" w:type="dxa"/>
            <w:tcBorders>
              <w:top w:val="single" w:sz="6" w:space="0" w:color="000000"/>
              <w:bottom w:val="single" w:sz="12" w:space="0" w:color="000000"/>
            </w:tcBorders>
          </w:tcPr>
          <w:p w:rsidR="00A46DCA" w:rsidRPr="00847D34" w:rsidRDefault="00A46DCA" w:rsidP="00A26D04">
            <w:pPr>
              <w:keepLines w:val="0"/>
              <w:autoSpaceDE w:val="0"/>
              <w:autoSpaceDN w:val="0"/>
              <w:adjustRightInd w:val="0"/>
              <w:spacing w:after="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 w:val="16"/>
                <w:szCs w:val="16"/>
                <w:lang w:eastAsia="en-AU"/>
              </w:rPr>
            </w:pPr>
            <w:r>
              <w:rPr>
                <w:rFonts w:eastAsiaTheme="minorEastAsia" w:cs="Calibri"/>
                <w:bCs/>
                <w:color w:val="000000"/>
                <w:sz w:val="16"/>
                <w:szCs w:val="16"/>
                <w:lang w:eastAsia="en-AU"/>
              </w:rPr>
              <w:t>(6 633)</w:t>
            </w:r>
          </w:p>
        </w:tc>
        <w:tc>
          <w:tcPr>
            <w:tcW w:w="850" w:type="dxa"/>
            <w:tcBorders>
              <w:top w:val="single" w:sz="6" w:space="0" w:color="000000"/>
              <w:bottom w:val="single" w:sz="12" w:space="0" w:color="000000"/>
            </w:tcBorders>
          </w:tcPr>
          <w:p w:rsidR="00A46DCA" w:rsidRPr="00847D34" w:rsidRDefault="00A46DCA" w:rsidP="00A26D04">
            <w:pPr>
              <w:keepLines w:val="0"/>
              <w:autoSpaceDE w:val="0"/>
              <w:autoSpaceDN w:val="0"/>
              <w:adjustRightInd w:val="0"/>
              <w:spacing w:after="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 w:val="16"/>
                <w:szCs w:val="16"/>
                <w:lang w:eastAsia="en-AU"/>
              </w:rPr>
            </w:pPr>
            <w:r>
              <w:rPr>
                <w:rFonts w:eastAsiaTheme="minorEastAsia" w:cs="Calibri"/>
                <w:bCs/>
                <w:color w:val="000000"/>
                <w:sz w:val="16"/>
                <w:szCs w:val="16"/>
                <w:lang w:eastAsia="en-AU"/>
              </w:rPr>
              <w:t>(3 260)</w:t>
            </w:r>
          </w:p>
        </w:tc>
        <w:tc>
          <w:tcPr>
            <w:tcW w:w="850" w:type="dxa"/>
            <w:tcBorders>
              <w:top w:val="single" w:sz="6" w:space="0" w:color="000000"/>
              <w:bottom w:val="single" w:sz="12" w:space="0" w:color="000000"/>
            </w:tcBorders>
          </w:tcPr>
          <w:p w:rsidR="00A46DCA" w:rsidRPr="00847D34" w:rsidRDefault="00A46DCA" w:rsidP="00A26D04">
            <w:pPr>
              <w:keepLines w:val="0"/>
              <w:autoSpaceDE w:val="0"/>
              <w:autoSpaceDN w:val="0"/>
              <w:adjustRightInd w:val="0"/>
              <w:spacing w:after="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 w:val="16"/>
                <w:szCs w:val="16"/>
                <w:lang w:eastAsia="en-AU"/>
              </w:rPr>
            </w:pPr>
            <w:r>
              <w:rPr>
                <w:rFonts w:eastAsiaTheme="minorEastAsia" w:cs="Calibri"/>
                <w:bCs/>
                <w:color w:val="000000"/>
                <w:sz w:val="16"/>
                <w:szCs w:val="16"/>
                <w:lang w:eastAsia="en-AU"/>
              </w:rPr>
              <w:t>(3 739)</w:t>
            </w:r>
          </w:p>
        </w:tc>
        <w:tc>
          <w:tcPr>
            <w:tcW w:w="850" w:type="dxa"/>
            <w:tcBorders>
              <w:top w:val="single" w:sz="6" w:space="0" w:color="000000"/>
              <w:bottom w:val="single" w:sz="12" w:space="0" w:color="000000"/>
            </w:tcBorders>
          </w:tcPr>
          <w:p w:rsidR="00A46DCA" w:rsidRPr="00847D34" w:rsidRDefault="00A46DCA" w:rsidP="00A26D04">
            <w:pPr>
              <w:keepLines w:val="0"/>
              <w:autoSpaceDE w:val="0"/>
              <w:autoSpaceDN w:val="0"/>
              <w:adjustRightInd w:val="0"/>
              <w:spacing w:after="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 w:val="16"/>
                <w:szCs w:val="16"/>
                <w:lang w:eastAsia="en-AU"/>
              </w:rPr>
            </w:pPr>
            <w:r>
              <w:rPr>
                <w:rFonts w:eastAsiaTheme="minorEastAsia" w:cs="Calibri"/>
                <w:bCs/>
                <w:color w:val="000000"/>
                <w:sz w:val="16"/>
                <w:szCs w:val="16"/>
                <w:lang w:eastAsia="en-AU"/>
              </w:rPr>
              <w:t>(2 617)</w:t>
            </w:r>
          </w:p>
        </w:tc>
      </w:tr>
    </w:tbl>
    <w:p w:rsidR="00A46DCA" w:rsidRDefault="00A46DCA" w:rsidP="00A26D04">
      <w:pPr>
        <w:pStyle w:val="Source"/>
      </w:pPr>
      <w:r w:rsidRPr="00D87D22">
        <w:t>Source: Dep</w:t>
      </w:r>
      <w:r>
        <w:t>artment of Treasury and Finance</w:t>
      </w:r>
      <w:r w:rsidRPr="00352C54">
        <w:t xml:space="preserve"> </w:t>
      </w:r>
    </w:p>
    <w:p w:rsidR="00A46DCA" w:rsidRPr="005F55F3" w:rsidRDefault="00A46DCA" w:rsidP="00A26D04">
      <w:pPr>
        <w:pStyle w:val="Note"/>
      </w:pPr>
      <w:r>
        <w:t>Notes:</w:t>
      </w:r>
    </w:p>
    <w:p w:rsidR="00A46DCA" w:rsidRDefault="00A46DCA" w:rsidP="00A26D04">
      <w:pPr>
        <w:pStyle w:val="Note"/>
      </w:pPr>
      <w:r>
        <w:t>(a)</w:t>
      </w:r>
      <w:r>
        <w:tab/>
      </w:r>
      <w:r w:rsidRPr="00995E6E">
        <w:rPr>
          <w:rFonts w:cs="Times New Roman"/>
          <w:lang w:eastAsia="en-AU"/>
        </w:rPr>
        <w:t>Certain line items have been aggregated in the table above due to</w:t>
      </w:r>
      <w:r>
        <w:rPr>
          <w:rFonts w:cs="Times New Roman"/>
          <w:lang w:eastAsia="en-AU"/>
        </w:rPr>
        <w:t xml:space="preserve"> </w:t>
      </w:r>
      <w:r w:rsidRPr="00995E6E">
        <w:rPr>
          <w:rFonts w:cs="Times New Roman"/>
          <w:lang w:eastAsia="en-AU"/>
        </w:rPr>
        <w:t>commercial sensitivities</w:t>
      </w:r>
      <w:r>
        <w:rPr>
          <w:rFonts w:cs="Times New Roman"/>
          <w:lang w:eastAsia="en-AU"/>
        </w:rPr>
        <w:t>.</w:t>
      </w:r>
    </w:p>
    <w:p w:rsidR="00A46DCA" w:rsidRDefault="00A46DCA" w:rsidP="00A26D04">
      <w:pPr>
        <w:pStyle w:val="Note"/>
      </w:pPr>
      <w:r>
        <w:t>(b)</w:t>
      </w:r>
      <w:r>
        <w:tab/>
        <w:t>Inclusive of goods and services tax.</w:t>
      </w:r>
    </w:p>
    <w:p w:rsidR="00A46DCA" w:rsidRDefault="00A46DCA" w:rsidP="00A26D04">
      <w:pPr>
        <w:pStyle w:val="Note"/>
      </w:pPr>
      <w:r>
        <w:t>(c)</w:t>
      </w:r>
      <w:r>
        <w:tab/>
      </w:r>
      <w:r w:rsidRPr="001465C7">
        <w:rPr>
          <w:i w:val="0"/>
        </w:rPr>
        <w:t>2017-18 Budget</w:t>
      </w:r>
      <w:r>
        <w:t xml:space="preserve"> figures have been restated to represent actual opening balances at 1 July 2017.</w:t>
      </w:r>
    </w:p>
    <w:p w:rsidR="00A46DCA" w:rsidRDefault="00A46DCA" w:rsidP="00A26D04">
      <w:pPr>
        <w:pStyle w:val="Note"/>
      </w:pPr>
      <w:r>
        <w:t>(d)</w:t>
      </w:r>
      <w:r>
        <w:tab/>
        <w:t>Cash and cash equivalents and the end of the reporting period does not equal cash and deposits on the balance sheet. This is due to overdrafts being included in the cash flow statement balances.</w:t>
      </w:r>
    </w:p>
    <w:p w:rsidR="00A46DCA" w:rsidRDefault="00A46DCA" w:rsidP="00A26D04">
      <w:pPr>
        <w:pStyle w:val="Note"/>
      </w:pPr>
    </w:p>
    <w:p w:rsidR="00A46DCA" w:rsidRPr="00023820" w:rsidRDefault="00A46DCA" w:rsidP="00A26D04">
      <w:pPr>
        <w:pStyle w:val="TableHeading"/>
        <w:rPr>
          <w:bCs/>
          <w:lang w:val="en-US"/>
        </w:rPr>
      </w:pPr>
      <w:r>
        <w:lastRenderedPageBreak/>
        <w:t>Table 5.10</w:t>
      </w:r>
      <w:r w:rsidR="008E5E35">
        <w:t>:</w:t>
      </w:r>
      <w:r>
        <w:tab/>
        <w:t xml:space="preserve">Non-financial public sector statement of changes in equity </w:t>
      </w:r>
      <w:r w:rsidR="006A017C">
        <w:br/>
      </w:r>
      <w:r>
        <w:t>for the financial year ended 30 June</w:t>
      </w:r>
      <w:r>
        <w:tab/>
        <w:t>($ million)</w:t>
      </w:r>
    </w:p>
    <w:tbl>
      <w:tblPr>
        <w:tblStyle w:val="DTFTable"/>
        <w:tblW w:w="7767" w:type="dxa"/>
        <w:tblInd w:w="45" w:type="dxa"/>
        <w:tblLayout w:type="fixed"/>
        <w:tblCellMar>
          <w:left w:w="45" w:type="dxa"/>
          <w:right w:w="45" w:type="dxa"/>
        </w:tblCellMar>
        <w:tblLook w:val="06E0" w:firstRow="1" w:lastRow="1" w:firstColumn="1" w:lastColumn="0" w:noHBand="1" w:noVBand="1"/>
      </w:tblPr>
      <w:tblGrid>
        <w:gridCol w:w="4819"/>
        <w:gridCol w:w="1276"/>
        <w:gridCol w:w="1672"/>
      </w:tblGrid>
      <w:tr w:rsidR="00A46DCA" w:rsidRPr="00023820" w:rsidTr="008E5E35">
        <w:trPr>
          <w:cnfStyle w:val="100000000000" w:firstRow="1" w:lastRow="0" w:firstColumn="0" w:lastColumn="0" w:oddVBand="0" w:evenVBand="0" w:oddHBand="0" w:evenHBand="0" w:firstRowFirstColumn="0" w:firstRowLastColumn="0" w:lastRowFirstColumn="0" w:lastRowLastColumn="0"/>
          <w:trHeight w:val="101"/>
          <w:tblHeader/>
        </w:trPr>
        <w:tc>
          <w:tcPr>
            <w:cnfStyle w:val="001000000000" w:firstRow="0" w:lastRow="0" w:firstColumn="1" w:lastColumn="0" w:oddVBand="0" w:evenVBand="0" w:oddHBand="0" w:evenHBand="0" w:firstRowFirstColumn="0" w:firstRowLastColumn="0" w:lastRowFirstColumn="0" w:lastRowLastColumn="0"/>
            <w:tcW w:w="4819" w:type="dxa"/>
            <w:tcBorders>
              <w:top w:val="nil"/>
              <w:left w:val="nil"/>
              <w:bottom w:val="nil"/>
              <w:right w:val="nil"/>
            </w:tcBorders>
            <w:shd w:val="solid" w:color="000000" w:fill="auto"/>
          </w:tcPr>
          <w:p w:rsidR="00A46DCA" w:rsidRPr="00023820" w:rsidRDefault="00A46DCA" w:rsidP="00A26D04">
            <w:pPr>
              <w:autoSpaceDE w:val="0"/>
              <w:autoSpaceDN w:val="0"/>
              <w:adjustRightInd w:val="0"/>
              <w:rPr>
                <w:rFonts w:eastAsiaTheme="minorEastAsia" w:cs="Calibri"/>
                <w:iCs/>
                <w:color w:val="FFFFFF"/>
                <w:lang w:eastAsia="en-AU"/>
              </w:rPr>
            </w:pPr>
            <w:r w:rsidRPr="00023820">
              <w:rPr>
                <w:rFonts w:eastAsiaTheme="minorEastAsia" w:cs="Calibri"/>
                <w:iCs/>
                <w:color w:val="FFFFFF"/>
                <w:lang w:eastAsia="en-AU"/>
              </w:rPr>
              <w:t xml:space="preserve"> </w:t>
            </w:r>
          </w:p>
        </w:tc>
        <w:tc>
          <w:tcPr>
            <w:tcW w:w="1276" w:type="dxa"/>
            <w:tcBorders>
              <w:top w:val="nil"/>
              <w:left w:val="nil"/>
              <w:bottom w:val="nil"/>
              <w:right w:val="nil"/>
            </w:tcBorders>
            <w:shd w:val="solid" w:color="000000" w:fill="auto"/>
          </w:tcPr>
          <w:p w:rsidR="00A46DCA" w:rsidRPr="00023820" w:rsidRDefault="00A46DCA" w:rsidP="00A26D0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21"/>
                <w:lang w:eastAsia="en-AU"/>
              </w:rPr>
            </w:pPr>
            <w:r w:rsidRPr="00023820">
              <w:rPr>
                <w:rFonts w:eastAsiaTheme="minorEastAsia" w:cs="Calibri"/>
                <w:iCs/>
                <w:color w:val="FFFFFF"/>
                <w:szCs w:val="21"/>
                <w:lang w:eastAsia="en-AU"/>
              </w:rPr>
              <w:t>Accumulated surplus/(deficit)</w:t>
            </w:r>
          </w:p>
        </w:tc>
        <w:tc>
          <w:tcPr>
            <w:tcW w:w="1672" w:type="dxa"/>
            <w:tcBorders>
              <w:top w:val="nil"/>
              <w:left w:val="nil"/>
              <w:bottom w:val="nil"/>
              <w:right w:val="nil"/>
            </w:tcBorders>
            <w:shd w:val="solid" w:color="000000" w:fill="auto"/>
          </w:tcPr>
          <w:p w:rsidR="00A46DCA" w:rsidRPr="00023820" w:rsidRDefault="00A46DCA" w:rsidP="00A26D0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21"/>
                <w:lang w:eastAsia="en-AU"/>
              </w:rPr>
            </w:pPr>
            <w:r w:rsidRPr="00023820">
              <w:rPr>
                <w:rFonts w:eastAsiaTheme="minorEastAsia" w:cs="Calibri"/>
                <w:iCs/>
                <w:color w:val="FFFFFF"/>
                <w:szCs w:val="21"/>
                <w:lang w:eastAsia="en-AU"/>
              </w:rPr>
              <w:t>Non-financial assets revaluation surplus</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4819" w:type="dxa"/>
            <w:tcBorders>
              <w:top w:val="nil"/>
              <w:left w:val="nil"/>
              <w:bottom w:val="nil"/>
              <w:right w:val="nil"/>
            </w:tcBorders>
          </w:tcPr>
          <w:p w:rsidR="00A46DCA" w:rsidRPr="00023820" w:rsidRDefault="00A46DCA" w:rsidP="00A26D04">
            <w:pPr>
              <w:keepLines w:val="0"/>
              <w:autoSpaceDE w:val="0"/>
              <w:autoSpaceDN w:val="0"/>
              <w:adjustRightInd w:val="0"/>
              <w:rPr>
                <w:rFonts w:eastAsiaTheme="minorEastAsia" w:cs="Calibri"/>
                <w:b/>
                <w:bCs/>
                <w:color w:val="000000"/>
                <w:szCs w:val="20"/>
                <w:vertAlign w:val="superscript"/>
                <w:lang w:eastAsia="en-AU"/>
              </w:rPr>
            </w:pPr>
            <w:r w:rsidRPr="00023820">
              <w:rPr>
                <w:rFonts w:eastAsiaTheme="minorEastAsia" w:cs="Calibri"/>
                <w:b/>
                <w:bCs/>
                <w:color w:val="000000"/>
                <w:szCs w:val="20"/>
                <w:lang w:eastAsia="en-AU"/>
              </w:rPr>
              <w:t xml:space="preserve">2017-18 budget </w:t>
            </w:r>
            <w:r w:rsidRPr="00023820">
              <w:rPr>
                <w:rFonts w:eastAsiaTheme="minorEastAsia" w:cs="Calibri"/>
                <w:b/>
                <w:bCs/>
                <w:color w:val="000000"/>
                <w:szCs w:val="20"/>
                <w:vertAlign w:val="superscript"/>
                <w:lang w:eastAsia="en-AU"/>
              </w:rPr>
              <w:t>(a)</w:t>
            </w:r>
          </w:p>
        </w:tc>
        <w:tc>
          <w:tcPr>
            <w:tcW w:w="1276"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1"/>
                <w:lang w:eastAsia="en-AU"/>
              </w:rPr>
            </w:pPr>
            <w:r w:rsidRPr="00023820">
              <w:rPr>
                <w:rFonts w:eastAsiaTheme="minorEastAsia" w:cs="Calibri"/>
                <w:b/>
                <w:bCs/>
                <w:color w:val="000000"/>
                <w:szCs w:val="21"/>
                <w:lang w:eastAsia="en-AU"/>
              </w:rPr>
              <w:t xml:space="preserve"> </w:t>
            </w:r>
          </w:p>
        </w:tc>
        <w:tc>
          <w:tcPr>
            <w:tcW w:w="1672"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023820">
              <w:rPr>
                <w:rFonts w:eastAsiaTheme="minorEastAsia" w:cs="Calibri"/>
                <w:b/>
                <w:bCs/>
                <w:color w:val="000000"/>
                <w:lang w:eastAsia="en-AU"/>
              </w:rPr>
              <w:t xml:space="preserve"> </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4819" w:type="dxa"/>
            <w:tcBorders>
              <w:top w:val="nil"/>
              <w:left w:val="nil"/>
              <w:bottom w:val="nil"/>
              <w:right w:val="nil"/>
            </w:tcBorders>
          </w:tcPr>
          <w:p w:rsidR="00A46DCA" w:rsidRPr="00023820" w:rsidRDefault="00A46DCA" w:rsidP="00A26D04">
            <w:pPr>
              <w:keepLines w:val="0"/>
              <w:autoSpaceDE w:val="0"/>
              <w:autoSpaceDN w:val="0"/>
              <w:adjustRightInd w:val="0"/>
              <w:rPr>
                <w:rFonts w:eastAsiaTheme="minorEastAsia" w:cs="Calibri"/>
                <w:color w:val="000000"/>
                <w:szCs w:val="21"/>
                <w:lang w:eastAsia="en-AU"/>
              </w:rPr>
            </w:pPr>
            <w:r w:rsidRPr="00023820">
              <w:rPr>
                <w:rFonts w:eastAsiaTheme="minorEastAsia" w:cs="Calibri"/>
                <w:color w:val="000000"/>
                <w:szCs w:val="21"/>
                <w:lang w:eastAsia="en-AU"/>
              </w:rPr>
              <w:t>Balance at 1 July 2017</w:t>
            </w:r>
          </w:p>
        </w:tc>
        <w:tc>
          <w:tcPr>
            <w:tcW w:w="1276"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75 243</w:t>
            </w:r>
          </w:p>
        </w:tc>
        <w:tc>
          <w:tcPr>
            <w:tcW w:w="1672"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95 895</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4819" w:type="dxa"/>
            <w:tcBorders>
              <w:top w:val="nil"/>
              <w:left w:val="nil"/>
              <w:bottom w:val="nil"/>
              <w:right w:val="nil"/>
            </w:tcBorders>
          </w:tcPr>
          <w:p w:rsidR="00A46DCA" w:rsidRPr="00023820" w:rsidRDefault="00A46DCA" w:rsidP="00A26D04">
            <w:pPr>
              <w:keepLines w:val="0"/>
              <w:autoSpaceDE w:val="0"/>
              <w:autoSpaceDN w:val="0"/>
              <w:adjustRightInd w:val="0"/>
              <w:rPr>
                <w:rFonts w:eastAsiaTheme="minorEastAsia" w:cs="Calibri"/>
                <w:color w:val="000000"/>
                <w:szCs w:val="20"/>
                <w:lang w:eastAsia="en-AU"/>
              </w:rPr>
            </w:pPr>
            <w:r w:rsidRPr="00023820">
              <w:rPr>
                <w:rFonts w:eastAsiaTheme="minorEastAsia" w:cs="Calibri"/>
                <w:color w:val="000000"/>
                <w:szCs w:val="21"/>
                <w:lang w:eastAsia="en-AU"/>
              </w:rPr>
              <w:t xml:space="preserve">Net result for </w:t>
            </w:r>
            <w:r w:rsidRPr="00023820">
              <w:rPr>
                <w:rFonts w:eastAsiaTheme="minorEastAsia" w:cs="Calibri"/>
                <w:color w:val="000000"/>
                <w:szCs w:val="20"/>
                <w:lang w:eastAsia="en-AU"/>
              </w:rPr>
              <w:t>the year</w:t>
            </w:r>
          </w:p>
        </w:tc>
        <w:tc>
          <w:tcPr>
            <w:tcW w:w="1276"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(112)</w:t>
            </w:r>
          </w:p>
        </w:tc>
        <w:tc>
          <w:tcPr>
            <w:tcW w:w="1672"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4819" w:type="dxa"/>
            <w:tcBorders>
              <w:top w:val="nil"/>
              <w:left w:val="nil"/>
              <w:bottom w:val="nil"/>
              <w:right w:val="nil"/>
            </w:tcBorders>
          </w:tcPr>
          <w:p w:rsidR="00A46DCA" w:rsidRPr="00023820" w:rsidRDefault="00A46DCA" w:rsidP="00A26D04">
            <w:pPr>
              <w:keepLines w:val="0"/>
              <w:autoSpaceDE w:val="0"/>
              <w:autoSpaceDN w:val="0"/>
              <w:adjustRightInd w:val="0"/>
              <w:rPr>
                <w:rFonts w:eastAsiaTheme="minorEastAsia" w:cs="Calibri"/>
                <w:color w:val="000000"/>
                <w:szCs w:val="21"/>
                <w:lang w:eastAsia="en-AU"/>
              </w:rPr>
            </w:pPr>
            <w:r w:rsidRPr="00023820">
              <w:rPr>
                <w:rFonts w:eastAsiaTheme="minorEastAsia" w:cs="Calibri"/>
                <w:color w:val="000000"/>
                <w:szCs w:val="21"/>
                <w:lang w:eastAsia="en-AU"/>
              </w:rPr>
              <w:t>Other comprehensive income for the year</w:t>
            </w:r>
          </w:p>
        </w:tc>
        <w:tc>
          <w:tcPr>
            <w:tcW w:w="1276"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sidRPr="00023820">
              <w:rPr>
                <w:rFonts w:eastAsiaTheme="minorEastAsia" w:cs="Calibri"/>
                <w:color w:val="000000"/>
                <w:szCs w:val="21"/>
                <w:lang w:eastAsia="en-AU"/>
              </w:rPr>
              <w:t>878</w:t>
            </w:r>
          </w:p>
        </w:tc>
        <w:tc>
          <w:tcPr>
            <w:tcW w:w="1672"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3 661</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4819" w:type="dxa"/>
            <w:tcBorders>
              <w:top w:val="nil"/>
              <w:left w:val="nil"/>
              <w:bottom w:val="nil"/>
              <w:right w:val="nil"/>
            </w:tcBorders>
          </w:tcPr>
          <w:p w:rsidR="00A46DCA" w:rsidRPr="00023820" w:rsidRDefault="00A46DCA" w:rsidP="00A26D04">
            <w:pPr>
              <w:keepLines w:val="0"/>
              <w:autoSpaceDE w:val="0"/>
              <w:autoSpaceDN w:val="0"/>
              <w:adjustRightInd w:val="0"/>
              <w:rPr>
                <w:rFonts w:eastAsiaTheme="minorEastAsia" w:cs="Calibri"/>
                <w:color w:val="000000"/>
                <w:szCs w:val="21"/>
                <w:lang w:eastAsia="en-AU"/>
              </w:rPr>
            </w:pPr>
            <w:r w:rsidRPr="00023820">
              <w:rPr>
                <w:rFonts w:eastAsiaTheme="minorEastAsia" w:cs="Calibri"/>
                <w:color w:val="000000"/>
                <w:szCs w:val="21"/>
                <w:lang w:eastAsia="en-AU"/>
              </w:rPr>
              <w:t>Transfer to/(from) accumulated surplus</w:t>
            </w:r>
          </w:p>
        </w:tc>
        <w:tc>
          <w:tcPr>
            <w:tcW w:w="1276"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w:t>
            </w:r>
          </w:p>
        </w:tc>
        <w:tc>
          <w:tcPr>
            <w:tcW w:w="1672"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4819" w:type="dxa"/>
            <w:tcBorders>
              <w:top w:val="single" w:sz="6" w:space="0" w:color="000000"/>
              <w:left w:val="nil"/>
              <w:bottom w:val="single" w:sz="12" w:space="0" w:color="000000"/>
              <w:right w:val="nil"/>
            </w:tcBorders>
          </w:tcPr>
          <w:p w:rsidR="00A46DCA" w:rsidRPr="00023820" w:rsidRDefault="00A46DCA" w:rsidP="00A26D04">
            <w:pPr>
              <w:keepLines w:val="0"/>
              <w:autoSpaceDE w:val="0"/>
              <w:autoSpaceDN w:val="0"/>
              <w:adjustRightInd w:val="0"/>
              <w:rPr>
                <w:rFonts w:eastAsiaTheme="minorEastAsia" w:cs="Calibri"/>
                <w:b/>
                <w:bCs/>
                <w:color w:val="000000"/>
                <w:szCs w:val="21"/>
                <w:lang w:eastAsia="en-AU"/>
              </w:rPr>
            </w:pPr>
            <w:r w:rsidRPr="00023820">
              <w:rPr>
                <w:rFonts w:eastAsiaTheme="minorEastAsia" w:cs="Calibri"/>
                <w:b/>
                <w:bCs/>
                <w:color w:val="000000"/>
                <w:szCs w:val="21"/>
                <w:lang w:eastAsia="en-AU"/>
              </w:rPr>
              <w:t>Total equity as at 30 June 2018</w:t>
            </w:r>
          </w:p>
        </w:tc>
        <w:tc>
          <w:tcPr>
            <w:tcW w:w="1276" w:type="dxa"/>
            <w:tcBorders>
              <w:top w:val="single" w:sz="6" w:space="0" w:color="000000"/>
              <w:left w:val="nil"/>
              <w:bottom w:val="single" w:sz="12" w:space="0" w:color="000000"/>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1"/>
                <w:lang w:eastAsia="en-AU"/>
              </w:rPr>
            </w:pPr>
            <w:r>
              <w:rPr>
                <w:rFonts w:eastAsiaTheme="minorEastAsia" w:cs="Calibri"/>
                <w:b/>
                <w:bCs/>
                <w:color w:val="000000"/>
                <w:szCs w:val="21"/>
                <w:lang w:eastAsia="en-AU"/>
              </w:rPr>
              <w:t>76 010</w:t>
            </w:r>
          </w:p>
        </w:tc>
        <w:tc>
          <w:tcPr>
            <w:tcW w:w="1672" w:type="dxa"/>
            <w:tcBorders>
              <w:top w:val="single" w:sz="6" w:space="0" w:color="000000"/>
              <w:left w:val="nil"/>
              <w:bottom w:val="single" w:sz="12" w:space="0" w:color="000000"/>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1"/>
                <w:lang w:eastAsia="en-AU"/>
              </w:rPr>
            </w:pPr>
            <w:r>
              <w:rPr>
                <w:rFonts w:eastAsiaTheme="minorEastAsia" w:cs="Calibri"/>
                <w:b/>
                <w:bCs/>
                <w:color w:val="000000"/>
                <w:szCs w:val="21"/>
                <w:lang w:eastAsia="en-AU"/>
              </w:rPr>
              <w:t>99 556</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4819" w:type="dxa"/>
            <w:tcBorders>
              <w:top w:val="nil"/>
              <w:left w:val="nil"/>
              <w:bottom w:val="nil"/>
              <w:right w:val="nil"/>
            </w:tcBorders>
          </w:tcPr>
          <w:p w:rsidR="00A46DCA" w:rsidRPr="00023820" w:rsidRDefault="00A46DCA" w:rsidP="00A26D04">
            <w:pPr>
              <w:keepLines w:val="0"/>
              <w:autoSpaceDE w:val="0"/>
              <w:autoSpaceDN w:val="0"/>
              <w:adjustRightInd w:val="0"/>
              <w:rPr>
                <w:rFonts w:eastAsiaTheme="minorEastAsia" w:cs="Calibri"/>
                <w:b/>
                <w:bCs/>
                <w:color w:val="000000"/>
                <w:szCs w:val="20"/>
                <w:lang w:eastAsia="en-AU"/>
              </w:rPr>
            </w:pPr>
            <w:r w:rsidRPr="00023820">
              <w:rPr>
                <w:rFonts w:eastAsiaTheme="minorEastAsia" w:cs="Calibri"/>
                <w:b/>
                <w:bCs/>
                <w:color w:val="000000"/>
                <w:szCs w:val="20"/>
                <w:lang w:eastAsia="en-AU"/>
              </w:rPr>
              <w:t>2017-18 revised</w:t>
            </w:r>
          </w:p>
        </w:tc>
        <w:tc>
          <w:tcPr>
            <w:tcW w:w="1276"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1"/>
                <w:lang w:eastAsia="en-AU"/>
              </w:rPr>
            </w:pPr>
            <w:r w:rsidRPr="00023820">
              <w:rPr>
                <w:rFonts w:eastAsiaTheme="minorEastAsia" w:cs="Calibri"/>
                <w:b/>
                <w:bCs/>
                <w:color w:val="000000"/>
                <w:szCs w:val="21"/>
                <w:lang w:eastAsia="en-AU"/>
              </w:rPr>
              <w:t xml:space="preserve"> </w:t>
            </w:r>
          </w:p>
        </w:tc>
        <w:tc>
          <w:tcPr>
            <w:tcW w:w="1672"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023820">
              <w:rPr>
                <w:rFonts w:eastAsiaTheme="minorEastAsia" w:cs="Calibri"/>
                <w:b/>
                <w:bCs/>
                <w:color w:val="000000"/>
                <w:lang w:eastAsia="en-AU"/>
              </w:rPr>
              <w:t xml:space="preserve"> </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4819" w:type="dxa"/>
            <w:tcBorders>
              <w:top w:val="nil"/>
              <w:left w:val="nil"/>
              <w:bottom w:val="nil"/>
              <w:right w:val="nil"/>
            </w:tcBorders>
          </w:tcPr>
          <w:p w:rsidR="00A46DCA" w:rsidRPr="00023820" w:rsidRDefault="00A46DCA" w:rsidP="00A26D04">
            <w:pPr>
              <w:keepLines w:val="0"/>
              <w:autoSpaceDE w:val="0"/>
              <w:autoSpaceDN w:val="0"/>
              <w:adjustRightInd w:val="0"/>
              <w:rPr>
                <w:rFonts w:eastAsiaTheme="minorEastAsia" w:cs="Calibri"/>
                <w:color w:val="000000"/>
                <w:szCs w:val="21"/>
                <w:lang w:eastAsia="en-AU"/>
              </w:rPr>
            </w:pPr>
            <w:r w:rsidRPr="00023820">
              <w:rPr>
                <w:rFonts w:eastAsiaTheme="minorEastAsia" w:cs="Calibri"/>
                <w:color w:val="000000"/>
                <w:szCs w:val="21"/>
                <w:lang w:eastAsia="en-AU"/>
              </w:rPr>
              <w:t>Balance at 1 July 2017</w:t>
            </w:r>
          </w:p>
        </w:tc>
        <w:tc>
          <w:tcPr>
            <w:tcW w:w="1276"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75 243</w:t>
            </w:r>
          </w:p>
        </w:tc>
        <w:tc>
          <w:tcPr>
            <w:tcW w:w="1672"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95 895</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4819" w:type="dxa"/>
            <w:tcBorders>
              <w:top w:val="nil"/>
              <w:left w:val="nil"/>
              <w:bottom w:val="nil"/>
              <w:right w:val="nil"/>
            </w:tcBorders>
          </w:tcPr>
          <w:p w:rsidR="00A46DCA" w:rsidRPr="00023820" w:rsidRDefault="00A46DCA" w:rsidP="00A26D04">
            <w:pPr>
              <w:keepLines w:val="0"/>
              <w:autoSpaceDE w:val="0"/>
              <w:autoSpaceDN w:val="0"/>
              <w:adjustRightInd w:val="0"/>
              <w:rPr>
                <w:rFonts w:eastAsiaTheme="minorEastAsia" w:cs="Calibri"/>
                <w:color w:val="000000"/>
                <w:szCs w:val="20"/>
                <w:lang w:eastAsia="en-AU"/>
              </w:rPr>
            </w:pPr>
            <w:r w:rsidRPr="00023820">
              <w:rPr>
                <w:rFonts w:eastAsiaTheme="minorEastAsia" w:cs="Calibri"/>
                <w:color w:val="000000"/>
                <w:szCs w:val="21"/>
                <w:lang w:eastAsia="en-AU"/>
              </w:rPr>
              <w:t xml:space="preserve">Net result for </w:t>
            </w:r>
            <w:r w:rsidRPr="00023820">
              <w:rPr>
                <w:rFonts w:eastAsiaTheme="minorEastAsia" w:cs="Calibri"/>
                <w:color w:val="000000"/>
                <w:szCs w:val="20"/>
                <w:lang w:eastAsia="en-AU"/>
              </w:rPr>
              <w:t>the year</w:t>
            </w:r>
          </w:p>
        </w:tc>
        <w:tc>
          <w:tcPr>
            <w:tcW w:w="1276"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sidRPr="00023820">
              <w:rPr>
                <w:rFonts w:eastAsiaTheme="minorEastAsia" w:cs="Calibri"/>
                <w:color w:val="000000"/>
                <w:szCs w:val="21"/>
                <w:lang w:eastAsia="en-AU"/>
              </w:rPr>
              <w:t>589</w:t>
            </w:r>
          </w:p>
        </w:tc>
        <w:tc>
          <w:tcPr>
            <w:tcW w:w="1672"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4819" w:type="dxa"/>
            <w:tcBorders>
              <w:top w:val="nil"/>
              <w:left w:val="nil"/>
              <w:bottom w:val="nil"/>
              <w:right w:val="nil"/>
            </w:tcBorders>
          </w:tcPr>
          <w:p w:rsidR="00A46DCA" w:rsidRPr="00023820" w:rsidRDefault="00A46DCA" w:rsidP="00A26D04">
            <w:pPr>
              <w:keepLines w:val="0"/>
              <w:autoSpaceDE w:val="0"/>
              <w:autoSpaceDN w:val="0"/>
              <w:adjustRightInd w:val="0"/>
              <w:rPr>
                <w:rFonts w:eastAsiaTheme="minorEastAsia" w:cs="Calibri"/>
                <w:color w:val="000000"/>
                <w:szCs w:val="21"/>
                <w:lang w:eastAsia="en-AU"/>
              </w:rPr>
            </w:pPr>
            <w:r w:rsidRPr="00023820">
              <w:rPr>
                <w:rFonts w:eastAsiaTheme="minorEastAsia" w:cs="Calibri"/>
                <w:color w:val="000000"/>
                <w:szCs w:val="21"/>
                <w:lang w:eastAsia="en-AU"/>
              </w:rPr>
              <w:t>Other comprehensive income for the year</w:t>
            </w:r>
          </w:p>
        </w:tc>
        <w:tc>
          <w:tcPr>
            <w:tcW w:w="1276"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1 956</w:t>
            </w:r>
          </w:p>
        </w:tc>
        <w:tc>
          <w:tcPr>
            <w:tcW w:w="1672"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3 633</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4819" w:type="dxa"/>
            <w:tcBorders>
              <w:top w:val="nil"/>
              <w:left w:val="nil"/>
              <w:bottom w:val="nil"/>
              <w:right w:val="nil"/>
            </w:tcBorders>
          </w:tcPr>
          <w:p w:rsidR="00A46DCA" w:rsidRPr="00023820" w:rsidRDefault="00A46DCA" w:rsidP="00A26D04">
            <w:pPr>
              <w:keepLines w:val="0"/>
              <w:autoSpaceDE w:val="0"/>
              <w:autoSpaceDN w:val="0"/>
              <w:adjustRightInd w:val="0"/>
              <w:rPr>
                <w:rFonts w:eastAsiaTheme="minorEastAsia" w:cs="Calibri"/>
                <w:color w:val="000000"/>
                <w:szCs w:val="21"/>
                <w:lang w:eastAsia="en-AU"/>
              </w:rPr>
            </w:pPr>
            <w:r w:rsidRPr="00023820">
              <w:rPr>
                <w:rFonts w:eastAsiaTheme="minorEastAsia" w:cs="Calibri"/>
                <w:color w:val="000000"/>
                <w:szCs w:val="21"/>
                <w:lang w:eastAsia="en-AU"/>
              </w:rPr>
              <w:t>Transfer to/(from) accumulated surplus</w:t>
            </w:r>
          </w:p>
        </w:tc>
        <w:tc>
          <w:tcPr>
            <w:tcW w:w="1276"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(48)</w:t>
            </w:r>
          </w:p>
        </w:tc>
        <w:tc>
          <w:tcPr>
            <w:tcW w:w="1672"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sidRPr="00023820">
              <w:rPr>
                <w:rFonts w:eastAsiaTheme="minorEastAsia" w:cs="Calibri"/>
                <w:color w:val="000000"/>
                <w:szCs w:val="21"/>
                <w:lang w:eastAsia="en-AU"/>
              </w:rPr>
              <w:t>48</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4819" w:type="dxa"/>
            <w:tcBorders>
              <w:top w:val="single" w:sz="6" w:space="0" w:color="000000"/>
              <w:left w:val="nil"/>
              <w:bottom w:val="single" w:sz="12" w:space="0" w:color="000000"/>
              <w:right w:val="nil"/>
            </w:tcBorders>
          </w:tcPr>
          <w:p w:rsidR="00A46DCA" w:rsidRPr="00023820" w:rsidRDefault="00A46DCA" w:rsidP="00A26D04">
            <w:pPr>
              <w:keepLines w:val="0"/>
              <w:autoSpaceDE w:val="0"/>
              <w:autoSpaceDN w:val="0"/>
              <w:adjustRightInd w:val="0"/>
              <w:rPr>
                <w:rFonts w:eastAsiaTheme="minorEastAsia" w:cs="Calibri"/>
                <w:b/>
                <w:bCs/>
                <w:color w:val="000000"/>
                <w:szCs w:val="21"/>
                <w:lang w:eastAsia="en-AU"/>
              </w:rPr>
            </w:pPr>
            <w:r w:rsidRPr="00023820">
              <w:rPr>
                <w:rFonts w:eastAsiaTheme="minorEastAsia" w:cs="Calibri"/>
                <w:b/>
                <w:bCs/>
                <w:color w:val="000000"/>
                <w:szCs w:val="21"/>
                <w:lang w:eastAsia="en-AU"/>
              </w:rPr>
              <w:t>Total equity as at 30 June 2018</w:t>
            </w:r>
          </w:p>
        </w:tc>
        <w:tc>
          <w:tcPr>
            <w:tcW w:w="1276" w:type="dxa"/>
            <w:tcBorders>
              <w:top w:val="single" w:sz="6" w:space="0" w:color="000000"/>
              <w:left w:val="nil"/>
              <w:bottom w:val="single" w:sz="12" w:space="0" w:color="000000"/>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1"/>
                <w:lang w:eastAsia="en-AU"/>
              </w:rPr>
            </w:pPr>
            <w:r>
              <w:rPr>
                <w:rFonts w:eastAsiaTheme="minorEastAsia" w:cs="Calibri"/>
                <w:b/>
                <w:bCs/>
                <w:color w:val="000000"/>
                <w:szCs w:val="21"/>
                <w:lang w:eastAsia="en-AU"/>
              </w:rPr>
              <w:t>77 740</w:t>
            </w:r>
          </w:p>
        </w:tc>
        <w:tc>
          <w:tcPr>
            <w:tcW w:w="1672" w:type="dxa"/>
            <w:tcBorders>
              <w:top w:val="single" w:sz="6" w:space="0" w:color="000000"/>
              <w:left w:val="nil"/>
              <w:bottom w:val="single" w:sz="12" w:space="0" w:color="000000"/>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1"/>
                <w:lang w:eastAsia="en-AU"/>
              </w:rPr>
            </w:pPr>
            <w:r>
              <w:rPr>
                <w:rFonts w:eastAsiaTheme="minorEastAsia" w:cs="Calibri"/>
                <w:b/>
                <w:bCs/>
                <w:color w:val="000000"/>
                <w:szCs w:val="21"/>
                <w:lang w:eastAsia="en-AU"/>
              </w:rPr>
              <w:t>99 576</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4819" w:type="dxa"/>
            <w:tcBorders>
              <w:top w:val="nil"/>
              <w:left w:val="nil"/>
              <w:bottom w:val="nil"/>
              <w:right w:val="nil"/>
            </w:tcBorders>
          </w:tcPr>
          <w:p w:rsidR="00A46DCA" w:rsidRPr="00023820" w:rsidRDefault="00A46DCA" w:rsidP="00A26D04">
            <w:pPr>
              <w:keepLines w:val="0"/>
              <w:autoSpaceDE w:val="0"/>
              <w:autoSpaceDN w:val="0"/>
              <w:adjustRightInd w:val="0"/>
              <w:rPr>
                <w:rFonts w:eastAsiaTheme="minorEastAsia" w:cs="Calibri"/>
                <w:b/>
                <w:bCs/>
                <w:color w:val="000000"/>
                <w:szCs w:val="20"/>
                <w:lang w:eastAsia="en-AU"/>
              </w:rPr>
            </w:pPr>
            <w:r w:rsidRPr="00023820">
              <w:rPr>
                <w:rFonts w:eastAsiaTheme="minorEastAsia" w:cs="Calibri"/>
                <w:b/>
                <w:bCs/>
                <w:color w:val="000000"/>
                <w:szCs w:val="20"/>
                <w:lang w:eastAsia="en-AU"/>
              </w:rPr>
              <w:t>2018-19 estimate</w:t>
            </w:r>
          </w:p>
        </w:tc>
        <w:tc>
          <w:tcPr>
            <w:tcW w:w="1276"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1"/>
                <w:lang w:eastAsia="en-AU"/>
              </w:rPr>
            </w:pPr>
            <w:r w:rsidRPr="00023820">
              <w:rPr>
                <w:rFonts w:eastAsiaTheme="minorEastAsia" w:cs="Calibri"/>
                <w:b/>
                <w:bCs/>
                <w:color w:val="000000"/>
                <w:szCs w:val="21"/>
                <w:lang w:eastAsia="en-AU"/>
              </w:rPr>
              <w:t xml:space="preserve"> </w:t>
            </w:r>
          </w:p>
        </w:tc>
        <w:tc>
          <w:tcPr>
            <w:tcW w:w="1672"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023820">
              <w:rPr>
                <w:rFonts w:eastAsiaTheme="minorEastAsia" w:cs="Calibri"/>
                <w:b/>
                <w:bCs/>
                <w:color w:val="000000"/>
                <w:lang w:eastAsia="en-AU"/>
              </w:rPr>
              <w:t xml:space="preserve"> </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4819" w:type="dxa"/>
            <w:tcBorders>
              <w:top w:val="nil"/>
              <w:left w:val="nil"/>
              <w:bottom w:val="nil"/>
              <w:right w:val="nil"/>
            </w:tcBorders>
          </w:tcPr>
          <w:p w:rsidR="00A46DCA" w:rsidRPr="00023820" w:rsidRDefault="00A46DCA" w:rsidP="00A26D04">
            <w:pPr>
              <w:keepLines w:val="0"/>
              <w:autoSpaceDE w:val="0"/>
              <w:autoSpaceDN w:val="0"/>
              <w:adjustRightInd w:val="0"/>
              <w:rPr>
                <w:rFonts w:eastAsiaTheme="minorEastAsia" w:cs="Calibri"/>
                <w:color w:val="000000"/>
                <w:szCs w:val="21"/>
                <w:lang w:eastAsia="en-AU"/>
              </w:rPr>
            </w:pPr>
            <w:r w:rsidRPr="00023820">
              <w:rPr>
                <w:rFonts w:eastAsiaTheme="minorEastAsia" w:cs="Calibri"/>
                <w:color w:val="000000"/>
                <w:szCs w:val="21"/>
                <w:lang w:eastAsia="en-AU"/>
              </w:rPr>
              <w:t>Balance at 1 July 2018</w:t>
            </w:r>
          </w:p>
        </w:tc>
        <w:tc>
          <w:tcPr>
            <w:tcW w:w="1276"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77 740</w:t>
            </w:r>
          </w:p>
        </w:tc>
        <w:tc>
          <w:tcPr>
            <w:tcW w:w="1672"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99 576</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4819" w:type="dxa"/>
            <w:tcBorders>
              <w:top w:val="nil"/>
              <w:left w:val="nil"/>
              <w:bottom w:val="nil"/>
              <w:right w:val="nil"/>
            </w:tcBorders>
          </w:tcPr>
          <w:p w:rsidR="00A46DCA" w:rsidRPr="00023820" w:rsidRDefault="00A46DCA" w:rsidP="00A26D04">
            <w:pPr>
              <w:keepLines w:val="0"/>
              <w:autoSpaceDE w:val="0"/>
              <w:autoSpaceDN w:val="0"/>
              <w:adjustRightInd w:val="0"/>
              <w:rPr>
                <w:rFonts w:eastAsiaTheme="minorEastAsia" w:cs="Calibri"/>
                <w:color w:val="000000"/>
                <w:szCs w:val="20"/>
                <w:lang w:eastAsia="en-AU"/>
              </w:rPr>
            </w:pPr>
            <w:r w:rsidRPr="00023820">
              <w:rPr>
                <w:rFonts w:eastAsiaTheme="minorEastAsia" w:cs="Calibri"/>
                <w:color w:val="000000"/>
                <w:szCs w:val="21"/>
                <w:lang w:eastAsia="en-AU"/>
              </w:rPr>
              <w:t xml:space="preserve">Net result for </w:t>
            </w:r>
            <w:r w:rsidRPr="00023820">
              <w:rPr>
                <w:rFonts w:eastAsiaTheme="minorEastAsia" w:cs="Calibri"/>
                <w:color w:val="000000"/>
                <w:szCs w:val="20"/>
                <w:lang w:eastAsia="en-AU"/>
              </w:rPr>
              <w:t>the year</w:t>
            </w:r>
          </w:p>
        </w:tc>
        <w:tc>
          <w:tcPr>
            <w:tcW w:w="1276"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1 375</w:t>
            </w:r>
          </w:p>
        </w:tc>
        <w:tc>
          <w:tcPr>
            <w:tcW w:w="1672"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4819" w:type="dxa"/>
            <w:tcBorders>
              <w:top w:val="nil"/>
              <w:left w:val="nil"/>
              <w:bottom w:val="nil"/>
              <w:right w:val="nil"/>
            </w:tcBorders>
          </w:tcPr>
          <w:p w:rsidR="00A46DCA" w:rsidRPr="00023820" w:rsidRDefault="00A46DCA" w:rsidP="00A26D04">
            <w:pPr>
              <w:keepLines w:val="0"/>
              <w:autoSpaceDE w:val="0"/>
              <w:autoSpaceDN w:val="0"/>
              <w:adjustRightInd w:val="0"/>
              <w:rPr>
                <w:rFonts w:eastAsiaTheme="minorEastAsia" w:cs="Calibri"/>
                <w:color w:val="000000"/>
                <w:szCs w:val="21"/>
                <w:lang w:eastAsia="en-AU"/>
              </w:rPr>
            </w:pPr>
            <w:r w:rsidRPr="00023820">
              <w:rPr>
                <w:rFonts w:eastAsiaTheme="minorEastAsia" w:cs="Calibri"/>
                <w:color w:val="000000"/>
                <w:szCs w:val="21"/>
                <w:lang w:eastAsia="en-AU"/>
              </w:rPr>
              <w:t>Other comprehensive income for the year</w:t>
            </w:r>
          </w:p>
        </w:tc>
        <w:tc>
          <w:tcPr>
            <w:tcW w:w="1276"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sidRPr="00023820">
              <w:rPr>
                <w:rFonts w:eastAsiaTheme="minorEastAsia" w:cs="Calibri"/>
                <w:color w:val="000000"/>
                <w:szCs w:val="21"/>
                <w:lang w:eastAsia="en-AU"/>
              </w:rPr>
              <w:t>895</w:t>
            </w:r>
          </w:p>
        </w:tc>
        <w:tc>
          <w:tcPr>
            <w:tcW w:w="1672"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1 791</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4819" w:type="dxa"/>
            <w:tcBorders>
              <w:top w:val="nil"/>
              <w:left w:val="nil"/>
              <w:bottom w:val="nil"/>
              <w:right w:val="nil"/>
            </w:tcBorders>
          </w:tcPr>
          <w:p w:rsidR="00A46DCA" w:rsidRPr="00023820" w:rsidRDefault="00A46DCA" w:rsidP="00A26D04">
            <w:pPr>
              <w:keepLines w:val="0"/>
              <w:autoSpaceDE w:val="0"/>
              <w:autoSpaceDN w:val="0"/>
              <w:adjustRightInd w:val="0"/>
              <w:rPr>
                <w:rFonts w:eastAsiaTheme="minorEastAsia" w:cs="Calibri"/>
                <w:color w:val="000000"/>
                <w:szCs w:val="21"/>
                <w:lang w:eastAsia="en-AU"/>
              </w:rPr>
            </w:pPr>
            <w:r w:rsidRPr="00023820">
              <w:rPr>
                <w:rFonts w:eastAsiaTheme="minorEastAsia" w:cs="Calibri"/>
                <w:color w:val="000000"/>
                <w:szCs w:val="21"/>
                <w:lang w:eastAsia="en-AU"/>
              </w:rPr>
              <w:t>Transfer to/(from) accumulated surplus</w:t>
            </w:r>
          </w:p>
        </w:tc>
        <w:tc>
          <w:tcPr>
            <w:tcW w:w="1276"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w:t>
            </w:r>
          </w:p>
        </w:tc>
        <w:tc>
          <w:tcPr>
            <w:tcW w:w="1672"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4819" w:type="dxa"/>
            <w:tcBorders>
              <w:top w:val="single" w:sz="6" w:space="0" w:color="000000"/>
              <w:left w:val="nil"/>
              <w:bottom w:val="single" w:sz="12" w:space="0" w:color="000000"/>
              <w:right w:val="nil"/>
            </w:tcBorders>
          </w:tcPr>
          <w:p w:rsidR="00A46DCA" w:rsidRPr="00023820" w:rsidRDefault="00A46DCA" w:rsidP="00A26D04">
            <w:pPr>
              <w:keepLines w:val="0"/>
              <w:autoSpaceDE w:val="0"/>
              <w:autoSpaceDN w:val="0"/>
              <w:adjustRightInd w:val="0"/>
              <w:rPr>
                <w:rFonts w:eastAsiaTheme="minorEastAsia" w:cs="Calibri"/>
                <w:b/>
                <w:bCs/>
                <w:color w:val="000000"/>
                <w:szCs w:val="21"/>
                <w:lang w:eastAsia="en-AU"/>
              </w:rPr>
            </w:pPr>
            <w:r w:rsidRPr="00023820">
              <w:rPr>
                <w:rFonts w:eastAsiaTheme="minorEastAsia" w:cs="Calibri"/>
                <w:b/>
                <w:bCs/>
                <w:color w:val="000000"/>
                <w:szCs w:val="21"/>
                <w:lang w:eastAsia="en-AU"/>
              </w:rPr>
              <w:t>Total equity as at 30 June 2019</w:t>
            </w:r>
          </w:p>
        </w:tc>
        <w:tc>
          <w:tcPr>
            <w:tcW w:w="1276" w:type="dxa"/>
            <w:tcBorders>
              <w:top w:val="single" w:sz="6" w:space="0" w:color="000000"/>
              <w:left w:val="nil"/>
              <w:bottom w:val="single" w:sz="12" w:space="0" w:color="000000"/>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1"/>
                <w:lang w:eastAsia="en-AU"/>
              </w:rPr>
            </w:pPr>
            <w:r>
              <w:rPr>
                <w:rFonts w:eastAsiaTheme="minorEastAsia" w:cs="Calibri"/>
                <w:b/>
                <w:bCs/>
                <w:color w:val="000000"/>
                <w:szCs w:val="21"/>
                <w:lang w:eastAsia="en-AU"/>
              </w:rPr>
              <w:t>80 009</w:t>
            </w:r>
          </w:p>
        </w:tc>
        <w:tc>
          <w:tcPr>
            <w:tcW w:w="1672" w:type="dxa"/>
            <w:tcBorders>
              <w:top w:val="single" w:sz="6" w:space="0" w:color="000000"/>
              <w:left w:val="nil"/>
              <w:bottom w:val="single" w:sz="12" w:space="0" w:color="000000"/>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1"/>
                <w:lang w:eastAsia="en-AU"/>
              </w:rPr>
            </w:pPr>
            <w:r>
              <w:rPr>
                <w:rFonts w:eastAsiaTheme="minorEastAsia" w:cs="Calibri"/>
                <w:b/>
                <w:bCs/>
                <w:color w:val="000000"/>
                <w:szCs w:val="21"/>
                <w:lang w:eastAsia="en-AU"/>
              </w:rPr>
              <w:t>101 367</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4819" w:type="dxa"/>
            <w:tcBorders>
              <w:top w:val="nil"/>
              <w:left w:val="nil"/>
              <w:bottom w:val="nil"/>
              <w:right w:val="nil"/>
            </w:tcBorders>
          </w:tcPr>
          <w:p w:rsidR="00A46DCA" w:rsidRPr="00023820" w:rsidRDefault="00A46DCA" w:rsidP="00A26D04">
            <w:pPr>
              <w:keepLines w:val="0"/>
              <w:autoSpaceDE w:val="0"/>
              <w:autoSpaceDN w:val="0"/>
              <w:adjustRightInd w:val="0"/>
              <w:rPr>
                <w:rFonts w:eastAsiaTheme="minorEastAsia" w:cs="Calibri"/>
                <w:b/>
                <w:bCs/>
                <w:color w:val="000000"/>
                <w:szCs w:val="20"/>
                <w:lang w:eastAsia="en-AU"/>
              </w:rPr>
            </w:pPr>
            <w:r w:rsidRPr="00023820">
              <w:rPr>
                <w:rFonts w:eastAsiaTheme="minorEastAsia" w:cs="Calibri"/>
                <w:b/>
                <w:bCs/>
                <w:color w:val="000000"/>
                <w:szCs w:val="20"/>
                <w:lang w:eastAsia="en-AU"/>
              </w:rPr>
              <w:t>2019-20 estimate</w:t>
            </w:r>
          </w:p>
        </w:tc>
        <w:tc>
          <w:tcPr>
            <w:tcW w:w="1276"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1"/>
                <w:lang w:eastAsia="en-AU"/>
              </w:rPr>
            </w:pPr>
            <w:r w:rsidRPr="00023820">
              <w:rPr>
                <w:rFonts w:eastAsiaTheme="minorEastAsia" w:cs="Calibri"/>
                <w:b/>
                <w:bCs/>
                <w:color w:val="000000"/>
                <w:szCs w:val="21"/>
                <w:lang w:eastAsia="en-AU"/>
              </w:rPr>
              <w:t xml:space="preserve"> </w:t>
            </w:r>
          </w:p>
        </w:tc>
        <w:tc>
          <w:tcPr>
            <w:tcW w:w="1672"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023820">
              <w:rPr>
                <w:rFonts w:eastAsiaTheme="minorEastAsia" w:cs="Calibri"/>
                <w:b/>
                <w:bCs/>
                <w:color w:val="000000"/>
                <w:lang w:eastAsia="en-AU"/>
              </w:rPr>
              <w:t xml:space="preserve"> </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4819" w:type="dxa"/>
            <w:tcBorders>
              <w:top w:val="nil"/>
              <w:left w:val="nil"/>
              <w:bottom w:val="nil"/>
              <w:right w:val="nil"/>
            </w:tcBorders>
          </w:tcPr>
          <w:p w:rsidR="00A46DCA" w:rsidRPr="00023820" w:rsidRDefault="00A46DCA" w:rsidP="00A26D04">
            <w:pPr>
              <w:keepLines w:val="0"/>
              <w:autoSpaceDE w:val="0"/>
              <w:autoSpaceDN w:val="0"/>
              <w:adjustRightInd w:val="0"/>
              <w:rPr>
                <w:rFonts w:eastAsiaTheme="minorEastAsia" w:cs="Calibri"/>
                <w:color w:val="000000"/>
                <w:szCs w:val="21"/>
                <w:lang w:eastAsia="en-AU"/>
              </w:rPr>
            </w:pPr>
            <w:r w:rsidRPr="00023820">
              <w:rPr>
                <w:rFonts w:eastAsiaTheme="minorEastAsia" w:cs="Calibri"/>
                <w:color w:val="000000"/>
                <w:szCs w:val="21"/>
                <w:lang w:eastAsia="en-AU"/>
              </w:rPr>
              <w:t>Balance at 1 July 2019</w:t>
            </w:r>
          </w:p>
        </w:tc>
        <w:tc>
          <w:tcPr>
            <w:tcW w:w="1276"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80 009</w:t>
            </w:r>
          </w:p>
        </w:tc>
        <w:tc>
          <w:tcPr>
            <w:tcW w:w="1672"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101 367</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4819" w:type="dxa"/>
            <w:tcBorders>
              <w:top w:val="nil"/>
              <w:left w:val="nil"/>
              <w:bottom w:val="nil"/>
              <w:right w:val="nil"/>
            </w:tcBorders>
          </w:tcPr>
          <w:p w:rsidR="00A46DCA" w:rsidRPr="00023820" w:rsidRDefault="00A46DCA" w:rsidP="00A26D04">
            <w:pPr>
              <w:keepLines w:val="0"/>
              <w:autoSpaceDE w:val="0"/>
              <w:autoSpaceDN w:val="0"/>
              <w:adjustRightInd w:val="0"/>
              <w:rPr>
                <w:rFonts w:eastAsiaTheme="minorEastAsia" w:cs="Calibri"/>
                <w:color w:val="000000"/>
                <w:szCs w:val="20"/>
                <w:lang w:eastAsia="en-AU"/>
              </w:rPr>
            </w:pPr>
            <w:r w:rsidRPr="00023820">
              <w:rPr>
                <w:rFonts w:eastAsiaTheme="minorEastAsia" w:cs="Calibri"/>
                <w:color w:val="000000"/>
                <w:szCs w:val="21"/>
                <w:lang w:eastAsia="en-AU"/>
              </w:rPr>
              <w:t xml:space="preserve">Net result for </w:t>
            </w:r>
            <w:r w:rsidRPr="00023820">
              <w:rPr>
                <w:rFonts w:eastAsiaTheme="minorEastAsia" w:cs="Calibri"/>
                <w:color w:val="000000"/>
                <w:szCs w:val="20"/>
                <w:lang w:eastAsia="en-AU"/>
              </w:rPr>
              <w:t>the year</w:t>
            </w:r>
          </w:p>
        </w:tc>
        <w:tc>
          <w:tcPr>
            <w:tcW w:w="1276"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1 272</w:t>
            </w:r>
          </w:p>
        </w:tc>
        <w:tc>
          <w:tcPr>
            <w:tcW w:w="1672"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4819" w:type="dxa"/>
            <w:tcBorders>
              <w:top w:val="nil"/>
              <w:left w:val="nil"/>
              <w:bottom w:val="nil"/>
              <w:right w:val="nil"/>
            </w:tcBorders>
          </w:tcPr>
          <w:p w:rsidR="00A46DCA" w:rsidRPr="00023820" w:rsidRDefault="00A46DCA" w:rsidP="00A26D04">
            <w:pPr>
              <w:keepLines w:val="0"/>
              <w:autoSpaceDE w:val="0"/>
              <w:autoSpaceDN w:val="0"/>
              <w:adjustRightInd w:val="0"/>
              <w:rPr>
                <w:rFonts w:eastAsiaTheme="minorEastAsia" w:cs="Calibri"/>
                <w:color w:val="000000"/>
                <w:szCs w:val="21"/>
                <w:lang w:eastAsia="en-AU"/>
              </w:rPr>
            </w:pPr>
            <w:r w:rsidRPr="00023820">
              <w:rPr>
                <w:rFonts w:eastAsiaTheme="minorEastAsia" w:cs="Calibri"/>
                <w:color w:val="000000"/>
                <w:szCs w:val="21"/>
                <w:lang w:eastAsia="en-AU"/>
              </w:rPr>
              <w:t>Other comprehensive income for the year</w:t>
            </w:r>
          </w:p>
        </w:tc>
        <w:tc>
          <w:tcPr>
            <w:tcW w:w="1276"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sidRPr="00023820">
              <w:rPr>
                <w:rFonts w:eastAsiaTheme="minorEastAsia" w:cs="Calibri"/>
                <w:color w:val="000000"/>
                <w:szCs w:val="21"/>
                <w:lang w:eastAsia="en-AU"/>
              </w:rPr>
              <w:t>870</w:t>
            </w:r>
          </w:p>
        </w:tc>
        <w:tc>
          <w:tcPr>
            <w:tcW w:w="1672"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9 454</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4819" w:type="dxa"/>
            <w:tcBorders>
              <w:top w:val="nil"/>
              <w:left w:val="nil"/>
              <w:bottom w:val="nil"/>
              <w:right w:val="nil"/>
            </w:tcBorders>
          </w:tcPr>
          <w:p w:rsidR="00A46DCA" w:rsidRPr="00023820" w:rsidRDefault="00A46DCA" w:rsidP="00A26D04">
            <w:pPr>
              <w:keepLines w:val="0"/>
              <w:autoSpaceDE w:val="0"/>
              <w:autoSpaceDN w:val="0"/>
              <w:adjustRightInd w:val="0"/>
              <w:rPr>
                <w:rFonts w:eastAsiaTheme="minorEastAsia" w:cs="Calibri"/>
                <w:color w:val="000000"/>
                <w:szCs w:val="21"/>
                <w:lang w:eastAsia="en-AU"/>
              </w:rPr>
            </w:pPr>
            <w:r w:rsidRPr="00023820">
              <w:rPr>
                <w:rFonts w:eastAsiaTheme="minorEastAsia" w:cs="Calibri"/>
                <w:color w:val="000000"/>
                <w:szCs w:val="21"/>
                <w:lang w:eastAsia="en-AU"/>
              </w:rPr>
              <w:t>Transfer to/(from) accumulated surplus</w:t>
            </w:r>
          </w:p>
        </w:tc>
        <w:tc>
          <w:tcPr>
            <w:tcW w:w="1276"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w:t>
            </w:r>
          </w:p>
        </w:tc>
        <w:tc>
          <w:tcPr>
            <w:tcW w:w="1672"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4819" w:type="dxa"/>
            <w:tcBorders>
              <w:top w:val="single" w:sz="6" w:space="0" w:color="000000"/>
              <w:left w:val="nil"/>
              <w:bottom w:val="single" w:sz="12" w:space="0" w:color="000000"/>
              <w:right w:val="nil"/>
            </w:tcBorders>
          </w:tcPr>
          <w:p w:rsidR="00A46DCA" w:rsidRPr="00023820" w:rsidRDefault="00A46DCA" w:rsidP="00A26D04">
            <w:pPr>
              <w:keepLines w:val="0"/>
              <w:autoSpaceDE w:val="0"/>
              <w:autoSpaceDN w:val="0"/>
              <w:adjustRightInd w:val="0"/>
              <w:rPr>
                <w:rFonts w:eastAsiaTheme="minorEastAsia" w:cs="Calibri"/>
                <w:b/>
                <w:bCs/>
                <w:color w:val="000000"/>
                <w:szCs w:val="21"/>
                <w:lang w:eastAsia="en-AU"/>
              </w:rPr>
            </w:pPr>
            <w:r w:rsidRPr="00023820">
              <w:rPr>
                <w:rFonts w:eastAsiaTheme="minorEastAsia" w:cs="Calibri"/>
                <w:b/>
                <w:bCs/>
                <w:color w:val="000000"/>
                <w:szCs w:val="21"/>
                <w:lang w:eastAsia="en-AU"/>
              </w:rPr>
              <w:t>Total equity as at 30 June 2020</w:t>
            </w:r>
          </w:p>
        </w:tc>
        <w:tc>
          <w:tcPr>
            <w:tcW w:w="1276" w:type="dxa"/>
            <w:tcBorders>
              <w:top w:val="single" w:sz="6" w:space="0" w:color="000000"/>
              <w:left w:val="nil"/>
              <w:bottom w:val="single" w:sz="12" w:space="0" w:color="000000"/>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1"/>
                <w:lang w:eastAsia="en-AU"/>
              </w:rPr>
            </w:pPr>
            <w:r>
              <w:rPr>
                <w:rFonts w:eastAsiaTheme="minorEastAsia" w:cs="Calibri"/>
                <w:b/>
                <w:bCs/>
                <w:color w:val="000000"/>
                <w:szCs w:val="21"/>
                <w:lang w:eastAsia="en-AU"/>
              </w:rPr>
              <w:t>82 152</w:t>
            </w:r>
          </w:p>
        </w:tc>
        <w:tc>
          <w:tcPr>
            <w:tcW w:w="1672" w:type="dxa"/>
            <w:tcBorders>
              <w:top w:val="single" w:sz="6" w:space="0" w:color="000000"/>
              <w:left w:val="nil"/>
              <w:bottom w:val="single" w:sz="12" w:space="0" w:color="000000"/>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1"/>
                <w:lang w:eastAsia="en-AU"/>
              </w:rPr>
            </w:pPr>
            <w:r>
              <w:rPr>
                <w:rFonts w:eastAsiaTheme="minorEastAsia" w:cs="Calibri"/>
                <w:b/>
                <w:bCs/>
                <w:color w:val="000000"/>
                <w:szCs w:val="21"/>
                <w:lang w:eastAsia="en-AU"/>
              </w:rPr>
              <w:t>110 821</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4819" w:type="dxa"/>
            <w:tcBorders>
              <w:top w:val="nil"/>
              <w:left w:val="nil"/>
              <w:bottom w:val="nil"/>
              <w:right w:val="nil"/>
            </w:tcBorders>
          </w:tcPr>
          <w:p w:rsidR="00A46DCA" w:rsidRPr="00023820" w:rsidRDefault="00A46DCA" w:rsidP="00A26D04">
            <w:pPr>
              <w:keepLines w:val="0"/>
              <w:autoSpaceDE w:val="0"/>
              <w:autoSpaceDN w:val="0"/>
              <w:adjustRightInd w:val="0"/>
              <w:rPr>
                <w:rFonts w:eastAsiaTheme="minorEastAsia" w:cs="Calibri"/>
                <w:b/>
                <w:bCs/>
                <w:color w:val="000000"/>
                <w:szCs w:val="20"/>
                <w:lang w:eastAsia="en-AU"/>
              </w:rPr>
            </w:pPr>
            <w:r w:rsidRPr="00023820">
              <w:rPr>
                <w:rFonts w:eastAsiaTheme="minorEastAsia" w:cs="Calibri"/>
                <w:b/>
                <w:bCs/>
                <w:color w:val="000000"/>
                <w:szCs w:val="20"/>
                <w:lang w:eastAsia="en-AU"/>
              </w:rPr>
              <w:t>2020-21 estimate</w:t>
            </w:r>
          </w:p>
        </w:tc>
        <w:tc>
          <w:tcPr>
            <w:tcW w:w="1276"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1"/>
                <w:lang w:eastAsia="en-AU"/>
              </w:rPr>
            </w:pPr>
            <w:r w:rsidRPr="00023820">
              <w:rPr>
                <w:rFonts w:eastAsiaTheme="minorEastAsia" w:cs="Calibri"/>
                <w:b/>
                <w:bCs/>
                <w:color w:val="000000"/>
                <w:szCs w:val="21"/>
                <w:lang w:eastAsia="en-AU"/>
              </w:rPr>
              <w:t xml:space="preserve"> </w:t>
            </w:r>
          </w:p>
        </w:tc>
        <w:tc>
          <w:tcPr>
            <w:tcW w:w="1672"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023820">
              <w:rPr>
                <w:rFonts w:eastAsiaTheme="minorEastAsia" w:cs="Calibri"/>
                <w:b/>
                <w:bCs/>
                <w:color w:val="000000"/>
                <w:lang w:eastAsia="en-AU"/>
              </w:rPr>
              <w:t xml:space="preserve"> </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4819" w:type="dxa"/>
            <w:tcBorders>
              <w:top w:val="nil"/>
              <w:left w:val="nil"/>
              <w:bottom w:val="nil"/>
              <w:right w:val="nil"/>
            </w:tcBorders>
          </w:tcPr>
          <w:p w:rsidR="00A46DCA" w:rsidRPr="00023820" w:rsidRDefault="00A46DCA" w:rsidP="00A26D04">
            <w:pPr>
              <w:keepLines w:val="0"/>
              <w:autoSpaceDE w:val="0"/>
              <w:autoSpaceDN w:val="0"/>
              <w:adjustRightInd w:val="0"/>
              <w:rPr>
                <w:rFonts w:eastAsiaTheme="minorEastAsia" w:cs="Calibri"/>
                <w:color w:val="000000"/>
                <w:szCs w:val="21"/>
                <w:lang w:eastAsia="en-AU"/>
              </w:rPr>
            </w:pPr>
            <w:r w:rsidRPr="00023820">
              <w:rPr>
                <w:rFonts w:eastAsiaTheme="minorEastAsia" w:cs="Calibri"/>
                <w:color w:val="000000"/>
                <w:szCs w:val="21"/>
                <w:lang w:eastAsia="en-AU"/>
              </w:rPr>
              <w:t>Balance at 1 July 2020</w:t>
            </w:r>
          </w:p>
        </w:tc>
        <w:tc>
          <w:tcPr>
            <w:tcW w:w="1276"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82 152</w:t>
            </w:r>
          </w:p>
        </w:tc>
        <w:tc>
          <w:tcPr>
            <w:tcW w:w="1672"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110 821</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4819" w:type="dxa"/>
            <w:tcBorders>
              <w:top w:val="nil"/>
              <w:left w:val="nil"/>
              <w:bottom w:val="nil"/>
              <w:right w:val="nil"/>
            </w:tcBorders>
          </w:tcPr>
          <w:p w:rsidR="00A46DCA" w:rsidRPr="00023820" w:rsidRDefault="00A46DCA" w:rsidP="00A26D04">
            <w:pPr>
              <w:keepLines w:val="0"/>
              <w:autoSpaceDE w:val="0"/>
              <w:autoSpaceDN w:val="0"/>
              <w:adjustRightInd w:val="0"/>
              <w:rPr>
                <w:rFonts w:eastAsiaTheme="minorEastAsia" w:cs="Calibri"/>
                <w:color w:val="000000"/>
                <w:szCs w:val="20"/>
                <w:lang w:eastAsia="en-AU"/>
              </w:rPr>
            </w:pPr>
            <w:r w:rsidRPr="00023820">
              <w:rPr>
                <w:rFonts w:eastAsiaTheme="minorEastAsia" w:cs="Calibri"/>
                <w:color w:val="000000"/>
                <w:szCs w:val="21"/>
                <w:lang w:eastAsia="en-AU"/>
              </w:rPr>
              <w:t xml:space="preserve">Net result for </w:t>
            </w:r>
            <w:r w:rsidRPr="00023820">
              <w:rPr>
                <w:rFonts w:eastAsiaTheme="minorEastAsia" w:cs="Calibri"/>
                <w:color w:val="000000"/>
                <w:szCs w:val="20"/>
                <w:lang w:eastAsia="en-AU"/>
              </w:rPr>
              <w:t>the year</w:t>
            </w:r>
          </w:p>
        </w:tc>
        <w:tc>
          <w:tcPr>
            <w:tcW w:w="1276"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1 408</w:t>
            </w:r>
          </w:p>
        </w:tc>
        <w:tc>
          <w:tcPr>
            <w:tcW w:w="1672"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4819" w:type="dxa"/>
            <w:tcBorders>
              <w:top w:val="nil"/>
              <w:left w:val="nil"/>
              <w:bottom w:val="nil"/>
              <w:right w:val="nil"/>
            </w:tcBorders>
          </w:tcPr>
          <w:p w:rsidR="00A46DCA" w:rsidRPr="00023820" w:rsidRDefault="00A46DCA" w:rsidP="00A26D04">
            <w:pPr>
              <w:keepLines w:val="0"/>
              <w:autoSpaceDE w:val="0"/>
              <w:autoSpaceDN w:val="0"/>
              <w:adjustRightInd w:val="0"/>
              <w:rPr>
                <w:rFonts w:eastAsiaTheme="minorEastAsia" w:cs="Calibri"/>
                <w:color w:val="000000"/>
                <w:szCs w:val="21"/>
                <w:lang w:eastAsia="en-AU"/>
              </w:rPr>
            </w:pPr>
            <w:r w:rsidRPr="00023820">
              <w:rPr>
                <w:rFonts w:eastAsiaTheme="minorEastAsia" w:cs="Calibri"/>
                <w:color w:val="000000"/>
                <w:szCs w:val="21"/>
                <w:lang w:eastAsia="en-AU"/>
              </w:rPr>
              <w:t>Other comprehensive income for the year</w:t>
            </w:r>
          </w:p>
        </w:tc>
        <w:tc>
          <w:tcPr>
            <w:tcW w:w="1276"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sidRPr="00023820">
              <w:rPr>
                <w:rFonts w:eastAsiaTheme="minorEastAsia" w:cs="Calibri"/>
                <w:color w:val="000000"/>
                <w:szCs w:val="21"/>
                <w:lang w:eastAsia="en-AU"/>
              </w:rPr>
              <w:t>909</w:t>
            </w:r>
          </w:p>
        </w:tc>
        <w:tc>
          <w:tcPr>
            <w:tcW w:w="1672"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2 943</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4819" w:type="dxa"/>
            <w:tcBorders>
              <w:top w:val="nil"/>
              <w:left w:val="nil"/>
              <w:bottom w:val="nil"/>
              <w:right w:val="nil"/>
            </w:tcBorders>
          </w:tcPr>
          <w:p w:rsidR="00A46DCA" w:rsidRPr="00023820" w:rsidRDefault="00A46DCA" w:rsidP="00A26D04">
            <w:pPr>
              <w:keepLines w:val="0"/>
              <w:autoSpaceDE w:val="0"/>
              <w:autoSpaceDN w:val="0"/>
              <w:adjustRightInd w:val="0"/>
              <w:rPr>
                <w:rFonts w:eastAsiaTheme="minorEastAsia" w:cs="Calibri"/>
                <w:color w:val="000000"/>
                <w:szCs w:val="21"/>
                <w:lang w:eastAsia="en-AU"/>
              </w:rPr>
            </w:pPr>
            <w:r w:rsidRPr="00023820">
              <w:rPr>
                <w:rFonts w:eastAsiaTheme="minorEastAsia" w:cs="Calibri"/>
                <w:color w:val="000000"/>
                <w:szCs w:val="21"/>
                <w:lang w:eastAsia="en-AU"/>
              </w:rPr>
              <w:t>Transfer to/(from) accumulated surplus</w:t>
            </w:r>
          </w:p>
        </w:tc>
        <w:tc>
          <w:tcPr>
            <w:tcW w:w="1276"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w:t>
            </w:r>
          </w:p>
        </w:tc>
        <w:tc>
          <w:tcPr>
            <w:tcW w:w="1672"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w:t>
            </w:r>
          </w:p>
        </w:tc>
      </w:tr>
      <w:tr w:rsidR="00A46DCA" w:rsidRPr="00023820" w:rsidTr="00A26D04">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9" w:type="dxa"/>
            <w:tcBorders>
              <w:top w:val="single" w:sz="6" w:space="0" w:color="000000"/>
              <w:bottom w:val="single" w:sz="12" w:space="0" w:color="000000"/>
            </w:tcBorders>
          </w:tcPr>
          <w:p w:rsidR="00A46DCA" w:rsidRPr="00023820" w:rsidRDefault="00A46DCA" w:rsidP="00A26D04">
            <w:pPr>
              <w:keepLines w:val="0"/>
              <w:autoSpaceDE w:val="0"/>
              <w:autoSpaceDN w:val="0"/>
              <w:adjustRightInd w:val="0"/>
              <w:rPr>
                <w:rFonts w:eastAsiaTheme="minorEastAsia" w:cs="Calibri"/>
                <w:bCs/>
                <w:color w:val="000000"/>
                <w:szCs w:val="21"/>
                <w:lang w:eastAsia="en-AU"/>
              </w:rPr>
            </w:pPr>
            <w:r w:rsidRPr="00023820">
              <w:rPr>
                <w:rFonts w:eastAsiaTheme="minorEastAsia" w:cs="Calibri"/>
                <w:bCs/>
                <w:color w:val="000000"/>
                <w:szCs w:val="21"/>
                <w:lang w:eastAsia="en-AU"/>
              </w:rPr>
              <w:t>Total equity as at 30 June 2021</w:t>
            </w:r>
          </w:p>
        </w:tc>
        <w:tc>
          <w:tcPr>
            <w:tcW w:w="1276" w:type="dxa"/>
            <w:tcBorders>
              <w:top w:val="single" w:sz="6" w:space="0" w:color="000000"/>
              <w:bottom w:val="single" w:sz="12" w:space="0" w:color="000000"/>
            </w:tcBorders>
          </w:tcPr>
          <w:p w:rsidR="00A46DCA" w:rsidRPr="00023820" w:rsidRDefault="00A46DCA" w:rsidP="00A26D0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21"/>
                <w:lang w:eastAsia="en-AU"/>
              </w:rPr>
            </w:pPr>
            <w:r>
              <w:rPr>
                <w:rFonts w:eastAsiaTheme="minorEastAsia" w:cs="Calibri"/>
                <w:bCs/>
                <w:color w:val="000000"/>
                <w:szCs w:val="21"/>
                <w:lang w:eastAsia="en-AU"/>
              </w:rPr>
              <w:t>84 469</w:t>
            </w:r>
          </w:p>
        </w:tc>
        <w:tc>
          <w:tcPr>
            <w:tcW w:w="1672" w:type="dxa"/>
            <w:tcBorders>
              <w:top w:val="single" w:sz="6" w:space="0" w:color="000000"/>
              <w:bottom w:val="single" w:sz="12" w:space="0" w:color="000000"/>
            </w:tcBorders>
          </w:tcPr>
          <w:p w:rsidR="00A46DCA" w:rsidRPr="00023820" w:rsidRDefault="00A46DCA" w:rsidP="00A26D0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21"/>
                <w:lang w:eastAsia="en-AU"/>
              </w:rPr>
            </w:pPr>
            <w:r>
              <w:rPr>
                <w:rFonts w:eastAsiaTheme="minorEastAsia" w:cs="Calibri"/>
                <w:bCs/>
                <w:color w:val="000000"/>
                <w:szCs w:val="21"/>
                <w:lang w:eastAsia="en-AU"/>
              </w:rPr>
              <w:t>113 764</w:t>
            </w:r>
          </w:p>
        </w:tc>
      </w:tr>
    </w:tbl>
    <w:p w:rsidR="00A46DCA" w:rsidRDefault="00A46DCA" w:rsidP="00A26D04">
      <w:pPr>
        <w:pStyle w:val="Source"/>
      </w:pPr>
      <w:r w:rsidRPr="00D87D22">
        <w:t>Source: Dep</w:t>
      </w:r>
      <w:r>
        <w:t>artment of Treasury and Finance</w:t>
      </w:r>
      <w:r w:rsidRPr="00352C54">
        <w:t xml:space="preserve"> </w:t>
      </w:r>
    </w:p>
    <w:p w:rsidR="00A46DCA" w:rsidRPr="005F55F3" w:rsidRDefault="00A46DCA" w:rsidP="00A26D04">
      <w:pPr>
        <w:pStyle w:val="Note"/>
      </w:pPr>
      <w:r w:rsidRPr="00FF76EB">
        <w:t>Note:</w:t>
      </w:r>
    </w:p>
    <w:p w:rsidR="00A46DCA" w:rsidRPr="00FF76EB" w:rsidRDefault="00A46DCA" w:rsidP="00A26D04">
      <w:pPr>
        <w:pStyle w:val="Note"/>
        <w:rPr>
          <w:rFonts w:cs="Times New Roman"/>
          <w:sz w:val="15"/>
          <w:lang w:eastAsia="en-AU"/>
        </w:rPr>
      </w:pPr>
      <w:r w:rsidRPr="00FF76EB">
        <w:rPr>
          <w:rFonts w:cs="Times New Roman"/>
          <w:sz w:val="15"/>
          <w:lang w:eastAsia="en-AU"/>
        </w:rPr>
        <w:t>(</w:t>
      </w:r>
      <w:r w:rsidRPr="00CF6190">
        <w:rPr>
          <w:rFonts w:cs="Times New Roman"/>
          <w:szCs w:val="14"/>
          <w:lang w:eastAsia="en-AU"/>
        </w:rPr>
        <w:t>a)</w:t>
      </w:r>
      <w:r w:rsidRPr="00CF6190">
        <w:rPr>
          <w:rFonts w:cs="Times New Roman"/>
          <w:szCs w:val="14"/>
          <w:lang w:eastAsia="en-AU"/>
        </w:rPr>
        <w:tab/>
        <w:t>Balances represent actual opening balances at 1 July 2017 plus 2017-18 budgeted movements.</w:t>
      </w:r>
    </w:p>
    <w:p w:rsidR="00A46DCA" w:rsidRDefault="00A46DCA" w:rsidP="00A26D04">
      <w:pPr>
        <w:pStyle w:val="Source"/>
      </w:pPr>
    </w:p>
    <w:p w:rsidR="00A46DCA" w:rsidRDefault="00A46DCA" w:rsidP="00A26D04">
      <w:pPr>
        <w:pStyle w:val="Heading10"/>
      </w:pPr>
      <w:r>
        <w:br w:type="page"/>
      </w:r>
    </w:p>
    <w:p w:rsidR="00A46DCA" w:rsidRPr="00023820" w:rsidRDefault="00A46DCA" w:rsidP="00A26D04">
      <w:pPr>
        <w:pStyle w:val="TableHeading"/>
        <w:rPr>
          <w:bCs/>
          <w:lang w:val="en-US"/>
        </w:rPr>
      </w:pPr>
      <w:r>
        <w:lastRenderedPageBreak/>
        <w:br/>
      </w:r>
    </w:p>
    <w:tbl>
      <w:tblPr>
        <w:tblStyle w:val="DTFTable"/>
        <w:tblW w:w="7773" w:type="dxa"/>
        <w:tblInd w:w="45" w:type="dxa"/>
        <w:tblLayout w:type="fixed"/>
        <w:tblCellMar>
          <w:left w:w="45" w:type="dxa"/>
          <w:right w:w="45" w:type="dxa"/>
        </w:tblCellMar>
        <w:tblLook w:val="06A0" w:firstRow="1" w:lastRow="0" w:firstColumn="1" w:lastColumn="0" w:noHBand="1" w:noVBand="1"/>
      </w:tblPr>
      <w:tblGrid>
        <w:gridCol w:w="2591"/>
        <w:gridCol w:w="2591"/>
        <w:gridCol w:w="2591"/>
      </w:tblGrid>
      <w:tr w:rsidR="00A46DCA" w:rsidRPr="00023820" w:rsidTr="00A26D0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591" w:type="dxa"/>
            <w:tcBorders>
              <w:top w:val="nil"/>
              <w:left w:val="nil"/>
              <w:bottom w:val="nil"/>
              <w:right w:val="nil"/>
            </w:tcBorders>
            <w:shd w:val="solid" w:color="000000" w:fill="auto"/>
          </w:tcPr>
          <w:p w:rsidR="00A46DCA" w:rsidRPr="00023820" w:rsidRDefault="00A46DCA" w:rsidP="00A26D04">
            <w:pPr>
              <w:autoSpaceDE w:val="0"/>
              <w:autoSpaceDN w:val="0"/>
              <w:adjustRightInd w:val="0"/>
              <w:jc w:val="right"/>
              <w:rPr>
                <w:rFonts w:eastAsiaTheme="minorEastAsia" w:cs="Calibri"/>
                <w:iCs/>
                <w:color w:val="FFFFFF"/>
                <w:szCs w:val="21"/>
                <w:lang w:eastAsia="en-AU"/>
              </w:rPr>
            </w:pPr>
            <w:r w:rsidRPr="00023820">
              <w:rPr>
                <w:rFonts w:eastAsiaTheme="minorEastAsia" w:cs="Calibri"/>
                <w:iCs/>
                <w:color w:val="FFFFFF"/>
                <w:szCs w:val="21"/>
                <w:lang w:eastAsia="en-AU"/>
              </w:rPr>
              <w:t xml:space="preserve">Investment in other sector </w:t>
            </w:r>
            <w:r>
              <w:rPr>
                <w:rFonts w:eastAsiaTheme="minorEastAsia" w:cs="Calibri"/>
                <w:iCs/>
                <w:color w:val="FFFFFF"/>
                <w:szCs w:val="21"/>
                <w:lang w:eastAsia="en-AU"/>
              </w:rPr>
              <w:br/>
            </w:r>
            <w:r w:rsidRPr="00023820">
              <w:rPr>
                <w:rFonts w:eastAsiaTheme="minorEastAsia" w:cs="Calibri"/>
                <w:iCs/>
                <w:color w:val="FFFFFF"/>
                <w:szCs w:val="21"/>
                <w:lang w:eastAsia="en-AU"/>
              </w:rPr>
              <w:t>entities revaluation surplus</w:t>
            </w:r>
          </w:p>
        </w:tc>
        <w:tc>
          <w:tcPr>
            <w:tcW w:w="2591" w:type="dxa"/>
            <w:tcBorders>
              <w:top w:val="nil"/>
              <w:left w:val="nil"/>
              <w:bottom w:val="nil"/>
              <w:right w:val="nil"/>
            </w:tcBorders>
            <w:shd w:val="solid" w:color="000000" w:fill="auto"/>
          </w:tcPr>
          <w:p w:rsidR="00A46DCA" w:rsidRPr="00023820" w:rsidRDefault="00A46DCA" w:rsidP="00A26D0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21"/>
                <w:lang w:eastAsia="en-AU"/>
              </w:rPr>
            </w:pPr>
            <w:r w:rsidRPr="00023820">
              <w:rPr>
                <w:rFonts w:eastAsiaTheme="minorEastAsia" w:cs="Calibri"/>
                <w:iCs/>
                <w:color w:val="FFFFFF"/>
                <w:szCs w:val="21"/>
                <w:lang w:eastAsia="en-AU"/>
              </w:rPr>
              <w:t xml:space="preserve">Other </w:t>
            </w:r>
            <w:r>
              <w:rPr>
                <w:rFonts w:eastAsiaTheme="minorEastAsia" w:cs="Calibri"/>
                <w:iCs/>
                <w:color w:val="FFFFFF"/>
                <w:szCs w:val="21"/>
                <w:lang w:eastAsia="en-AU"/>
              </w:rPr>
              <w:br/>
            </w:r>
            <w:r w:rsidRPr="00023820">
              <w:rPr>
                <w:rFonts w:eastAsiaTheme="minorEastAsia" w:cs="Calibri"/>
                <w:iCs/>
                <w:color w:val="FFFFFF"/>
                <w:szCs w:val="21"/>
                <w:lang w:eastAsia="en-AU"/>
              </w:rPr>
              <w:t>reserves</w:t>
            </w:r>
          </w:p>
        </w:tc>
        <w:tc>
          <w:tcPr>
            <w:tcW w:w="2591" w:type="dxa"/>
            <w:tcBorders>
              <w:top w:val="nil"/>
              <w:left w:val="nil"/>
              <w:bottom w:val="nil"/>
              <w:right w:val="nil"/>
            </w:tcBorders>
            <w:shd w:val="solid" w:color="000000" w:fill="auto"/>
          </w:tcPr>
          <w:p w:rsidR="00A46DCA" w:rsidRPr="00023820" w:rsidRDefault="00A46DCA" w:rsidP="00A26D0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21"/>
                <w:lang w:eastAsia="en-AU"/>
              </w:rPr>
            </w:pPr>
            <w:r w:rsidRPr="00023820">
              <w:rPr>
                <w:rFonts w:eastAsiaTheme="minorEastAsia" w:cs="Calibri"/>
                <w:iCs/>
                <w:color w:val="FFFFFF"/>
                <w:szCs w:val="21"/>
                <w:lang w:eastAsia="en-AU"/>
              </w:rPr>
              <w:t>Total</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2591" w:type="dxa"/>
            <w:tcBorders>
              <w:top w:val="nil"/>
              <w:left w:val="nil"/>
              <w:bottom w:val="nil"/>
              <w:right w:val="nil"/>
            </w:tcBorders>
          </w:tcPr>
          <w:p w:rsidR="00A46DCA" w:rsidRPr="00023820" w:rsidRDefault="00A46DCA" w:rsidP="00A26D04">
            <w:pPr>
              <w:keepLines w:val="0"/>
              <w:autoSpaceDE w:val="0"/>
              <w:autoSpaceDN w:val="0"/>
              <w:adjustRightInd w:val="0"/>
              <w:jc w:val="right"/>
              <w:rPr>
                <w:rFonts w:eastAsiaTheme="minorEastAsia" w:cs="Calibri"/>
                <w:b/>
                <w:bCs/>
                <w:color w:val="000000"/>
                <w:lang w:eastAsia="en-AU"/>
              </w:rPr>
            </w:pPr>
            <w:r w:rsidRPr="00023820">
              <w:rPr>
                <w:rFonts w:eastAsiaTheme="minorEastAsia" w:cs="Calibri"/>
                <w:b/>
                <w:bCs/>
                <w:color w:val="000000"/>
                <w:lang w:eastAsia="en-AU"/>
              </w:rPr>
              <w:t xml:space="preserve"> </w:t>
            </w:r>
          </w:p>
        </w:tc>
        <w:tc>
          <w:tcPr>
            <w:tcW w:w="2591"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1"/>
                <w:lang w:eastAsia="en-AU"/>
              </w:rPr>
            </w:pPr>
            <w:r w:rsidRPr="00023820">
              <w:rPr>
                <w:rFonts w:eastAsiaTheme="minorEastAsia" w:cs="Calibri"/>
                <w:b/>
                <w:bCs/>
                <w:color w:val="000000"/>
                <w:szCs w:val="21"/>
                <w:lang w:eastAsia="en-AU"/>
              </w:rPr>
              <w:t xml:space="preserve"> </w:t>
            </w:r>
          </w:p>
        </w:tc>
        <w:tc>
          <w:tcPr>
            <w:tcW w:w="2591"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1"/>
                <w:lang w:eastAsia="en-AU"/>
              </w:rPr>
            </w:pPr>
            <w:r w:rsidRPr="00023820">
              <w:rPr>
                <w:rFonts w:eastAsiaTheme="minorEastAsia" w:cs="Calibri"/>
                <w:b/>
                <w:bCs/>
                <w:color w:val="000000"/>
                <w:szCs w:val="21"/>
                <w:lang w:eastAsia="en-AU"/>
              </w:rPr>
              <w:t xml:space="preserve"> </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2591" w:type="dxa"/>
            <w:tcBorders>
              <w:top w:val="nil"/>
              <w:left w:val="nil"/>
              <w:bottom w:val="nil"/>
              <w:right w:val="nil"/>
            </w:tcBorders>
          </w:tcPr>
          <w:p w:rsidR="00A46DCA" w:rsidRPr="00023820" w:rsidRDefault="00A46DCA" w:rsidP="00A26D04">
            <w:pPr>
              <w:keepLines w:val="0"/>
              <w:autoSpaceDE w:val="0"/>
              <w:autoSpaceDN w:val="0"/>
              <w:adjustRightInd w:val="0"/>
              <w:jc w:val="right"/>
              <w:rPr>
                <w:rFonts w:eastAsiaTheme="minorEastAsia" w:cs="Calibri"/>
                <w:color w:val="000000"/>
                <w:szCs w:val="21"/>
                <w:lang w:eastAsia="en-AU"/>
              </w:rPr>
            </w:pPr>
            <w:r>
              <w:rPr>
                <w:rFonts w:eastAsiaTheme="minorEastAsia" w:cs="Calibri"/>
                <w:color w:val="000000"/>
                <w:szCs w:val="21"/>
                <w:lang w:eastAsia="en-AU"/>
              </w:rPr>
              <w:t>3 725</w:t>
            </w:r>
          </w:p>
        </w:tc>
        <w:tc>
          <w:tcPr>
            <w:tcW w:w="2591"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1 156</w:t>
            </w:r>
          </w:p>
        </w:tc>
        <w:tc>
          <w:tcPr>
            <w:tcW w:w="2591"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176 019</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2591" w:type="dxa"/>
            <w:tcBorders>
              <w:top w:val="nil"/>
              <w:left w:val="nil"/>
              <w:bottom w:val="nil"/>
              <w:right w:val="nil"/>
            </w:tcBorders>
          </w:tcPr>
          <w:p w:rsidR="00A46DCA" w:rsidRPr="00023820" w:rsidRDefault="00A46DCA" w:rsidP="00A26D04">
            <w:pPr>
              <w:keepLines w:val="0"/>
              <w:autoSpaceDE w:val="0"/>
              <w:autoSpaceDN w:val="0"/>
              <w:adjustRightInd w:val="0"/>
              <w:jc w:val="right"/>
              <w:rPr>
                <w:rFonts w:eastAsiaTheme="minorEastAsia" w:cs="Calibri"/>
                <w:color w:val="000000"/>
                <w:szCs w:val="21"/>
                <w:lang w:eastAsia="en-AU"/>
              </w:rPr>
            </w:pPr>
            <w:r>
              <w:rPr>
                <w:rFonts w:eastAsiaTheme="minorEastAsia" w:cs="Calibri"/>
                <w:color w:val="000000"/>
                <w:szCs w:val="21"/>
                <w:lang w:eastAsia="en-AU"/>
              </w:rPr>
              <w:t>..</w:t>
            </w:r>
          </w:p>
        </w:tc>
        <w:tc>
          <w:tcPr>
            <w:tcW w:w="2591"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w:t>
            </w:r>
          </w:p>
        </w:tc>
        <w:tc>
          <w:tcPr>
            <w:tcW w:w="2591"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(112)</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2591" w:type="dxa"/>
            <w:tcBorders>
              <w:top w:val="nil"/>
              <w:left w:val="nil"/>
              <w:bottom w:val="nil"/>
              <w:right w:val="nil"/>
            </w:tcBorders>
          </w:tcPr>
          <w:p w:rsidR="00A46DCA" w:rsidRPr="00023820" w:rsidRDefault="00A46DCA" w:rsidP="00A26D04">
            <w:pPr>
              <w:keepLines w:val="0"/>
              <w:autoSpaceDE w:val="0"/>
              <w:autoSpaceDN w:val="0"/>
              <w:adjustRightInd w:val="0"/>
              <w:jc w:val="right"/>
              <w:rPr>
                <w:rFonts w:eastAsiaTheme="minorEastAsia" w:cs="Calibri"/>
                <w:color w:val="000000"/>
                <w:szCs w:val="21"/>
                <w:lang w:eastAsia="en-AU"/>
              </w:rPr>
            </w:pPr>
            <w:r>
              <w:rPr>
                <w:rFonts w:eastAsiaTheme="minorEastAsia" w:cs="Calibri"/>
                <w:color w:val="000000"/>
                <w:szCs w:val="21"/>
                <w:lang w:eastAsia="en-AU"/>
              </w:rPr>
              <w:t>(196)</w:t>
            </w:r>
          </w:p>
        </w:tc>
        <w:tc>
          <w:tcPr>
            <w:tcW w:w="2591"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sidRPr="00023820">
              <w:rPr>
                <w:rFonts w:eastAsiaTheme="minorEastAsia" w:cs="Calibri"/>
                <w:color w:val="000000"/>
                <w:szCs w:val="21"/>
                <w:lang w:eastAsia="en-AU"/>
              </w:rPr>
              <w:t>21</w:t>
            </w:r>
          </w:p>
        </w:tc>
        <w:tc>
          <w:tcPr>
            <w:tcW w:w="2591"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4 364</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2591" w:type="dxa"/>
            <w:tcBorders>
              <w:top w:val="nil"/>
              <w:left w:val="nil"/>
              <w:bottom w:val="nil"/>
              <w:right w:val="nil"/>
            </w:tcBorders>
          </w:tcPr>
          <w:p w:rsidR="00A46DCA" w:rsidRPr="00023820" w:rsidRDefault="00A46DCA" w:rsidP="00A26D04">
            <w:pPr>
              <w:keepLines w:val="0"/>
              <w:autoSpaceDE w:val="0"/>
              <w:autoSpaceDN w:val="0"/>
              <w:adjustRightInd w:val="0"/>
              <w:jc w:val="right"/>
              <w:rPr>
                <w:rFonts w:eastAsiaTheme="minorEastAsia" w:cs="Calibri"/>
                <w:color w:val="000000"/>
                <w:szCs w:val="21"/>
                <w:lang w:eastAsia="en-AU"/>
              </w:rPr>
            </w:pPr>
            <w:r>
              <w:rPr>
                <w:rFonts w:eastAsiaTheme="minorEastAsia" w:cs="Calibri"/>
                <w:color w:val="000000"/>
                <w:szCs w:val="21"/>
                <w:lang w:eastAsia="en-AU"/>
              </w:rPr>
              <w:t>..</w:t>
            </w:r>
          </w:p>
        </w:tc>
        <w:tc>
          <w:tcPr>
            <w:tcW w:w="2591"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w:t>
            </w:r>
          </w:p>
        </w:tc>
        <w:tc>
          <w:tcPr>
            <w:tcW w:w="2591"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2591" w:type="dxa"/>
            <w:tcBorders>
              <w:top w:val="single" w:sz="6" w:space="0" w:color="000000"/>
              <w:left w:val="nil"/>
              <w:bottom w:val="single" w:sz="12" w:space="0" w:color="000000"/>
              <w:right w:val="nil"/>
            </w:tcBorders>
          </w:tcPr>
          <w:p w:rsidR="00A46DCA" w:rsidRPr="00023820" w:rsidRDefault="00A46DCA" w:rsidP="00A26D04">
            <w:pPr>
              <w:keepLines w:val="0"/>
              <w:autoSpaceDE w:val="0"/>
              <w:autoSpaceDN w:val="0"/>
              <w:adjustRightInd w:val="0"/>
              <w:jc w:val="right"/>
              <w:rPr>
                <w:rFonts w:eastAsiaTheme="minorEastAsia" w:cs="Calibri"/>
                <w:b/>
                <w:bCs/>
                <w:color w:val="000000"/>
                <w:szCs w:val="21"/>
                <w:lang w:eastAsia="en-AU"/>
              </w:rPr>
            </w:pPr>
            <w:r>
              <w:rPr>
                <w:rFonts w:eastAsiaTheme="minorEastAsia" w:cs="Calibri"/>
                <w:b/>
                <w:bCs/>
                <w:color w:val="000000"/>
                <w:szCs w:val="21"/>
                <w:lang w:eastAsia="en-AU"/>
              </w:rPr>
              <w:t>3 529</w:t>
            </w:r>
          </w:p>
        </w:tc>
        <w:tc>
          <w:tcPr>
            <w:tcW w:w="2591" w:type="dxa"/>
            <w:tcBorders>
              <w:top w:val="single" w:sz="6" w:space="0" w:color="000000"/>
              <w:left w:val="nil"/>
              <w:bottom w:val="single" w:sz="12" w:space="0" w:color="000000"/>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1"/>
                <w:lang w:eastAsia="en-AU"/>
              </w:rPr>
            </w:pPr>
            <w:r>
              <w:rPr>
                <w:rFonts w:eastAsiaTheme="minorEastAsia" w:cs="Calibri"/>
                <w:b/>
                <w:bCs/>
                <w:color w:val="000000"/>
                <w:szCs w:val="21"/>
                <w:lang w:eastAsia="en-AU"/>
              </w:rPr>
              <w:t>1 177</w:t>
            </w:r>
          </w:p>
        </w:tc>
        <w:tc>
          <w:tcPr>
            <w:tcW w:w="2591" w:type="dxa"/>
            <w:tcBorders>
              <w:top w:val="single" w:sz="6" w:space="0" w:color="000000"/>
              <w:left w:val="nil"/>
              <w:bottom w:val="single" w:sz="12" w:space="0" w:color="000000"/>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1"/>
                <w:lang w:eastAsia="en-AU"/>
              </w:rPr>
            </w:pPr>
            <w:r>
              <w:rPr>
                <w:rFonts w:eastAsiaTheme="minorEastAsia" w:cs="Calibri"/>
                <w:b/>
                <w:bCs/>
                <w:color w:val="000000"/>
                <w:szCs w:val="21"/>
                <w:lang w:eastAsia="en-AU"/>
              </w:rPr>
              <w:t>180 272</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2591" w:type="dxa"/>
            <w:tcBorders>
              <w:top w:val="nil"/>
              <w:left w:val="nil"/>
              <w:bottom w:val="nil"/>
              <w:right w:val="nil"/>
            </w:tcBorders>
          </w:tcPr>
          <w:p w:rsidR="00A46DCA" w:rsidRPr="00023820" w:rsidRDefault="00A46DCA" w:rsidP="00A26D04">
            <w:pPr>
              <w:keepLines w:val="0"/>
              <w:autoSpaceDE w:val="0"/>
              <w:autoSpaceDN w:val="0"/>
              <w:adjustRightInd w:val="0"/>
              <w:jc w:val="right"/>
              <w:rPr>
                <w:rFonts w:eastAsiaTheme="minorEastAsia" w:cs="Calibri"/>
                <w:b/>
                <w:bCs/>
                <w:color w:val="000000"/>
                <w:lang w:eastAsia="en-AU"/>
              </w:rPr>
            </w:pPr>
            <w:r w:rsidRPr="00023820">
              <w:rPr>
                <w:rFonts w:eastAsiaTheme="minorEastAsia" w:cs="Calibri"/>
                <w:b/>
                <w:bCs/>
                <w:color w:val="000000"/>
                <w:lang w:eastAsia="en-AU"/>
              </w:rPr>
              <w:t xml:space="preserve"> </w:t>
            </w:r>
          </w:p>
        </w:tc>
        <w:tc>
          <w:tcPr>
            <w:tcW w:w="2591"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1"/>
                <w:lang w:eastAsia="en-AU"/>
              </w:rPr>
            </w:pPr>
            <w:r w:rsidRPr="00023820">
              <w:rPr>
                <w:rFonts w:eastAsiaTheme="minorEastAsia" w:cs="Calibri"/>
                <w:b/>
                <w:bCs/>
                <w:color w:val="000000"/>
                <w:szCs w:val="21"/>
                <w:lang w:eastAsia="en-AU"/>
              </w:rPr>
              <w:t xml:space="preserve"> </w:t>
            </w:r>
          </w:p>
        </w:tc>
        <w:tc>
          <w:tcPr>
            <w:tcW w:w="2591"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1"/>
                <w:lang w:eastAsia="en-AU"/>
              </w:rPr>
            </w:pPr>
            <w:r w:rsidRPr="00023820">
              <w:rPr>
                <w:rFonts w:eastAsiaTheme="minorEastAsia" w:cs="Calibri"/>
                <w:b/>
                <w:bCs/>
                <w:color w:val="000000"/>
                <w:szCs w:val="21"/>
                <w:lang w:eastAsia="en-AU"/>
              </w:rPr>
              <w:t xml:space="preserve"> </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2591" w:type="dxa"/>
            <w:tcBorders>
              <w:top w:val="nil"/>
              <w:left w:val="nil"/>
              <w:bottom w:val="nil"/>
              <w:right w:val="nil"/>
            </w:tcBorders>
          </w:tcPr>
          <w:p w:rsidR="00A46DCA" w:rsidRPr="00023820" w:rsidRDefault="00A46DCA" w:rsidP="00A26D04">
            <w:pPr>
              <w:keepLines w:val="0"/>
              <w:autoSpaceDE w:val="0"/>
              <w:autoSpaceDN w:val="0"/>
              <w:adjustRightInd w:val="0"/>
              <w:jc w:val="right"/>
              <w:rPr>
                <w:rFonts w:eastAsiaTheme="minorEastAsia" w:cs="Calibri"/>
                <w:color w:val="000000"/>
                <w:szCs w:val="21"/>
                <w:lang w:eastAsia="en-AU"/>
              </w:rPr>
            </w:pPr>
            <w:r>
              <w:rPr>
                <w:rFonts w:eastAsiaTheme="minorEastAsia" w:cs="Calibri"/>
                <w:color w:val="000000"/>
                <w:szCs w:val="21"/>
                <w:lang w:eastAsia="en-AU"/>
              </w:rPr>
              <w:t>3 725</w:t>
            </w:r>
          </w:p>
        </w:tc>
        <w:tc>
          <w:tcPr>
            <w:tcW w:w="2591"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1 156</w:t>
            </w:r>
          </w:p>
        </w:tc>
        <w:tc>
          <w:tcPr>
            <w:tcW w:w="2591"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176 019</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2591" w:type="dxa"/>
            <w:tcBorders>
              <w:top w:val="nil"/>
              <w:left w:val="nil"/>
              <w:bottom w:val="nil"/>
              <w:right w:val="nil"/>
            </w:tcBorders>
          </w:tcPr>
          <w:p w:rsidR="00A46DCA" w:rsidRPr="00023820" w:rsidRDefault="00A46DCA" w:rsidP="00A26D04">
            <w:pPr>
              <w:keepLines w:val="0"/>
              <w:autoSpaceDE w:val="0"/>
              <w:autoSpaceDN w:val="0"/>
              <w:adjustRightInd w:val="0"/>
              <w:jc w:val="right"/>
              <w:rPr>
                <w:rFonts w:eastAsiaTheme="minorEastAsia" w:cs="Calibri"/>
                <w:color w:val="000000"/>
                <w:szCs w:val="21"/>
                <w:lang w:eastAsia="en-AU"/>
              </w:rPr>
            </w:pPr>
            <w:r>
              <w:rPr>
                <w:rFonts w:eastAsiaTheme="minorEastAsia" w:cs="Calibri"/>
                <w:color w:val="000000"/>
                <w:szCs w:val="21"/>
                <w:lang w:eastAsia="en-AU"/>
              </w:rPr>
              <w:t>..</w:t>
            </w:r>
          </w:p>
        </w:tc>
        <w:tc>
          <w:tcPr>
            <w:tcW w:w="2591"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w:t>
            </w:r>
          </w:p>
        </w:tc>
        <w:tc>
          <w:tcPr>
            <w:tcW w:w="2591"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sidRPr="00023820">
              <w:rPr>
                <w:rFonts w:eastAsiaTheme="minorEastAsia" w:cs="Calibri"/>
                <w:color w:val="000000"/>
                <w:szCs w:val="21"/>
                <w:lang w:eastAsia="en-AU"/>
              </w:rPr>
              <w:t>589</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2591" w:type="dxa"/>
            <w:tcBorders>
              <w:top w:val="nil"/>
              <w:left w:val="nil"/>
              <w:bottom w:val="nil"/>
              <w:right w:val="nil"/>
            </w:tcBorders>
          </w:tcPr>
          <w:p w:rsidR="00A46DCA" w:rsidRPr="00023820" w:rsidRDefault="00A46DCA" w:rsidP="00A26D04">
            <w:pPr>
              <w:keepLines w:val="0"/>
              <w:autoSpaceDE w:val="0"/>
              <w:autoSpaceDN w:val="0"/>
              <w:adjustRightInd w:val="0"/>
              <w:jc w:val="right"/>
              <w:rPr>
                <w:rFonts w:eastAsiaTheme="minorEastAsia" w:cs="Calibri"/>
                <w:color w:val="000000"/>
                <w:szCs w:val="21"/>
                <w:lang w:eastAsia="en-AU"/>
              </w:rPr>
            </w:pPr>
            <w:r>
              <w:rPr>
                <w:rFonts w:eastAsiaTheme="minorEastAsia" w:cs="Calibri"/>
                <w:color w:val="000000"/>
                <w:szCs w:val="21"/>
                <w:lang w:eastAsia="en-AU"/>
              </w:rPr>
              <w:t>(40)</w:t>
            </w:r>
          </w:p>
        </w:tc>
        <w:tc>
          <w:tcPr>
            <w:tcW w:w="2591"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sidRPr="00023820">
              <w:rPr>
                <w:rFonts w:eastAsiaTheme="minorEastAsia" w:cs="Calibri"/>
                <w:color w:val="000000"/>
                <w:szCs w:val="21"/>
                <w:lang w:eastAsia="en-AU"/>
              </w:rPr>
              <w:t>63</w:t>
            </w:r>
          </w:p>
        </w:tc>
        <w:tc>
          <w:tcPr>
            <w:tcW w:w="2591"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5 612</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2591" w:type="dxa"/>
            <w:tcBorders>
              <w:top w:val="nil"/>
              <w:left w:val="nil"/>
              <w:bottom w:val="nil"/>
              <w:right w:val="nil"/>
            </w:tcBorders>
          </w:tcPr>
          <w:p w:rsidR="00A46DCA" w:rsidRPr="00023820" w:rsidRDefault="00A46DCA" w:rsidP="00A26D04">
            <w:pPr>
              <w:keepLines w:val="0"/>
              <w:autoSpaceDE w:val="0"/>
              <w:autoSpaceDN w:val="0"/>
              <w:adjustRightInd w:val="0"/>
              <w:jc w:val="right"/>
              <w:rPr>
                <w:rFonts w:eastAsiaTheme="minorEastAsia" w:cs="Calibri"/>
                <w:color w:val="000000"/>
                <w:szCs w:val="21"/>
                <w:lang w:eastAsia="en-AU"/>
              </w:rPr>
            </w:pPr>
            <w:r>
              <w:rPr>
                <w:rFonts w:eastAsiaTheme="minorEastAsia" w:cs="Calibri"/>
                <w:color w:val="000000"/>
                <w:szCs w:val="21"/>
                <w:lang w:eastAsia="en-AU"/>
              </w:rPr>
              <w:t>..</w:t>
            </w:r>
          </w:p>
        </w:tc>
        <w:tc>
          <w:tcPr>
            <w:tcW w:w="2591"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w:t>
            </w:r>
          </w:p>
        </w:tc>
        <w:tc>
          <w:tcPr>
            <w:tcW w:w="2591"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2591" w:type="dxa"/>
            <w:tcBorders>
              <w:top w:val="single" w:sz="6" w:space="0" w:color="000000"/>
              <w:left w:val="nil"/>
              <w:bottom w:val="single" w:sz="12" w:space="0" w:color="000000"/>
              <w:right w:val="nil"/>
            </w:tcBorders>
          </w:tcPr>
          <w:p w:rsidR="00A46DCA" w:rsidRPr="00023820" w:rsidRDefault="00A46DCA" w:rsidP="00A26D04">
            <w:pPr>
              <w:keepLines w:val="0"/>
              <w:autoSpaceDE w:val="0"/>
              <w:autoSpaceDN w:val="0"/>
              <w:adjustRightInd w:val="0"/>
              <w:jc w:val="right"/>
              <w:rPr>
                <w:rFonts w:eastAsiaTheme="minorEastAsia" w:cs="Calibri"/>
                <w:b/>
                <w:bCs/>
                <w:color w:val="000000"/>
                <w:szCs w:val="21"/>
                <w:lang w:eastAsia="en-AU"/>
              </w:rPr>
            </w:pPr>
            <w:r>
              <w:rPr>
                <w:rFonts w:eastAsiaTheme="minorEastAsia" w:cs="Calibri"/>
                <w:b/>
                <w:bCs/>
                <w:color w:val="000000"/>
                <w:szCs w:val="21"/>
                <w:lang w:eastAsia="en-AU"/>
              </w:rPr>
              <w:t>3 685</w:t>
            </w:r>
          </w:p>
        </w:tc>
        <w:tc>
          <w:tcPr>
            <w:tcW w:w="2591" w:type="dxa"/>
            <w:tcBorders>
              <w:top w:val="single" w:sz="6" w:space="0" w:color="000000"/>
              <w:left w:val="nil"/>
              <w:bottom w:val="single" w:sz="12" w:space="0" w:color="000000"/>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1"/>
                <w:lang w:eastAsia="en-AU"/>
              </w:rPr>
            </w:pPr>
            <w:r>
              <w:rPr>
                <w:rFonts w:eastAsiaTheme="minorEastAsia" w:cs="Calibri"/>
                <w:b/>
                <w:bCs/>
                <w:color w:val="000000"/>
                <w:szCs w:val="21"/>
                <w:lang w:eastAsia="en-AU"/>
              </w:rPr>
              <w:t>1 219</w:t>
            </w:r>
          </w:p>
        </w:tc>
        <w:tc>
          <w:tcPr>
            <w:tcW w:w="2591" w:type="dxa"/>
            <w:tcBorders>
              <w:top w:val="single" w:sz="6" w:space="0" w:color="000000"/>
              <w:left w:val="nil"/>
              <w:bottom w:val="single" w:sz="12" w:space="0" w:color="000000"/>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1"/>
                <w:lang w:eastAsia="en-AU"/>
              </w:rPr>
            </w:pPr>
            <w:r>
              <w:rPr>
                <w:rFonts w:eastAsiaTheme="minorEastAsia" w:cs="Calibri"/>
                <w:b/>
                <w:bCs/>
                <w:color w:val="000000"/>
                <w:szCs w:val="21"/>
                <w:lang w:eastAsia="en-AU"/>
              </w:rPr>
              <w:t>182 220</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2591" w:type="dxa"/>
            <w:tcBorders>
              <w:top w:val="nil"/>
              <w:left w:val="nil"/>
              <w:bottom w:val="nil"/>
              <w:right w:val="nil"/>
            </w:tcBorders>
          </w:tcPr>
          <w:p w:rsidR="00A46DCA" w:rsidRPr="00023820" w:rsidRDefault="00A46DCA" w:rsidP="00A26D04">
            <w:pPr>
              <w:keepLines w:val="0"/>
              <w:autoSpaceDE w:val="0"/>
              <w:autoSpaceDN w:val="0"/>
              <w:adjustRightInd w:val="0"/>
              <w:jc w:val="right"/>
              <w:rPr>
                <w:rFonts w:eastAsiaTheme="minorEastAsia" w:cs="Calibri"/>
                <w:b/>
                <w:bCs/>
                <w:color w:val="000000"/>
                <w:lang w:eastAsia="en-AU"/>
              </w:rPr>
            </w:pPr>
            <w:r w:rsidRPr="00023820">
              <w:rPr>
                <w:rFonts w:eastAsiaTheme="minorEastAsia" w:cs="Calibri"/>
                <w:b/>
                <w:bCs/>
                <w:color w:val="000000"/>
                <w:lang w:eastAsia="en-AU"/>
              </w:rPr>
              <w:t xml:space="preserve"> </w:t>
            </w:r>
          </w:p>
        </w:tc>
        <w:tc>
          <w:tcPr>
            <w:tcW w:w="2591"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1"/>
                <w:lang w:eastAsia="en-AU"/>
              </w:rPr>
            </w:pPr>
            <w:r w:rsidRPr="00023820">
              <w:rPr>
                <w:rFonts w:eastAsiaTheme="minorEastAsia" w:cs="Calibri"/>
                <w:b/>
                <w:bCs/>
                <w:color w:val="000000"/>
                <w:szCs w:val="21"/>
                <w:lang w:eastAsia="en-AU"/>
              </w:rPr>
              <w:t xml:space="preserve"> </w:t>
            </w:r>
          </w:p>
        </w:tc>
        <w:tc>
          <w:tcPr>
            <w:tcW w:w="2591"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1"/>
                <w:lang w:eastAsia="en-AU"/>
              </w:rPr>
            </w:pPr>
            <w:r w:rsidRPr="00023820">
              <w:rPr>
                <w:rFonts w:eastAsiaTheme="minorEastAsia" w:cs="Calibri"/>
                <w:b/>
                <w:bCs/>
                <w:color w:val="000000"/>
                <w:szCs w:val="21"/>
                <w:lang w:eastAsia="en-AU"/>
              </w:rPr>
              <w:t xml:space="preserve"> </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2591" w:type="dxa"/>
            <w:tcBorders>
              <w:top w:val="nil"/>
              <w:left w:val="nil"/>
              <w:bottom w:val="nil"/>
              <w:right w:val="nil"/>
            </w:tcBorders>
          </w:tcPr>
          <w:p w:rsidR="00A46DCA" w:rsidRPr="00023820" w:rsidRDefault="00A46DCA" w:rsidP="00A26D04">
            <w:pPr>
              <w:keepLines w:val="0"/>
              <w:autoSpaceDE w:val="0"/>
              <w:autoSpaceDN w:val="0"/>
              <w:adjustRightInd w:val="0"/>
              <w:jc w:val="right"/>
              <w:rPr>
                <w:rFonts w:eastAsiaTheme="minorEastAsia" w:cs="Calibri"/>
                <w:color w:val="000000"/>
                <w:szCs w:val="21"/>
                <w:lang w:eastAsia="en-AU"/>
              </w:rPr>
            </w:pPr>
            <w:r>
              <w:rPr>
                <w:rFonts w:eastAsiaTheme="minorEastAsia" w:cs="Calibri"/>
                <w:color w:val="000000"/>
                <w:szCs w:val="21"/>
                <w:lang w:eastAsia="en-AU"/>
              </w:rPr>
              <w:t>3 685</w:t>
            </w:r>
          </w:p>
        </w:tc>
        <w:tc>
          <w:tcPr>
            <w:tcW w:w="2591"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1 219</w:t>
            </w:r>
          </w:p>
        </w:tc>
        <w:tc>
          <w:tcPr>
            <w:tcW w:w="2591"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182 220</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2591" w:type="dxa"/>
            <w:tcBorders>
              <w:top w:val="nil"/>
              <w:left w:val="nil"/>
              <w:bottom w:val="nil"/>
              <w:right w:val="nil"/>
            </w:tcBorders>
          </w:tcPr>
          <w:p w:rsidR="00A46DCA" w:rsidRPr="00023820" w:rsidRDefault="00A46DCA" w:rsidP="00A26D04">
            <w:pPr>
              <w:keepLines w:val="0"/>
              <w:autoSpaceDE w:val="0"/>
              <w:autoSpaceDN w:val="0"/>
              <w:adjustRightInd w:val="0"/>
              <w:jc w:val="right"/>
              <w:rPr>
                <w:rFonts w:eastAsiaTheme="minorEastAsia" w:cs="Calibri"/>
                <w:color w:val="000000"/>
                <w:szCs w:val="21"/>
                <w:lang w:eastAsia="en-AU"/>
              </w:rPr>
            </w:pPr>
            <w:r>
              <w:rPr>
                <w:rFonts w:eastAsiaTheme="minorEastAsia" w:cs="Calibri"/>
                <w:color w:val="000000"/>
                <w:szCs w:val="21"/>
                <w:lang w:eastAsia="en-AU"/>
              </w:rPr>
              <w:t>..</w:t>
            </w:r>
          </w:p>
        </w:tc>
        <w:tc>
          <w:tcPr>
            <w:tcW w:w="2591"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w:t>
            </w:r>
          </w:p>
        </w:tc>
        <w:tc>
          <w:tcPr>
            <w:tcW w:w="2591"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1 375</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2591" w:type="dxa"/>
            <w:tcBorders>
              <w:top w:val="nil"/>
              <w:left w:val="nil"/>
              <w:bottom w:val="nil"/>
              <w:right w:val="nil"/>
            </w:tcBorders>
          </w:tcPr>
          <w:p w:rsidR="00A46DCA" w:rsidRPr="00023820" w:rsidRDefault="00A46DCA" w:rsidP="00A26D04">
            <w:pPr>
              <w:keepLines w:val="0"/>
              <w:autoSpaceDE w:val="0"/>
              <w:autoSpaceDN w:val="0"/>
              <w:adjustRightInd w:val="0"/>
              <w:jc w:val="right"/>
              <w:rPr>
                <w:rFonts w:eastAsiaTheme="minorEastAsia" w:cs="Calibri"/>
                <w:color w:val="000000"/>
                <w:szCs w:val="21"/>
                <w:lang w:eastAsia="en-AU"/>
              </w:rPr>
            </w:pPr>
            <w:r w:rsidRPr="00023820">
              <w:rPr>
                <w:rFonts w:eastAsiaTheme="minorEastAsia" w:cs="Calibri"/>
                <w:color w:val="000000"/>
                <w:szCs w:val="21"/>
                <w:lang w:eastAsia="en-AU"/>
              </w:rPr>
              <w:t>65</w:t>
            </w:r>
          </w:p>
        </w:tc>
        <w:tc>
          <w:tcPr>
            <w:tcW w:w="2591"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sidRPr="00023820">
              <w:rPr>
                <w:rFonts w:eastAsiaTheme="minorEastAsia" w:cs="Calibri"/>
                <w:color w:val="000000"/>
                <w:szCs w:val="21"/>
                <w:lang w:eastAsia="en-AU"/>
              </w:rPr>
              <w:t>28</w:t>
            </w:r>
          </w:p>
        </w:tc>
        <w:tc>
          <w:tcPr>
            <w:tcW w:w="2591"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2 779</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2591" w:type="dxa"/>
            <w:tcBorders>
              <w:top w:val="nil"/>
              <w:left w:val="nil"/>
              <w:bottom w:val="nil"/>
              <w:right w:val="nil"/>
            </w:tcBorders>
          </w:tcPr>
          <w:p w:rsidR="00A46DCA" w:rsidRPr="00023820" w:rsidRDefault="00A46DCA" w:rsidP="00A26D04">
            <w:pPr>
              <w:keepLines w:val="0"/>
              <w:autoSpaceDE w:val="0"/>
              <w:autoSpaceDN w:val="0"/>
              <w:adjustRightInd w:val="0"/>
              <w:jc w:val="right"/>
              <w:rPr>
                <w:rFonts w:eastAsiaTheme="minorEastAsia" w:cs="Calibri"/>
                <w:color w:val="000000"/>
                <w:szCs w:val="21"/>
                <w:lang w:eastAsia="en-AU"/>
              </w:rPr>
            </w:pPr>
            <w:r>
              <w:rPr>
                <w:rFonts w:eastAsiaTheme="minorEastAsia" w:cs="Calibri"/>
                <w:color w:val="000000"/>
                <w:szCs w:val="21"/>
                <w:lang w:eastAsia="en-AU"/>
              </w:rPr>
              <w:t>..</w:t>
            </w:r>
          </w:p>
        </w:tc>
        <w:tc>
          <w:tcPr>
            <w:tcW w:w="2591"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w:t>
            </w:r>
          </w:p>
        </w:tc>
        <w:tc>
          <w:tcPr>
            <w:tcW w:w="2591"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2591" w:type="dxa"/>
            <w:tcBorders>
              <w:top w:val="single" w:sz="6" w:space="0" w:color="000000"/>
              <w:left w:val="nil"/>
              <w:bottom w:val="single" w:sz="12" w:space="0" w:color="000000"/>
              <w:right w:val="nil"/>
            </w:tcBorders>
          </w:tcPr>
          <w:p w:rsidR="00A46DCA" w:rsidRPr="00023820" w:rsidRDefault="00A46DCA" w:rsidP="00A26D04">
            <w:pPr>
              <w:keepLines w:val="0"/>
              <w:autoSpaceDE w:val="0"/>
              <w:autoSpaceDN w:val="0"/>
              <w:adjustRightInd w:val="0"/>
              <w:jc w:val="right"/>
              <w:rPr>
                <w:rFonts w:eastAsiaTheme="minorEastAsia" w:cs="Calibri"/>
                <w:b/>
                <w:bCs/>
                <w:color w:val="000000"/>
                <w:szCs w:val="21"/>
                <w:lang w:eastAsia="en-AU"/>
              </w:rPr>
            </w:pPr>
            <w:r>
              <w:rPr>
                <w:rFonts w:eastAsiaTheme="minorEastAsia" w:cs="Calibri"/>
                <w:b/>
                <w:bCs/>
                <w:color w:val="000000"/>
                <w:szCs w:val="21"/>
                <w:lang w:eastAsia="en-AU"/>
              </w:rPr>
              <w:t>3 750</w:t>
            </w:r>
          </w:p>
        </w:tc>
        <w:tc>
          <w:tcPr>
            <w:tcW w:w="2591" w:type="dxa"/>
            <w:tcBorders>
              <w:top w:val="single" w:sz="6" w:space="0" w:color="000000"/>
              <w:left w:val="nil"/>
              <w:bottom w:val="single" w:sz="12" w:space="0" w:color="000000"/>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1"/>
                <w:lang w:eastAsia="en-AU"/>
              </w:rPr>
            </w:pPr>
            <w:r>
              <w:rPr>
                <w:rFonts w:eastAsiaTheme="minorEastAsia" w:cs="Calibri"/>
                <w:b/>
                <w:bCs/>
                <w:color w:val="000000"/>
                <w:szCs w:val="21"/>
                <w:lang w:eastAsia="en-AU"/>
              </w:rPr>
              <w:t>1 247</w:t>
            </w:r>
          </w:p>
        </w:tc>
        <w:tc>
          <w:tcPr>
            <w:tcW w:w="2591" w:type="dxa"/>
            <w:tcBorders>
              <w:top w:val="single" w:sz="6" w:space="0" w:color="000000"/>
              <w:left w:val="nil"/>
              <w:bottom w:val="single" w:sz="12" w:space="0" w:color="000000"/>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1"/>
                <w:lang w:eastAsia="en-AU"/>
              </w:rPr>
            </w:pPr>
            <w:r>
              <w:rPr>
                <w:rFonts w:eastAsiaTheme="minorEastAsia" w:cs="Calibri"/>
                <w:b/>
                <w:bCs/>
                <w:color w:val="000000"/>
                <w:szCs w:val="21"/>
                <w:lang w:eastAsia="en-AU"/>
              </w:rPr>
              <w:t>186 373</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2591" w:type="dxa"/>
            <w:tcBorders>
              <w:top w:val="nil"/>
              <w:left w:val="nil"/>
              <w:bottom w:val="nil"/>
              <w:right w:val="nil"/>
            </w:tcBorders>
          </w:tcPr>
          <w:p w:rsidR="00A46DCA" w:rsidRPr="00023820" w:rsidRDefault="00A46DCA" w:rsidP="00A26D04">
            <w:pPr>
              <w:keepLines w:val="0"/>
              <w:autoSpaceDE w:val="0"/>
              <w:autoSpaceDN w:val="0"/>
              <w:adjustRightInd w:val="0"/>
              <w:jc w:val="right"/>
              <w:rPr>
                <w:rFonts w:eastAsiaTheme="minorEastAsia" w:cs="Calibri"/>
                <w:b/>
                <w:bCs/>
                <w:color w:val="000000"/>
                <w:lang w:eastAsia="en-AU"/>
              </w:rPr>
            </w:pPr>
            <w:r w:rsidRPr="00023820">
              <w:rPr>
                <w:rFonts w:eastAsiaTheme="minorEastAsia" w:cs="Calibri"/>
                <w:b/>
                <w:bCs/>
                <w:color w:val="000000"/>
                <w:lang w:eastAsia="en-AU"/>
              </w:rPr>
              <w:t xml:space="preserve"> </w:t>
            </w:r>
          </w:p>
        </w:tc>
        <w:tc>
          <w:tcPr>
            <w:tcW w:w="2591"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1"/>
                <w:lang w:eastAsia="en-AU"/>
              </w:rPr>
            </w:pPr>
            <w:r w:rsidRPr="00023820">
              <w:rPr>
                <w:rFonts w:eastAsiaTheme="minorEastAsia" w:cs="Calibri"/>
                <w:b/>
                <w:bCs/>
                <w:color w:val="000000"/>
                <w:szCs w:val="21"/>
                <w:lang w:eastAsia="en-AU"/>
              </w:rPr>
              <w:t xml:space="preserve"> </w:t>
            </w:r>
          </w:p>
        </w:tc>
        <w:tc>
          <w:tcPr>
            <w:tcW w:w="2591"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1"/>
                <w:lang w:eastAsia="en-AU"/>
              </w:rPr>
            </w:pPr>
            <w:r w:rsidRPr="00023820">
              <w:rPr>
                <w:rFonts w:eastAsiaTheme="minorEastAsia" w:cs="Calibri"/>
                <w:b/>
                <w:bCs/>
                <w:color w:val="000000"/>
                <w:szCs w:val="21"/>
                <w:lang w:eastAsia="en-AU"/>
              </w:rPr>
              <w:t xml:space="preserve"> </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2591" w:type="dxa"/>
            <w:tcBorders>
              <w:top w:val="nil"/>
              <w:left w:val="nil"/>
              <w:bottom w:val="nil"/>
              <w:right w:val="nil"/>
            </w:tcBorders>
          </w:tcPr>
          <w:p w:rsidR="00A46DCA" w:rsidRPr="00023820" w:rsidRDefault="00A46DCA" w:rsidP="00A26D04">
            <w:pPr>
              <w:keepLines w:val="0"/>
              <w:autoSpaceDE w:val="0"/>
              <w:autoSpaceDN w:val="0"/>
              <w:adjustRightInd w:val="0"/>
              <w:jc w:val="right"/>
              <w:rPr>
                <w:rFonts w:eastAsiaTheme="minorEastAsia" w:cs="Calibri"/>
                <w:color w:val="000000"/>
                <w:szCs w:val="21"/>
                <w:lang w:eastAsia="en-AU"/>
              </w:rPr>
            </w:pPr>
            <w:r>
              <w:rPr>
                <w:rFonts w:eastAsiaTheme="minorEastAsia" w:cs="Calibri"/>
                <w:color w:val="000000"/>
                <w:szCs w:val="21"/>
                <w:lang w:eastAsia="en-AU"/>
              </w:rPr>
              <w:t>3 750</w:t>
            </w:r>
          </w:p>
        </w:tc>
        <w:tc>
          <w:tcPr>
            <w:tcW w:w="2591"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1 247</w:t>
            </w:r>
          </w:p>
        </w:tc>
        <w:tc>
          <w:tcPr>
            <w:tcW w:w="2591"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186 373</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2591" w:type="dxa"/>
            <w:tcBorders>
              <w:top w:val="nil"/>
              <w:left w:val="nil"/>
              <w:bottom w:val="nil"/>
              <w:right w:val="nil"/>
            </w:tcBorders>
          </w:tcPr>
          <w:p w:rsidR="00A46DCA" w:rsidRPr="00023820" w:rsidRDefault="00A46DCA" w:rsidP="00A26D04">
            <w:pPr>
              <w:keepLines w:val="0"/>
              <w:autoSpaceDE w:val="0"/>
              <w:autoSpaceDN w:val="0"/>
              <w:adjustRightInd w:val="0"/>
              <w:jc w:val="right"/>
              <w:rPr>
                <w:rFonts w:eastAsiaTheme="minorEastAsia" w:cs="Calibri"/>
                <w:color w:val="000000"/>
                <w:szCs w:val="21"/>
                <w:lang w:eastAsia="en-AU"/>
              </w:rPr>
            </w:pPr>
            <w:r>
              <w:rPr>
                <w:rFonts w:eastAsiaTheme="minorEastAsia" w:cs="Calibri"/>
                <w:color w:val="000000"/>
                <w:szCs w:val="21"/>
                <w:lang w:eastAsia="en-AU"/>
              </w:rPr>
              <w:t>..</w:t>
            </w:r>
          </w:p>
        </w:tc>
        <w:tc>
          <w:tcPr>
            <w:tcW w:w="2591"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w:t>
            </w:r>
          </w:p>
        </w:tc>
        <w:tc>
          <w:tcPr>
            <w:tcW w:w="2591"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1 272</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2591" w:type="dxa"/>
            <w:tcBorders>
              <w:top w:val="nil"/>
              <w:left w:val="nil"/>
              <w:bottom w:val="nil"/>
              <w:right w:val="nil"/>
            </w:tcBorders>
          </w:tcPr>
          <w:p w:rsidR="00A46DCA" w:rsidRPr="00023820" w:rsidRDefault="00A46DCA" w:rsidP="00A26D04">
            <w:pPr>
              <w:keepLines w:val="0"/>
              <w:autoSpaceDE w:val="0"/>
              <w:autoSpaceDN w:val="0"/>
              <w:adjustRightInd w:val="0"/>
              <w:jc w:val="right"/>
              <w:rPr>
                <w:rFonts w:eastAsiaTheme="minorEastAsia" w:cs="Calibri"/>
                <w:color w:val="000000"/>
                <w:szCs w:val="21"/>
                <w:lang w:eastAsia="en-AU"/>
              </w:rPr>
            </w:pPr>
            <w:r w:rsidRPr="00023820">
              <w:rPr>
                <w:rFonts w:eastAsiaTheme="minorEastAsia" w:cs="Calibri"/>
                <w:color w:val="000000"/>
                <w:szCs w:val="21"/>
                <w:lang w:eastAsia="en-AU"/>
              </w:rPr>
              <w:t>178</w:t>
            </w:r>
          </w:p>
        </w:tc>
        <w:tc>
          <w:tcPr>
            <w:tcW w:w="2591"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sidRPr="00023820">
              <w:rPr>
                <w:rFonts w:eastAsiaTheme="minorEastAsia" w:cs="Calibri"/>
                <w:color w:val="000000"/>
                <w:szCs w:val="21"/>
                <w:lang w:eastAsia="en-AU"/>
              </w:rPr>
              <w:t>41</w:t>
            </w:r>
          </w:p>
        </w:tc>
        <w:tc>
          <w:tcPr>
            <w:tcW w:w="2591"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10 543</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2591" w:type="dxa"/>
            <w:tcBorders>
              <w:top w:val="nil"/>
              <w:left w:val="nil"/>
              <w:bottom w:val="nil"/>
              <w:right w:val="nil"/>
            </w:tcBorders>
          </w:tcPr>
          <w:p w:rsidR="00A46DCA" w:rsidRPr="00023820" w:rsidRDefault="00A46DCA" w:rsidP="00A26D04">
            <w:pPr>
              <w:keepLines w:val="0"/>
              <w:autoSpaceDE w:val="0"/>
              <w:autoSpaceDN w:val="0"/>
              <w:adjustRightInd w:val="0"/>
              <w:jc w:val="right"/>
              <w:rPr>
                <w:rFonts w:eastAsiaTheme="minorEastAsia" w:cs="Calibri"/>
                <w:color w:val="000000"/>
                <w:szCs w:val="21"/>
                <w:lang w:eastAsia="en-AU"/>
              </w:rPr>
            </w:pPr>
            <w:r>
              <w:rPr>
                <w:rFonts w:eastAsiaTheme="minorEastAsia" w:cs="Calibri"/>
                <w:color w:val="000000"/>
                <w:szCs w:val="21"/>
                <w:lang w:eastAsia="en-AU"/>
              </w:rPr>
              <w:t>..</w:t>
            </w:r>
          </w:p>
        </w:tc>
        <w:tc>
          <w:tcPr>
            <w:tcW w:w="2591"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w:t>
            </w:r>
          </w:p>
        </w:tc>
        <w:tc>
          <w:tcPr>
            <w:tcW w:w="2591"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2591" w:type="dxa"/>
            <w:tcBorders>
              <w:top w:val="single" w:sz="6" w:space="0" w:color="000000"/>
              <w:left w:val="nil"/>
              <w:bottom w:val="single" w:sz="12" w:space="0" w:color="000000"/>
              <w:right w:val="nil"/>
            </w:tcBorders>
          </w:tcPr>
          <w:p w:rsidR="00A46DCA" w:rsidRPr="00023820" w:rsidRDefault="00A46DCA" w:rsidP="00A26D04">
            <w:pPr>
              <w:keepLines w:val="0"/>
              <w:autoSpaceDE w:val="0"/>
              <w:autoSpaceDN w:val="0"/>
              <w:adjustRightInd w:val="0"/>
              <w:jc w:val="right"/>
              <w:rPr>
                <w:rFonts w:eastAsiaTheme="minorEastAsia" w:cs="Calibri"/>
                <w:b/>
                <w:bCs/>
                <w:color w:val="000000"/>
                <w:szCs w:val="21"/>
                <w:lang w:eastAsia="en-AU"/>
              </w:rPr>
            </w:pPr>
            <w:r>
              <w:rPr>
                <w:rFonts w:eastAsiaTheme="minorEastAsia" w:cs="Calibri"/>
                <w:b/>
                <w:bCs/>
                <w:color w:val="000000"/>
                <w:szCs w:val="21"/>
                <w:lang w:eastAsia="en-AU"/>
              </w:rPr>
              <w:t>3 927</w:t>
            </w:r>
          </w:p>
        </w:tc>
        <w:tc>
          <w:tcPr>
            <w:tcW w:w="2591" w:type="dxa"/>
            <w:tcBorders>
              <w:top w:val="single" w:sz="6" w:space="0" w:color="000000"/>
              <w:left w:val="nil"/>
              <w:bottom w:val="single" w:sz="12" w:space="0" w:color="000000"/>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1"/>
                <w:lang w:eastAsia="en-AU"/>
              </w:rPr>
            </w:pPr>
            <w:r>
              <w:rPr>
                <w:rFonts w:eastAsiaTheme="minorEastAsia" w:cs="Calibri"/>
                <w:b/>
                <w:bCs/>
                <w:color w:val="000000"/>
                <w:szCs w:val="21"/>
                <w:lang w:eastAsia="en-AU"/>
              </w:rPr>
              <w:t>1 288</w:t>
            </w:r>
          </w:p>
        </w:tc>
        <w:tc>
          <w:tcPr>
            <w:tcW w:w="2591" w:type="dxa"/>
            <w:tcBorders>
              <w:top w:val="single" w:sz="6" w:space="0" w:color="000000"/>
              <w:left w:val="nil"/>
              <w:bottom w:val="single" w:sz="12" w:space="0" w:color="000000"/>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1"/>
                <w:lang w:eastAsia="en-AU"/>
              </w:rPr>
            </w:pPr>
            <w:r>
              <w:rPr>
                <w:rFonts w:eastAsiaTheme="minorEastAsia" w:cs="Calibri"/>
                <w:b/>
                <w:bCs/>
                <w:color w:val="000000"/>
                <w:szCs w:val="21"/>
                <w:lang w:eastAsia="en-AU"/>
              </w:rPr>
              <w:t>198 188</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2591" w:type="dxa"/>
            <w:tcBorders>
              <w:top w:val="nil"/>
              <w:left w:val="nil"/>
              <w:bottom w:val="nil"/>
              <w:right w:val="nil"/>
            </w:tcBorders>
          </w:tcPr>
          <w:p w:rsidR="00A46DCA" w:rsidRPr="00023820" w:rsidRDefault="00A46DCA" w:rsidP="00A26D04">
            <w:pPr>
              <w:keepLines w:val="0"/>
              <w:autoSpaceDE w:val="0"/>
              <w:autoSpaceDN w:val="0"/>
              <w:adjustRightInd w:val="0"/>
              <w:jc w:val="right"/>
              <w:rPr>
                <w:rFonts w:eastAsiaTheme="minorEastAsia" w:cs="Calibri"/>
                <w:b/>
                <w:bCs/>
                <w:color w:val="000000"/>
                <w:lang w:eastAsia="en-AU"/>
              </w:rPr>
            </w:pPr>
            <w:r w:rsidRPr="00023820">
              <w:rPr>
                <w:rFonts w:eastAsiaTheme="minorEastAsia" w:cs="Calibri"/>
                <w:b/>
                <w:bCs/>
                <w:color w:val="000000"/>
                <w:lang w:eastAsia="en-AU"/>
              </w:rPr>
              <w:t xml:space="preserve"> </w:t>
            </w:r>
          </w:p>
        </w:tc>
        <w:tc>
          <w:tcPr>
            <w:tcW w:w="2591"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1"/>
                <w:lang w:eastAsia="en-AU"/>
              </w:rPr>
            </w:pPr>
            <w:r w:rsidRPr="00023820">
              <w:rPr>
                <w:rFonts w:eastAsiaTheme="minorEastAsia" w:cs="Calibri"/>
                <w:b/>
                <w:bCs/>
                <w:color w:val="000000"/>
                <w:szCs w:val="21"/>
                <w:lang w:eastAsia="en-AU"/>
              </w:rPr>
              <w:t xml:space="preserve"> </w:t>
            </w:r>
          </w:p>
        </w:tc>
        <w:tc>
          <w:tcPr>
            <w:tcW w:w="2591"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1"/>
                <w:lang w:eastAsia="en-AU"/>
              </w:rPr>
            </w:pPr>
            <w:r w:rsidRPr="00023820">
              <w:rPr>
                <w:rFonts w:eastAsiaTheme="minorEastAsia" w:cs="Calibri"/>
                <w:b/>
                <w:bCs/>
                <w:color w:val="000000"/>
                <w:szCs w:val="21"/>
                <w:lang w:eastAsia="en-AU"/>
              </w:rPr>
              <w:t xml:space="preserve"> </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2591" w:type="dxa"/>
            <w:tcBorders>
              <w:top w:val="nil"/>
              <w:left w:val="nil"/>
              <w:bottom w:val="nil"/>
              <w:right w:val="nil"/>
            </w:tcBorders>
          </w:tcPr>
          <w:p w:rsidR="00A46DCA" w:rsidRPr="00023820" w:rsidRDefault="00A46DCA" w:rsidP="00A26D04">
            <w:pPr>
              <w:keepLines w:val="0"/>
              <w:autoSpaceDE w:val="0"/>
              <w:autoSpaceDN w:val="0"/>
              <w:adjustRightInd w:val="0"/>
              <w:jc w:val="right"/>
              <w:rPr>
                <w:rFonts w:eastAsiaTheme="minorEastAsia" w:cs="Calibri"/>
                <w:color w:val="000000"/>
                <w:szCs w:val="21"/>
                <w:lang w:eastAsia="en-AU"/>
              </w:rPr>
            </w:pPr>
            <w:r>
              <w:rPr>
                <w:rFonts w:eastAsiaTheme="minorEastAsia" w:cs="Calibri"/>
                <w:color w:val="000000"/>
                <w:szCs w:val="21"/>
                <w:lang w:eastAsia="en-AU"/>
              </w:rPr>
              <w:t>3 927</w:t>
            </w:r>
          </w:p>
        </w:tc>
        <w:tc>
          <w:tcPr>
            <w:tcW w:w="2591"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1 288</w:t>
            </w:r>
          </w:p>
        </w:tc>
        <w:tc>
          <w:tcPr>
            <w:tcW w:w="2591"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198 188</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2591" w:type="dxa"/>
            <w:tcBorders>
              <w:top w:val="nil"/>
              <w:left w:val="nil"/>
              <w:bottom w:val="nil"/>
              <w:right w:val="nil"/>
            </w:tcBorders>
          </w:tcPr>
          <w:p w:rsidR="00A46DCA" w:rsidRPr="00023820" w:rsidRDefault="00A46DCA" w:rsidP="00A26D04">
            <w:pPr>
              <w:keepLines w:val="0"/>
              <w:autoSpaceDE w:val="0"/>
              <w:autoSpaceDN w:val="0"/>
              <w:adjustRightInd w:val="0"/>
              <w:jc w:val="right"/>
              <w:rPr>
                <w:rFonts w:eastAsiaTheme="minorEastAsia" w:cs="Calibri"/>
                <w:color w:val="000000"/>
                <w:szCs w:val="21"/>
                <w:lang w:eastAsia="en-AU"/>
              </w:rPr>
            </w:pPr>
            <w:r>
              <w:rPr>
                <w:rFonts w:eastAsiaTheme="minorEastAsia" w:cs="Calibri"/>
                <w:color w:val="000000"/>
                <w:szCs w:val="21"/>
                <w:lang w:eastAsia="en-AU"/>
              </w:rPr>
              <w:t>..</w:t>
            </w:r>
          </w:p>
        </w:tc>
        <w:tc>
          <w:tcPr>
            <w:tcW w:w="2591"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w:t>
            </w:r>
          </w:p>
        </w:tc>
        <w:tc>
          <w:tcPr>
            <w:tcW w:w="2591"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1 408</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2591" w:type="dxa"/>
            <w:tcBorders>
              <w:top w:val="nil"/>
              <w:left w:val="nil"/>
              <w:bottom w:val="nil"/>
              <w:right w:val="nil"/>
            </w:tcBorders>
          </w:tcPr>
          <w:p w:rsidR="00A46DCA" w:rsidRPr="00023820" w:rsidRDefault="00A46DCA" w:rsidP="00A26D04">
            <w:pPr>
              <w:keepLines w:val="0"/>
              <w:autoSpaceDE w:val="0"/>
              <w:autoSpaceDN w:val="0"/>
              <w:adjustRightInd w:val="0"/>
              <w:jc w:val="right"/>
              <w:rPr>
                <w:rFonts w:eastAsiaTheme="minorEastAsia" w:cs="Calibri"/>
                <w:color w:val="000000"/>
                <w:szCs w:val="21"/>
                <w:lang w:eastAsia="en-AU"/>
              </w:rPr>
            </w:pPr>
            <w:r w:rsidRPr="00023820">
              <w:rPr>
                <w:rFonts w:eastAsiaTheme="minorEastAsia" w:cs="Calibri"/>
                <w:color w:val="000000"/>
                <w:szCs w:val="21"/>
                <w:lang w:eastAsia="en-AU"/>
              </w:rPr>
              <w:t>251</w:t>
            </w:r>
          </w:p>
        </w:tc>
        <w:tc>
          <w:tcPr>
            <w:tcW w:w="2591"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sidRPr="00023820">
              <w:rPr>
                <w:rFonts w:eastAsiaTheme="minorEastAsia" w:cs="Calibri"/>
                <w:color w:val="000000"/>
                <w:szCs w:val="21"/>
                <w:lang w:eastAsia="en-AU"/>
              </w:rPr>
              <w:t>21</w:t>
            </w:r>
          </w:p>
        </w:tc>
        <w:tc>
          <w:tcPr>
            <w:tcW w:w="2591"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4 123</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2591" w:type="dxa"/>
            <w:tcBorders>
              <w:top w:val="nil"/>
              <w:left w:val="nil"/>
              <w:bottom w:val="nil"/>
              <w:right w:val="nil"/>
            </w:tcBorders>
          </w:tcPr>
          <w:p w:rsidR="00A46DCA" w:rsidRPr="00023820" w:rsidRDefault="00A46DCA" w:rsidP="00A26D04">
            <w:pPr>
              <w:keepLines w:val="0"/>
              <w:autoSpaceDE w:val="0"/>
              <w:autoSpaceDN w:val="0"/>
              <w:adjustRightInd w:val="0"/>
              <w:jc w:val="right"/>
              <w:rPr>
                <w:rFonts w:eastAsiaTheme="minorEastAsia" w:cs="Calibri"/>
                <w:color w:val="000000"/>
                <w:szCs w:val="21"/>
                <w:lang w:eastAsia="en-AU"/>
              </w:rPr>
            </w:pPr>
            <w:r>
              <w:rPr>
                <w:rFonts w:eastAsiaTheme="minorEastAsia" w:cs="Calibri"/>
                <w:color w:val="000000"/>
                <w:szCs w:val="21"/>
                <w:lang w:eastAsia="en-AU"/>
              </w:rPr>
              <w:t>..</w:t>
            </w:r>
          </w:p>
        </w:tc>
        <w:tc>
          <w:tcPr>
            <w:tcW w:w="2591"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w:t>
            </w:r>
          </w:p>
        </w:tc>
        <w:tc>
          <w:tcPr>
            <w:tcW w:w="2591"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2591" w:type="dxa"/>
            <w:tcBorders>
              <w:top w:val="single" w:sz="6" w:space="0" w:color="000000"/>
              <w:left w:val="nil"/>
              <w:bottom w:val="single" w:sz="12" w:space="0" w:color="000000"/>
              <w:right w:val="nil"/>
            </w:tcBorders>
          </w:tcPr>
          <w:p w:rsidR="00A46DCA" w:rsidRPr="00023820" w:rsidRDefault="00A46DCA" w:rsidP="00A26D04">
            <w:pPr>
              <w:keepLines w:val="0"/>
              <w:autoSpaceDE w:val="0"/>
              <w:autoSpaceDN w:val="0"/>
              <w:adjustRightInd w:val="0"/>
              <w:jc w:val="right"/>
              <w:rPr>
                <w:rFonts w:eastAsiaTheme="minorEastAsia" w:cs="Calibri"/>
                <w:b/>
                <w:bCs/>
                <w:color w:val="000000"/>
                <w:szCs w:val="21"/>
                <w:lang w:eastAsia="en-AU"/>
              </w:rPr>
            </w:pPr>
            <w:r>
              <w:rPr>
                <w:rFonts w:eastAsiaTheme="minorEastAsia" w:cs="Calibri"/>
                <w:b/>
                <w:bCs/>
                <w:color w:val="000000"/>
                <w:szCs w:val="21"/>
                <w:lang w:eastAsia="en-AU"/>
              </w:rPr>
              <w:t>4 178</w:t>
            </w:r>
          </w:p>
        </w:tc>
        <w:tc>
          <w:tcPr>
            <w:tcW w:w="2591" w:type="dxa"/>
            <w:tcBorders>
              <w:top w:val="single" w:sz="6" w:space="0" w:color="000000"/>
              <w:left w:val="nil"/>
              <w:bottom w:val="single" w:sz="12" w:space="0" w:color="000000"/>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1"/>
                <w:lang w:eastAsia="en-AU"/>
              </w:rPr>
            </w:pPr>
            <w:r>
              <w:rPr>
                <w:rFonts w:eastAsiaTheme="minorEastAsia" w:cs="Calibri"/>
                <w:b/>
                <w:bCs/>
                <w:color w:val="000000"/>
                <w:szCs w:val="21"/>
                <w:lang w:eastAsia="en-AU"/>
              </w:rPr>
              <w:t>1 308</w:t>
            </w:r>
          </w:p>
        </w:tc>
        <w:tc>
          <w:tcPr>
            <w:tcW w:w="2591" w:type="dxa"/>
            <w:tcBorders>
              <w:top w:val="single" w:sz="6" w:space="0" w:color="000000"/>
              <w:left w:val="nil"/>
              <w:bottom w:val="single" w:sz="12" w:space="0" w:color="000000"/>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1"/>
                <w:lang w:eastAsia="en-AU"/>
              </w:rPr>
            </w:pPr>
            <w:r>
              <w:rPr>
                <w:rFonts w:eastAsiaTheme="minorEastAsia" w:cs="Calibri"/>
                <w:b/>
                <w:bCs/>
                <w:color w:val="000000"/>
                <w:szCs w:val="21"/>
                <w:lang w:eastAsia="en-AU"/>
              </w:rPr>
              <w:t>203 719</w:t>
            </w:r>
          </w:p>
        </w:tc>
      </w:tr>
    </w:tbl>
    <w:p w:rsidR="00A46DCA" w:rsidRDefault="00A46DCA" w:rsidP="00A26D04"/>
    <w:p w:rsidR="00A46DCA" w:rsidRDefault="00A46DCA" w:rsidP="00A26D04">
      <w:pPr>
        <w:pStyle w:val="Heading10"/>
      </w:pPr>
      <w:r>
        <w:br w:type="page"/>
      </w:r>
    </w:p>
    <w:p w:rsidR="00A46DCA" w:rsidRPr="00023820" w:rsidRDefault="00A46DCA" w:rsidP="00A26D04">
      <w:pPr>
        <w:pStyle w:val="TableHeading"/>
        <w:rPr>
          <w:bCs/>
          <w:lang w:val="en-US"/>
        </w:rPr>
      </w:pPr>
      <w:r>
        <w:lastRenderedPageBreak/>
        <w:t>Table 5.11</w:t>
      </w:r>
      <w:r w:rsidR="008E5E35">
        <w:t>:</w:t>
      </w:r>
      <w:r>
        <w:tab/>
      </w:r>
      <w:r w:rsidRPr="004E6349">
        <w:t xml:space="preserve">Derivation of non-financial public sector GFS cash surplus/(deficit) </w:t>
      </w:r>
      <w:r>
        <w:tab/>
      </w:r>
      <w:r w:rsidRPr="004E6349">
        <w:t>($ million)</w:t>
      </w:r>
    </w:p>
    <w:tbl>
      <w:tblPr>
        <w:tblStyle w:val="DTFTable"/>
        <w:tblW w:w="7765" w:type="dxa"/>
        <w:tblInd w:w="45" w:type="dxa"/>
        <w:tblLayout w:type="fixed"/>
        <w:tblCellMar>
          <w:left w:w="45" w:type="dxa"/>
          <w:right w:w="45" w:type="dxa"/>
        </w:tblCellMar>
        <w:tblLook w:val="06E0" w:firstRow="1" w:lastRow="1" w:firstColumn="1" w:lastColumn="0" w:noHBand="1" w:noVBand="1"/>
      </w:tblPr>
      <w:tblGrid>
        <w:gridCol w:w="3515"/>
        <w:gridCol w:w="850"/>
        <w:gridCol w:w="850"/>
        <w:gridCol w:w="850"/>
        <w:gridCol w:w="850"/>
        <w:gridCol w:w="850"/>
      </w:tblGrid>
      <w:tr w:rsidR="00A26D04" w:rsidRPr="00023820" w:rsidTr="008E5E35">
        <w:trPr>
          <w:cnfStyle w:val="100000000000" w:firstRow="1" w:lastRow="0" w:firstColumn="0" w:lastColumn="0" w:oddVBand="0" w:evenVBand="0" w:oddHBand="0" w:evenHBand="0" w:firstRowFirstColumn="0" w:firstRowLastColumn="0" w:lastRowFirstColumn="0" w:lastRowLastColumn="0"/>
          <w:trHeight w:val="70"/>
          <w:tblHeader/>
        </w:trPr>
        <w:tc>
          <w:tcPr>
            <w:cnfStyle w:val="001000000000" w:firstRow="0" w:lastRow="0" w:firstColumn="1" w:lastColumn="0" w:oddVBand="0" w:evenVBand="0" w:oddHBand="0" w:evenHBand="0" w:firstRowFirstColumn="0" w:firstRowLastColumn="0" w:lastRowFirstColumn="0" w:lastRowLastColumn="0"/>
            <w:tcW w:w="3515" w:type="dxa"/>
            <w:tcBorders>
              <w:top w:val="nil"/>
              <w:left w:val="nil"/>
              <w:right w:val="nil"/>
            </w:tcBorders>
            <w:shd w:val="solid" w:color="000000" w:fill="auto"/>
          </w:tcPr>
          <w:p w:rsidR="00A26D04" w:rsidRPr="00023820" w:rsidRDefault="00A26D04" w:rsidP="00A26D04">
            <w:pPr>
              <w:autoSpaceDE w:val="0"/>
              <w:autoSpaceDN w:val="0"/>
              <w:adjustRightInd w:val="0"/>
              <w:rPr>
                <w:rFonts w:eastAsiaTheme="minorEastAsia" w:cs="Calibri"/>
                <w:iCs/>
                <w:color w:val="FFFFFF"/>
                <w:lang w:eastAsia="en-AU"/>
              </w:rPr>
            </w:pPr>
            <w:r w:rsidRPr="00023820">
              <w:rPr>
                <w:rFonts w:eastAsiaTheme="minorEastAsia" w:cs="Calibri"/>
                <w:iCs/>
                <w:color w:val="FFFFFF"/>
                <w:lang w:eastAsia="en-AU"/>
              </w:rPr>
              <w:t xml:space="preserve">  </w:t>
            </w:r>
          </w:p>
        </w:tc>
        <w:tc>
          <w:tcPr>
            <w:tcW w:w="850" w:type="dxa"/>
            <w:tcBorders>
              <w:top w:val="nil"/>
              <w:left w:val="nil"/>
              <w:right w:val="nil"/>
            </w:tcBorders>
            <w:shd w:val="solid" w:color="000000" w:fill="auto"/>
          </w:tcPr>
          <w:p w:rsidR="00A26D04" w:rsidRPr="00023820" w:rsidRDefault="00A26D04" w:rsidP="00A26D0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023820">
              <w:rPr>
                <w:rFonts w:eastAsiaTheme="minorEastAsia" w:cs="Calibri"/>
                <w:iCs/>
                <w:color w:val="FFFFFF"/>
                <w:szCs w:val="16"/>
                <w:lang w:eastAsia="en-AU"/>
              </w:rPr>
              <w:t xml:space="preserve">2017-18 </w:t>
            </w:r>
            <w:r>
              <w:rPr>
                <w:rFonts w:eastAsiaTheme="minorEastAsia" w:cs="Calibri"/>
                <w:iCs/>
                <w:color w:val="FFFFFF"/>
                <w:szCs w:val="16"/>
                <w:lang w:eastAsia="en-AU"/>
              </w:rPr>
              <w:br/>
            </w:r>
            <w:r w:rsidRPr="00023820">
              <w:rPr>
                <w:rFonts w:eastAsiaTheme="minorEastAsia" w:cs="Calibri"/>
                <w:iCs/>
                <w:color w:val="FFFFFF"/>
                <w:szCs w:val="16"/>
                <w:lang w:eastAsia="en-AU"/>
              </w:rPr>
              <w:t>budget</w:t>
            </w:r>
          </w:p>
        </w:tc>
        <w:tc>
          <w:tcPr>
            <w:tcW w:w="850" w:type="dxa"/>
            <w:tcBorders>
              <w:top w:val="nil"/>
              <w:left w:val="nil"/>
              <w:right w:val="nil"/>
            </w:tcBorders>
            <w:shd w:val="solid" w:color="000000" w:fill="auto"/>
          </w:tcPr>
          <w:p w:rsidR="00A26D04" w:rsidRPr="00023820" w:rsidRDefault="00A26D04" w:rsidP="00A26D0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023820">
              <w:rPr>
                <w:rFonts w:eastAsiaTheme="minorEastAsia" w:cs="Calibri"/>
                <w:iCs/>
                <w:color w:val="FFFFFF"/>
                <w:szCs w:val="16"/>
                <w:lang w:eastAsia="en-AU"/>
              </w:rPr>
              <w:t xml:space="preserve">2017-18 </w:t>
            </w:r>
            <w:r>
              <w:rPr>
                <w:rFonts w:eastAsiaTheme="minorEastAsia" w:cs="Calibri"/>
                <w:iCs/>
                <w:color w:val="FFFFFF"/>
                <w:szCs w:val="16"/>
                <w:lang w:eastAsia="en-AU"/>
              </w:rPr>
              <w:br/>
            </w:r>
            <w:r w:rsidRPr="00023820">
              <w:rPr>
                <w:rFonts w:eastAsiaTheme="minorEastAsia" w:cs="Calibri"/>
                <w:iCs/>
                <w:color w:val="FFFFFF"/>
                <w:szCs w:val="16"/>
                <w:lang w:eastAsia="en-AU"/>
              </w:rPr>
              <w:t>revised</w:t>
            </w:r>
          </w:p>
        </w:tc>
        <w:tc>
          <w:tcPr>
            <w:tcW w:w="850" w:type="dxa"/>
            <w:tcBorders>
              <w:top w:val="nil"/>
              <w:left w:val="nil"/>
              <w:right w:val="nil"/>
            </w:tcBorders>
            <w:shd w:val="solid" w:color="000000" w:fill="auto"/>
          </w:tcPr>
          <w:p w:rsidR="00A26D04" w:rsidRPr="00023820" w:rsidRDefault="00A26D04" w:rsidP="00A26D0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023820">
              <w:rPr>
                <w:rFonts w:eastAsiaTheme="minorEastAsia" w:cs="Calibri"/>
                <w:iCs/>
                <w:color w:val="FFFFFF"/>
                <w:szCs w:val="16"/>
                <w:lang w:eastAsia="en-AU"/>
              </w:rPr>
              <w:t xml:space="preserve">2018-19 </w:t>
            </w:r>
            <w:r>
              <w:rPr>
                <w:rFonts w:eastAsiaTheme="minorEastAsia" w:cs="Calibri"/>
                <w:iCs/>
                <w:color w:val="FFFFFF"/>
                <w:szCs w:val="16"/>
                <w:lang w:eastAsia="en-AU"/>
              </w:rPr>
              <w:br/>
            </w:r>
            <w:r w:rsidRPr="00023820">
              <w:rPr>
                <w:rFonts w:eastAsiaTheme="minorEastAsia" w:cs="Calibri"/>
                <w:iCs/>
                <w:color w:val="FFFFFF"/>
                <w:szCs w:val="16"/>
                <w:lang w:eastAsia="en-AU"/>
              </w:rPr>
              <w:t>estimate</w:t>
            </w:r>
          </w:p>
        </w:tc>
        <w:tc>
          <w:tcPr>
            <w:tcW w:w="850" w:type="dxa"/>
            <w:tcBorders>
              <w:top w:val="nil"/>
              <w:left w:val="nil"/>
              <w:right w:val="nil"/>
            </w:tcBorders>
            <w:shd w:val="solid" w:color="000000" w:fill="auto"/>
          </w:tcPr>
          <w:p w:rsidR="00A26D04" w:rsidRPr="00023820" w:rsidRDefault="00A26D04" w:rsidP="00A26D0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023820">
              <w:rPr>
                <w:rFonts w:eastAsiaTheme="minorEastAsia" w:cs="Calibri"/>
                <w:iCs/>
                <w:color w:val="FFFFFF"/>
                <w:szCs w:val="16"/>
                <w:lang w:eastAsia="en-AU"/>
              </w:rPr>
              <w:t xml:space="preserve">2019-20 </w:t>
            </w:r>
            <w:r>
              <w:rPr>
                <w:rFonts w:eastAsiaTheme="minorEastAsia" w:cs="Calibri"/>
                <w:iCs/>
                <w:color w:val="FFFFFF"/>
                <w:szCs w:val="16"/>
                <w:lang w:eastAsia="en-AU"/>
              </w:rPr>
              <w:br/>
            </w:r>
            <w:r w:rsidRPr="00023820">
              <w:rPr>
                <w:rFonts w:eastAsiaTheme="minorEastAsia" w:cs="Calibri"/>
                <w:iCs/>
                <w:color w:val="FFFFFF"/>
                <w:szCs w:val="16"/>
                <w:lang w:eastAsia="en-AU"/>
              </w:rPr>
              <w:t>estimate</w:t>
            </w:r>
          </w:p>
        </w:tc>
        <w:tc>
          <w:tcPr>
            <w:tcW w:w="850" w:type="dxa"/>
            <w:tcBorders>
              <w:top w:val="nil"/>
              <w:left w:val="nil"/>
              <w:right w:val="nil"/>
            </w:tcBorders>
            <w:shd w:val="solid" w:color="000000" w:fill="auto"/>
          </w:tcPr>
          <w:p w:rsidR="00A26D04" w:rsidRPr="00023820" w:rsidRDefault="00A26D04" w:rsidP="00A26D0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023820">
              <w:rPr>
                <w:rFonts w:eastAsiaTheme="minorEastAsia" w:cs="Calibri"/>
                <w:iCs/>
                <w:color w:val="FFFFFF"/>
                <w:szCs w:val="16"/>
                <w:lang w:eastAsia="en-AU"/>
              </w:rPr>
              <w:t xml:space="preserve">2020-21 </w:t>
            </w:r>
            <w:r>
              <w:rPr>
                <w:rFonts w:eastAsiaTheme="minorEastAsia" w:cs="Calibri"/>
                <w:iCs/>
                <w:color w:val="FFFFFF"/>
                <w:szCs w:val="16"/>
                <w:lang w:eastAsia="en-AU"/>
              </w:rPr>
              <w:br/>
            </w:r>
            <w:r w:rsidRPr="00023820">
              <w:rPr>
                <w:rFonts w:eastAsiaTheme="minorEastAsia" w:cs="Calibri"/>
                <w:iCs/>
                <w:color w:val="FFFFFF"/>
                <w:szCs w:val="16"/>
                <w:lang w:eastAsia="en-AU"/>
              </w:rPr>
              <w:t>estimate</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A46DCA" w:rsidRPr="00023820" w:rsidRDefault="00A46DCA" w:rsidP="00A26D04">
            <w:pPr>
              <w:keepLines w:val="0"/>
              <w:autoSpaceDE w:val="0"/>
              <w:autoSpaceDN w:val="0"/>
              <w:adjustRightInd w:val="0"/>
              <w:rPr>
                <w:rFonts w:eastAsiaTheme="minorEastAsia" w:cs="Calibri"/>
                <w:b/>
                <w:bCs/>
                <w:color w:val="000000"/>
                <w:szCs w:val="16"/>
                <w:lang w:eastAsia="en-AU"/>
              </w:rPr>
            </w:pPr>
            <w:r w:rsidRPr="00023820">
              <w:rPr>
                <w:rFonts w:eastAsiaTheme="minorEastAsia" w:cs="Calibri"/>
                <w:b/>
                <w:bCs/>
                <w:color w:val="000000"/>
                <w:szCs w:val="16"/>
                <w:lang w:eastAsia="en-AU"/>
              </w:rPr>
              <w:t>Cash surplus/(deficit)</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Pr>
                <w:rFonts w:eastAsiaTheme="minorEastAsia" w:cs="Calibri"/>
                <w:b/>
                <w:bCs/>
                <w:color w:val="000000"/>
                <w:szCs w:val="16"/>
                <w:lang w:eastAsia="en-AU"/>
              </w:rPr>
              <w:t>(6 600)</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Pr>
                <w:rFonts w:eastAsiaTheme="minorEastAsia" w:cs="Calibri"/>
                <w:b/>
                <w:bCs/>
                <w:color w:val="000000"/>
                <w:szCs w:val="16"/>
                <w:lang w:eastAsia="en-AU"/>
              </w:rPr>
              <w:t>(6 633)</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Pr>
                <w:rFonts w:eastAsiaTheme="minorEastAsia" w:cs="Calibri"/>
                <w:b/>
                <w:bCs/>
                <w:color w:val="000000"/>
                <w:szCs w:val="16"/>
                <w:lang w:eastAsia="en-AU"/>
              </w:rPr>
              <w:t>(3 260)</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Pr>
                <w:rFonts w:eastAsiaTheme="minorEastAsia" w:cs="Calibri"/>
                <w:b/>
                <w:bCs/>
                <w:color w:val="000000"/>
                <w:szCs w:val="16"/>
                <w:lang w:eastAsia="en-AU"/>
              </w:rPr>
              <w:t>(3 739)</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Pr>
                <w:rFonts w:eastAsiaTheme="minorEastAsia" w:cs="Calibri"/>
                <w:b/>
                <w:bCs/>
                <w:color w:val="000000"/>
                <w:szCs w:val="16"/>
                <w:lang w:eastAsia="en-AU"/>
              </w:rPr>
              <w:t>(2 617)</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A46DCA" w:rsidRPr="00023820" w:rsidRDefault="00A46DCA" w:rsidP="00A26D04">
            <w:pPr>
              <w:keepLines w:val="0"/>
              <w:autoSpaceDE w:val="0"/>
              <w:autoSpaceDN w:val="0"/>
              <w:adjustRightInd w:val="0"/>
              <w:rPr>
                <w:rFonts w:eastAsiaTheme="minorEastAsia" w:cs="Calibri"/>
                <w:color w:val="000000"/>
                <w:szCs w:val="16"/>
                <w:lang w:eastAsia="en-AU"/>
              </w:rPr>
            </w:pPr>
            <w:r w:rsidRPr="00023820">
              <w:rPr>
                <w:rFonts w:eastAsiaTheme="minorEastAsia" w:cs="Calibri"/>
                <w:color w:val="000000"/>
                <w:szCs w:val="16"/>
                <w:lang w:eastAsia="en-AU"/>
              </w:rPr>
              <w:t>Convergence differences:</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023820">
              <w:rPr>
                <w:rFonts w:eastAsiaTheme="minorEastAsia" w:cs="Calibri"/>
                <w:color w:val="000000"/>
                <w:lang w:eastAsia="en-AU"/>
              </w:rPr>
              <w:t xml:space="preserve"> </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023820">
              <w:rPr>
                <w:rFonts w:eastAsiaTheme="minorEastAsia" w:cs="Calibri"/>
                <w:color w:val="000000"/>
                <w:lang w:eastAsia="en-AU"/>
              </w:rPr>
              <w:t xml:space="preserve"> </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023820">
              <w:rPr>
                <w:rFonts w:eastAsiaTheme="minorEastAsia" w:cs="Calibri"/>
                <w:color w:val="000000"/>
                <w:lang w:eastAsia="en-AU"/>
              </w:rPr>
              <w:t xml:space="preserve"> </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023820">
              <w:rPr>
                <w:rFonts w:eastAsiaTheme="minorEastAsia" w:cs="Calibri"/>
                <w:color w:val="000000"/>
                <w:lang w:eastAsia="en-AU"/>
              </w:rPr>
              <w:t xml:space="preserve"> </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023820">
              <w:rPr>
                <w:rFonts w:eastAsiaTheme="minorEastAsia" w:cs="Calibri"/>
                <w:color w:val="000000"/>
                <w:lang w:eastAsia="en-AU"/>
              </w:rPr>
              <w:t xml:space="preserve"> </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A46DCA" w:rsidRPr="00023820" w:rsidRDefault="00A46DCA" w:rsidP="00A26D04">
            <w:pPr>
              <w:keepLines w:val="0"/>
              <w:autoSpaceDE w:val="0"/>
              <w:autoSpaceDN w:val="0"/>
              <w:adjustRightInd w:val="0"/>
              <w:rPr>
                <w:rFonts w:eastAsiaTheme="minorEastAsia" w:cs="Calibri"/>
                <w:color w:val="000000"/>
                <w:szCs w:val="16"/>
                <w:vertAlign w:val="superscript"/>
                <w:lang w:eastAsia="en-AU"/>
              </w:rPr>
            </w:pPr>
            <w:r w:rsidRPr="00023820">
              <w:rPr>
                <w:rFonts w:eastAsiaTheme="minorEastAsia" w:cs="Calibri"/>
                <w:color w:val="000000"/>
                <w:szCs w:val="16"/>
                <w:lang w:eastAsia="en-AU"/>
              </w:rPr>
              <w:t xml:space="preserve">Acquisitions under finance leases and </w:t>
            </w:r>
            <w:r>
              <w:rPr>
                <w:rFonts w:eastAsiaTheme="minorEastAsia" w:cs="Calibri"/>
                <w:color w:val="000000"/>
                <w:szCs w:val="16"/>
                <w:lang w:eastAsia="en-AU"/>
              </w:rPr>
              <w:br/>
            </w:r>
            <w:r w:rsidRPr="00023820">
              <w:rPr>
                <w:rFonts w:eastAsiaTheme="minorEastAsia" w:cs="Calibri"/>
                <w:color w:val="000000"/>
                <w:szCs w:val="16"/>
                <w:lang w:eastAsia="en-AU"/>
              </w:rPr>
              <w:t xml:space="preserve">similar arrangements </w:t>
            </w:r>
            <w:r w:rsidRPr="00023820">
              <w:rPr>
                <w:rFonts w:eastAsiaTheme="minorEastAsia" w:cs="Calibri"/>
                <w:color w:val="000000"/>
                <w:szCs w:val="16"/>
                <w:vertAlign w:val="superscript"/>
                <w:lang w:eastAsia="en-AU"/>
              </w:rPr>
              <w:t>(a)</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(647)</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(647)</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(419)</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(315)</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(1 022)</w:t>
            </w:r>
          </w:p>
        </w:tc>
      </w:tr>
      <w:tr w:rsidR="00A46DCA" w:rsidRPr="00023820" w:rsidTr="00A26D04">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5" w:type="dxa"/>
            <w:tcBorders>
              <w:top w:val="single" w:sz="6" w:space="0" w:color="000000"/>
              <w:bottom w:val="single" w:sz="12" w:space="0" w:color="000000"/>
            </w:tcBorders>
          </w:tcPr>
          <w:p w:rsidR="00A46DCA" w:rsidRPr="00023820" w:rsidRDefault="00A46DCA" w:rsidP="00A26D04">
            <w:pPr>
              <w:keepLines w:val="0"/>
              <w:autoSpaceDE w:val="0"/>
              <w:autoSpaceDN w:val="0"/>
              <w:adjustRightInd w:val="0"/>
              <w:rPr>
                <w:rFonts w:eastAsiaTheme="minorEastAsia" w:cs="Calibri"/>
                <w:bCs/>
                <w:color w:val="000000"/>
                <w:szCs w:val="16"/>
                <w:vertAlign w:val="superscript"/>
                <w:lang w:eastAsia="en-AU"/>
              </w:rPr>
            </w:pPr>
            <w:r w:rsidRPr="00023820">
              <w:rPr>
                <w:rFonts w:eastAsiaTheme="minorEastAsia" w:cs="Calibri"/>
                <w:bCs/>
                <w:color w:val="000000"/>
                <w:szCs w:val="16"/>
                <w:lang w:eastAsia="en-AU"/>
              </w:rPr>
              <w:t xml:space="preserve">GFS cash surplus/(deficit) </w:t>
            </w:r>
            <w:r w:rsidRPr="00023820">
              <w:rPr>
                <w:rFonts w:eastAsiaTheme="minorEastAsia" w:cs="Calibri"/>
                <w:bCs/>
                <w:color w:val="000000"/>
                <w:szCs w:val="16"/>
                <w:vertAlign w:val="superscript"/>
                <w:lang w:eastAsia="en-AU"/>
              </w:rPr>
              <w:t>(b)</w:t>
            </w:r>
          </w:p>
        </w:tc>
        <w:tc>
          <w:tcPr>
            <w:tcW w:w="850" w:type="dxa"/>
            <w:tcBorders>
              <w:top w:val="single" w:sz="6" w:space="0" w:color="000000"/>
              <w:bottom w:val="single" w:sz="12" w:space="0" w:color="000000"/>
            </w:tcBorders>
          </w:tcPr>
          <w:p w:rsidR="00A46DCA" w:rsidRPr="00023820" w:rsidRDefault="00A46DCA" w:rsidP="00A26D0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6"/>
                <w:lang w:eastAsia="en-AU"/>
              </w:rPr>
            </w:pPr>
            <w:r>
              <w:rPr>
                <w:rFonts w:eastAsiaTheme="minorEastAsia" w:cs="Calibri"/>
                <w:bCs/>
                <w:color w:val="000000"/>
                <w:szCs w:val="16"/>
                <w:lang w:eastAsia="en-AU"/>
              </w:rPr>
              <w:t>(7 247)</w:t>
            </w:r>
          </w:p>
        </w:tc>
        <w:tc>
          <w:tcPr>
            <w:tcW w:w="850" w:type="dxa"/>
            <w:tcBorders>
              <w:top w:val="single" w:sz="6" w:space="0" w:color="000000"/>
              <w:bottom w:val="single" w:sz="12" w:space="0" w:color="000000"/>
            </w:tcBorders>
          </w:tcPr>
          <w:p w:rsidR="00A46DCA" w:rsidRPr="00023820" w:rsidRDefault="00A46DCA" w:rsidP="00A26D0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6"/>
                <w:lang w:eastAsia="en-AU"/>
              </w:rPr>
            </w:pPr>
            <w:r>
              <w:rPr>
                <w:rFonts w:eastAsiaTheme="minorEastAsia" w:cs="Calibri"/>
                <w:bCs/>
                <w:color w:val="000000"/>
                <w:szCs w:val="16"/>
                <w:lang w:eastAsia="en-AU"/>
              </w:rPr>
              <w:t>(7 280)</w:t>
            </w:r>
          </w:p>
        </w:tc>
        <w:tc>
          <w:tcPr>
            <w:tcW w:w="850" w:type="dxa"/>
            <w:tcBorders>
              <w:top w:val="single" w:sz="6" w:space="0" w:color="000000"/>
              <w:bottom w:val="single" w:sz="12" w:space="0" w:color="000000"/>
            </w:tcBorders>
          </w:tcPr>
          <w:p w:rsidR="00A46DCA" w:rsidRPr="00023820" w:rsidRDefault="00A46DCA" w:rsidP="00A26D0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6"/>
                <w:lang w:eastAsia="en-AU"/>
              </w:rPr>
            </w:pPr>
            <w:r>
              <w:rPr>
                <w:rFonts w:eastAsiaTheme="minorEastAsia" w:cs="Calibri"/>
                <w:bCs/>
                <w:color w:val="000000"/>
                <w:szCs w:val="16"/>
                <w:lang w:eastAsia="en-AU"/>
              </w:rPr>
              <w:t>(3 679)</w:t>
            </w:r>
          </w:p>
        </w:tc>
        <w:tc>
          <w:tcPr>
            <w:tcW w:w="850" w:type="dxa"/>
            <w:tcBorders>
              <w:top w:val="single" w:sz="6" w:space="0" w:color="000000"/>
              <w:bottom w:val="single" w:sz="12" w:space="0" w:color="000000"/>
            </w:tcBorders>
          </w:tcPr>
          <w:p w:rsidR="00A46DCA" w:rsidRPr="00023820" w:rsidRDefault="00A46DCA" w:rsidP="00A26D0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6"/>
                <w:lang w:eastAsia="en-AU"/>
              </w:rPr>
            </w:pPr>
            <w:r>
              <w:rPr>
                <w:rFonts w:eastAsiaTheme="minorEastAsia" w:cs="Calibri"/>
                <w:bCs/>
                <w:color w:val="000000"/>
                <w:szCs w:val="16"/>
                <w:lang w:eastAsia="en-AU"/>
              </w:rPr>
              <w:t>(4 054)</w:t>
            </w:r>
          </w:p>
        </w:tc>
        <w:tc>
          <w:tcPr>
            <w:tcW w:w="850" w:type="dxa"/>
            <w:tcBorders>
              <w:top w:val="single" w:sz="6" w:space="0" w:color="000000"/>
              <w:bottom w:val="single" w:sz="12" w:space="0" w:color="000000"/>
            </w:tcBorders>
          </w:tcPr>
          <w:p w:rsidR="00A46DCA" w:rsidRPr="00023820" w:rsidRDefault="00A46DCA" w:rsidP="00A26D0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6"/>
                <w:lang w:eastAsia="en-AU"/>
              </w:rPr>
            </w:pPr>
            <w:r>
              <w:rPr>
                <w:rFonts w:eastAsiaTheme="minorEastAsia" w:cs="Calibri"/>
                <w:bCs/>
                <w:color w:val="000000"/>
                <w:szCs w:val="16"/>
                <w:lang w:eastAsia="en-AU"/>
              </w:rPr>
              <w:t>(3 639)</w:t>
            </w:r>
          </w:p>
        </w:tc>
      </w:tr>
    </w:tbl>
    <w:p w:rsidR="00A46DCA" w:rsidRDefault="00A46DCA" w:rsidP="00A26D04">
      <w:pPr>
        <w:pStyle w:val="Source"/>
      </w:pPr>
      <w:r w:rsidRPr="00D87D22">
        <w:t>Source: Dep</w:t>
      </w:r>
      <w:r>
        <w:t>artment of Treasury and Finance</w:t>
      </w:r>
      <w:r w:rsidRPr="00352C54">
        <w:t xml:space="preserve"> </w:t>
      </w:r>
    </w:p>
    <w:p w:rsidR="00A46DCA" w:rsidRDefault="00A46DCA" w:rsidP="00A26D04">
      <w:pPr>
        <w:pStyle w:val="Note"/>
      </w:pPr>
      <w:r>
        <w:t>Notes:</w:t>
      </w:r>
    </w:p>
    <w:p w:rsidR="00A46DCA" w:rsidRPr="00BE5010" w:rsidRDefault="00A46DCA" w:rsidP="00A26D04">
      <w:pPr>
        <w:pStyle w:val="Note"/>
      </w:pPr>
      <w:r w:rsidRPr="00BE5010">
        <w:t>(a</w:t>
      </w:r>
      <w:r>
        <w:t>)</w:t>
      </w:r>
      <w:r>
        <w:tab/>
      </w:r>
      <w:r w:rsidRPr="00BE5010">
        <w:t>The finance lease acquisition in 2017-18 relates to the Ravenhall Prison project, the new Bendigo Hospital project (stage 2)</w:t>
      </w:r>
      <w:r>
        <w:t xml:space="preserve"> </w:t>
      </w:r>
      <w:r w:rsidRPr="00BE5010">
        <w:t xml:space="preserve">and the New Schools PPP project (tranche 2). The 2018-19 and 2019-20 estimates relate to the High Capacity Metro Trains Project. The 2020-21 estimates relate to the High Capacity Metro Trains Project and the Western Roads </w:t>
      </w:r>
      <w:r>
        <w:t>Upgrade</w:t>
      </w:r>
      <w:r w:rsidRPr="00BE5010">
        <w:t>.</w:t>
      </w:r>
    </w:p>
    <w:p w:rsidR="00A46DCA" w:rsidRPr="00BE5010" w:rsidRDefault="00A46DCA" w:rsidP="00A26D04">
      <w:pPr>
        <w:pStyle w:val="Note"/>
      </w:pPr>
      <w:r>
        <w:t>(b)</w:t>
      </w:r>
      <w:r>
        <w:tab/>
        <w:t>Determined in accordance with the ABS GFS manual.</w:t>
      </w:r>
    </w:p>
    <w:p w:rsidR="00A46DCA" w:rsidRDefault="00A46DCA" w:rsidP="00A26D04">
      <w:pPr>
        <w:rPr>
          <w:lang w:eastAsia="en-AU"/>
        </w:rPr>
      </w:pPr>
    </w:p>
    <w:p w:rsidR="00A46DCA" w:rsidRDefault="00A46DCA" w:rsidP="00A26D04">
      <w:pPr>
        <w:rPr>
          <w:lang w:eastAsia="en-AU"/>
        </w:rPr>
      </w:pPr>
    </w:p>
    <w:p w:rsidR="00A46DCA" w:rsidRPr="00BC01CF" w:rsidRDefault="00A46DCA" w:rsidP="00BD6A33">
      <w:pPr>
        <w:pStyle w:val="TableHeading"/>
        <w:rPr>
          <w:rStyle w:val="Heading2Char0"/>
          <w:rFonts w:eastAsiaTheme="minorHAnsi" w:cstheme="minorBidi"/>
          <w:b/>
          <w:spacing w:val="0"/>
          <w:sz w:val="20"/>
          <w:szCs w:val="20"/>
        </w:rPr>
      </w:pPr>
      <w:r w:rsidRPr="00631823">
        <w:t>Table 5.12</w:t>
      </w:r>
      <w:r w:rsidR="008E5E35">
        <w:t>:</w:t>
      </w:r>
      <w:r w:rsidRPr="00631823">
        <w:tab/>
        <w:t xml:space="preserve">Net acquisition of non-financial assets – </w:t>
      </w:r>
      <w:r w:rsidR="00BD6A33">
        <w:br/>
      </w:r>
      <w:r w:rsidRPr="00631823">
        <w:t xml:space="preserve">non-financial public sector </w:t>
      </w:r>
      <w:r w:rsidRPr="00631823">
        <w:rPr>
          <w:vertAlign w:val="superscript"/>
        </w:rPr>
        <w:t>(a)</w:t>
      </w:r>
      <w:r w:rsidR="00BD6A33">
        <w:rPr>
          <w:vertAlign w:val="superscript"/>
        </w:rPr>
        <w:tab/>
      </w:r>
      <w:r w:rsidRPr="00BC01CF">
        <w:rPr>
          <w:rStyle w:val="Heading2Char0"/>
          <w:rFonts w:eastAsiaTheme="minorHAnsi" w:cstheme="minorBidi"/>
          <w:b/>
          <w:spacing w:val="0"/>
          <w:sz w:val="20"/>
          <w:szCs w:val="20"/>
        </w:rPr>
        <w:t>($ million)</w:t>
      </w:r>
    </w:p>
    <w:tbl>
      <w:tblPr>
        <w:tblStyle w:val="DTFTable"/>
        <w:tblW w:w="7761" w:type="dxa"/>
        <w:tblInd w:w="45" w:type="dxa"/>
        <w:tblLayout w:type="fixed"/>
        <w:tblCellMar>
          <w:left w:w="45" w:type="dxa"/>
          <w:right w:w="45" w:type="dxa"/>
        </w:tblCellMar>
        <w:tblLook w:val="06A0" w:firstRow="1" w:lastRow="0" w:firstColumn="1" w:lastColumn="0" w:noHBand="1" w:noVBand="1"/>
      </w:tblPr>
      <w:tblGrid>
        <w:gridCol w:w="3821"/>
        <w:gridCol w:w="788"/>
        <w:gridCol w:w="788"/>
        <w:gridCol w:w="788"/>
        <w:gridCol w:w="788"/>
        <w:gridCol w:w="788"/>
      </w:tblGrid>
      <w:tr w:rsidR="00A26D04" w:rsidRPr="00B26CCE" w:rsidTr="008E5E35">
        <w:trPr>
          <w:cnfStyle w:val="100000000000" w:firstRow="1" w:lastRow="0" w:firstColumn="0" w:lastColumn="0" w:oddVBand="0" w:evenVBand="0" w:oddHBand="0" w:evenHBand="0" w:firstRowFirstColumn="0" w:firstRowLastColumn="0" w:lastRowFirstColumn="0" w:lastRowLastColumn="0"/>
          <w:trHeight w:val="70"/>
          <w:tblHeader/>
        </w:trPr>
        <w:tc>
          <w:tcPr>
            <w:cnfStyle w:val="001000000000" w:firstRow="0" w:lastRow="0" w:firstColumn="1" w:lastColumn="0" w:oddVBand="0" w:evenVBand="0" w:oddHBand="0" w:evenHBand="0" w:firstRowFirstColumn="0" w:firstRowLastColumn="0" w:lastRowFirstColumn="0" w:lastRowLastColumn="0"/>
            <w:tcW w:w="3821" w:type="dxa"/>
            <w:tcBorders>
              <w:top w:val="nil"/>
              <w:left w:val="nil"/>
              <w:right w:val="nil"/>
            </w:tcBorders>
            <w:shd w:val="solid" w:color="000000" w:fill="auto"/>
          </w:tcPr>
          <w:p w:rsidR="00A26D04" w:rsidRPr="00B26CCE" w:rsidRDefault="00A26D04" w:rsidP="00A26D04">
            <w:pPr>
              <w:autoSpaceDE w:val="0"/>
              <w:autoSpaceDN w:val="0"/>
              <w:adjustRightInd w:val="0"/>
              <w:rPr>
                <w:rFonts w:eastAsiaTheme="minorEastAsia" w:cs="Calibri"/>
                <w:iCs/>
                <w:color w:val="FFFFFF"/>
                <w:lang w:eastAsia="en-AU"/>
              </w:rPr>
            </w:pPr>
            <w:r w:rsidRPr="00B26CCE">
              <w:rPr>
                <w:rFonts w:eastAsiaTheme="minorEastAsia" w:cs="Calibri"/>
                <w:iCs/>
                <w:color w:val="FFFFFF"/>
                <w:lang w:eastAsia="en-AU"/>
              </w:rPr>
              <w:t xml:space="preserve">  </w:t>
            </w:r>
          </w:p>
        </w:tc>
        <w:tc>
          <w:tcPr>
            <w:tcW w:w="788" w:type="dxa"/>
            <w:tcBorders>
              <w:top w:val="nil"/>
              <w:left w:val="nil"/>
              <w:right w:val="nil"/>
            </w:tcBorders>
            <w:shd w:val="solid" w:color="000000" w:fill="auto"/>
          </w:tcPr>
          <w:p w:rsidR="00A26D04" w:rsidRPr="00B26CCE" w:rsidRDefault="00A26D04" w:rsidP="00A26D0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B26CCE">
              <w:rPr>
                <w:rFonts w:eastAsiaTheme="minorEastAsia" w:cs="Calibri"/>
                <w:iCs/>
                <w:color w:val="FFFFFF"/>
                <w:szCs w:val="16"/>
                <w:lang w:eastAsia="en-AU"/>
              </w:rPr>
              <w:t xml:space="preserve">2017-18 </w:t>
            </w:r>
            <w:r>
              <w:rPr>
                <w:rFonts w:eastAsiaTheme="minorEastAsia" w:cs="Calibri"/>
                <w:iCs/>
                <w:color w:val="FFFFFF"/>
                <w:szCs w:val="16"/>
                <w:lang w:eastAsia="en-AU"/>
              </w:rPr>
              <w:br/>
            </w:r>
            <w:r w:rsidRPr="00B26CCE">
              <w:rPr>
                <w:rFonts w:eastAsiaTheme="minorEastAsia" w:cs="Calibri"/>
                <w:iCs/>
                <w:color w:val="FFFFFF"/>
                <w:szCs w:val="16"/>
                <w:lang w:eastAsia="en-AU"/>
              </w:rPr>
              <w:t>budget</w:t>
            </w:r>
          </w:p>
        </w:tc>
        <w:tc>
          <w:tcPr>
            <w:tcW w:w="788" w:type="dxa"/>
            <w:tcBorders>
              <w:top w:val="nil"/>
              <w:left w:val="nil"/>
              <w:right w:val="nil"/>
            </w:tcBorders>
            <w:shd w:val="solid" w:color="000000" w:fill="auto"/>
          </w:tcPr>
          <w:p w:rsidR="00A26D04" w:rsidRPr="00B26CCE" w:rsidRDefault="00A26D04" w:rsidP="00A26D0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B26CCE">
              <w:rPr>
                <w:rFonts w:eastAsiaTheme="minorEastAsia" w:cs="Calibri"/>
                <w:iCs/>
                <w:color w:val="FFFFFF"/>
                <w:szCs w:val="16"/>
                <w:lang w:eastAsia="en-AU"/>
              </w:rPr>
              <w:t xml:space="preserve">2017-18 </w:t>
            </w:r>
            <w:r>
              <w:rPr>
                <w:rFonts w:eastAsiaTheme="minorEastAsia" w:cs="Calibri"/>
                <w:iCs/>
                <w:color w:val="FFFFFF"/>
                <w:szCs w:val="16"/>
                <w:lang w:eastAsia="en-AU"/>
              </w:rPr>
              <w:br/>
            </w:r>
            <w:r w:rsidRPr="00B26CCE">
              <w:rPr>
                <w:rFonts w:eastAsiaTheme="minorEastAsia" w:cs="Calibri"/>
                <w:iCs/>
                <w:color w:val="FFFFFF"/>
                <w:szCs w:val="16"/>
                <w:lang w:eastAsia="en-AU"/>
              </w:rPr>
              <w:t>revised</w:t>
            </w:r>
          </w:p>
        </w:tc>
        <w:tc>
          <w:tcPr>
            <w:tcW w:w="788" w:type="dxa"/>
            <w:tcBorders>
              <w:top w:val="nil"/>
              <w:left w:val="nil"/>
              <w:right w:val="nil"/>
            </w:tcBorders>
            <w:shd w:val="solid" w:color="000000" w:fill="auto"/>
          </w:tcPr>
          <w:p w:rsidR="00A26D04" w:rsidRPr="00B26CCE" w:rsidRDefault="00A26D04" w:rsidP="00A26D0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B26CCE">
              <w:rPr>
                <w:rFonts w:eastAsiaTheme="minorEastAsia" w:cs="Calibri"/>
                <w:iCs/>
                <w:color w:val="FFFFFF"/>
                <w:szCs w:val="16"/>
                <w:lang w:eastAsia="en-AU"/>
              </w:rPr>
              <w:t xml:space="preserve">2018-19 </w:t>
            </w:r>
            <w:r>
              <w:rPr>
                <w:rFonts w:eastAsiaTheme="minorEastAsia" w:cs="Calibri"/>
                <w:iCs/>
                <w:color w:val="FFFFFF"/>
                <w:szCs w:val="16"/>
                <w:lang w:eastAsia="en-AU"/>
              </w:rPr>
              <w:br/>
            </w:r>
            <w:r w:rsidRPr="00B26CCE">
              <w:rPr>
                <w:rFonts w:eastAsiaTheme="minorEastAsia" w:cs="Calibri"/>
                <w:iCs/>
                <w:color w:val="FFFFFF"/>
                <w:szCs w:val="16"/>
                <w:lang w:eastAsia="en-AU"/>
              </w:rPr>
              <w:t>estimate</w:t>
            </w:r>
          </w:p>
        </w:tc>
        <w:tc>
          <w:tcPr>
            <w:tcW w:w="788" w:type="dxa"/>
            <w:tcBorders>
              <w:top w:val="nil"/>
              <w:left w:val="nil"/>
              <w:right w:val="nil"/>
            </w:tcBorders>
            <w:shd w:val="solid" w:color="000000" w:fill="auto"/>
          </w:tcPr>
          <w:p w:rsidR="00A26D04" w:rsidRPr="00B26CCE" w:rsidRDefault="00A26D04" w:rsidP="00A26D0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B26CCE">
              <w:rPr>
                <w:rFonts w:eastAsiaTheme="minorEastAsia" w:cs="Calibri"/>
                <w:iCs/>
                <w:color w:val="FFFFFF"/>
                <w:szCs w:val="16"/>
                <w:lang w:eastAsia="en-AU"/>
              </w:rPr>
              <w:t xml:space="preserve">2019-20 </w:t>
            </w:r>
            <w:r>
              <w:rPr>
                <w:rFonts w:eastAsiaTheme="minorEastAsia" w:cs="Calibri"/>
                <w:iCs/>
                <w:color w:val="FFFFFF"/>
                <w:szCs w:val="16"/>
                <w:lang w:eastAsia="en-AU"/>
              </w:rPr>
              <w:br/>
            </w:r>
            <w:r w:rsidRPr="00B26CCE">
              <w:rPr>
                <w:rFonts w:eastAsiaTheme="minorEastAsia" w:cs="Calibri"/>
                <w:iCs/>
                <w:color w:val="FFFFFF"/>
                <w:szCs w:val="16"/>
                <w:lang w:eastAsia="en-AU"/>
              </w:rPr>
              <w:t>estimate</w:t>
            </w:r>
          </w:p>
        </w:tc>
        <w:tc>
          <w:tcPr>
            <w:tcW w:w="788" w:type="dxa"/>
            <w:tcBorders>
              <w:top w:val="nil"/>
              <w:left w:val="nil"/>
              <w:right w:val="nil"/>
            </w:tcBorders>
            <w:shd w:val="solid" w:color="000000" w:fill="auto"/>
          </w:tcPr>
          <w:p w:rsidR="00A26D04" w:rsidRPr="00B26CCE" w:rsidRDefault="00A26D04" w:rsidP="00A26D0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B26CCE">
              <w:rPr>
                <w:rFonts w:eastAsiaTheme="minorEastAsia" w:cs="Calibri"/>
                <w:iCs/>
                <w:color w:val="FFFFFF"/>
                <w:szCs w:val="16"/>
                <w:lang w:eastAsia="en-AU"/>
              </w:rPr>
              <w:t xml:space="preserve">2020-21 </w:t>
            </w:r>
            <w:r>
              <w:rPr>
                <w:rFonts w:eastAsiaTheme="minorEastAsia" w:cs="Calibri"/>
                <w:iCs/>
                <w:color w:val="FFFFFF"/>
                <w:szCs w:val="16"/>
                <w:lang w:eastAsia="en-AU"/>
              </w:rPr>
              <w:br/>
            </w:r>
            <w:r w:rsidRPr="00B26CCE">
              <w:rPr>
                <w:rFonts w:eastAsiaTheme="minorEastAsia" w:cs="Calibri"/>
                <w:iCs/>
                <w:color w:val="FFFFFF"/>
                <w:szCs w:val="16"/>
                <w:lang w:eastAsia="en-AU"/>
              </w:rPr>
              <w:t>estimate</w:t>
            </w:r>
          </w:p>
        </w:tc>
      </w:tr>
      <w:tr w:rsidR="00A46DCA" w:rsidRPr="00B26CCE" w:rsidTr="00A26D04">
        <w:tc>
          <w:tcPr>
            <w:cnfStyle w:val="001000000000" w:firstRow="0" w:lastRow="0" w:firstColumn="1" w:lastColumn="0" w:oddVBand="0" w:evenVBand="0" w:oddHBand="0" w:evenHBand="0" w:firstRowFirstColumn="0" w:firstRowLastColumn="0" w:lastRowFirstColumn="0" w:lastRowLastColumn="0"/>
            <w:tcW w:w="3821" w:type="dxa"/>
            <w:tcBorders>
              <w:top w:val="nil"/>
              <w:left w:val="nil"/>
              <w:bottom w:val="nil"/>
              <w:right w:val="nil"/>
            </w:tcBorders>
          </w:tcPr>
          <w:p w:rsidR="00A46DCA" w:rsidRPr="00B26CCE" w:rsidRDefault="00A46DCA" w:rsidP="00A26D04">
            <w:pPr>
              <w:keepLines w:val="0"/>
              <w:autoSpaceDE w:val="0"/>
              <w:autoSpaceDN w:val="0"/>
              <w:adjustRightInd w:val="0"/>
              <w:rPr>
                <w:rFonts w:eastAsiaTheme="minorEastAsia" w:cs="Calibri"/>
                <w:color w:val="000000"/>
                <w:szCs w:val="16"/>
                <w:lang w:eastAsia="en-AU"/>
              </w:rPr>
            </w:pPr>
            <w:r w:rsidRPr="00B26CCE">
              <w:rPr>
                <w:rFonts w:eastAsiaTheme="minorEastAsia" w:cs="Calibri"/>
                <w:color w:val="000000"/>
                <w:szCs w:val="16"/>
                <w:lang w:eastAsia="en-AU"/>
              </w:rPr>
              <w:t>Purchases of non-financial assets (including change in inventory) less sales of non-financial assets</w:t>
            </w:r>
            <w:r>
              <w:rPr>
                <w:rFonts w:eastAsiaTheme="minorEastAsia" w:cs="Calibri"/>
                <w:color w:val="000000"/>
                <w:szCs w:val="16"/>
                <w:vertAlign w:val="superscript"/>
                <w:lang w:eastAsia="en-AU"/>
              </w:rPr>
              <w:t xml:space="preserve"> </w:t>
            </w:r>
          </w:p>
        </w:tc>
        <w:tc>
          <w:tcPr>
            <w:tcW w:w="788" w:type="dxa"/>
            <w:tcBorders>
              <w:top w:val="nil"/>
              <w:left w:val="nil"/>
              <w:bottom w:val="nil"/>
              <w:right w:val="nil"/>
            </w:tcBorders>
          </w:tcPr>
          <w:p w:rsidR="00A46DCA" w:rsidRPr="00B26CCE"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B26CCE">
              <w:rPr>
                <w:rFonts w:eastAsiaTheme="minorEastAsia" w:cs="Calibri"/>
                <w:color w:val="000000"/>
                <w:szCs w:val="16"/>
                <w:lang w:eastAsia="en-AU"/>
              </w:rPr>
              <w:t>11 322</w:t>
            </w:r>
          </w:p>
        </w:tc>
        <w:tc>
          <w:tcPr>
            <w:tcW w:w="788" w:type="dxa"/>
            <w:tcBorders>
              <w:top w:val="nil"/>
              <w:left w:val="nil"/>
              <w:bottom w:val="nil"/>
              <w:right w:val="nil"/>
            </w:tcBorders>
          </w:tcPr>
          <w:p w:rsidR="00A46DCA" w:rsidRPr="00B26CCE"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B26CCE">
              <w:rPr>
                <w:rFonts w:eastAsiaTheme="minorEastAsia" w:cs="Calibri"/>
                <w:color w:val="000000"/>
                <w:szCs w:val="16"/>
                <w:lang w:eastAsia="en-AU"/>
              </w:rPr>
              <w:t>11 523</w:t>
            </w:r>
          </w:p>
        </w:tc>
        <w:tc>
          <w:tcPr>
            <w:tcW w:w="788" w:type="dxa"/>
            <w:tcBorders>
              <w:top w:val="nil"/>
              <w:left w:val="nil"/>
              <w:bottom w:val="nil"/>
              <w:right w:val="nil"/>
            </w:tcBorders>
          </w:tcPr>
          <w:p w:rsidR="00A46DCA" w:rsidRPr="00B26CCE"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B26CCE">
              <w:rPr>
                <w:rFonts w:eastAsiaTheme="minorEastAsia" w:cs="Calibri"/>
                <w:color w:val="000000"/>
                <w:szCs w:val="16"/>
                <w:lang w:eastAsia="en-AU"/>
              </w:rPr>
              <w:t>10 563</w:t>
            </w:r>
          </w:p>
        </w:tc>
        <w:tc>
          <w:tcPr>
            <w:tcW w:w="788" w:type="dxa"/>
            <w:tcBorders>
              <w:top w:val="nil"/>
              <w:left w:val="nil"/>
              <w:bottom w:val="nil"/>
              <w:right w:val="nil"/>
            </w:tcBorders>
          </w:tcPr>
          <w:p w:rsidR="00A46DCA" w:rsidRPr="00B26CCE"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B26CCE">
              <w:rPr>
                <w:rFonts w:eastAsiaTheme="minorEastAsia" w:cs="Calibri"/>
                <w:color w:val="000000"/>
                <w:szCs w:val="16"/>
                <w:lang w:eastAsia="en-AU"/>
              </w:rPr>
              <w:t>9 263</w:t>
            </w:r>
          </w:p>
        </w:tc>
        <w:tc>
          <w:tcPr>
            <w:tcW w:w="788" w:type="dxa"/>
            <w:tcBorders>
              <w:top w:val="nil"/>
              <w:left w:val="nil"/>
              <w:bottom w:val="nil"/>
              <w:right w:val="nil"/>
            </w:tcBorders>
          </w:tcPr>
          <w:p w:rsidR="00A46DCA" w:rsidRPr="00B26CCE"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B26CCE">
              <w:rPr>
                <w:rFonts w:eastAsiaTheme="minorEastAsia" w:cs="Calibri"/>
                <w:color w:val="000000"/>
                <w:szCs w:val="16"/>
                <w:lang w:eastAsia="en-AU"/>
              </w:rPr>
              <w:t>8 874</w:t>
            </w:r>
          </w:p>
        </w:tc>
      </w:tr>
      <w:tr w:rsidR="00A46DCA" w:rsidRPr="00B26CCE" w:rsidTr="00A26D04">
        <w:tc>
          <w:tcPr>
            <w:cnfStyle w:val="001000000000" w:firstRow="0" w:lastRow="0" w:firstColumn="1" w:lastColumn="0" w:oddVBand="0" w:evenVBand="0" w:oddHBand="0" w:evenHBand="0" w:firstRowFirstColumn="0" w:firstRowLastColumn="0" w:lastRowFirstColumn="0" w:lastRowLastColumn="0"/>
            <w:tcW w:w="3821" w:type="dxa"/>
            <w:tcBorders>
              <w:top w:val="nil"/>
              <w:left w:val="nil"/>
              <w:bottom w:val="nil"/>
              <w:right w:val="nil"/>
            </w:tcBorders>
          </w:tcPr>
          <w:p w:rsidR="00A46DCA" w:rsidRPr="00B26CCE" w:rsidRDefault="00A46DCA" w:rsidP="00A26D04">
            <w:pPr>
              <w:keepLines w:val="0"/>
              <w:autoSpaceDE w:val="0"/>
              <w:autoSpaceDN w:val="0"/>
              <w:adjustRightInd w:val="0"/>
              <w:rPr>
                <w:rFonts w:eastAsiaTheme="minorEastAsia" w:cs="Calibri"/>
                <w:color w:val="000000"/>
                <w:szCs w:val="16"/>
                <w:lang w:eastAsia="en-AU"/>
              </w:rPr>
            </w:pPr>
            <w:r w:rsidRPr="00B26CCE">
              <w:rPr>
                <w:rFonts w:eastAsiaTheme="minorEastAsia" w:cs="Calibri"/>
                <w:color w:val="000000"/>
                <w:szCs w:val="16"/>
                <w:lang w:eastAsia="en-AU"/>
              </w:rPr>
              <w:t>Less: Depreciation</w:t>
            </w:r>
          </w:p>
        </w:tc>
        <w:tc>
          <w:tcPr>
            <w:tcW w:w="788" w:type="dxa"/>
            <w:tcBorders>
              <w:top w:val="nil"/>
              <w:left w:val="nil"/>
              <w:bottom w:val="nil"/>
              <w:right w:val="nil"/>
            </w:tcBorders>
          </w:tcPr>
          <w:p w:rsidR="00A46DCA" w:rsidRPr="00B26CCE"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(5 198)</w:t>
            </w:r>
          </w:p>
        </w:tc>
        <w:tc>
          <w:tcPr>
            <w:tcW w:w="788" w:type="dxa"/>
            <w:tcBorders>
              <w:top w:val="nil"/>
              <w:left w:val="nil"/>
              <w:bottom w:val="nil"/>
              <w:right w:val="nil"/>
            </w:tcBorders>
          </w:tcPr>
          <w:p w:rsidR="00A46DCA" w:rsidRPr="00B26CCE"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(5 008)</w:t>
            </w:r>
          </w:p>
        </w:tc>
        <w:tc>
          <w:tcPr>
            <w:tcW w:w="788" w:type="dxa"/>
            <w:tcBorders>
              <w:top w:val="nil"/>
              <w:left w:val="nil"/>
              <w:bottom w:val="nil"/>
              <w:right w:val="nil"/>
            </w:tcBorders>
          </w:tcPr>
          <w:p w:rsidR="00A46DCA" w:rsidRPr="00B26CCE"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(5 284)</w:t>
            </w:r>
          </w:p>
        </w:tc>
        <w:tc>
          <w:tcPr>
            <w:tcW w:w="788" w:type="dxa"/>
            <w:tcBorders>
              <w:top w:val="nil"/>
              <w:left w:val="nil"/>
              <w:bottom w:val="nil"/>
              <w:right w:val="nil"/>
            </w:tcBorders>
          </w:tcPr>
          <w:p w:rsidR="00A46DCA" w:rsidRPr="00B26CCE"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(5 634)</w:t>
            </w:r>
          </w:p>
        </w:tc>
        <w:tc>
          <w:tcPr>
            <w:tcW w:w="788" w:type="dxa"/>
            <w:tcBorders>
              <w:top w:val="nil"/>
              <w:left w:val="nil"/>
              <w:bottom w:val="nil"/>
              <w:right w:val="nil"/>
            </w:tcBorders>
          </w:tcPr>
          <w:p w:rsidR="00A46DCA" w:rsidRPr="00B26CCE"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(6 078)</w:t>
            </w:r>
          </w:p>
        </w:tc>
      </w:tr>
      <w:tr w:rsidR="00A46DCA" w:rsidRPr="00B26CCE" w:rsidTr="00A26D04">
        <w:tc>
          <w:tcPr>
            <w:cnfStyle w:val="001000000000" w:firstRow="0" w:lastRow="0" w:firstColumn="1" w:lastColumn="0" w:oddVBand="0" w:evenVBand="0" w:oddHBand="0" w:evenHBand="0" w:firstRowFirstColumn="0" w:firstRowLastColumn="0" w:lastRowFirstColumn="0" w:lastRowLastColumn="0"/>
            <w:tcW w:w="3821" w:type="dxa"/>
            <w:tcBorders>
              <w:top w:val="nil"/>
              <w:left w:val="nil"/>
              <w:bottom w:val="nil"/>
              <w:right w:val="nil"/>
            </w:tcBorders>
          </w:tcPr>
          <w:p w:rsidR="00A46DCA" w:rsidRPr="00B26CCE" w:rsidRDefault="00A46DCA" w:rsidP="00A26D04">
            <w:pPr>
              <w:keepLines w:val="0"/>
              <w:autoSpaceDE w:val="0"/>
              <w:autoSpaceDN w:val="0"/>
              <w:adjustRightInd w:val="0"/>
              <w:rPr>
                <w:rFonts w:eastAsiaTheme="minorEastAsia" w:cs="Calibri"/>
                <w:color w:val="000000"/>
                <w:szCs w:val="16"/>
                <w:vertAlign w:val="superscript"/>
                <w:lang w:eastAsia="en-AU"/>
              </w:rPr>
            </w:pPr>
            <w:r w:rsidRPr="00B26CCE">
              <w:rPr>
                <w:rFonts w:eastAsiaTheme="minorEastAsia" w:cs="Calibri"/>
                <w:color w:val="000000"/>
                <w:szCs w:val="16"/>
                <w:lang w:eastAsia="en-AU"/>
              </w:rPr>
              <w:t xml:space="preserve">Plus: Other movements in non-financial assets </w:t>
            </w:r>
            <w:r>
              <w:rPr>
                <w:rFonts w:eastAsiaTheme="minorEastAsia" w:cs="Calibri"/>
                <w:color w:val="000000"/>
                <w:szCs w:val="16"/>
                <w:vertAlign w:val="superscript"/>
                <w:lang w:eastAsia="en-AU"/>
              </w:rPr>
              <w:t>(b)</w:t>
            </w:r>
          </w:p>
        </w:tc>
        <w:tc>
          <w:tcPr>
            <w:tcW w:w="788" w:type="dxa"/>
            <w:tcBorders>
              <w:top w:val="nil"/>
              <w:left w:val="nil"/>
              <w:bottom w:val="nil"/>
              <w:right w:val="nil"/>
            </w:tcBorders>
          </w:tcPr>
          <w:p w:rsidR="00A46DCA" w:rsidRPr="00B26CCE"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680</w:t>
            </w:r>
          </w:p>
        </w:tc>
        <w:tc>
          <w:tcPr>
            <w:tcW w:w="788" w:type="dxa"/>
            <w:tcBorders>
              <w:top w:val="nil"/>
              <w:left w:val="nil"/>
              <w:bottom w:val="nil"/>
              <w:right w:val="nil"/>
            </w:tcBorders>
          </w:tcPr>
          <w:p w:rsidR="00A46DCA" w:rsidRPr="00B26CCE"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703</w:t>
            </w:r>
          </w:p>
        </w:tc>
        <w:tc>
          <w:tcPr>
            <w:tcW w:w="788" w:type="dxa"/>
            <w:tcBorders>
              <w:top w:val="nil"/>
              <w:left w:val="nil"/>
              <w:bottom w:val="nil"/>
              <w:right w:val="nil"/>
            </w:tcBorders>
          </w:tcPr>
          <w:p w:rsidR="00A46DCA" w:rsidRPr="00B26CCE"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465</w:t>
            </w:r>
          </w:p>
        </w:tc>
        <w:tc>
          <w:tcPr>
            <w:tcW w:w="788" w:type="dxa"/>
            <w:tcBorders>
              <w:top w:val="nil"/>
              <w:left w:val="nil"/>
              <w:bottom w:val="nil"/>
              <w:right w:val="nil"/>
            </w:tcBorders>
          </w:tcPr>
          <w:p w:rsidR="00A46DCA" w:rsidRPr="00B26CCE"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429</w:t>
            </w:r>
          </w:p>
        </w:tc>
        <w:tc>
          <w:tcPr>
            <w:tcW w:w="788" w:type="dxa"/>
            <w:tcBorders>
              <w:top w:val="nil"/>
              <w:left w:val="nil"/>
              <w:bottom w:val="nil"/>
              <w:right w:val="nil"/>
            </w:tcBorders>
          </w:tcPr>
          <w:p w:rsidR="00A46DCA" w:rsidRPr="00B26CCE"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B26CCE">
              <w:rPr>
                <w:rFonts w:eastAsiaTheme="minorEastAsia" w:cs="Calibri"/>
                <w:color w:val="000000"/>
                <w:szCs w:val="16"/>
                <w:lang w:eastAsia="en-AU"/>
              </w:rPr>
              <w:t>1 179</w:t>
            </w:r>
          </w:p>
        </w:tc>
      </w:tr>
      <w:tr w:rsidR="00A46DCA" w:rsidRPr="00B26CCE" w:rsidTr="00A26D04">
        <w:tc>
          <w:tcPr>
            <w:cnfStyle w:val="001000000000" w:firstRow="0" w:lastRow="0" w:firstColumn="1" w:lastColumn="0" w:oddVBand="0" w:evenVBand="0" w:oddHBand="0" w:evenHBand="0" w:firstRowFirstColumn="0" w:firstRowLastColumn="0" w:lastRowFirstColumn="0" w:lastRowLastColumn="0"/>
            <w:tcW w:w="3821" w:type="dxa"/>
            <w:tcBorders>
              <w:top w:val="single" w:sz="6" w:space="0" w:color="000000"/>
              <w:left w:val="nil"/>
              <w:bottom w:val="single" w:sz="12" w:space="0" w:color="000000"/>
              <w:right w:val="nil"/>
            </w:tcBorders>
          </w:tcPr>
          <w:p w:rsidR="00A46DCA" w:rsidRPr="00B26CCE" w:rsidRDefault="00A46DCA" w:rsidP="00A26D04">
            <w:pPr>
              <w:keepLines w:val="0"/>
              <w:autoSpaceDE w:val="0"/>
              <w:autoSpaceDN w:val="0"/>
              <w:adjustRightInd w:val="0"/>
              <w:rPr>
                <w:rFonts w:eastAsiaTheme="minorEastAsia" w:cs="Calibri"/>
                <w:b/>
                <w:bCs/>
                <w:color w:val="000000"/>
                <w:szCs w:val="16"/>
                <w:lang w:eastAsia="en-AU"/>
              </w:rPr>
            </w:pPr>
            <w:r w:rsidRPr="00B26CCE">
              <w:rPr>
                <w:rFonts w:eastAsiaTheme="minorEastAsia" w:cs="Calibri"/>
                <w:b/>
                <w:bCs/>
                <w:color w:val="000000"/>
                <w:szCs w:val="16"/>
                <w:lang w:eastAsia="en-AU"/>
              </w:rPr>
              <w:t>Total net acquisition of non-financial assets</w:t>
            </w:r>
          </w:p>
        </w:tc>
        <w:tc>
          <w:tcPr>
            <w:tcW w:w="788" w:type="dxa"/>
            <w:tcBorders>
              <w:top w:val="single" w:sz="6" w:space="0" w:color="000000"/>
              <w:left w:val="nil"/>
              <w:bottom w:val="single" w:sz="12" w:space="0" w:color="000000"/>
              <w:right w:val="nil"/>
            </w:tcBorders>
          </w:tcPr>
          <w:p w:rsidR="00A46DCA" w:rsidRPr="00B26CCE"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B26CCE">
              <w:rPr>
                <w:rFonts w:eastAsiaTheme="minorEastAsia" w:cs="Calibri"/>
                <w:b/>
                <w:bCs/>
                <w:color w:val="000000"/>
                <w:szCs w:val="16"/>
                <w:lang w:eastAsia="en-AU"/>
              </w:rPr>
              <w:t>6 804</w:t>
            </w:r>
          </w:p>
        </w:tc>
        <w:tc>
          <w:tcPr>
            <w:tcW w:w="788" w:type="dxa"/>
            <w:tcBorders>
              <w:top w:val="single" w:sz="6" w:space="0" w:color="000000"/>
              <w:left w:val="nil"/>
              <w:bottom w:val="single" w:sz="12" w:space="0" w:color="000000"/>
              <w:right w:val="nil"/>
            </w:tcBorders>
          </w:tcPr>
          <w:p w:rsidR="00A46DCA" w:rsidRPr="00B26CCE"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B26CCE">
              <w:rPr>
                <w:rFonts w:eastAsiaTheme="minorEastAsia" w:cs="Calibri"/>
                <w:b/>
                <w:bCs/>
                <w:color w:val="000000"/>
                <w:szCs w:val="16"/>
                <w:lang w:eastAsia="en-AU"/>
              </w:rPr>
              <w:t>7 218</w:t>
            </w:r>
          </w:p>
        </w:tc>
        <w:tc>
          <w:tcPr>
            <w:tcW w:w="788" w:type="dxa"/>
            <w:tcBorders>
              <w:top w:val="single" w:sz="6" w:space="0" w:color="000000"/>
              <w:left w:val="nil"/>
              <w:bottom w:val="single" w:sz="12" w:space="0" w:color="000000"/>
              <w:right w:val="nil"/>
            </w:tcBorders>
          </w:tcPr>
          <w:p w:rsidR="00A46DCA" w:rsidRPr="00B26CCE"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B26CCE">
              <w:rPr>
                <w:rFonts w:eastAsiaTheme="minorEastAsia" w:cs="Calibri"/>
                <w:b/>
                <w:bCs/>
                <w:color w:val="000000"/>
                <w:szCs w:val="16"/>
                <w:lang w:eastAsia="en-AU"/>
              </w:rPr>
              <w:t>5 744</w:t>
            </w:r>
          </w:p>
        </w:tc>
        <w:tc>
          <w:tcPr>
            <w:tcW w:w="788" w:type="dxa"/>
            <w:tcBorders>
              <w:top w:val="single" w:sz="6" w:space="0" w:color="000000"/>
              <w:left w:val="nil"/>
              <w:bottom w:val="single" w:sz="12" w:space="0" w:color="000000"/>
              <w:right w:val="nil"/>
            </w:tcBorders>
          </w:tcPr>
          <w:p w:rsidR="00A46DCA" w:rsidRPr="00B26CCE"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B26CCE">
              <w:rPr>
                <w:rFonts w:eastAsiaTheme="minorEastAsia" w:cs="Calibri"/>
                <w:b/>
                <w:bCs/>
                <w:color w:val="000000"/>
                <w:szCs w:val="16"/>
                <w:lang w:eastAsia="en-AU"/>
              </w:rPr>
              <w:t>4 059</w:t>
            </w:r>
          </w:p>
        </w:tc>
        <w:tc>
          <w:tcPr>
            <w:tcW w:w="788" w:type="dxa"/>
            <w:tcBorders>
              <w:top w:val="single" w:sz="6" w:space="0" w:color="000000"/>
              <w:left w:val="nil"/>
              <w:bottom w:val="single" w:sz="12" w:space="0" w:color="000000"/>
              <w:right w:val="nil"/>
            </w:tcBorders>
          </w:tcPr>
          <w:p w:rsidR="00A46DCA" w:rsidRPr="00B26CCE"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B26CCE">
              <w:rPr>
                <w:rFonts w:eastAsiaTheme="minorEastAsia" w:cs="Calibri"/>
                <w:b/>
                <w:bCs/>
                <w:color w:val="000000"/>
                <w:szCs w:val="16"/>
                <w:lang w:eastAsia="en-AU"/>
              </w:rPr>
              <w:t>3 976</w:t>
            </w:r>
          </w:p>
        </w:tc>
      </w:tr>
    </w:tbl>
    <w:p w:rsidR="00A46DCA" w:rsidRDefault="00A46DCA" w:rsidP="00A26D04">
      <w:pPr>
        <w:pStyle w:val="Source"/>
      </w:pPr>
      <w:r w:rsidRPr="00D87D22">
        <w:t>Source: Dep</w:t>
      </w:r>
      <w:r>
        <w:t>artment of Treasury and Finance</w:t>
      </w:r>
      <w:r w:rsidRPr="00352C54">
        <w:t xml:space="preserve"> </w:t>
      </w:r>
    </w:p>
    <w:p w:rsidR="00A46DCA" w:rsidRDefault="00A46DCA" w:rsidP="00A26D04">
      <w:pPr>
        <w:pStyle w:val="Note"/>
      </w:pPr>
      <w:r>
        <w:t>Notes:</w:t>
      </w:r>
    </w:p>
    <w:p w:rsidR="00A46DCA" w:rsidRDefault="00A46DCA" w:rsidP="00A26D04">
      <w:pPr>
        <w:pStyle w:val="Note"/>
      </w:pPr>
      <w:r w:rsidRPr="00056B9E">
        <w:t>(a)</w:t>
      </w:r>
      <w:r>
        <w:tab/>
      </w:r>
      <w:r w:rsidRPr="00995E6E">
        <w:rPr>
          <w:rFonts w:cs="Times New Roman"/>
          <w:lang w:eastAsia="en-AU"/>
        </w:rPr>
        <w:t>Certain line items have been aggregated in the table above due to</w:t>
      </w:r>
      <w:r>
        <w:rPr>
          <w:rFonts w:cs="Times New Roman"/>
          <w:lang w:eastAsia="en-AU"/>
        </w:rPr>
        <w:t xml:space="preserve"> </w:t>
      </w:r>
      <w:r w:rsidRPr="00995E6E">
        <w:rPr>
          <w:rFonts w:cs="Times New Roman"/>
          <w:lang w:eastAsia="en-AU"/>
        </w:rPr>
        <w:t>commercial sensitivities</w:t>
      </w:r>
      <w:r>
        <w:rPr>
          <w:rFonts w:cs="Times New Roman"/>
          <w:lang w:eastAsia="en-AU"/>
        </w:rPr>
        <w:t>.</w:t>
      </w:r>
    </w:p>
    <w:p w:rsidR="00A46DCA" w:rsidRPr="00995E6E" w:rsidRDefault="00A46DCA" w:rsidP="00A26D04">
      <w:pPr>
        <w:pStyle w:val="Note"/>
      </w:pPr>
      <w:r>
        <w:t>(b)</w:t>
      </w:r>
      <w:r>
        <w:tab/>
        <w:t xml:space="preserve">The other movements in non-financial assets in 2017-18 predominantly </w:t>
      </w:r>
      <w:r w:rsidRPr="00995E6E">
        <w:t>relates to the Ravenhall Prison project, the new Bendigo Hospital project (stage 2)</w:t>
      </w:r>
      <w:r>
        <w:t xml:space="preserve"> </w:t>
      </w:r>
      <w:r w:rsidRPr="00995E6E">
        <w:t>and the New Schools PPP project (tranche 2). The 2018-19 and 2019-20 estimates relate to the High Capacity Metro Trains Project. The 2020-21 estimates relate to the High Capacity Metro Trains Project and the Western</w:t>
      </w:r>
      <w:r>
        <w:t xml:space="preserve"> Roads Upgrade</w:t>
      </w:r>
      <w:r w:rsidRPr="00995E6E">
        <w:t>.</w:t>
      </w:r>
    </w:p>
    <w:p w:rsidR="00A46DCA" w:rsidRDefault="00A46DCA" w:rsidP="00A26D04">
      <w:pPr>
        <w:pStyle w:val="Heading10"/>
      </w:pPr>
      <w:r>
        <w:br w:type="page"/>
      </w:r>
    </w:p>
    <w:p w:rsidR="00A46DCA" w:rsidRPr="00023820" w:rsidRDefault="00A46DCA" w:rsidP="00A26D04">
      <w:pPr>
        <w:pStyle w:val="TableHeading"/>
        <w:rPr>
          <w:bCs/>
          <w:lang w:val="en-US"/>
        </w:rPr>
      </w:pPr>
      <w:r>
        <w:lastRenderedPageBreak/>
        <w:t>Table 5.13</w:t>
      </w:r>
      <w:r w:rsidR="008E5E35">
        <w:t>:</w:t>
      </w:r>
      <w:r>
        <w:tab/>
        <w:t xml:space="preserve">Public financial corporations sector comprehensive operating </w:t>
      </w:r>
      <w:r>
        <w:br/>
        <w:t>statement for the financial year ended 30 June</w:t>
      </w:r>
      <w:r>
        <w:tab/>
        <w:t>($ million)</w:t>
      </w:r>
    </w:p>
    <w:tbl>
      <w:tblPr>
        <w:tblStyle w:val="DTFTable"/>
        <w:tblW w:w="7760" w:type="dxa"/>
        <w:tblInd w:w="45" w:type="dxa"/>
        <w:tblLayout w:type="fixed"/>
        <w:tblCellMar>
          <w:left w:w="45" w:type="dxa"/>
          <w:right w:w="45" w:type="dxa"/>
        </w:tblCellMar>
        <w:tblLook w:val="06E0" w:firstRow="1" w:lastRow="1" w:firstColumn="1" w:lastColumn="0" w:noHBand="1" w:noVBand="1"/>
      </w:tblPr>
      <w:tblGrid>
        <w:gridCol w:w="3679"/>
        <w:gridCol w:w="227"/>
        <w:gridCol w:w="204"/>
        <w:gridCol w:w="386"/>
        <w:gridCol w:w="816"/>
        <w:gridCol w:w="816"/>
        <w:gridCol w:w="816"/>
        <w:gridCol w:w="816"/>
      </w:tblGrid>
      <w:tr w:rsidR="00A26D04" w:rsidRPr="00023820" w:rsidTr="008E5E35">
        <w:trPr>
          <w:cnfStyle w:val="100000000000" w:firstRow="1" w:lastRow="0" w:firstColumn="0" w:lastColumn="0" w:oddVBand="0" w:evenVBand="0" w:oddHBand="0" w:evenHBand="0" w:firstRowFirstColumn="0" w:firstRowLastColumn="0" w:lastRowFirstColumn="0" w:lastRowLastColumn="0"/>
          <w:trHeight w:val="101"/>
          <w:tblHeader/>
        </w:trPr>
        <w:tc>
          <w:tcPr>
            <w:cnfStyle w:val="001000000000" w:firstRow="0" w:lastRow="0" w:firstColumn="1" w:lastColumn="0" w:oddVBand="0" w:evenVBand="0" w:oddHBand="0" w:evenHBand="0" w:firstRowFirstColumn="0" w:firstRowLastColumn="0" w:lastRowFirstColumn="0" w:lastRowLastColumn="0"/>
            <w:tcW w:w="3679" w:type="dxa"/>
            <w:tcBorders>
              <w:top w:val="nil"/>
              <w:left w:val="nil"/>
              <w:right w:val="nil"/>
            </w:tcBorders>
            <w:shd w:val="solid" w:color="000000" w:fill="auto"/>
          </w:tcPr>
          <w:p w:rsidR="00A26D04" w:rsidRPr="00023820" w:rsidRDefault="00A26D04" w:rsidP="00A26D04">
            <w:pPr>
              <w:autoSpaceDE w:val="0"/>
              <w:autoSpaceDN w:val="0"/>
              <w:adjustRightInd w:val="0"/>
              <w:rPr>
                <w:rFonts w:eastAsiaTheme="minorEastAsia" w:cs="Calibri"/>
                <w:iCs/>
                <w:color w:val="FFFFFF"/>
                <w:lang w:eastAsia="en-AU"/>
              </w:rPr>
            </w:pPr>
            <w:r w:rsidRPr="00023820">
              <w:rPr>
                <w:rFonts w:eastAsiaTheme="minorEastAsia" w:cs="Calibri"/>
                <w:iCs/>
                <w:color w:val="FFFFFF"/>
                <w:lang w:eastAsia="en-AU"/>
              </w:rPr>
              <w:t xml:space="preserve">  </w:t>
            </w:r>
          </w:p>
        </w:tc>
        <w:tc>
          <w:tcPr>
            <w:tcW w:w="817" w:type="dxa"/>
            <w:gridSpan w:val="3"/>
            <w:tcBorders>
              <w:top w:val="nil"/>
              <w:left w:val="nil"/>
              <w:right w:val="nil"/>
            </w:tcBorders>
            <w:shd w:val="solid" w:color="000000" w:fill="auto"/>
          </w:tcPr>
          <w:p w:rsidR="00A26D04" w:rsidRPr="00023820" w:rsidRDefault="00A26D04" w:rsidP="00A26D0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023820">
              <w:rPr>
                <w:rFonts w:eastAsiaTheme="minorEastAsia" w:cs="Calibri"/>
                <w:iCs/>
                <w:color w:val="FFFFFF"/>
                <w:szCs w:val="16"/>
                <w:lang w:eastAsia="en-AU"/>
              </w:rPr>
              <w:t>2017-18</w:t>
            </w:r>
            <w:r>
              <w:rPr>
                <w:rFonts w:eastAsiaTheme="minorEastAsia" w:cs="Calibri"/>
                <w:iCs/>
                <w:color w:val="FFFFFF"/>
                <w:szCs w:val="16"/>
                <w:lang w:eastAsia="en-AU"/>
              </w:rPr>
              <w:br/>
            </w:r>
            <w:r w:rsidRPr="00023820">
              <w:rPr>
                <w:rFonts w:eastAsiaTheme="minorEastAsia" w:cs="Calibri"/>
                <w:iCs/>
                <w:color w:val="FFFFFF"/>
                <w:szCs w:val="16"/>
                <w:lang w:eastAsia="en-AU"/>
              </w:rPr>
              <w:t>budget</w:t>
            </w:r>
          </w:p>
        </w:tc>
        <w:tc>
          <w:tcPr>
            <w:tcW w:w="816" w:type="dxa"/>
            <w:tcBorders>
              <w:top w:val="nil"/>
              <w:left w:val="nil"/>
              <w:right w:val="nil"/>
            </w:tcBorders>
            <w:shd w:val="solid" w:color="000000" w:fill="auto"/>
          </w:tcPr>
          <w:p w:rsidR="00A26D04" w:rsidRPr="00023820" w:rsidRDefault="00A26D04" w:rsidP="00A26D0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023820">
              <w:rPr>
                <w:rFonts w:eastAsiaTheme="minorEastAsia" w:cs="Calibri"/>
                <w:iCs/>
                <w:color w:val="FFFFFF"/>
                <w:szCs w:val="16"/>
                <w:lang w:eastAsia="en-AU"/>
              </w:rPr>
              <w:t>2017-18</w:t>
            </w:r>
            <w:r>
              <w:rPr>
                <w:rFonts w:eastAsiaTheme="minorEastAsia" w:cs="Calibri"/>
                <w:iCs/>
                <w:color w:val="FFFFFF"/>
                <w:szCs w:val="16"/>
                <w:lang w:eastAsia="en-AU"/>
              </w:rPr>
              <w:br/>
            </w:r>
            <w:r w:rsidRPr="00023820">
              <w:rPr>
                <w:rFonts w:eastAsiaTheme="minorEastAsia" w:cs="Calibri"/>
                <w:iCs/>
                <w:color w:val="FFFFFF"/>
                <w:szCs w:val="16"/>
                <w:lang w:eastAsia="en-AU"/>
              </w:rPr>
              <w:t>revised</w:t>
            </w:r>
          </w:p>
        </w:tc>
        <w:tc>
          <w:tcPr>
            <w:tcW w:w="816" w:type="dxa"/>
            <w:tcBorders>
              <w:top w:val="nil"/>
              <w:left w:val="nil"/>
              <w:right w:val="nil"/>
            </w:tcBorders>
            <w:shd w:val="solid" w:color="000000" w:fill="auto"/>
          </w:tcPr>
          <w:p w:rsidR="00A26D04" w:rsidRPr="00023820" w:rsidRDefault="00A26D04" w:rsidP="00A26D0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023820">
              <w:rPr>
                <w:rFonts w:eastAsiaTheme="minorEastAsia" w:cs="Calibri"/>
                <w:iCs/>
                <w:color w:val="FFFFFF"/>
                <w:szCs w:val="16"/>
                <w:lang w:eastAsia="en-AU"/>
              </w:rPr>
              <w:t>2018-19</w:t>
            </w:r>
            <w:r>
              <w:rPr>
                <w:rFonts w:eastAsiaTheme="minorEastAsia" w:cs="Calibri"/>
                <w:iCs/>
                <w:color w:val="FFFFFF"/>
                <w:szCs w:val="16"/>
                <w:lang w:eastAsia="en-AU"/>
              </w:rPr>
              <w:br/>
            </w:r>
            <w:r w:rsidRPr="00023820">
              <w:rPr>
                <w:rFonts w:eastAsiaTheme="minorEastAsia" w:cs="Calibri"/>
                <w:iCs/>
                <w:color w:val="FFFFFF"/>
                <w:szCs w:val="16"/>
                <w:lang w:eastAsia="en-AU"/>
              </w:rPr>
              <w:t>estimate</w:t>
            </w:r>
          </w:p>
        </w:tc>
        <w:tc>
          <w:tcPr>
            <w:tcW w:w="816" w:type="dxa"/>
            <w:tcBorders>
              <w:top w:val="nil"/>
              <w:left w:val="nil"/>
              <w:right w:val="nil"/>
            </w:tcBorders>
            <w:shd w:val="solid" w:color="000000" w:fill="auto"/>
          </w:tcPr>
          <w:p w:rsidR="00A26D04" w:rsidRPr="00023820" w:rsidRDefault="00A26D04" w:rsidP="00A26D0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023820">
              <w:rPr>
                <w:rFonts w:eastAsiaTheme="minorEastAsia" w:cs="Calibri"/>
                <w:iCs/>
                <w:color w:val="FFFFFF"/>
                <w:szCs w:val="16"/>
                <w:lang w:eastAsia="en-AU"/>
              </w:rPr>
              <w:t>2019-20</w:t>
            </w:r>
            <w:r>
              <w:rPr>
                <w:rFonts w:eastAsiaTheme="minorEastAsia" w:cs="Calibri"/>
                <w:iCs/>
                <w:color w:val="FFFFFF"/>
                <w:szCs w:val="16"/>
                <w:lang w:eastAsia="en-AU"/>
              </w:rPr>
              <w:br/>
            </w:r>
            <w:r w:rsidRPr="00023820">
              <w:rPr>
                <w:rFonts w:eastAsiaTheme="minorEastAsia" w:cs="Calibri"/>
                <w:iCs/>
                <w:color w:val="FFFFFF"/>
                <w:szCs w:val="16"/>
                <w:lang w:eastAsia="en-AU"/>
              </w:rPr>
              <w:t>estimate</w:t>
            </w:r>
          </w:p>
        </w:tc>
        <w:tc>
          <w:tcPr>
            <w:tcW w:w="816" w:type="dxa"/>
            <w:tcBorders>
              <w:top w:val="nil"/>
              <w:left w:val="nil"/>
              <w:right w:val="nil"/>
            </w:tcBorders>
            <w:shd w:val="solid" w:color="000000" w:fill="auto"/>
          </w:tcPr>
          <w:p w:rsidR="00A26D04" w:rsidRPr="00023820" w:rsidRDefault="00A26D04" w:rsidP="00A26D0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023820">
              <w:rPr>
                <w:rFonts w:eastAsiaTheme="minorEastAsia" w:cs="Calibri"/>
                <w:iCs/>
                <w:color w:val="FFFFFF"/>
                <w:szCs w:val="16"/>
                <w:lang w:eastAsia="en-AU"/>
              </w:rPr>
              <w:t>2020-21</w:t>
            </w:r>
            <w:r>
              <w:rPr>
                <w:rFonts w:eastAsiaTheme="minorEastAsia" w:cs="Calibri"/>
                <w:iCs/>
                <w:color w:val="FFFFFF"/>
                <w:szCs w:val="16"/>
                <w:lang w:eastAsia="en-AU"/>
              </w:rPr>
              <w:br/>
            </w:r>
            <w:r w:rsidRPr="00023820">
              <w:rPr>
                <w:rFonts w:eastAsiaTheme="minorEastAsia" w:cs="Calibri"/>
                <w:iCs/>
                <w:color w:val="FFFFFF"/>
                <w:szCs w:val="16"/>
                <w:lang w:eastAsia="en-AU"/>
              </w:rPr>
              <w:t>estimate</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3679" w:type="dxa"/>
            <w:tcBorders>
              <w:top w:val="nil"/>
              <w:left w:val="nil"/>
              <w:bottom w:val="nil"/>
              <w:right w:val="nil"/>
            </w:tcBorders>
          </w:tcPr>
          <w:p w:rsidR="00A46DCA" w:rsidRPr="00023820" w:rsidRDefault="00A46DCA" w:rsidP="00A26D04">
            <w:pPr>
              <w:keepLines w:val="0"/>
              <w:autoSpaceDE w:val="0"/>
              <w:autoSpaceDN w:val="0"/>
              <w:adjustRightInd w:val="0"/>
              <w:rPr>
                <w:rFonts w:eastAsiaTheme="minorEastAsia" w:cs="Calibri"/>
                <w:b/>
                <w:bCs/>
                <w:color w:val="000000"/>
                <w:szCs w:val="16"/>
                <w:lang w:eastAsia="en-AU"/>
              </w:rPr>
            </w:pPr>
            <w:r w:rsidRPr="00023820">
              <w:rPr>
                <w:rFonts w:eastAsiaTheme="minorEastAsia" w:cs="Calibri"/>
                <w:b/>
                <w:bCs/>
                <w:color w:val="000000"/>
                <w:szCs w:val="16"/>
                <w:lang w:eastAsia="en-AU"/>
              </w:rPr>
              <w:t>Revenue from transactions</w:t>
            </w:r>
          </w:p>
        </w:tc>
        <w:tc>
          <w:tcPr>
            <w:tcW w:w="817" w:type="dxa"/>
            <w:gridSpan w:val="3"/>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023820">
              <w:rPr>
                <w:rFonts w:eastAsiaTheme="minorEastAsia" w:cs="Calibri"/>
                <w:b/>
                <w:bCs/>
                <w:color w:val="000000"/>
                <w:lang w:eastAsia="en-AU"/>
              </w:rPr>
              <w:t xml:space="preserve"> </w:t>
            </w:r>
          </w:p>
        </w:tc>
        <w:tc>
          <w:tcPr>
            <w:tcW w:w="816"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023820">
              <w:rPr>
                <w:rFonts w:eastAsiaTheme="minorEastAsia" w:cs="Calibri"/>
                <w:b/>
                <w:bCs/>
                <w:color w:val="000000"/>
                <w:lang w:eastAsia="en-AU"/>
              </w:rPr>
              <w:t xml:space="preserve"> </w:t>
            </w:r>
          </w:p>
        </w:tc>
        <w:tc>
          <w:tcPr>
            <w:tcW w:w="816"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023820">
              <w:rPr>
                <w:rFonts w:eastAsiaTheme="minorEastAsia" w:cs="Calibri"/>
                <w:b/>
                <w:bCs/>
                <w:color w:val="000000"/>
                <w:lang w:eastAsia="en-AU"/>
              </w:rPr>
              <w:t xml:space="preserve"> </w:t>
            </w:r>
          </w:p>
        </w:tc>
        <w:tc>
          <w:tcPr>
            <w:tcW w:w="816"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023820">
              <w:rPr>
                <w:rFonts w:eastAsiaTheme="minorEastAsia" w:cs="Calibri"/>
                <w:b/>
                <w:bCs/>
                <w:color w:val="000000"/>
                <w:lang w:eastAsia="en-AU"/>
              </w:rPr>
              <w:t xml:space="preserve"> </w:t>
            </w:r>
          </w:p>
        </w:tc>
        <w:tc>
          <w:tcPr>
            <w:tcW w:w="816"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023820">
              <w:rPr>
                <w:rFonts w:eastAsiaTheme="minorEastAsia" w:cs="Calibri"/>
                <w:b/>
                <w:bCs/>
                <w:color w:val="000000"/>
                <w:lang w:eastAsia="en-AU"/>
              </w:rPr>
              <w:t xml:space="preserve"> </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3679" w:type="dxa"/>
            <w:tcBorders>
              <w:top w:val="nil"/>
              <w:left w:val="nil"/>
              <w:bottom w:val="nil"/>
              <w:right w:val="nil"/>
            </w:tcBorders>
          </w:tcPr>
          <w:p w:rsidR="00A46DCA" w:rsidRPr="00023820" w:rsidRDefault="00A46DCA" w:rsidP="00A26D04">
            <w:pPr>
              <w:keepLines w:val="0"/>
              <w:autoSpaceDE w:val="0"/>
              <w:autoSpaceDN w:val="0"/>
              <w:adjustRightInd w:val="0"/>
              <w:rPr>
                <w:rFonts w:eastAsiaTheme="minorEastAsia" w:cs="Calibri"/>
                <w:color w:val="000000"/>
                <w:szCs w:val="16"/>
                <w:lang w:eastAsia="en-AU"/>
              </w:rPr>
            </w:pPr>
            <w:r w:rsidRPr="00023820">
              <w:rPr>
                <w:rFonts w:eastAsiaTheme="minorEastAsia" w:cs="Calibri"/>
                <w:color w:val="000000"/>
                <w:szCs w:val="16"/>
                <w:lang w:eastAsia="en-AU"/>
              </w:rPr>
              <w:t>Interest revenue</w:t>
            </w:r>
          </w:p>
        </w:tc>
        <w:tc>
          <w:tcPr>
            <w:tcW w:w="817" w:type="dxa"/>
            <w:gridSpan w:val="3"/>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023820">
              <w:rPr>
                <w:rFonts w:eastAsiaTheme="minorEastAsia" w:cs="Arial"/>
                <w:color w:val="000000"/>
                <w:szCs w:val="18"/>
                <w:lang w:eastAsia="en-AU"/>
              </w:rPr>
              <w:t>2 130</w:t>
            </w:r>
          </w:p>
        </w:tc>
        <w:tc>
          <w:tcPr>
            <w:tcW w:w="816"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023820">
              <w:rPr>
                <w:rFonts w:eastAsiaTheme="minorEastAsia" w:cs="Arial"/>
                <w:color w:val="000000"/>
                <w:szCs w:val="18"/>
                <w:lang w:eastAsia="en-AU"/>
              </w:rPr>
              <w:t>2 151</w:t>
            </w:r>
          </w:p>
        </w:tc>
        <w:tc>
          <w:tcPr>
            <w:tcW w:w="816"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023820">
              <w:rPr>
                <w:rFonts w:eastAsiaTheme="minorEastAsia" w:cs="Arial"/>
                <w:color w:val="000000"/>
                <w:szCs w:val="18"/>
                <w:lang w:eastAsia="en-AU"/>
              </w:rPr>
              <w:t>2 209</w:t>
            </w:r>
          </w:p>
        </w:tc>
        <w:tc>
          <w:tcPr>
            <w:tcW w:w="816"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023820">
              <w:rPr>
                <w:rFonts w:eastAsiaTheme="minorEastAsia" w:cs="Arial"/>
                <w:color w:val="000000"/>
                <w:szCs w:val="18"/>
                <w:lang w:eastAsia="en-AU"/>
              </w:rPr>
              <w:t>2 320</w:t>
            </w:r>
          </w:p>
        </w:tc>
        <w:tc>
          <w:tcPr>
            <w:tcW w:w="816"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023820">
              <w:rPr>
                <w:rFonts w:eastAsiaTheme="minorEastAsia" w:cs="Arial"/>
                <w:color w:val="000000"/>
                <w:szCs w:val="18"/>
                <w:lang w:eastAsia="en-AU"/>
              </w:rPr>
              <w:t>2 455</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3679" w:type="dxa"/>
            <w:tcBorders>
              <w:top w:val="nil"/>
              <w:left w:val="nil"/>
              <w:bottom w:val="nil"/>
              <w:right w:val="nil"/>
            </w:tcBorders>
          </w:tcPr>
          <w:p w:rsidR="00A46DCA" w:rsidRPr="00023820" w:rsidRDefault="00A46DCA" w:rsidP="00A26D04">
            <w:pPr>
              <w:keepLines w:val="0"/>
              <w:autoSpaceDE w:val="0"/>
              <w:autoSpaceDN w:val="0"/>
              <w:adjustRightInd w:val="0"/>
              <w:rPr>
                <w:rFonts w:eastAsiaTheme="minorEastAsia" w:cs="Calibri"/>
                <w:color w:val="000000"/>
                <w:szCs w:val="16"/>
                <w:lang w:eastAsia="en-AU"/>
              </w:rPr>
            </w:pPr>
            <w:r w:rsidRPr="00023820">
              <w:rPr>
                <w:rFonts w:eastAsiaTheme="minorEastAsia" w:cs="Calibri"/>
                <w:color w:val="000000"/>
                <w:szCs w:val="16"/>
                <w:lang w:eastAsia="en-AU"/>
              </w:rPr>
              <w:t>Dividend revenue</w:t>
            </w:r>
          </w:p>
        </w:tc>
        <w:tc>
          <w:tcPr>
            <w:tcW w:w="817" w:type="dxa"/>
            <w:gridSpan w:val="3"/>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023820">
              <w:rPr>
                <w:rFonts w:eastAsiaTheme="minorEastAsia" w:cs="Arial"/>
                <w:color w:val="000000"/>
                <w:szCs w:val="18"/>
                <w:lang w:eastAsia="en-AU"/>
              </w:rPr>
              <w:t>1 105</w:t>
            </w:r>
          </w:p>
        </w:tc>
        <w:tc>
          <w:tcPr>
            <w:tcW w:w="816"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023820">
              <w:rPr>
                <w:rFonts w:eastAsiaTheme="minorEastAsia" w:cs="Arial"/>
                <w:color w:val="000000"/>
                <w:szCs w:val="18"/>
                <w:lang w:eastAsia="en-AU"/>
              </w:rPr>
              <w:t>1 177</w:t>
            </w:r>
          </w:p>
        </w:tc>
        <w:tc>
          <w:tcPr>
            <w:tcW w:w="816"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023820">
              <w:rPr>
                <w:rFonts w:eastAsiaTheme="minorEastAsia" w:cs="Arial"/>
                <w:color w:val="000000"/>
                <w:szCs w:val="18"/>
                <w:lang w:eastAsia="en-AU"/>
              </w:rPr>
              <w:t>1 180</w:t>
            </w:r>
          </w:p>
        </w:tc>
        <w:tc>
          <w:tcPr>
            <w:tcW w:w="816"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023820">
              <w:rPr>
                <w:rFonts w:eastAsiaTheme="minorEastAsia" w:cs="Arial"/>
                <w:color w:val="000000"/>
                <w:szCs w:val="18"/>
                <w:lang w:eastAsia="en-AU"/>
              </w:rPr>
              <w:t>1 274</w:t>
            </w:r>
          </w:p>
        </w:tc>
        <w:tc>
          <w:tcPr>
            <w:tcW w:w="816"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023820">
              <w:rPr>
                <w:rFonts w:eastAsiaTheme="minorEastAsia" w:cs="Arial"/>
                <w:color w:val="000000"/>
                <w:szCs w:val="18"/>
                <w:lang w:eastAsia="en-AU"/>
              </w:rPr>
              <w:t>1 320</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3679" w:type="dxa"/>
            <w:tcBorders>
              <w:top w:val="nil"/>
              <w:left w:val="nil"/>
              <w:bottom w:val="nil"/>
              <w:right w:val="nil"/>
            </w:tcBorders>
          </w:tcPr>
          <w:p w:rsidR="00A46DCA" w:rsidRPr="00023820" w:rsidRDefault="00A46DCA" w:rsidP="00A26D04">
            <w:pPr>
              <w:keepLines w:val="0"/>
              <w:autoSpaceDE w:val="0"/>
              <w:autoSpaceDN w:val="0"/>
              <w:adjustRightInd w:val="0"/>
              <w:rPr>
                <w:rFonts w:eastAsiaTheme="minorEastAsia" w:cs="Calibri"/>
                <w:color w:val="000000"/>
                <w:szCs w:val="16"/>
                <w:lang w:eastAsia="en-AU"/>
              </w:rPr>
            </w:pPr>
            <w:r w:rsidRPr="00023820">
              <w:rPr>
                <w:rFonts w:eastAsiaTheme="minorEastAsia" w:cs="Calibri"/>
                <w:color w:val="000000"/>
                <w:szCs w:val="16"/>
                <w:lang w:eastAsia="en-AU"/>
              </w:rPr>
              <w:t>Sales of goods and services</w:t>
            </w:r>
          </w:p>
        </w:tc>
        <w:tc>
          <w:tcPr>
            <w:tcW w:w="817" w:type="dxa"/>
            <w:gridSpan w:val="3"/>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023820">
              <w:rPr>
                <w:rFonts w:eastAsiaTheme="minorEastAsia" w:cs="Arial"/>
                <w:color w:val="000000"/>
                <w:szCs w:val="18"/>
                <w:lang w:eastAsia="en-AU"/>
              </w:rPr>
              <w:t>4 535</w:t>
            </w:r>
          </w:p>
        </w:tc>
        <w:tc>
          <w:tcPr>
            <w:tcW w:w="816"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023820">
              <w:rPr>
                <w:rFonts w:eastAsiaTheme="minorEastAsia" w:cs="Arial"/>
                <w:color w:val="000000"/>
                <w:szCs w:val="18"/>
                <w:lang w:eastAsia="en-AU"/>
              </w:rPr>
              <w:t>4 560</w:t>
            </w:r>
          </w:p>
        </w:tc>
        <w:tc>
          <w:tcPr>
            <w:tcW w:w="816"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023820">
              <w:rPr>
                <w:rFonts w:eastAsiaTheme="minorEastAsia" w:cs="Arial"/>
                <w:color w:val="000000"/>
                <w:szCs w:val="18"/>
                <w:lang w:eastAsia="en-AU"/>
              </w:rPr>
              <w:t>4 746</w:t>
            </w:r>
          </w:p>
        </w:tc>
        <w:tc>
          <w:tcPr>
            <w:tcW w:w="816"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023820">
              <w:rPr>
                <w:rFonts w:eastAsiaTheme="minorEastAsia" w:cs="Arial"/>
                <w:color w:val="000000"/>
                <w:szCs w:val="18"/>
                <w:lang w:eastAsia="en-AU"/>
              </w:rPr>
              <w:t>4 961</w:t>
            </w:r>
          </w:p>
        </w:tc>
        <w:tc>
          <w:tcPr>
            <w:tcW w:w="816"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023820">
              <w:rPr>
                <w:rFonts w:eastAsiaTheme="minorEastAsia" w:cs="Arial"/>
                <w:color w:val="000000"/>
                <w:szCs w:val="18"/>
                <w:lang w:eastAsia="en-AU"/>
              </w:rPr>
              <w:t>5 192</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3679" w:type="dxa"/>
            <w:tcBorders>
              <w:top w:val="nil"/>
              <w:left w:val="nil"/>
              <w:bottom w:val="single" w:sz="6" w:space="0" w:color="000000"/>
              <w:right w:val="nil"/>
            </w:tcBorders>
          </w:tcPr>
          <w:p w:rsidR="00A46DCA" w:rsidRPr="00023820" w:rsidRDefault="00A46DCA" w:rsidP="00A26D04">
            <w:pPr>
              <w:keepLines w:val="0"/>
              <w:autoSpaceDE w:val="0"/>
              <w:autoSpaceDN w:val="0"/>
              <w:adjustRightInd w:val="0"/>
              <w:rPr>
                <w:rFonts w:eastAsiaTheme="minorEastAsia" w:cs="Calibri"/>
                <w:color w:val="000000"/>
                <w:szCs w:val="16"/>
                <w:lang w:eastAsia="en-AU"/>
              </w:rPr>
            </w:pPr>
            <w:r w:rsidRPr="00023820">
              <w:rPr>
                <w:rFonts w:eastAsiaTheme="minorEastAsia" w:cs="Calibri"/>
                <w:color w:val="000000"/>
                <w:szCs w:val="16"/>
                <w:lang w:eastAsia="en-AU"/>
              </w:rPr>
              <w:t>Other revenue</w:t>
            </w:r>
          </w:p>
        </w:tc>
        <w:tc>
          <w:tcPr>
            <w:tcW w:w="817" w:type="dxa"/>
            <w:gridSpan w:val="3"/>
            <w:tcBorders>
              <w:top w:val="nil"/>
              <w:left w:val="nil"/>
              <w:bottom w:val="single" w:sz="6" w:space="0" w:color="000000"/>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24</w:t>
            </w:r>
          </w:p>
        </w:tc>
        <w:tc>
          <w:tcPr>
            <w:tcW w:w="816" w:type="dxa"/>
            <w:tcBorders>
              <w:top w:val="nil"/>
              <w:left w:val="nil"/>
              <w:bottom w:val="single" w:sz="6" w:space="0" w:color="000000"/>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25</w:t>
            </w:r>
          </w:p>
        </w:tc>
        <w:tc>
          <w:tcPr>
            <w:tcW w:w="816" w:type="dxa"/>
            <w:tcBorders>
              <w:top w:val="nil"/>
              <w:left w:val="nil"/>
              <w:bottom w:val="single" w:sz="6" w:space="0" w:color="000000"/>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26</w:t>
            </w:r>
          </w:p>
        </w:tc>
        <w:tc>
          <w:tcPr>
            <w:tcW w:w="816" w:type="dxa"/>
            <w:tcBorders>
              <w:top w:val="nil"/>
              <w:left w:val="nil"/>
              <w:bottom w:val="single" w:sz="6" w:space="0" w:color="000000"/>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28</w:t>
            </w:r>
          </w:p>
        </w:tc>
        <w:tc>
          <w:tcPr>
            <w:tcW w:w="816" w:type="dxa"/>
            <w:tcBorders>
              <w:top w:val="nil"/>
              <w:left w:val="nil"/>
              <w:bottom w:val="single" w:sz="6" w:space="0" w:color="000000"/>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29</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3679" w:type="dxa"/>
            <w:tcBorders>
              <w:top w:val="nil"/>
              <w:left w:val="nil"/>
              <w:bottom w:val="nil"/>
              <w:right w:val="nil"/>
            </w:tcBorders>
          </w:tcPr>
          <w:p w:rsidR="00A46DCA" w:rsidRPr="00023820" w:rsidRDefault="00A46DCA" w:rsidP="00A26D04">
            <w:pPr>
              <w:keepLines w:val="0"/>
              <w:autoSpaceDE w:val="0"/>
              <w:autoSpaceDN w:val="0"/>
              <w:adjustRightInd w:val="0"/>
              <w:rPr>
                <w:rFonts w:eastAsiaTheme="minorEastAsia" w:cs="Calibri"/>
                <w:b/>
                <w:bCs/>
                <w:color w:val="000000"/>
                <w:szCs w:val="16"/>
                <w:lang w:eastAsia="en-AU"/>
              </w:rPr>
            </w:pPr>
            <w:r w:rsidRPr="00023820">
              <w:rPr>
                <w:rFonts w:eastAsiaTheme="minorEastAsia" w:cs="Calibri"/>
                <w:b/>
                <w:bCs/>
                <w:color w:val="000000"/>
                <w:szCs w:val="16"/>
                <w:lang w:eastAsia="en-AU"/>
              </w:rPr>
              <w:t>Total revenue from transactions</w:t>
            </w:r>
          </w:p>
        </w:tc>
        <w:tc>
          <w:tcPr>
            <w:tcW w:w="817" w:type="dxa"/>
            <w:gridSpan w:val="3"/>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sidRPr="00023820">
              <w:rPr>
                <w:rFonts w:eastAsiaTheme="minorEastAsia" w:cs="Arial"/>
                <w:b/>
                <w:bCs/>
                <w:color w:val="000000"/>
                <w:szCs w:val="18"/>
                <w:lang w:eastAsia="en-AU"/>
              </w:rPr>
              <w:t>7 794</w:t>
            </w:r>
          </w:p>
        </w:tc>
        <w:tc>
          <w:tcPr>
            <w:tcW w:w="816"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sidRPr="00023820">
              <w:rPr>
                <w:rFonts w:eastAsiaTheme="minorEastAsia" w:cs="Arial"/>
                <w:b/>
                <w:bCs/>
                <w:color w:val="000000"/>
                <w:szCs w:val="18"/>
                <w:lang w:eastAsia="en-AU"/>
              </w:rPr>
              <w:t>7 913</w:t>
            </w:r>
          </w:p>
        </w:tc>
        <w:tc>
          <w:tcPr>
            <w:tcW w:w="816"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sidRPr="00023820">
              <w:rPr>
                <w:rFonts w:eastAsiaTheme="minorEastAsia" w:cs="Arial"/>
                <w:b/>
                <w:bCs/>
                <w:color w:val="000000"/>
                <w:szCs w:val="18"/>
                <w:lang w:eastAsia="en-AU"/>
              </w:rPr>
              <w:t>8 162</w:t>
            </w:r>
          </w:p>
        </w:tc>
        <w:tc>
          <w:tcPr>
            <w:tcW w:w="816"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sidRPr="00023820">
              <w:rPr>
                <w:rFonts w:eastAsiaTheme="minorEastAsia" w:cs="Arial"/>
                <w:b/>
                <w:bCs/>
                <w:color w:val="000000"/>
                <w:szCs w:val="18"/>
                <w:lang w:eastAsia="en-AU"/>
              </w:rPr>
              <w:t>8 583</w:t>
            </w:r>
          </w:p>
        </w:tc>
        <w:tc>
          <w:tcPr>
            <w:tcW w:w="816"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sidRPr="00023820">
              <w:rPr>
                <w:rFonts w:eastAsiaTheme="minorEastAsia" w:cs="Arial"/>
                <w:b/>
                <w:bCs/>
                <w:color w:val="000000"/>
                <w:szCs w:val="18"/>
                <w:lang w:eastAsia="en-AU"/>
              </w:rPr>
              <w:t>8 995</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3679" w:type="dxa"/>
            <w:tcBorders>
              <w:top w:val="nil"/>
              <w:left w:val="nil"/>
              <w:bottom w:val="nil"/>
              <w:right w:val="nil"/>
            </w:tcBorders>
          </w:tcPr>
          <w:p w:rsidR="00A46DCA" w:rsidRPr="00023820" w:rsidRDefault="00A46DCA" w:rsidP="00A26D04">
            <w:pPr>
              <w:keepLines w:val="0"/>
              <w:autoSpaceDE w:val="0"/>
              <w:autoSpaceDN w:val="0"/>
              <w:adjustRightInd w:val="0"/>
              <w:rPr>
                <w:rFonts w:eastAsiaTheme="minorEastAsia" w:cs="Calibri"/>
                <w:b/>
                <w:bCs/>
                <w:color w:val="000000"/>
                <w:szCs w:val="16"/>
                <w:lang w:eastAsia="en-AU"/>
              </w:rPr>
            </w:pPr>
            <w:r w:rsidRPr="00023820">
              <w:rPr>
                <w:rFonts w:eastAsiaTheme="minorEastAsia" w:cs="Calibri"/>
                <w:b/>
                <w:bCs/>
                <w:color w:val="000000"/>
                <w:szCs w:val="16"/>
                <w:lang w:eastAsia="en-AU"/>
              </w:rPr>
              <w:t>Expenses from transactions</w:t>
            </w:r>
          </w:p>
        </w:tc>
        <w:tc>
          <w:tcPr>
            <w:tcW w:w="817" w:type="dxa"/>
            <w:gridSpan w:val="3"/>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023820">
              <w:rPr>
                <w:rFonts w:eastAsiaTheme="minorEastAsia" w:cs="Calibri"/>
                <w:b/>
                <w:bCs/>
                <w:color w:val="000000"/>
                <w:lang w:eastAsia="en-AU"/>
              </w:rPr>
              <w:t xml:space="preserve"> </w:t>
            </w:r>
          </w:p>
        </w:tc>
        <w:tc>
          <w:tcPr>
            <w:tcW w:w="816"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023820">
              <w:rPr>
                <w:rFonts w:eastAsiaTheme="minorEastAsia" w:cs="Calibri"/>
                <w:b/>
                <w:bCs/>
                <w:color w:val="000000"/>
                <w:lang w:eastAsia="en-AU"/>
              </w:rPr>
              <w:t xml:space="preserve"> </w:t>
            </w:r>
          </w:p>
        </w:tc>
        <w:tc>
          <w:tcPr>
            <w:tcW w:w="816"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023820">
              <w:rPr>
                <w:rFonts w:eastAsiaTheme="minorEastAsia" w:cs="Calibri"/>
                <w:b/>
                <w:bCs/>
                <w:color w:val="000000"/>
                <w:lang w:eastAsia="en-AU"/>
              </w:rPr>
              <w:t xml:space="preserve"> </w:t>
            </w:r>
          </w:p>
        </w:tc>
        <w:tc>
          <w:tcPr>
            <w:tcW w:w="816"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023820">
              <w:rPr>
                <w:rFonts w:eastAsiaTheme="minorEastAsia" w:cs="Calibri"/>
                <w:b/>
                <w:bCs/>
                <w:color w:val="000000"/>
                <w:lang w:eastAsia="en-AU"/>
              </w:rPr>
              <w:t xml:space="preserve"> </w:t>
            </w:r>
          </w:p>
        </w:tc>
        <w:tc>
          <w:tcPr>
            <w:tcW w:w="816"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023820">
              <w:rPr>
                <w:rFonts w:eastAsiaTheme="minorEastAsia" w:cs="Calibri"/>
                <w:b/>
                <w:bCs/>
                <w:color w:val="000000"/>
                <w:lang w:eastAsia="en-AU"/>
              </w:rPr>
              <w:t xml:space="preserve"> </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3679" w:type="dxa"/>
            <w:tcBorders>
              <w:top w:val="nil"/>
              <w:left w:val="nil"/>
              <w:bottom w:val="nil"/>
              <w:right w:val="nil"/>
            </w:tcBorders>
          </w:tcPr>
          <w:p w:rsidR="00A46DCA" w:rsidRPr="00023820" w:rsidRDefault="00A46DCA" w:rsidP="00A26D04">
            <w:pPr>
              <w:keepLines w:val="0"/>
              <w:autoSpaceDE w:val="0"/>
              <w:autoSpaceDN w:val="0"/>
              <w:adjustRightInd w:val="0"/>
              <w:rPr>
                <w:rFonts w:eastAsiaTheme="minorEastAsia" w:cs="Calibri"/>
                <w:color w:val="000000"/>
                <w:szCs w:val="16"/>
                <w:lang w:eastAsia="en-AU"/>
              </w:rPr>
            </w:pPr>
            <w:r w:rsidRPr="00023820">
              <w:rPr>
                <w:rFonts w:eastAsiaTheme="minorEastAsia" w:cs="Calibri"/>
                <w:color w:val="000000"/>
                <w:szCs w:val="16"/>
                <w:lang w:eastAsia="en-AU"/>
              </w:rPr>
              <w:t>Employee expenses</w:t>
            </w:r>
          </w:p>
        </w:tc>
        <w:tc>
          <w:tcPr>
            <w:tcW w:w="817" w:type="dxa"/>
            <w:gridSpan w:val="3"/>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351</w:t>
            </w:r>
          </w:p>
        </w:tc>
        <w:tc>
          <w:tcPr>
            <w:tcW w:w="816"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379</w:t>
            </w:r>
          </w:p>
        </w:tc>
        <w:tc>
          <w:tcPr>
            <w:tcW w:w="816"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375</w:t>
            </w:r>
          </w:p>
        </w:tc>
        <w:tc>
          <w:tcPr>
            <w:tcW w:w="816"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363</w:t>
            </w:r>
          </w:p>
        </w:tc>
        <w:tc>
          <w:tcPr>
            <w:tcW w:w="816"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377</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3679" w:type="dxa"/>
            <w:tcBorders>
              <w:top w:val="nil"/>
              <w:left w:val="nil"/>
              <w:bottom w:val="nil"/>
              <w:right w:val="nil"/>
            </w:tcBorders>
          </w:tcPr>
          <w:p w:rsidR="00A46DCA" w:rsidRPr="00023820" w:rsidRDefault="00A46DCA" w:rsidP="00A26D04">
            <w:pPr>
              <w:keepLines w:val="0"/>
              <w:autoSpaceDE w:val="0"/>
              <w:autoSpaceDN w:val="0"/>
              <w:adjustRightInd w:val="0"/>
              <w:rPr>
                <w:rFonts w:eastAsiaTheme="minorEastAsia" w:cs="Calibri"/>
                <w:color w:val="000000"/>
                <w:szCs w:val="16"/>
                <w:lang w:eastAsia="en-AU"/>
              </w:rPr>
            </w:pPr>
            <w:r w:rsidRPr="00023820">
              <w:rPr>
                <w:rFonts w:eastAsiaTheme="minorEastAsia" w:cs="Calibri"/>
                <w:color w:val="000000"/>
                <w:szCs w:val="16"/>
                <w:lang w:eastAsia="en-AU"/>
              </w:rPr>
              <w:t>Other superannuation</w:t>
            </w:r>
          </w:p>
        </w:tc>
        <w:tc>
          <w:tcPr>
            <w:tcW w:w="817" w:type="dxa"/>
            <w:gridSpan w:val="3"/>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26</w:t>
            </w:r>
          </w:p>
        </w:tc>
        <w:tc>
          <w:tcPr>
            <w:tcW w:w="816"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27</w:t>
            </w:r>
          </w:p>
        </w:tc>
        <w:tc>
          <w:tcPr>
            <w:tcW w:w="816"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26</w:t>
            </w:r>
          </w:p>
        </w:tc>
        <w:tc>
          <w:tcPr>
            <w:tcW w:w="816"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27</w:t>
            </w:r>
          </w:p>
        </w:tc>
        <w:tc>
          <w:tcPr>
            <w:tcW w:w="816"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27</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3679" w:type="dxa"/>
            <w:tcBorders>
              <w:top w:val="nil"/>
              <w:left w:val="nil"/>
              <w:bottom w:val="nil"/>
              <w:right w:val="nil"/>
            </w:tcBorders>
          </w:tcPr>
          <w:p w:rsidR="00A46DCA" w:rsidRPr="00023820" w:rsidRDefault="00A46DCA" w:rsidP="00A26D04">
            <w:pPr>
              <w:keepLines w:val="0"/>
              <w:autoSpaceDE w:val="0"/>
              <w:autoSpaceDN w:val="0"/>
              <w:adjustRightInd w:val="0"/>
              <w:rPr>
                <w:rFonts w:eastAsiaTheme="minorEastAsia" w:cs="Calibri"/>
                <w:color w:val="000000"/>
                <w:szCs w:val="16"/>
                <w:lang w:eastAsia="en-AU"/>
              </w:rPr>
            </w:pPr>
            <w:r w:rsidRPr="00023820">
              <w:rPr>
                <w:rFonts w:eastAsiaTheme="minorEastAsia" w:cs="Calibri"/>
                <w:color w:val="000000"/>
                <w:szCs w:val="16"/>
                <w:lang w:eastAsia="en-AU"/>
              </w:rPr>
              <w:t>Depreciation</w:t>
            </w:r>
          </w:p>
        </w:tc>
        <w:tc>
          <w:tcPr>
            <w:tcW w:w="817" w:type="dxa"/>
            <w:gridSpan w:val="3"/>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49</w:t>
            </w:r>
          </w:p>
        </w:tc>
        <w:tc>
          <w:tcPr>
            <w:tcW w:w="816"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47</w:t>
            </w:r>
          </w:p>
        </w:tc>
        <w:tc>
          <w:tcPr>
            <w:tcW w:w="816"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47</w:t>
            </w:r>
          </w:p>
        </w:tc>
        <w:tc>
          <w:tcPr>
            <w:tcW w:w="816"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55</w:t>
            </w:r>
          </w:p>
        </w:tc>
        <w:tc>
          <w:tcPr>
            <w:tcW w:w="816"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64</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3679" w:type="dxa"/>
            <w:tcBorders>
              <w:top w:val="nil"/>
              <w:left w:val="nil"/>
              <w:bottom w:val="nil"/>
              <w:right w:val="nil"/>
            </w:tcBorders>
          </w:tcPr>
          <w:p w:rsidR="00A46DCA" w:rsidRPr="00023820" w:rsidRDefault="00A46DCA" w:rsidP="00A26D04">
            <w:pPr>
              <w:keepLines w:val="0"/>
              <w:autoSpaceDE w:val="0"/>
              <w:autoSpaceDN w:val="0"/>
              <w:adjustRightInd w:val="0"/>
              <w:rPr>
                <w:rFonts w:eastAsiaTheme="minorEastAsia" w:cs="Calibri"/>
                <w:color w:val="000000"/>
                <w:szCs w:val="16"/>
                <w:lang w:eastAsia="en-AU"/>
              </w:rPr>
            </w:pPr>
            <w:r w:rsidRPr="00023820">
              <w:rPr>
                <w:rFonts w:eastAsiaTheme="minorEastAsia" w:cs="Calibri"/>
                <w:color w:val="000000"/>
                <w:szCs w:val="16"/>
                <w:lang w:eastAsia="en-AU"/>
              </w:rPr>
              <w:t>Interest expense</w:t>
            </w:r>
          </w:p>
        </w:tc>
        <w:tc>
          <w:tcPr>
            <w:tcW w:w="817" w:type="dxa"/>
            <w:gridSpan w:val="3"/>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023820">
              <w:rPr>
                <w:rFonts w:eastAsiaTheme="minorEastAsia" w:cs="Arial"/>
                <w:color w:val="000000"/>
                <w:szCs w:val="18"/>
                <w:lang w:eastAsia="en-AU"/>
              </w:rPr>
              <w:t>1 951</w:t>
            </w:r>
          </w:p>
        </w:tc>
        <w:tc>
          <w:tcPr>
            <w:tcW w:w="816"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023820">
              <w:rPr>
                <w:rFonts w:eastAsiaTheme="minorEastAsia" w:cs="Arial"/>
                <w:color w:val="000000"/>
                <w:szCs w:val="18"/>
                <w:lang w:eastAsia="en-AU"/>
              </w:rPr>
              <w:t>1 741</w:t>
            </w:r>
          </w:p>
        </w:tc>
        <w:tc>
          <w:tcPr>
            <w:tcW w:w="816"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023820">
              <w:rPr>
                <w:rFonts w:eastAsiaTheme="minorEastAsia" w:cs="Arial"/>
                <w:color w:val="000000"/>
                <w:szCs w:val="18"/>
                <w:lang w:eastAsia="en-AU"/>
              </w:rPr>
              <w:t>1 793</w:t>
            </w:r>
          </w:p>
        </w:tc>
        <w:tc>
          <w:tcPr>
            <w:tcW w:w="816"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023820">
              <w:rPr>
                <w:rFonts w:eastAsiaTheme="minorEastAsia" w:cs="Arial"/>
                <w:color w:val="000000"/>
                <w:szCs w:val="18"/>
                <w:lang w:eastAsia="en-AU"/>
              </w:rPr>
              <w:t>1 852</w:t>
            </w:r>
          </w:p>
        </w:tc>
        <w:tc>
          <w:tcPr>
            <w:tcW w:w="816"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023820">
              <w:rPr>
                <w:rFonts w:eastAsiaTheme="minorEastAsia" w:cs="Arial"/>
                <w:color w:val="000000"/>
                <w:szCs w:val="18"/>
                <w:lang w:eastAsia="en-AU"/>
              </w:rPr>
              <w:t>1 970</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3679" w:type="dxa"/>
            <w:tcBorders>
              <w:top w:val="nil"/>
              <w:left w:val="nil"/>
              <w:bottom w:val="nil"/>
              <w:right w:val="nil"/>
            </w:tcBorders>
          </w:tcPr>
          <w:p w:rsidR="00A46DCA" w:rsidRPr="00023820" w:rsidRDefault="00A46DCA" w:rsidP="00A26D04">
            <w:pPr>
              <w:keepLines w:val="0"/>
              <w:autoSpaceDE w:val="0"/>
              <w:autoSpaceDN w:val="0"/>
              <w:adjustRightInd w:val="0"/>
              <w:rPr>
                <w:rFonts w:eastAsiaTheme="minorEastAsia" w:cs="Calibri"/>
                <w:color w:val="000000"/>
                <w:szCs w:val="16"/>
                <w:lang w:eastAsia="en-AU"/>
              </w:rPr>
            </w:pPr>
            <w:r w:rsidRPr="00023820">
              <w:rPr>
                <w:rFonts w:eastAsiaTheme="minorEastAsia" w:cs="Calibri"/>
                <w:color w:val="000000"/>
                <w:szCs w:val="16"/>
                <w:lang w:eastAsia="en-AU"/>
              </w:rPr>
              <w:t>Grant expense</w:t>
            </w:r>
            <w:r>
              <w:rPr>
                <w:rFonts w:eastAsiaTheme="minorEastAsia" w:cs="Calibri"/>
                <w:color w:val="000000"/>
                <w:szCs w:val="16"/>
                <w:lang w:eastAsia="en-AU"/>
              </w:rPr>
              <w:t xml:space="preserve"> </w:t>
            </w:r>
            <w:r w:rsidRPr="00146C5C">
              <w:rPr>
                <w:rFonts w:eastAsiaTheme="minorEastAsia" w:cs="Calibri"/>
                <w:color w:val="000000"/>
                <w:szCs w:val="16"/>
                <w:vertAlign w:val="superscript"/>
                <w:lang w:eastAsia="en-AU"/>
              </w:rPr>
              <w:t>(a)</w:t>
            </w:r>
          </w:p>
        </w:tc>
        <w:tc>
          <w:tcPr>
            <w:tcW w:w="817" w:type="dxa"/>
            <w:gridSpan w:val="3"/>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803</w:t>
            </w:r>
          </w:p>
        </w:tc>
        <w:tc>
          <w:tcPr>
            <w:tcW w:w="816"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803</w:t>
            </w:r>
          </w:p>
        </w:tc>
        <w:tc>
          <w:tcPr>
            <w:tcW w:w="816"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672</w:t>
            </w:r>
          </w:p>
        </w:tc>
        <w:tc>
          <w:tcPr>
            <w:tcW w:w="816"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709</w:t>
            </w:r>
          </w:p>
        </w:tc>
        <w:tc>
          <w:tcPr>
            <w:tcW w:w="816"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610</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3679" w:type="dxa"/>
            <w:tcBorders>
              <w:top w:val="nil"/>
              <w:left w:val="nil"/>
              <w:bottom w:val="nil"/>
              <w:right w:val="nil"/>
            </w:tcBorders>
          </w:tcPr>
          <w:p w:rsidR="00A46DCA" w:rsidRPr="00023820" w:rsidRDefault="00A46DCA" w:rsidP="00A26D04">
            <w:pPr>
              <w:keepLines w:val="0"/>
              <w:autoSpaceDE w:val="0"/>
              <w:autoSpaceDN w:val="0"/>
              <w:adjustRightInd w:val="0"/>
              <w:rPr>
                <w:rFonts w:eastAsiaTheme="minorEastAsia" w:cs="Calibri"/>
                <w:color w:val="000000"/>
                <w:szCs w:val="16"/>
                <w:lang w:eastAsia="en-AU"/>
              </w:rPr>
            </w:pPr>
            <w:r w:rsidRPr="00023820">
              <w:rPr>
                <w:rFonts w:eastAsiaTheme="minorEastAsia" w:cs="Calibri"/>
                <w:color w:val="000000"/>
                <w:szCs w:val="16"/>
                <w:lang w:eastAsia="en-AU"/>
              </w:rPr>
              <w:t>Other operating expenses</w:t>
            </w:r>
            <w:r w:rsidRPr="00146C5C">
              <w:rPr>
                <w:rFonts w:eastAsiaTheme="minorEastAsia" w:cs="Calibri"/>
                <w:color w:val="000000"/>
                <w:szCs w:val="16"/>
                <w:vertAlign w:val="superscript"/>
                <w:lang w:eastAsia="en-AU"/>
              </w:rPr>
              <w:t xml:space="preserve"> (a)</w:t>
            </w:r>
          </w:p>
        </w:tc>
        <w:tc>
          <w:tcPr>
            <w:tcW w:w="817" w:type="dxa"/>
            <w:gridSpan w:val="3"/>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023820">
              <w:rPr>
                <w:rFonts w:eastAsiaTheme="minorEastAsia" w:cs="Arial"/>
                <w:color w:val="000000"/>
                <w:szCs w:val="18"/>
                <w:lang w:eastAsia="en-AU"/>
              </w:rPr>
              <w:t>6 355</w:t>
            </w:r>
          </w:p>
        </w:tc>
        <w:tc>
          <w:tcPr>
            <w:tcW w:w="816"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023820">
              <w:rPr>
                <w:rFonts w:eastAsiaTheme="minorEastAsia" w:cs="Arial"/>
                <w:color w:val="000000"/>
                <w:szCs w:val="18"/>
                <w:lang w:eastAsia="en-AU"/>
              </w:rPr>
              <w:t>6 658</w:t>
            </w:r>
          </w:p>
        </w:tc>
        <w:tc>
          <w:tcPr>
            <w:tcW w:w="816"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023820">
              <w:rPr>
                <w:rFonts w:eastAsiaTheme="minorEastAsia" w:cs="Arial"/>
                <w:color w:val="000000"/>
                <w:szCs w:val="18"/>
                <w:lang w:eastAsia="en-AU"/>
              </w:rPr>
              <w:t>6 995</w:t>
            </w:r>
          </w:p>
        </w:tc>
        <w:tc>
          <w:tcPr>
            <w:tcW w:w="816"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023820">
              <w:rPr>
                <w:rFonts w:eastAsiaTheme="minorEastAsia" w:cs="Arial"/>
                <w:color w:val="000000"/>
                <w:szCs w:val="18"/>
                <w:lang w:eastAsia="en-AU"/>
              </w:rPr>
              <w:t>7 354</w:t>
            </w:r>
          </w:p>
        </w:tc>
        <w:tc>
          <w:tcPr>
            <w:tcW w:w="816"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023820">
              <w:rPr>
                <w:rFonts w:eastAsiaTheme="minorEastAsia" w:cs="Arial"/>
                <w:color w:val="000000"/>
                <w:szCs w:val="18"/>
                <w:lang w:eastAsia="en-AU"/>
              </w:rPr>
              <w:t>7 681</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3679" w:type="dxa"/>
            <w:tcBorders>
              <w:top w:val="nil"/>
              <w:left w:val="nil"/>
              <w:bottom w:val="nil"/>
              <w:right w:val="nil"/>
            </w:tcBorders>
          </w:tcPr>
          <w:p w:rsidR="00A46DCA" w:rsidRPr="00023820" w:rsidRDefault="00A46DCA" w:rsidP="00A26D04">
            <w:pPr>
              <w:keepLines w:val="0"/>
              <w:autoSpaceDE w:val="0"/>
              <w:autoSpaceDN w:val="0"/>
              <w:adjustRightInd w:val="0"/>
              <w:rPr>
                <w:rFonts w:eastAsiaTheme="minorEastAsia" w:cs="Calibri"/>
                <w:color w:val="000000"/>
                <w:szCs w:val="16"/>
                <w:lang w:eastAsia="en-AU"/>
              </w:rPr>
            </w:pPr>
            <w:r w:rsidRPr="00023820">
              <w:rPr>
                <w:rFonts w:eastAsiaTheme="minorEastAsia" w:cs="Calibri"/>
                <w:color w:val="000000"/>
                <w:szCs w:val="16"/>
                <w:lang w:eastAsia="en-AU"/>
              </w:rPr>
              <w:t>Other property expenses</w:t>
            </w:r>
          </w:p>
        </w:tc>
        <w:tc>
          <w:tcPr>
            <w:tcW w:w="817" w:type="dxa"/>
            <w:gridSpan w:val="3"/>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3</w:t>
            </w:r>
          </w:p>
        </w:tc>
        <w:tc>
          <w:tcPr>
            <w:tcW w:w="816"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144</w:t>
            </w:r>
          </w:p>
        </w:tc>
        <w:tc>
          <w:tcPr>
            <w:tcW w:w="816"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69</w:t>
            </w:r>
          </w:p>
        </w:tc>
        <w:tc>
          <w:tcPr>
            <w:tcW w:w="816"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66</w:t>
            </w:r>
          </w:p>
        </w:tc>
        <w:tc>
          <w:tcPr>
            <w:tcW w:w="816"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105</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3679" w:type="dxa"/>
            <w:tcBorders>
              <w:top w:val="single" w:sz="6" w:space="0" w:color="000000"/>
              <w:left w:val="nil"/>
              <w:bottom w:val="nil"/>
              <w:right w:val="nil"/>
            </w:tcBorders>
          </w:tcPr>
          <w:p w:rsidR="00A46DCA" w:rsidRPr="00023820" w:rsidRDefault="00A46DCA" w:rsidP="00A26D04">
            <w:pPr>
              <w:keepLines w:val="0"/>
              <w:autoSpaceDE w:val="0"/>
              <w:autoSpaceDN w:val="0"/>
              <w:adjustRightInd w:val="0"/>
              <w:rPr>
                <w:rFonts w:eastAsiaTheme="minorEastAsia" w:cs="Calibri"/>
                <w:b/>
                <w:bCs/>
                <w:color w:val="000000"/>
                <w:szCs w:val="16"/>
                <w:lang w:eastAsia="en-AU"/>
              </w:rPr>
            </w:pPr>
            <w:r w:rsidRPr="00023820">
              <w:rPr>
                <w:rFonts w:eastAsiaTheme="minorEastAsia" w:cs="Calibri"/>
                <w:b/>
                <w:bCs/>
                <w:color w:val="000000"/>
                <w:szCs w:val="16"/>
                <w:lang w:eastAsia="en-AU"/>
              </w:rPr>
              <w:t>Total expenses from transactions</w:t>
            </w:r>
          </w:p>
        </w:tc>
        <w:tc>
          <w:tcPr>
            <w:tcW w:w="817" w:type="dxa"/>
            <w:gridSpan w:val="3"/>
            <w:tcBorders>
              <w:top w:val="single" w:sz="6" w:space="0" w:color="000000"/>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sidRPr="00023820">
              <w:rPr>
                <w:rFonts w:eastAsiaTheme="minorEastAsia" w:cs="Arial"/>
                <w:b/>
                <w:bCs/>
                <w:color w:val="000000"/>
                <w:szCs w:val="18"/>
                <w:lang w:eastAsia="en-AU"/>
              </w:rPr>
              <w:t>9 538</w:t>
            </w:r>
          </w:p>
        </w:tc>
        <w:tc>
          <w:tcPr>
            <w:tcW w:w="816" w:type="dxa"/>
            <w:tcBorders>
              <w:top w:val="single" w:sz="6" w:space="0" w:color="000000"/>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sidRPr="00023820">
              <w:rPr>
                <w:rFonts w:eastAsiaTheme="minorEastAsia" w:cs="Arial"/>
                <w:b/>
                <w:bCs/>
                <w:color w:val="000000"/>
                <w:szCs w:val="18"/>
                <w:lang w:eastAsia="en-AU"/>
              </w:rPr>
              <w:t>9 799</w:t>
            </w:r>
          </w:p>
        </w:tc>
        <w:tc>
          <w:tcPr>
            <w:tcW w:w="816" w:type="dxa"/>
            <w:tcBorders>
              <w:top w:val="single" w:sz="6" w:space="0" w:color="000000"/>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sidRPr="00023820">
              <w:rPr>
                <w:rFonts w:eastAsiaTheme="minorEastAsia" w:cs="Arial"/>
                <w:b/>
                <w:bCs/>
                <w:color w:val="000000"/>
                <w:szCs w:val="18"/>
                <w:lang w:eastAsia="en-AU"/>
              </w:rPr>
              <w:t>9 978</w:t>
            </w:r>
          </w:p>
        </w:tc>
        <w:tc>
          <w:tcPr>
            <w:tcW w:w="816" w:type="dxa"/>
            <w:tcBorders>
              <w:top w:val="single" w:sz="6" w:space="0" w:color="000000"/>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sidRPr="00023820">
              <w:rPr>
                <w:rFonts w:eastAsiaTheme="minorEastAsia" w:cs="Arial"/>
                <w:b/>
                <w:bCs/>
                <w:color w:val="000000"/>
                <w:szCs w:val="18"/>
                <w:lang w:eastAsia="en-AU"/>
              </w:rPr>
              <w:t>10 426</w:t>
            </w:r>
          </w:p>
        </w:tc>
        <w:tc>
          <w:tcPr>
            <w:tcW w:w="816" w:type="dxa"/>
            <w:tcBorders>
              <w:top w:val="single" w:sz="6" w:space="0" w:color="000000"/>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sidRPr="00023820">
              <w:rPr>
                <w:rFonts w:eastAsiaTheme="minorEastAsia" w:cs="Arial"/>
                <w:b/>
                <w:bCs/>
                <w:color w:val="000000"/>
                <w:szCs w:val="18"/>
                <w:lang w:eastAsia="en-AU"/>
              </w:rPr>
              <w:t>10 833</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3679" w:type="dxa"/>
            <w:tcBorders>
              <w:top w:val="single" w:sz="6" w:space="0" w:color="000000"/>
              <w:left w:val="nil"/>
              <w:bottom w:val="single" w:sz="12" w:space="0" w:color="000000"/>
              <w:right w:val="nil"/>
            </w:tcBorders>
          </w:tcPr>
          <w:p w:rsidR="00A46DCA" w:rsidRPr="00023820" w:rsidRDefault="00A46DCA" w:rsidP="008E5E35">
            <w:pPr>
              <w:keepLines w:val="0"/>
              <w:autoSpaceDE w:val="0"/>
              <w:autoSpaceDN w:val="0"/>
              <w:adjustRightInd w:val="0"/>
              <w:rPr>
                <w:rFonts w:eastAsiaTheme="minorEastAsia" w:cs="Calibri"/>
                <w:b/>
                <w:bCs/>
                <w:color w:val="000000"/>
                <w:szCs w:val="16"/>
                <w:vertAlign w:val="superscript"/>
                <w:lang w:eastAsia="en-AU"/>
              </w:rPr>
            </w:pPr>
            <w:r w:rsidRPr="00023820">
              <w:rPr>
                <w:rFonts w:eastAsiaTheme="minorEastAsia" w:cs="Calibri"/>
                <w:b/>
                <w:bCs/>
                <w:color w:val="000000"/>
                <w:szCs w:val="16"/>
                <w:lang w:eastAsia="en-AU"/>
              </w:rPr>
              <w:t xml:space="preserve">Net result from transactions – </w:t>
            </w:r>
            <w:r w:rsidR="008E5E35">
              <w:rPr>
                <w:rFonts w:eastAsiaTheme="minorEastAsia" w:cs="Calibri"/>
                <w:b/>
                <w:bCs/>
                <w:color w:val="000000"/>
                <w:szCs w:val="16"/>
                <w:lang w:eastAsia="en-AU"/>
              </w:rPr>
              <w:br/>
            </w:r>
            <w:r w:rsidRPr="00023820">
              <w:rPr>
                <w:rFonts w:eastAsiaTheme="minorEastAsia" w:cs="Calibri"/>
                <w:b/>
                <w:bCs/>
                <w:color w:val="000000"/>
                <w:szCs w:val="16"/>
                <w:lang w:eastAsia="en-AU"/>
              </w:rPr>
              <w:t xml:space="preserve">net operating balance </w:t>
            </w:r>
            <w:r>
              <w:rPr>
                <w:rFonts w:eastAsiaTheme="minorEastAsia" w:cs="Calibri"/>
                <w:b/>
                <w:bCs/>
                <w:color w:val="000000"/>
                <w:szCs w:val="16"/>
                <w:vertAlign w:val="superscript"/>
                <w:lang w:eastAsia="en-AU"/>
              </w:rPr>
              <w:t>(b</w:t>
            </w:r>
            <w:r w:rsidRPr="00023820">
              <w:rPr>
                <w:rFonts w:eastAsiaTheme="minorEastAsia" w:cs="Calibri"/>
                <w:b/>
                <w:bCs/>
                <w:color w:val="000000"/>
                <w:szCs w:val="16"/>
                <w:vertAlign w:val="superscript"/>
                <w:lang w:eastAsia="en-AU"/>
              </w:rPr>
              <w:t>)</w:t>
            </w:r>
          </w:p>
        </w:tc>
        <w:tc>
          <w:tcPr>
            <w:tcW w:w="817" w:type="dxa"/>
            <w:gridSpan w:val="3"/>
            <w:tcBorders>
              <w:top w:val="single" w:sz="6" w:space="0" w:color="000000"/>
              <w:left w:val="nil"/>
              <w:bottom w:val="single" w:sz="12" w:space="0" w:color="000000"/>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Pr>
                <w:rFonts w:eastAsiaTheme="minorEastAsia" w:cs="Arial"/>
                <w:b/>
                <w:bCs/>
                <w:color w:val="000000"/>
                <w:szCs w:val="18"/>
                <w:lang w:eastAsia="en-AU"/>
              </w:rPr>
              <w:t>(1 745)</w:t>
            </w:r>
          </w:p>
        </w:tc>
        <w:tc>
          <w:tcPr>
            <w:tcW w:w="816" w:type="dxa"/>
            <w:tcBorders>
              <w:top w:val="single" w:sz="6" w:space="0" w:color="000000"/>
              <w:left w:val="nil"/>
              <w:bottom w:val="single" w:sz="12" w:space="0" w:color="000000"/>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Pr>
                <w:rFonts w:eastAsiaTheme="minorEastAsia" w:cs="Arial"/>
                <w:b/>
                <w:bCs/>
                <w:color w:val="000000"/>
                <w:szCs w:val="18"/>
                <w:lang w:eastAsia="en-AU"/>
              </w:rPr>
              <w:t>(1 886)</w:t>
            </w:r>
          </w:p>
        </w:tc>
        <w:tc>
          <w:tcPr>
            <w:tcW w:w="816" w:type="dxa"/>
            <w:tcBorders>
              <w:top w:val="single" w:sz="6" w:space="0" w:color="000000"/>
              <w:left w:val="nil"/>
              <w:bottom w:val="single" w:sz="12" w:space="0" w:color="000000"/>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Pr>
                <w:rFonts w:eastAsiaTheme="minorEastAsia" w:cs="Arial"/>
                <w:b/>
                <w:bCs/>
                <w:color w:val="000000"/>
                <w:szCs w:val="18"/>
                <w:lang w:eastAsia="en-AU"/>
              </w:rPr>
              <w:t>(1 816)</w:t>
            </w:r>
          </w:p>
        </w:tc>
        <w:tc>
          <w:tcPr>
            <w:tcW w:w="816" w:type="dxa"/>
            <w:tcBorders>
              <w:top w:val="single" w:sz="6" w:space="0" w:color="000000"/>
              <w:left w:val="nil"/>
              <w:bottom w:val="single" w:sz="12" w:space="0" w:color="000000"/>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Pr>
                <w:rFonts w:eastAsiaTheme="minorEastAsia" w:cs="Arial"/>
                <w:b/>
                <w:bCs/>
                <w:color w:val="000000"/>
                <w:szCs w:val="18"/>
                <w:lang w:eastAsia="en-AU"/>
              </w:rPr>
              <w:t>(1 843)</w:t>
            </w:r>
          </w:p>
        </w:tc>
        <w:tc>
          <w:tcPr>
            <w:tcW w:w="816" w:type="dxa"/>
            <w:tcBorders>
              <w:top w:val="single" w:sz="6" w:space="0" w:color="000000"/>
              <w:left w:val="nil"/>
              <w:bottom w:val="single" w:sz="12" w:space="0" w:color="000000"/>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Pr>
                <w:rFonts w:eastAsiaTheme="minorEastAsia" w:cs="Arial"/>
                <w:b/>
                <w:bCs/>
                <w:color w:val="000000"/>
                <w:szCs w:val="18"/>
                <w:lang w:eastAsia="en-AU"/>
              </w:rPr>
              <w:t>(1 838)</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3679" w:type="dxa"/>
            <w:tcBorders>
              <w:top w:val="nil"/>
              <w:left w:val="nil"/>
              <w:bottom w:val="nil"/>
              <w:right w:val="nil"/>
            </w:tcBorders>
          </w:tcPr>
          <w:p w:rsidR="00A46DCA" w:rsidRPr="00023820" w:rsidRDefault="00A46DCA" w:rsidP="00A26D04">
            <w:pPr>
              <w:keepLines w:val="0"/>
              <w:autoSpaceDE w:val="0"/>
              <w:autoSpaceDN w:val="0"/>
              <w:adjustRightInd w:val="0"/>
              <w:rPr>
                <w:rFonts w:eastAsiaTheme="minorEastAsia" w:cs="Calibri"/>
                <w:b/>
                <w:bCs/>
                <w:color w:val="000000"/>
                <w:szCs w:val="16"/>
                <w:lang w:eastAsia="en-AU"/>
              </w:rPr>
            </w:pPr>
            <w:r w:rsidRPr="00023820">
              <w:rPr>
                <w:rFonts w:eastAsiaTheme="minorEastAsia" w:cs="Calibri"/>
                <w:b/>
                <w:bCs/>
                <w:color w:val="000000"/>
                <w:szCs w:val="16"/>
                <w:lang w:eastAsia="en-AU"/>
              </w:rPr>
              <w:t>Other economic flows included in net result</w:t>
            </w:r>
          </w:p>
        </w:tc>
        <w:tc>
          <w:tcPr>
            <w:tcW w:w="817" w:type="dxa"/>
            <w:gridSpan w:val="3"/>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023820">
              <w:rPr>
                <w:rFonts w:eastAsiaTheme="minorEastAsia" w:cs="Calibri"/>
                <w:b/>
                <w:bCs/>
                <w:color w:val="000000"/>
                <w:lang w:eastAsia="en-AU"/>
              </w:rPr>
              <w:t xml:space="preserve"> </w:t>
            </w:r>
          </w:p>
        </w:tc>
        <w:tc>
          <w:tcPr>
            <w:tcW w:w="816"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023820">
              <w:rPr>
                <w:rFonts w:eastAsiaTheme="minorEastAsia" w:cs="Calibri"/>
                <w:b/>
                <w:bCs/>
                <w:color w:val="000000"/>
                <w:lang w:eastAsia="en-AU"/>
              </w:rPr>
              <w:t xml:space="preserve"> </w:t>
            </w:r>
          </w:p>
        </w:tc>
        <w:tc>
          <w:tcPr>
            <w:tcW w:w="816"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023820">
              <w:rPr>
                <w:rFonts w:eastAsiaTheme="minorEastAsia" w:cs="Calibri"/>
                <w:b/>
                <w:bCs/>
                <w:color w:val="000000"/>
                <w:lang w:eastAsia="en-AU"/>
              </w:rPr>
              <w:t xml:space="preserve"> </w:t>
            </w:r>
          </w:p>
        </w:tc>
        <w:tc>
          <w:tcPr>
            <w:tcW w:w="816"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023820">
              <w:rPr>
                <w:rFonts w:eastAsiaTheme="minorEastAsia" w:cs="Calibri"/>
                <w:b/>
                <w:bCs/>
                <w:color w:val="000000"/>
                <w:lang w:eastAsia="en-AU"/>
              </w:rPr>
              <w:t xml:space="preserve"> </w:t>
            </w:r>
          </w:p>
        </w:tc>
        <w:tc>
          <w:tcPr>
            <w:tcW w:w="816"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023820">
              <w:rPr>
                <w:rFonts w:eastAsiaTheme="minorEastAsia" w:cs="Calibri"/>
                <w:b/>
                <w:bCs/>
                <w:color w:val="000000"/>
                <w:lang w:eastAsia="en-AU"/>
              </w:rPr>
              <w:t xml:space="preserve"> </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3679" w:type="dxa"/>
            <w:tcBorders>
              <w:top w:val="nil"/>
              <w:left w:val="nil"/>
              <w:bottom w:val="nil"/>
              <w:right w:val="nil"/>
            </w:tcBorders>
          </w:tcPr>
          <w:p w:rsidR="00A46DCA" w:rsidRPr="00023820" w:rsidRDefault="00A46DCA" w:rsidP="00A26D04">
            <w:pPr>
              <w:keepLines w:val="0"/>
              <w:autoSpaceDE w:val="0"/>
              <w:autoSpaceDN w:val="0"/>
              <w:adjustRightInd w:val="0"/>
              <w:rPr>
                <w:rFonts w:eastAsiaTheme="minorEastAsia" w:cs="Calibri"/>
                <w:color w:val="000000"/>
                <w:szCs w:val="16"/>
                <w:lang w:eastAsia="en-AU"/>
              </w:rPr>
            </w:pPr>
            <w:r w:rsidRPr="00023820">
              <w:rPr>
                <w:rFonts w:eastAsiaTheme="minorEastAsia" w:cs="Calibri"/>
                <w:color w:val="000000"/>
                <w:szCs w:val="16"/>
                <w:lang w:eastAsia="en-AU"/>
              </w:rPr>
              <w:t xml:space="preserve">Net gain/(loss) on financial assets or liabilities </w:t>
            </w:r>
            <w:r w:rsidR="008E5E35">
              <w:rPr>
                <w:rFonts w:eastAsiaTheme="minorEastAsia" w:cs="Calibri"/>
                <w:color w:val="000000"/>
                <w:szCs w:val="16"/>
                <w:lang w:eastAsia="en-AU"/>
              </w:rPr>
              <w:br/>
            </w:r>
            <w:r w:rsidRPr="00023820">
              <w:rPr>
                <w:rFonts w:eastAsiaTheme="minorEastAsia" w:cs="Calibri"/>
                <w:color w:val="000000"/>
                <w:szCs w:val="16"/>
                <w:lang w:eastAsia="en-AU"/>
              </w:rPr>
              <w:t>at fair value</w:t>
            </w:r>
          </w:p>
        </w:tc>
        <w:tc>
          <w:tcPr>
            <w:tcW w:w="817" w:type="dxa"/>
            <w:gridSpan w:val="3"/>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023820">
              <w:rPr>
                <w:rFonts w:eastAsiaTheme="minorEastAsia" w:cs="Arial"/>
                <w:color w:val="000000"/>
                <w:szCs w:val="18"/>
                <w:lang w:eastAsia="en-AU"/>
              </w:rPr>
              <w:t>1 087</w:t>
            </w:r>
          </w:p>
        </w:tc>
        <w:tc>
          <w:tcPr>
            <w:tcW w:w="816"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023820">
              <w:rPr>
                <w:rFonts w:eastAsiaTheme="minorEastAsia" w:cs="Arial"/>
                <w:color w:val="000000"/>
                <w:szCs w:val="18"/>
                <w:lang w:eastAsia="en-AU"/>
              </w:rPr>
              <w:t>1 349</w:t>
            </w:r>
          </w:p>
        </w:tc>
        <w:tc>
          <w:tcPr>
            <w:tcW w:w="816"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832</w:t>
            </w:r>
          </w:p>
        </w:tc>
        <w:tc>
          <w:tcPr>
            <w:tcW w:w="816"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845</w:t>
            </w:r>
          </w:p>
        </w:tc>
        <w:tc>
          <w:tcPr>
            <w:tcW w:w="816"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936</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3679" w:type="dxa"/>
            <w:tcBorders>
              <w:top w:val="nil"/>
              <w:left w:val="nil"/>
              <w:bottom w:val="nil"/>
              <w:right w:val="nil"/>
            </w:tcBorders>
          </w:tcPr>
          <w:p w:rsidR="00A46DCA" w:rsidRPr="00023820" w:rsidRDefault="00A46DCA" w:rsidP="00A26D04">
            <w:pPr>
              <w:keepLines w:val="0"/>
              <w:autoSpaceDE w:val="0"/>
              <w:autoSpaceDN w:val="0"/>
              <w:adjustRightInd w:val="0"/>
              <w:rPr>
                <w:rFonts w:eastAsiaTheme="minorEastAsia" w:cs="Calibri"/>
                <w:color w:val="000000"/>
                <w:szCs w:val="16"/>
                <w:lang w:eastAsia="en-AU"/>
              </w:rPr>
            </w:pPr>
            <w:r w:rsidRPr="00023820">
              <w:rPr>
                <w:rFonts w:eastAsiaTheme="minorEastAsia" w:cs="Calibri"/>
                <w:color w:val="000000"/>
                <w:szCs w:val="16"/>
                <w:lang w:eastAsia="en-AU"/>
              </w:rPr>
              <w:t>Other gains/(losses) from other economic flows</w:t>
            </w:r>
          </w:p>
        </w:tc>
        <w:tc>
          <w:tcPr>
            <w:tcW w:w="817" w:type="dxa"/>
            <w:gridSpan w:val="3"/>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792</w:t>
            </w:r>
          </w:p>
        </w:tc>
        <w:tc>
          <w:tcPr>
            <w:tcW w:w="816"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023820">
              <w:rPr>
                <w:rFonts w:eastAsiaTheme="minorEastAsia" w:cs="Arial"/>
                <w:color w:val="000000"/>
                <w:szCs w:val="18"/>
                <w:lang w:eastAsia="en-AU"/>
              </w:rPr>
              <w:t>1 150</w:t>
            </w:r>
          </w:p>
        </w:tc>
        <w:tc>
          <w:tcPr>
            <w:tcW w:w="816"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877</w:t>
            </w:r>
          </w:p>
        </w:tc>
        <w:tc>
          <w:tcPr>
            <w:tcW w:w="816"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922</w:t>
            </w:r>
          </w:p>
        </w:tc>
        <w:tc>
          <w:tcPr>
            <w:tcW w:w="816"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984</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3906" w:type="dxa"/>
            <w:gridSpan w:val="2"/>
            <w:tcBorders>
              <w:top w:val="single" w:sz="6" w:space="0" w:color="000000"/>
              <w:left w:val="nil"/>
              <w:bottom w:val="nil"/>
              <w:right w:val="nil"/>
            </w:tcBorders>
          </w:tcPr>
          <w:p w:rsidR="00A46DCA" w:rsidRPr="00023820" w:rsidRDefault="00A46DCA" w:rsidP="00A26D04">
            <w:pPr>
              <w:keepLines w:val="0"/>
              <w:autoSpaceDE w:val="0"/>
              <w:autoSpaceDN w:val="0"/>
              <w:adjustRightInd w:val="0"/>
              <w:rPr>
                <w:rFonts w:eastAsiaTheme="minorEastAsia" w:cs="Calibri"/>
                <w:b/>
                <w:bCs/>
                <w:color w:val="000000"/>
                <w:szCs w:val="16"/>
                <w:lang w:eastAsia="en-AU"/>
              </w:rPr>
            </w:pPr>
            <w:r w:rsidRPr="00023820">
              <w:rPr>
                <w:rFonts w:eastAsiaTheme="minorEastAsia" w:cs="Calibri"/>
                <w:b/>
                <w:bCs/>
                <w:color w:val="000000"/>
                <w:szCs w:val="16"/>
                <w:lang w:eastAsia="en-AU"/>
              </w:rPr>
              <w:t>Total other economic flows included in net result</w:t>
            </w:r>
          </w:p>
        </w:tc>
        <w:tc>
          <w:tcPr>
            <w:tcW w:w="590" w:type="dxa"/>
            <w:gridSpan w:val="2"/>
            <w:tcBorders>
              <w:top w:val="single" w:sz="6" w:space="0" w:color="000000"/>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sidRPr="00023820">
              <w:rPr>
                <w:rFonts w:eastAsiaTheme="minorEastAsia" w:cs="Arial"/>
                <w:b/>
                <w:bCs/>
                <w:color w:val="000000"/>
                <w:szCs w:val="18"/>
                <w:lang w:eastAsia="en-AU"/>
              </w:rPr>
              <w:t>1 879</w:t>
            </w:r>
          </w:p>
        </w:tc>
        <w:tc>
          <w:tcPr>
            <w:tcW w:w="816" w:type="dxa"/>
            <w:tcBorders>
              <w:top w:val="single" w:sz="6" w:space="0" w:color="000000"/>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sidRPr="00023820">
              <w:rPr>
                <w:rFonts w:eastAsiaTheme="minorEastAsia" w:cs="Arial"/>
                <w:b/>
                <w:bCs/>
                <w:color w:val="000000"/>
                <w:szCs w:val="18"/>
                <w:lang w:eastAsia="en-AU"/>
              </w:rPr>
              <w:t>2 498</w:t>
            </w:r>
          </w:p>
        </w:tc>
        <w:tc>
          <w:tcPr>
            <w:tcW w:w="816" w:type="dxa"/>
            <w:tcBorders>
              <w:top w:val="single" w:sz="6" w:space="0" w:color="000000"/>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sidRPr="00023820">
              <w:rPr>
                <w:rFonts w:eastAsiaTheme="minorEastAsia" w:cs="Arial"/>
                <w:b/>
                <w:bCs/>
                <w:color w:val="000000"/>
                <w:szCs w:val="18"/>
                <w:lang w:eastAsia="en-AU"/>
              </w:rPr>
              <w:t>1 710</w:t>
            </w:r>
          </w:p>
        </w:tc>
        <w:tc>
          <w:tcPr>
            <w:tcW w:w="816" w:type="dxa"/>
            <w:tcBorders>
              <w:top w:val="single" w:sz="6" w:space="0" w:color="000000"/>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sidRPr="00023820">
              <w:rPr>
                <w:rFonts w:eastAsiaTheme="minorEastAsia" w:cs="Arial"/>
                <w:b/>
                <w:bCs/>
                <w:color w:val="000000"/>
                <w:szCs w:val="18"/>
                <w:lang w:eastAsia="en-AU"/>
              </w:rPr>
              <w:t>1 767</w:t>
            </w:r>
          </w:p>
        </w:tc>
        <w:tc>
          <w:tcPr>
            <w:tcW w:w="816" w:type="dxa"/>
            <w:tcBorders>
              <w:top w:val="single" w:sz="6" w:space="0" w:color="000000"/>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sidRPr="00023820">
              <w:rPr>
                <w:rFonts w:eastAsiaTheme="minorEastAsia" w:cs="Arial"/>
                <w:b/>
                <w:bCs/>
                <w:color w:val="000000"/>
                <w:szCs w:val="18"/>
                <w:lang w:eastAsia="en-AU"/>
              </w:rPr>
              <w:t>1 919</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3679" w:type="dxa"/>
            <w:tcBorders>
              <w:top w:val="single" w:sz="6" w:space="0" w:color="000000"/>
              <w:left w:val="nil"/>
              <w:bottom w:val="single" w:sz="12" w:space="0" w:color="000000"/>
              <w:right w:val="nil"/>
            </w:tcBorders>
          </w:tcPr>
          <w:p w:rsidR="00A46DCA" w:rsidRPr="00023820" w:rsidRDefault="00A46DCA" w:rsidP="00A26D04">
            <w:pPr>
              <w:keepLines w:val="0"/>
              <w:autoSpaceDE w:val="0"/>
              <w:autoSpaceDN w:val="0"/>
              <w:adjustRightInd w:val="0"/>
              <w:rPr>
                <w:rFonts w:eastAsiaTheme="minorEastAsia" w:cs="Calibri"/>
                <w:b/>
                <w:bCs/>
                <w:color w:val="000000"/>
                <w:szCs w:val="16"/>
                <w:lang w:eastAsia="en-AU"/>
              </w:rPr>
            </w:pPr>
            <w:r w:rsidRPr="00023820">
              <w:rPr>
                <w:rFonts w:eastAsiaTheme="minorEastAsia" w:cs="Calibri"/>
                <w:b/>
                <w:bCs/>
                <w:color w:val="000000"/>
                <w:szCs w:val="16"/>
                <w:lang w:eastAsia="en-AU"/>
              </w:rPr>
              <w:t>Net result</w:t>
            </w:r>
          </w:p>
        </w:tc>
        <w:tc>
          <w:tcPr>
            <w:tcW w:w="817" w:type="dxa"/>
            <w:gridSpan w:val="3"/>
            <w:tcBorders>
              <w:top w:val="single" w:sz="6" w:space="0" w:color="000000"/>
              <w:left w:val="nil"/>
              <w:bottom w:val="single" w:sz="12" w:space="0" w:color="000000"/>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Pr>
                <w:rFonts w:eastAsiaTheme="minorEastAsia" w:cs="Arial"/>
                <w:b/>
                <w:bCs/>
                <w:color w:val="000000"/>
                <w:szCs w:val="18"/>
                <w:lang w:eastAsia="en-AU"/>
              </w:rPr>
              <w:t>134</w:t>
            </w:r>
          </w:p>
        </w:tc>
        <w:tc>
          <w:tcPr>
            <w:tcW w:w="816" w:type="dxa"/>
            <w:tcBorders>
              <w:top w:val="single" w:sz="6" w:space="0" w:color="000000"/>
              <w:left w:val="nil"/>
              <w:bottom w:val="single" w:sz="12" w:space="0" w:color="000000"/>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Pr>
                <w:rFonts w:eastAsiaTheme="minorEastAsia" w:cs="Arial"/>
                <w:b/>
                <w:bCs/>
                <w:color w:val="000000"/>
                <w:szCs w:val="18"/>
                <w:lang w:eastAsia="en-AU"/>
              </w:rPr>
              <w:t>613</w:t>
            </w:r>
          </w:p>
        </w:tc>
        <w:tc>
          <w:tcPr>
            <w:tcW w:w="816" w:type="dxa"/>
            <w:tcBorders>
              <w:top w:val="single" w:sz="6" w:space="0" w:color="000000"/>
              <w:left w:val="nil"/>
              <w:bottom w:val="single" w:sz="12" w:space="0" w:color="000000"/>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Pr>
                <w:rFonts w:eastAsiaTheme="minorEastAsia" w:cs="Arial"/>
                <w:b/>
                <w:bCs/>
                <w:color w:val="000000"/>
                <w:szCs w:val="18"/>
                <w:lang w:eastAsia="en-AU"/>
              </w:rPr>
              <w:t>(106)</w:t>
            </w:r>
          </w:p>
        </w:tc>
        <w:tc>
          <w:tcPr>
            <w:tcW w:w="816" w:type="dxa"/>
            <w:tcBorders>
              <w:top w:val="single" w:sz="6" w:space="0" w:color="000000"/>
              <w:left w:val="nil"/>
              <w:bottom w:val="single" w:sz="12" w:space="0" w:color="000000"/>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Pr>
                <w:rFonts w:eastAsiaTheme="minorEastAsia" w:cs="Arial"/>
                <w:b/>
                <w:bCs/>
                <w:color w:val="000000"/>
                <w:szCs w:val="18"/>
                <w:lang w:eastAsia="en-AU"/>
              </w:rPr>
              <w:t>(76)</w:t>
            </w:r>
          </w:p>
        </w:tc>
        <w:tc>
          <w:tcPr>
            <w:tcW w:w="816" w:type="dxa"/>
            <w:tcBorders>
              <w:top w:val="single" w:sz="6" w:space="0" w:color="000000"/>
              <w:left w:val="nil"/>
              <w:bottom w:val="single" w:sz="12" w:space="0" w:color="000000"/>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Pr>
                <w:rFonts w:eastAsiaTheme="minorEastAsia" w:cs="Arial"/>
                <w:b/>
                <w:bCs/>
                <w:color w:val="000000"/>
                <w:szCs w:val="18"/>
                <w:lang w:eastAsia="en-AU"/>
              </w:rPr>
              <w:t>81</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4110" w:type="dxa"/>
            <w:gridSpan w:val="3"/>
            <w:tcBorders>
              <w:top w:val="nil"/>
              <w:left w:val="nil"/>
              <w:bottom w:val="nil"/>
              <w:right w:val="nil"/>
            </w:tcBorders>
          </w:tcPr>
          <w:p w:rsidR="00A46DCA" w:rsidRPr="00023820" w:rsidRDefault="00A46DCA" w:rsidP="00A26D04">
            <w:pPr>
              <w:keepLines w:val="0"/>
              <w:autoSpaceDE w:val="0"/>
              <w:autoSpaceDN w:val="0"/>
              <w:adjustRightInd w:val="0"/>
              <w:rPr>
                <w:rFonts w:eastAsiaTheme="minorEastAsia" w:cs="Calibri"/>
                <w:b/>
                <w:bCs/>
                <w:color w:val="000000"/>
                <w:szCs w:val="16"/>
                <w:lang w:eastAsia="en-AU"/>
              </w:rPr>
            </w:pPr>
            <w:r w:rsidRPr="00023820">
              <w:rPr>
                <w:rFonts w:eastAsiaTheme="minorEastAsia" w:cs="Calibri"/>
                <w:b/>
                <w:bCs/>
                <w:color w:val="000000"/>
                <w:szCs w:val="16"/>
                <w:lang w:eastAsia="en-AU"/>
              </w:rPr>
              <w:t>Other economic flows – other comprehensive income</w:t>
            </w:r>
          </w:p>
        </w:tc>
        <w:tc>
          <w:tcPr>
            <w:tcW w:w="386"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023820">
              <w:rPr>
                <w:rFonts w:eastAsiaTheme="minorEastAsia" w:cs="Calibri"/>
                <w:b/>
                <w:bCs/>
                <w:color w:val="000000"/>
                <w:lang w:eastAsia="en-AU"/>
              </w:rPr>
              <w:t xml:space="preserve"> </w:t>
            </w:r>
          </w:p>
        </w:tc>
        <w:tc>
          <w:tcPr>
            <w:tcW w:w="816"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023820">
              <w:rPr>
                <w:rFonts w:eastAsiaTheme="minorEastAsia" w:cs="Calibri"/>
                <w:b/>
                <w:bCs/>
                <w:color w:val="000000"/>
                <w:lang w:eastAsia="en-AU"/>
              </w:rPr>
              <w:t xml:space="preserve"> </w:t>
            </w:r>
          </w:p>
        </w:tc>
        <w:tc>
          <w:tcPr>
            <w:tcW w:w="816"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023820">
              <w:rPr>
                <w:rFonts w:eastAsiaTheme="minorEastAsia" w:cs="Calibri"/>
                <w:b/>
                <w:bCs/>
                <w:color w:val="000000"/>
                <w:lang w:eastAsia="en-AU"/>
              </w:rPr>
              <w:t xml:space="preserve"> </w:t>
            </w:r>
          </w:p>
        </w:tc>
        <w:tc>
          <w:tcPr>
            <w:tcW w:w="816"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023820">
              <w:rPr>
                <w:rFonts w:eastAsiaTheme="minorEastAsia" w:cs="Calibri"/>
                <w:b/>
                <w:bCs/>
                <w:color w:val="000000"/>
                <w:lang w:eastAsia="en-AU"/>
              </w:rPr>
              <w:t xml:space="preserve"> </w:t>
            </w:r>
          </w:p>
        </w:tc>
        <w:tc>
          <w:tcPr>
            <w:tcW w:w="816"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023820">
              <w:rPr>
                <w:rFonts w:eastAsiaTheme="minorEastAsia" w:cs="Calibri"/>
                <w:b/>
                <w:bCs/>
                <w:color w:val="000000"/>
                <w:lang w:eastAsia="en-AU"/>
              </w:rPr>
              <w:t xml:space="preserve"> </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3679" w:type="dxa"/>
            <w:tcBorders>
              <w:top w:val="nil"/>
              <w:left w:val="nil"/>
              <w:bottom w:val="nil"/>
              <w:right w:val="nil"/>
            </w:tcBorders>
          </w:tcPr>
          <w:p w:rsidR="00A46DCA" w:rsidRPr="00023820" w:rsidRDefault="00A46DCA" w:rsidP="00A26D04">
            <w:pPr>
              <w:keepLines w:val="0"/>
              <w:autoSpaceDE w:val="0"/>
              <w:autoSpaceDN w:val="0"/>
              <w:adjustRightInd w:val="0"/>
              <w:rPr>
                <w:rFonts w:eastAsiaTheme="minorEastAsia" w:cs="Calibri"/>
                <w:b/>
                <w:bCs/>
                <w:color w:val="000000"/>
                <w:szCs w:val="16"/>
                <w:lang w:eastAsia="en-AU"/>
              </w:rPr>
            </w:pPr>
            <w:r w:rsidRPr="00023820">
              <w:rPr>
                <w:rFonts w:eastAsiaTheme="minorEastAsia" w:cs="Calibri"/>
                <w:b/>
                <w:bCs/>
                <w:color w:val="000000"/>
                <w:szCs w:val="16"/>
                <w:lang w:eastAsia="en-AU"/>
              </w:rPr>
              <w:t>Items that will not be reclassified to net result</w:t>
            </w:r>
          </w:p>
        </w:tc>
        <w:tc>
          <w:tcPr>
            <w:tcW w:w="817" w:type="dxa"/>
            <w:gridSpan w:val="3"/>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023820">
              <w:rPr>
                <w:rFonts w:eastAsiaTheme="minorEastAsia" w:cs="Calibri"/>
                <w:b/>
                <w:bCs/>
                <w:color w:val="000000"/>
                <w:lang w:eastAsia="en-AU"/>
              </w:rPr>
              <w:t xml:space="preserve"> </w:t>
            </w:r>
          </w:p>
        </w:tc>
        <w:tc>
          <w:tcPr>
            <w:tcW w:w="816"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023820">
              <w:rPr>
                <w:rFonts w:eastAsiaTheme="minorEastAsia" w:cs="Calibri"/>
                <w:b/>
                <w:bCs/>
                <w:color w:val="000000"/>
                <w:lang w:eastAsia="en-AU"/>
              </w:rPr>
              <w:t xml:space="preserve"> </w:t>
            </w:r>
          </w:p>
        </w:tc>
        <w:tc>
          <w:tcPr>
            <w:tcW w:w="816"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023820">
              <w:rPr>
                <w:rFonts w:eastAsiaTheme="minorEastAsia" w:cs="Calibri"/>
                <w:b/>
                <w:bCs/>
                <w:color w:val="000000"/>
                <w:lang w:eastAsia="en-AU"/>
              </w:rPr>
              <w:t xml:space="preserve"> </w:t>
            </w:r>
          </w:p>
        </w:tc>
        <w:tc>
          <w:tcPr>
            <w:tcW w:w="816"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023820">
              <w:rPr>
                <w:rFonts w:eastAsiaTheme="minorEastAsia" w:cs="Calibri"/>
                <w:b/>
                <w:bCs/>
                <w:color w:val="000000"/>
                <w:lang w:eastAsia="en-AU"/>
              </w:rPr>
              <w:t xml:space="preserve"> </w:t>
            </w:r>
          </w:p>
        </w:tc>
        <w:tc>
          <w:tcPr>
            <w:tcW w:w="816"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023820">
              <w:rPr>
                <w:rFonts w:eastAsiaTheme="minorEastAsia" w:cs="Calibri"/>
                <w:b/>
                <w:bCs/>
                <w:color w:val="000000"/>
                <w:lang w:eastAsia="en-AU"/>
              </w:rPr>
              <w:t xml:space="preserve"> </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3679" w:type="dxa"/>
            <w:tcBorders>
              <w:top w:val="nil"/>
              <w:left w:val="nil"/>
              <w:bottom w:val="nil"/>
              <w:right w:val="nil"/>
            </w:tcBorders>
          </w:tcPr>
          <w:p w:rsidR="00A46DCA" w:rsidRPr="00023820" w:rsidRDefault="00A46DCA" w:rsidP="008E5E35">
            <w:pPr>
              <w:keepLines w:val="0"/>
              <w:autoSpaceDE w:val="0"/>
              <w:autoSpaceDN w:val="0"/>
              <w:adjustRightInd w:val="0"/>
              <w:rPr>
                <w:rFonts w:eastAsiaTheme="minorEastAsia" w:cs="Calibri"/>
                <w:color w:val="000000"/>
                <w:szCs w:val="16"/>
                <w:lang w:eastAsia="en-AU"/>
              </w:rPr>
            </w:pPr>
            <w:r w:rsidRPr="00023820">
              <w:rPr>
                <w:rFonts w:eastAsiaTheme="minorEastAsia" w:cs="Calibri"/>
                <w:color w:val="000000"/>
                <w:szCs w:val="16"/>
                <w:lang w:eastAsia="en-AU"/>
              </w:rPr>
              <w:t>Net gain/(loss) on financial assets at fair value</w:t>
            </w:r>
          </w:p>
        </w:tc>
        <w:tc>
          <w:tcPr>
            <w:tcW w:w="817" w:type="dxa"/>
            <w:gridSpan w:val="3"/>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2</w:t>
            </w:r>
          </w:p>
        </w:tc>
        <w:tc>
          <w:tcPr>
            <w:tcW w:w="816"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2</w:t>
            </w:r>
          </w:p>
        </w:tc>
        <w:tc>
          <w:tcPr>
            <w:tcW w:w="816"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2</w:t>
            </w:r>
          </w:p>
        </w:tc>
        <w:tc>
          <w:tcPr>
            <w:tcW w:w="816"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2</w:t>
            </w:r>
          </w:p>
        </w:tc>
        <w:tc>
          <w:tcPr>
            <w:tcW w:w="816"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2</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3679" w:type="dxa"/>
            <w:tcBorders>
              <w:top w:val="single" w:sz="6" w:space="0" w:color="000000"/>
              <w:left w:val="nil"/>
              <w:bottom w:val="nil"/>
              <w:right w:val="nil"/>
            </w:tcBorders>
          </w:tcPr>
          <w:p w:rsidR="00A46DCA" w:rsidRPr="00023820" w:rsidRDefault="00A46DCA" w:rsidP="008E5E35">
            <w:pPr>
              <w:keepLines w:val="0"/>
              <w:autoSpaceDE w:val="0"/>
              <w:autoSpaceDN w:val="0"/>
              <w:adjustRightInd w:val="0"/>
              <w:rPr>
                <w:rFonts w:eastAsiaTheme="minorEastAsia" w:cs="Calibri"/>
                <w:b/>
                <w:bCs/>
                <w:color w:val="000000"/>
                <w:szCs w:val="16"/>
                <w:lang w:eastAsia="en-AU"/>
              </w:rPr>
            </w:pPr>
            <w:r w:rsidRPr="00023820">
              <w:rPr>
                <w:rFonts w:eastAsiaTheme="minorEastAsia" w:cs="Calibri"/>
                <w:b/>
                <w:bCs/>
                <w:color w:val="000000"/>
                <w:szCs w:val="16"/>
                <w:lang w:eastAsia="en-AU"/>
              </w:rPr>
              <w:t xml:space="preserve">Total other economic flows – </w:t>
            </w:r>
            <w:r w:rsidR="008E5E35">
              <w:rPr>
                <w:rFonts w:eastAsiaTheme="minorEastAsia" w:cs="Calibri"/>
                <w:b/>
                <w:bCs/>
                <w:color w:val="000000"/>
                <w:szCs w:val="16"/>
                <w:lang w:eastAsia="en-AU"/>
              </w:rPr>
              <w:br/>
            </w:r>
            <w:r w:rsidRPr="00023820">
              <w:rPr>
                <w:rFonts w:eastAsiaTheme="minorEastAsia" w:cs="Calibri"/>
                <w:b/>
                <w:bCs/>
                <w:color w:val="000000"/>
                <w:szCs w:val="16"/>
                <w:lang w:eastAsia="en-AU"/>
              </w:rPr>
              <w:t>other comprehensive income</w:t>
            </w:r>
          </w:p>
        </w:tc>
        <w:tc>
          <w:tcPr>
            <w:tcW w:w="817" w:type="dxa"/>
            <w:gridSpan w:val="3"/>
            <w:tcBorders>
              <w:top w:val="single" w:sz="6" w:space="0" w:color="000000"/>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Pr>
                <w:rFonts w:eastAsiaTheme="minorEastAsia" w:cs="Arial"/>
                <w:b/>
                <w:bCs/>
                <w:color w:val="000000"/>
                <w:szCs w:val="18"/>
                <w:lang w:eastAsia="en-AU"/>
              </w:rPr>
              <w:t>2</w:t>
            </w:r>
          </w:p>
        </w:tc>
        <w:tc>
          <w:tcPr>
            <w:tcW w:w="816" w:type="dxa"/>
            <w:tcBorders>
              <w:top w:val="single" w:sz="6" w:space="0" w:color="000000"/>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Pr>
                <w:rFonts w:eastAsiaTheme="minorEastAsia" w:cs="Arial"/>
                <w:b/>
                <w:bCs/>
                <w:color w:val="000000"/>
                <w:szCs w:val="18"/>
                <w:lang w:eastAsia="en-AU"/>
              </w:rPr>
              <w:t>2</w:t>
            </w:r>
          </w:p>
        </w:tc>
        <w:tc>
          <w:tcPr>
            <w:tcW w:w="816" w:type="dxa"/>
            <w:tcBorders>
              <w:top w:val="single" w:sz="6" w:space="0" w:color="000000"/>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Pr>
                <w:rFonts w:eastAsiaTheme="minorEastAsia" w:cs="Arial"/>
                <w:b/>
                <w:bCs/>
                <w:color w:val="000000"/>
                <w:szCs w:val="18"/>
                <w:lang w:eastAsia="en-AU"/>
              </w:rPr>
              <w:t>3</w:t>
            </w:r>
          </w:p>
        </w:tc>
        <w:tc>
          <w:tcPr>
            <w:tcW w:w="816" w:type="dxa"/>
            <w:tcBorders>
              <w:top w:val="single" w:sz="6" w:space="0" w:color="000000"/>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Pr>
                <w:rFonts w:eastAsiaTheme="minorEastAsia" w:cs="Arial"/>
                <w:b/>
                <w:bCs/>
                <w:color w:val="000000"/>
                <w:szCs w:val="18"/>
                <w:lang w:eastAsia="en-AU"/>
              </w:rPr>
              <w:t>3</w:t>
            </w:r>
          </w:p>
        </w:tc>
        <w:tc>
          <w:tcPr>
            <w:tcW w:w="816" w:type="dxa"/>
            <w:tcBorders>
              <w:top w:val="single" w:sz="6" w:space="0" w:color="000000"/>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Pr>
                <w:rFonts w:eastAsiaTheme="minorEastAsia" w:cs="Arial"/>
                <w:b/>
                <w:bCs/>
                <w:color w:val="000000"/>
                <w:szCs w:val="18"/>
                <w:lang w:eastAsia="en-AU"/>
              </w:rPr>
              <w:t>3</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3679" w:type="dxa"/>
            <w:tcBorders>
              <w:top w:val="single" w:sz="6" w:space="0" w:color="000000"/>
              <w:left w:val="nil"/>
              <w:bottom w:val="single" w:sz="12" w:space="0" w:color="000000"/>
              <w:right w:val="nil"/>
            </w:tcBorders>
          </w:tcPr>
          <w:p w:rsidR="00A46DCA" w:rsidRPr="00023820" w:rsidRDefault="00A46DCA" w:rsidP="00A26D04">
            <w:pPr>
              <w:keepLines w:val="0"/>
              <w:autoSpaceDE w:val="0"/>
              <w:autoSpaceDN w:val="0"/>
              <w:adjustRightInd w:val="0"/>
              <w:rPr>
                <w:rFonts w:eastAsiaTheme="minorEastAsia" w:cs="Calibri"/>
                <w:b/>
                <w:bCs/>
                <w:color w:val="000000"/>
                <w:szCs w:val="16"/>
                <w:lang w:eastAsia="en-AU"/>
              </w:rPr>
            </w:pPr>
            <w:r w:rsidRPr="00023820">
              <w:rPr>
                <w:rFonts w:eastAsiaTheme="minorEastAsia" w:cs="Calibri"/>
                <w:b/>
                <w:bCs/>
                <w:color w:val="000000"/>
                <w:szCs w:val="16"/>
                <w:lang w:eastAsia="en-AU"/>
              </w:rPr>
              <w:t>Comprehensive result – total change in net worth</w:t>
            </w:r>
          </w:p>
        </w:tc>
        <w:tc>
          <w:tcPr>
            <w:tcW w:w="817" w:type="dxa"/>
            <w:gridSpan w:val="3"/>
            <w:tcBorders>
              <w:top w:val="single" w:sz="6" w:space="0" w:color="000000"/>
              <w:left w:val="nil"/>
              <w:bottom w:val="single" w:sz="12" w:space="0" w:color="000000"/>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Pr>
                <w:rFonts w:eastAsiaTheme="minorEastAsia" w:cs="Arial"/>
                <w:b/>
                <w:bCs/>
                <w:color w:val="000000"/>
                <w:szCs w:val="18"/>
                <w:lang w:eastAsia="en-AU"/>
              </w:rPr>
              <w:t>136</w:t>
            </w:r>
          </w:p>
        </w:tc>
        <w:tc>
          <w:tcPr>
            <w:tcW w:w="816" w:type="dxa"/>
            <w:tcBorders>
              <w:top w:val="single" w:sz="6" w:space="0" w:color="000000"/>
              <w:left w:val="nil"/>
              <w:bottom w:val="single" w:sz="12" w:space="0" w:color="000000"/>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Pr>
                <w:rFonts w:eastAsiaTheme="minorEastAsia" w:cs="Arial"/>
                <w:b/>
                <w:bCs/>
                <w:color w:val="000000"/>
                <w:szCs w:val="18"/>
                <w:lang w:eastAsia="en-AU"/>
              </w:rPr>
              <w:t>615</w:t>
            </w:r>
          </w:p>
        </w:tc>
        <w:tc>
          <w:tcPr>
            <w:tcW w:w="816" w:type="dxa"/>
            <w:tcBorders>
              <w:top w:val="single" w:sz="6" w:space="0" w:color="000000"/>
              <w:left w:val="nil"/>
              <w:bottom w:val="single" w:sz="12" w:space="0" w:color="000000"/>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Pr>
                <w:rFonts w:eastAsiaTheme="minorEastAsia" w:cs="Arial"/>
                <w:b/>
                <w:bCs/>
                <w:color w:val="000000"/>
                <w:szCs w:val="18"/>
                <w:lang w:eastAsia="en-AU"/>
              </w:rPr>
              <w:t>(103)</w:t>
            </w:r>
          </w:p>
        </w:tc>
        <w:tc>
          <w:tcPr>
            <w:tcW w:w="816" w:type="dxa"/>
            <w:tcBorders>
              <w:top w:val="single" w:sz="6" w:space="0" w:color="000000"/>
              <w:left w:val="nil"/>
              <w:bottom w:val="single" w:sz="12" w:space="0" w:color="000000"/>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Pr>
                <w:rFonts w:eastAsiaTheme="minorEastAsia" w:cs="Arial"/>
                <w:b/>
                <w:bCs/>
                <w:color w:val="000000"/>
                <w:szCs w:val="18"/>
                <w:lang w:eastAsia="en-AU"/>
              </w:rPr>
              <w:t>(73)</w:t>
            </w:r>
          </w:p>
        </w:tc>
        <w:tc>
          <w:tcPr>
            <w:tcW w:w="816" w:type="dxa"/>
            <w:tcBorders>
              <w:top w:val="single" w:sz="6" w:space="0" w:color="000000"/>
              <w:left w:val="nil"/>
              <w:bottom w:val="single" w:sz="12" w:space="0" w:color="000000"/>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Pr>
                <w:rFonts w:eastAsiaTheme="minorEastAsia" w:cs="Arial"/>
                <w:b/>
                <w:bCs/>
                <w:color w:val="000000"/>
                <w:szCs w:val="18"/>
                <w:lang w:eastAsia="en-AU"/>
              </w:rPr>
              <w:t>84</w:t>
            </w:r>
          </w:p>
        </w:tc>
      </w:tr>
      <w:tr w:rsidR="00A46DCA" w:rsidRPr="00023820" w:rsidTr="00A26D04">
        <w:trPr>
          <w:trHeight w:hRule="exact" w:val="120"/>
        </w:trPr>
        <w:tc>
          <w:tcPr>
            <w:cnfStyle w:val="001000000000" w:firstRow="0" w:lastRow="0" w:firstColumn="1" w:lastColumn="0" w:oddVBand="0" w:evenVBand="0" w:oddHBand="0" w:evenHBand="0" w:firstRowFirstColumn="0" w:firstRowLastColumn="0" w:lastRowFirstColumn="0" w:lastRowLastColumn="0"/>
            <w:tcW w:w="3679" w:type="dxa"/>
            <w:tcBorders>
              <w:top w:val="nil"/>
              <w:left w:val="nil"/>
              <w:bottom w:val="nil"/>
              <w:right w:val="nil"/>
            </w:tcBorders>
          </w:tcPr>
          <w:p w:rsidR="00A46DCA" w:rsidRPr="00023820" w:rsidRDefault="00A46DCA" w:rsidP="00A26D04">
            <w:pPr>
              <w:keepLines w:val="0"/>
              <w:autoSpaceDE w:val="0"/>
              <w:autoSpaceDN w:val="0"/>
              <w:adjustRightInd w:val="0"/>
              <w:rPr>
                <w:rFonts w:eastAsiaTheme="minorEastAsia" w:cs="Calibri"/>
                <w:color w:val="000000"/>
                <w:lang w:eastAsia="en-AU"/>
              </w:rPr>
            </w:pPr>
            <w:r w:rsidRPr="00023820">
              <w:rPr>
                <w:rFonts w:eastAsiaTheme="minorEastAsia" w:cs="Calibri"/>
                <w:color w:val="000000"/>
                <w:lang w:eastAsia="en-AU"/>
              </w:rPr>
              <w:t xml:space="preserve"> </w:t>
            </w:r>
          </w:p>
        </w:tc>
        <w:tc>
          <w:tcPr>
            <w:tcW w:w="817" w:type="dxa"/>
            <w:gridSpan w:val="3"/>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023820">
              <w:rPr>
                <w:rFonts w:eastAsiaTheme="minorEastAsia" w:cs="Calibri"/>
                <w:color w:val="000000"/>
                <w:lang w:eastAsia="en-AU"/>
              </w:rPr>
              <w:t xml:space="preserve"> </w:t>
            </w:r>
          </w:p>
        </w:tc>
        <w:tc>
          <w:tcPr>
            <w:tcW w:w="816"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023820">
              <w:rPr>
                <w:rFonts w:eastAsiaTheme="minorEastAsia" w:cs="Calibri"/>
                <w:color w:val="000000"/>
                <w:lang w:eastAsia="en-AU"/>
              </w:rPr>
              <w:t xml:space="preserve"> </w:t>
            </w:r>
          </w:p>
        </w:tc>
        <w:tc>
          <w:tcPr>
            <w:tcW w:w="816"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023820">
              <w:rPr>
                <w:rFonts w:eastAsiaTheme="minorEastAsia" w:cs="Calibri"/>
                <w:color w:val="000000"/>
                <w:lang w:eastAsia="en-AU"/>
              </w:rPr>
              <w:t xml:space="preserve"> </w:t>
            </w:r>
          </w:p>
        </w:tc>
        <w:tc>
          <w:tcPr>
            <w:tcW w:w="816"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023820">
              <w:rPr>
                <w:rFonts w:eastAsiaTheme="minorEastAsia" w:cs="Calibri"/>
                <w:color w:val="000000"/>
                <w:lang w:eastAsia="en-AU"/>
              </w:rPr>
              <w:t xml:space="preserve"> </w:t>
            </w:r>
          </w:p>
        </w:tc>
        <w:tc>
          <w:tcPr>
            <w:tcW w:w="816"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023820">
              <w:rPr>
                <w:rFonts w:eastAsiaTheme="minorEastAsia" w:cs="Calibri"/>
                <w:color w:val="000000"/>
                <w:lang w:eastAsia="en-AU"/>
              </w:rPr>
              <w:t xml:space="preserve"> </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3679" w:type="dxa"/>
            <w:tcBorders>
              <w:top w:val="nil"/>
              <w:left w:val="nil"/>
              <w:bottom w:val="nil"/>
              <w:right w:val="nil"/>
            </w:tcBorders>
          </w:tcPr>
          <w:p w:rsidR="00A46DCA" w:rsidRPr="00023820" w:rsidRDefault="00A46DCA" w:rsidP="00A26D04">
            <w:pPr>
              <w:keepLines w:val="0"/>
              <w:autoSpaceDE w:val="0"/>
              <w:autoSpaceDN w:val="0"/>
              <w:adjustRightInd w:val="0"/>
              <w:rPr>
                <w:rFonts w:eastAsiaTheme="minorEastAsia" w:cs="Calibri"/>
                <w:b/>
                <w:bCs/>
                <w:color w:val="000000"/>
                <w:szCs w:val="16"/>
                <w:lang w:eastAsia="en-AU"/>
              </w:rPr>
            </w:pPr>
            <w:r w:rsidRPr="00023820">
              <w:rPr>
                <w:rFonts w:eastAsiaTheme="minorEastAsia" w:cs="Calibri"/>
                <w:b/>
                <w:bCs/>
                <w:color w:val="000000"/>
                <w:szCs w:val="16"/>
                <w:lang w:eastAsia="en-AU"/>
              </w:rPr>
              <w:t>KEY FISCAL AGGREGATES</w:t>
            </w:r>
          </w:p>
        </w:tc>
        <w:tc>
          <w:tcPr>
            <w:tcW w:w="817" w:type="dxa"/>
            <w:gridSpan w:val="3"/>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023820">
              <w:rPr>
                <w:rFonts w:eastAsiaTheme="minorEastAsia" w:cs="Calibri"/>
                <w:b/>
                <w:bCs/>
                <w:color w:val="000000"/>
                <w:lang w:eastAsia="en-AU"/>
              </w:rPr>
              <w:t xml:space="preserve"> </w:t>
            </w:r>
          </w:p>
        </w:tc>
        <w:tc>
          <w:tcPr>
            <w:tcW w:w="816"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023820">
              <w:rPr>
                <w:rFonts w:eastAsiaTheme="minorEastAsia" w:cs="Calibri"/>
                <w:b/>
                <w:bCs/>
                <w:color w:val="000000"/>
                <w:lang w:eastAsia="en-AU"/>
              </w:rPr>
              <w:t xml:space="preserve"> </w:t>
            </w:r>
          </w:p>
        </w:tc>
        <w:tc>
          <w:tcPr>
            <w:tcW w:w="816"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023820">
              <w:rPr>
                <w:rFonts w:eastAsiaTheme="minorEastAsia" w:cs="Calibri"/>
                <w:b/>
                <w:bCs/>
                <w:color w:val="000000"/>
                <w:lang w:eastAsia="en-AU"/>
              </w:rPr>
              <w:t xml:space="preserve"> </w:t>
            </w:r>
          </w:p>
        </w:tc>
        <w:tc>
          <w:tcPr>
            <w:tcW w:w="816"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023820">
              <w:rPr>
                <w:rFonts w:eastAsiaTheme="minorEastAsia" w:cs="Calibri"/>
                <w:b/>
                <w:bCs/>
                <w:color w:val="000000"/>
                <w:lang w:eastAsia="en-AU"/>
              </w:rPr>
              <w:t xml:space="preserve"> </w:t>
            </w:r>
          </w:p>
        </w:tc>
        <w:tc>
          <w:tcPr>
            <w:tcW w:w="816"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023820">
              <w:rPr>
                <w:rFonts w:eastAsiaTheme="minorEastAsia" w:cs="Calibri"/>
                <w:b/>
                <w:bCs/>
                <w:color w:val="000000"/>
                <w:lang w:eastAsia="en-AU"/>
              </w:rPr>
              <w:t xml:space="preserve"> </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3679" w:type="dxa"/>
            <w:tcBorders>
              <w:top w:val="nil"/>
              <w:left w:val="nil"/>
              <w:bottom w:val="nil"/>
              <w:right w:val="nil"/>
            </w:tcBorders>
          </w:tcPr>
          <w:p w:rsidR="00A46DCA" w:rsidRPr="00023820" w:rsidRDefault="00A46DCA" w:rsidP="00A26D04">
            <w:pPr>
              <w:keepLines w:val="0"/>
              <w:autoSpaceDE w:val="0"/>
              <w:autoSpaceDN w:val="0"/>
              <w:adjustRightInd w:val="0"/>
              <w:rPr>
                <w:rFonts w:eastAsiaTheme="minorEastAsia" w:cs="Calibri"/>
                <w:b/>
                <w:bCs/>
                <w:color w:val="000000"/>
                <w:szCs w:val="16"/>
                <w:lang w:eastAsia="en-AU"/>
              </w:rPr>
            </w:pPr>
            <w:r w:rsidRPr="00023820">
              <w:rPr>
                <w:rFonts w:eastAsiaTheme="minorEastAsia" w:cs="Calibri"/>
                <w:b/>
                <w:bCs/>
                <w:color w:val="000000"/>
                <w:szCs w:val="16"/>
                <w:lang w:eastAsia="en-AU"/>
              </w:rPr>
              <w:t>Net operating balance</w:t>
            </w:r>
          </w:p>
        </w:tc>
        <w:tc>
          <w:tcPr>
            <w:tcW w:w="817" w:type="dxa"/>
            <w:gridSpan w:val="3"/>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Pr>
                <w:rFonts w:eastAsiaTheme="minorEastAsia" w:cs="Calibri"/>
                <w:b/>
                <w:bCs/>
                <w:color w:val="000000"/>
                <w:szCs w:val="16"/>
                <w:lang w:eastAsia="en-AU"/>
              </w:rPr>
              <w:t>(1 745)</w:t>
            </w:r>
          </w:p>
        </w:tc>
        <w:tc>
          <w:tcPr>
            <w:tcW w:w="816"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Pr>
                <w:rFonts w:eastAsiaTheme="minorEastAsia" w:cs="Calibri"/>
                <w:b/>
                <w:bCs/>
                <w:color w:val="000000"/>
                <w:szCs w:val="16"/>
                <w:lang w:eastAsia="en-AU"/>
              </w:rPr>
              <w:t>(1 886)</w:t>
            </w:r>
          </w:p>
        </w:tc>
        <w:tc>
          <w:tcPr>
            <w:tcW w:w="816"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Pr>
                <w:rFonts w:eastAsiaTheme="minorEastAsia" w:cs="Calibri"/>
                <w:b/>
                <w:bCs/>
                <w:color w:val="000000"/>
                <w:szCs w:val="16"/>
                <w:lang w:eastAsia="en-AU"/>
              </w:rPr>
              <w:t>(1 816)</w:t>
            </w:r>
          </w:p>
        </w:tc>
        <w:tc>
          <w:tcPr>
            <w:tcW w:w="816"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Pr>
                <w:rFonts w:eastAsiaTheme="minorEastAsia" w:cs="Calibri"/>
                <w:b/>
                <w:bCs/>
                <w:color w:val="000000"/>
                <w:szCs w:val="16"/>
                <w:lang w:eastAsia="en-AU"/>
              </w:rPr>
              <w:t>(1 843)</w:t>
            </w:r>
          </w:p>
        </w:tc>
        <w:tc>
          <w:tcPr>
            <w:tcW w:w="816"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Pr>
                <w:rFonts w:eastAsiaTheme="minorEastAsia" w:cs="Calibri"/>
                <w:b/>
                <w:bCs/>
                <w:color w:val="000000"/>
                <w:szCs w:val="16"/>
                <w:lang w:eastAsia="en-AU"/>
              </w:rPr>
              <w:t>(1 838)</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3679" w:type="dxa"/>
            <w:tcBorders>
              <w:top w:val="nil"/>
              <w:left w:val="nil"/>
              <w:bottom w:val="nil"/>
              <w:right w:val="nil"/>
            </w:tcBorders>
          </w:tcPr>
          <w:p w:rsidR="00A46DCA" w:rsidRPr="00023820" w:rsidRDefault="00A46DCA" w:rsidP="00A26D04">
            <w:pPr>
              <w:keepLines w:val="0"/>
              <w:autoSpaceDE w:val="0"/>
              <w:autoSpaceDN w:val="0"/>
              <w:adjustRightInd w:val="0"/>
              <w:rPr>
                <w:rFonts w:eastAsiaTheme="minorEastAsia" w:cs="Calibri"/>
                <w:color w:val="000000"/>
                <w:szCs w:val="16"/>
                <w:lang w:eastAsia="en-AU"/>
              </w:rPr>
            </w:pPr>
            <w:r w:rsidRPr="00023820">
              <w:rPr>
                <w:rFonts w:eastAsiaTheme="minorEastAsia" w:cs="Calibri"/>
                <w:color w:val="000000"/>
                <w:szCs w:val="16"/>
                <w:lang w:eastAsia="en-AU"/>
              </w:rPr>
              <w:t xml:space="preserve">Less: Net acquisition of non-financial assets </w:t>
            </w:r>
            <w:r w:rsidR="008E5E35">
              <w:rPr>
                <w:rFonts w:eastAsiaTheme="minorEastAsia" w:cs="Calibri"/>
                <w:color w:val="000000"/>
                <w:szCs w:val="16"/>
                <w:lang w:eastAsia="en-AU"/>
              </w:rPr>
              <w:br/>
            </w:r>
            <w:r w:rsidRPr="00023820">
              <w:rPr>
                <w:rFonts w:eastAsiaTheme="minorEastAsia" w:cs="Calibri"/>
                <w:color w:val="000000"/>
                <w:szCs w:val="16"/>
                <w:lang w:eastAsia="en-AU"/>
              </w:rPr>
              <w:t>from transactions</w:t>
            </w:r>
          </w:p>
        </w:tc>
        <w:tc>
          <w:tcPr>
            <w:tcW w:w="817" w:type="dxa"/>
            <w:gridSpan w:val="3"/>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7</w:t>
            </w:r>
          </w:p>
        </w:tc>
        <w:tc>
          <w:tcPr>
            <w:tcW w:w="816"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39</w:t>
            </w:r>
          </w:p>
        </w:tc>
        <w:tc>
          <w:tcPr>
            <w:tcW w:w="816"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76</w:t>
            </w:r>
          </w:p>
        </w:tc>
        <w:tc>
          <w:tcPr>
            <w:tcW w:w="816"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92</w:t>
            </w:r>
          </w:p>
        </w:tc>
        <w:tc>
          <w:tcPr>
            <w:tcW w:w="816"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102</w:t>
            </w:r>
          </w:p>
        </w:tc>
      </w:tr>
      <w:tr w:rsidR="00A46DCA" w:rsidRPr="00023820" w:rsidTr="00A26D04">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79" w:type="dxa"/>
            <w:tcBorders>
              <w:top w:val="single" w:sz="6" w:space="0" w:color="000000"/>
              <w:bottom w:val="single" w:sz="12" w:space="0" w:color="000000"/>
            </w:tcBorders>
          </w:tcPr>
          <w:p w:rsidR="00A46DCA" w:rsidRPr="00023820" w:rsidRDefault="00A46DCA" w:rsidP="00A26D04">
            <w:pPr>
              <w:keepLines w:val="0"/>
              <w:autoSpaceDE w:val="0"/>
              <w:autoSpaceDN w:val="0"/>
              <w:adjustRightInd w:val="0"/>
              <w:rPr>
                <w:rFonts w:eastAsiaTheme="minorEastAsia" w:cs="Calibri"/>
                <w:bCs/>
                <w:color w:val="000000"/>
                <w:szCs w:val="16"/>
                <w:lang w:eastAsia="en-AU"/>
              </w:rPr>
            </w:pPr>
            <w:r w:rsidRPr="00023820">
              <w:rPr>
                <w:rFonts w:eastAsiaTheme="minorEastAsia" w:cs="Calibri"/>
                <w:bCs/>
                <w:color w:val="000000"/>
                <w:szCs w:val="16"/>
                <w:lang w:eastAsia="en-AU"/>
              </w:rPr>
              <w:t>Net lending/(borrowing)</w:t>
            </w:r>
          </w:p>
        </w:tc>
        <w:tc>
          <w:tcPr>
            <w:tcW w:w="817" w:type="dxa"/>
            <w:gridSpan w:val="3"/>
            <w:tcBorders>
              <w:top w:val="single" w:sz="6" w:space="0" w:color="000000"/>
              <w:bottom w:val="single" w:sz="12" w:space="0" w:color="000000"/>
            </w:tcBorders>
          </w:tcPr>
          <w:p w:rsidR="00A46DCA" w:rsidRPr="00023820" w:rsidRDefault="00A46DCA" w:rsidP="00A26D0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6"/>
                <w:lang w:eastAsia="en-AU"/>
              </w:rPr>
            </w:pPr>
            <w:r>
              <w:rPr>
                <w:rFonts w:eastAsiaTheme="minorEastAsia" w:cs="Calibri"/>
                <w:bCs/>
                <w:color w:val="000000"/>
                <w:szCs w:val="16"/>
                <w:lang w:eastAsia="en-AU"/>
              </w:rPr>
              <w:t>(1 752)</w:t>
            </w:r>
          </w:p>
        </w:tc>
        <w:tc>
          <w:tcPr>
            <w:tcW w:w="816" w:type="dxa"/>
            <w:tcBorders>
              <w:top w:val="single" w:sz="6" w:space="0" w:color="000000"/>
              <w:bottom w:val="single" w:sz="12" w:space="0" w:color="000000"/>
            </w:tcBorders>
          </w:tcPr>
          <w:p w:rsidR="00A46DCA" w:rsidRPr="00023820" w:rsidRDefault="00A46DCA" w:rsidP="00A26D0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6"/>
                <w:lang w:eastAsia="en-AU"/>
              </w:rPr>
            </w:pPr>
            <w:r>
              <w:rPr>
                <w:rFonts w:eastAsiaTheme="minorEastAsia" w:cs="Calibri"/>
                <w:bCs/>
                <w:color w:val="000000"/>
                <w:szCs w:val="16"/>
                <w:lang w:eastAsia="en-AU"/>
              </w:rPr>
              <w:t>(1 925)</w:t>
            </w:r>
          </w:p>
        </w:tc>
        <w:tc>
          <w:tcPr>
            <w:tcW w:w="816" w:type="dxa"/>
            <w:tcBorders>
              <w:top w:val="single" w:sz="6" w:space="0" w:color="000000"/>
              <w:bottom w:val="single" w:sz="12" w:space="0" w:color="000000"/>
            </w:tcBorders>
          </w:tcPr>
          <w:p w:rsidR="00A46DCA" w:rsidRPr="00023820" w:rsidRDefault="00A46DCA" w:rsidP="00A26D0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6"/>
                <w:lang w:eastAsia="en-AU"/>
              </w:rPr>
            </w:pPr>
            <w:r>
              <w:rPr>
                <w:rFonts w:eastAsiaTheme="minorEastAsia" w:cs="Calibri"/>
                <w:bCs/>
                <w:color w:val="000000"/>
                <w:szCs w:val="16"/>
                <w:lang w:eastAsia="en-AU"/>
              </w:rPr>
              <w:t>(1 892)</w:t>
            </w:r>
          </w:p>
        </w:tc>
        <w:tc>
          <w:tcPr>
            <w:tcW w:w="816" w:type="dxa"/>
            <w:tcBorders>
              <w:top w:val="single" w:sz="6" w:space="0" w:color="000000"/>
              <w:bottom w:val="single" w:sz="12" w:space="0" w:color="000000"/>
            </w:tcBorders>
          </w:tcPr>
          <w:p w:rsidR="00A46DCA" w:rsidRPr="00023820" w:rsidRDefault="00A46DCA" w:rsidP="00A26D0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6"/>
                <w:lang w:eastAsia="en-AU"/>
              </w:rPr>
            </w:pPr>
            <w:r>
              <w:rPr>
                <w:rFonts w:eastAsiaTheme="minorEastAsia" w:cs="Calibri"/>
                <w:bCs/>
                <w:color w:val="000000"/>
                <w:szCs w:val="16"/>
                <w:lang w:eastAsia="en-AU"/>
              </w:rPr>
              <w:t>(1 934)</w:t>
            </w:r>
          </w:p>
        </w:tc>
        <w:tc>
          <w:tcPr>
            <w:tcW w:w="816" w:type="dxa"/>
            <w:tcBorders>
              <w:top w:val="single" w:sz="6" w:space="0" w:color="000000"/>
              <w:bottom w:val="single" w:sz="12" w:space="0" w:color="000000"/>
            </w:tcBorders>
          </w:tcPr>
          <w:p w:rsidR="00A46DCA" w:rsidRPr="00023820" w:rsidRDefault="00A46DCA" w:rsidP="00A26D0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6"/>
                <w:lang w:eastAsia="en-AU"/>
              </w:rPr>
            </w:pPr>
            <w:r>
              <w:rPr>
                <w:rFonts w:eastAsiaTheme="minorEastAsia" w:cs="Calibri"/>
                <w:bCs/>
                <w:color w:val="000000"/>
                <w:szCs w:val="16"/>
                <w:lang w:eastAsia="en-AU"/>
              </w:rPr>
              <w:t>(1 940)</w:t>
            </w:r>
          </w:p>
        </w:tc>
      </w:tr>
    </w:tbl>
    <w:p w:rsidR="00A46DCA" w:rsidRDefault="00A46DCA" w:rsidP="00A26D04">
      <w:pPr>
        <w:pStyle w:val="Source"/>
      </w:pPr>
      <w:r w:rsidRPr="00D87D22">
        <w:t>Source: Dep</w:t>
      </w:r>
      <w:r>
        <w:t>artment of Treasury and Finance</w:t>
      </w:r>
      <w:r w:rsidRPr="00352C54">
        <w:t xml:space="preserve"> </w:t>
      </w:r>
    </w:p>
    <w:p w:rsidR="00A46DCA" w:rsidRDefault="00A46DCA" w:rsidP="00A26D04">
      <w:pPr>
        <w:pStyle w:val="Note"/>
      </w:pPr>
      <w:r>
        <w:t>Notes:</w:t>
      </w:r>
    </w:p>
    <w:p w:rsidR="00A46DCA" w:rsidRDefault="00A46DCA" w:rsidP="00A26D04">
      <w:pPr>
        <w:pStyle w:val="Note"/>
      </w:pPr>
      <w:r>
        <w:t>(a)</w:t>
      </w:r>
      <w:r>
        <w:tab/>
      </w:r>
      <w:r w:rsidRPr="00146C5C">
        <w:t>Certain 2017-18 Budget figures have been restated to reflect more current information.</w:t>
      </w:r>
    </w:p>
    <w:p w:rsidR="00A46DCA" w:rsidRDefault="00A46DCA" w:rsidP="00A26D04">
      <w:pPr>
        <w:pStyle w:val="Note"/>
      </w:pPr>
      <w:r>
        <w:t>(b</w:t>
      </w:r>
      <w:r w:rsidRPr="00056B9E">
        <w:t>)</w:t>
      </w:r>
      <w:r>
        <w:tab/>
      </w:r>
      <w:r w:rsidRPr="00AB0006">
        <w:t>Capital gains on the investment portfolios of the State</w:t>
      </w:r>
      <w:r>
        <w:t>’</w:t>
      </w:r>
      <w:r w:rsidRPr="00AB0006">
        <w:t>s insurance agencies (</w:t>
      </w:r>
      <w:proofErr w:type="spellStart"/>
      <w:r w:rsidRPr="00AB0006">
        <w:t>WorkSafe</w:t>
      </w:r>
      <w:proofErr w:type="spellEnd"/>
      <w:r w:rsidRPr="00AB0006">
        <w:t xml:space="preserve"> Victoria, Transport Accident Commission and Victorian Managed Insurance Authority) are classified as other economic flows. As these capital gains are available to fund claims expenses, the net result provides a more meaningful reflection of the underlying operating and performance of the public financial corporations sector than the net result from transactions.</w:t>
      </w:r>
    </w:p>
    <w:p w:rsidR="00A46DCA" w:rsidRDefault="00A46DCA" w:rsidP="00A26D04">
      <w:pPr>
        <w:pStyle w:val="Note"/>
      </w:pPr>
    </w:p>
    <w:p w:rsidR="00A46DCA" w:rsidRDefault="00A46DCA" w:rsidP="00A26D04">
      <w:pPr>
        <w:pStyle w:val="Note"/>
      </w:pPr>
    </w:p>
    <w:p w:rsidR="00A46DCA" w:rsidRDefault="00A46DCA" w:rsidP="00A26D04">
      <w:pPr>
        <w:pStyle w:val="Note"/>
      </w:pPr>
      <w:r>
        <w:br w:type="page"/>
      </w:r>
    </w:p>
    <w:p w:rsidR="00A46DCA" w:rsidRPr="00023820" w:rsidRDefault="00A46DCA" w:rsidP="00A26D04">
      <w:pPr>
        <w:pStyle w:val="TableHeading"/>
        <w:rPr>
          <w:bCs/>
          <w:lang w:val="en-US"/>
        </w:rPr>
      </w:pPr>
      <w:r>
        <w:lastRenderedPageBreak/>
        <w:t>Table 5.14</w:t>
      </w:r>
      <w:r w:rsidR="008E5E35">
        <w:t>:</w:t>
      </w:r>
      <w:r>
        <w:tab/>
        <w:t>Public financial corporations sector balance sheet as at 30 June</w:t>
      </w:r>
      <w:r>
        <w:tab/>
        <w:t>($ million)</w:t>
      </w:r>
    </w:p>
    <w:tbl>
      <w:tblPr>
        <w:tblStyle w:val="DTFTable"/>
        <w:tblW w:w="7765" w:type="dxa"/>
        <w:tblInd w:w="45" w:type="dxa"/>
        <w:tblLayout w:type="fixed"/>
        <w:tblCellMar>
          <w:left w:w="45" w:type="dxa"/>
          <w:right w:w="45" w:type="dxa"/>
        </w:tblCellMar>
        <w:tblLook w:val="06A0" w:firstRow="1" w:lastRow="0" w:firstColumn="1" w:lastColumn="0" w:noHBand="1" w:noVBand="1"/>
      </w:tblPr>
      <w:tblGrid>
        <w:gridCol w:w="3515"/>
        <w:gridCol w:w="181"/>
        <w:gridCol w:w="669"/>
        <w:gridCol w:w="850"/>
        <w:gridCol w:w="850"/>
        <w:gridCol w:w="850"/>
        <w:gridCol w:w="850"/>
      </w:tblGrid>
      <w:tr w:rsidR="00A26D04" w:rsidRPr="00023820" w:rsidTr="008E5E35">
        <w:trPr>
          <w:cnfStyle w:val="100000000000" w:firstRow="1" w:lastRow="0" w:firstColumn="0" w:lastColumn="0" w:oddVBand="0" w:evenVBand="0" w:oddHBand="0" w:evenHBand="0" w:firstRowFirstColumn="0" w:firstRowLastColumn="0" w:lastRowFirstColumn="0" w:lastRowLastColumn="0"/>
          <w:trHeight w:val="197"/>
          <w:tblHeader/>
        </w:trPr>
        <w:tc>
          <w:tcPr>
            <w:cnfStyle w:val="001000000000" w:firstRow="0" w:lastRow="0" w:firstColumn="1" w:lastColumn="0" w:oddVBand="0" w:evenVBand="0" w:oddHBand="0" w:evenHBand="0" w:firstRowFirstColumn="0" w:firstRowLastColumn="0" w:lastRowFirstColumn="0" w:lastRowLastColumn="0"/>
            <w:tcW w:w="3515" w:type="dxa"/>
            <w:tcBorders>
              <w:top w:val="nil"/>
              <w:left w:val="nil"/>
              <w:right w:val="nil"/>
            </w:tcBorders>
            <w:shd w:val="solid" w:color="000000" w:fill="auto"/>
          </w:tcPr>
          <w:p w:rsidR="00A26D04" w:rsidRPr="00023820" w:rsidRDefault="00A26D04" w:rsidP="00A26D04">
            <w:pPr>
              <w:autoSpaceDE w:val="0"/>
              <w:autoSpaceDN w:val="0"/>
              <w:adjustRightInd w:val="0"/>
              <w:rPr>
                <w:rFonts w:eastAsiaTheme="minorEastAsia" w:cs="Calibri"/>
                <w:iCs/>
                <w:color w:val="FFFFFF"/>
                <w:lang w:eastAsia="en-AU"/>
              </w:rPr>
            </w:pPr>
            <w:r w:rsidRPr="00023820">
              <w:rPr>
                <w:rFonts w:eastAsiaTheme="minorEastAsia" w:cs="Calibri"/>
                <w:iCs/>
                <w:color w:val="FFFFFF"/>
                <w:lang w:eastAsia="en-AU"/>
              </w:rPr>
              <w:t xml:space="preserve">  </w:t>
            </w:r>
          </w:p>
        </w:tc>
        <w:tc>
          <w:tcPr>
            <w:tcW w:w="850" w:type="dxa"/>
            <w:gridSpan w:val="2"/>
            <w:tcBorders>
              <w:top w:val="nil"/>
              <w:left w:val="nil"/>
              <w:right w:val="nil"/>
            </w:tcBorders>
            <w:shd w:val="solid" w:color="000000" w:fill="auto"/>
          </w:tcPr>
          <w:p w:rsidR="00A26D04" w:rsidRPr="00023820" w:rsidRDefault="00A26D04" w:rsidP="00A26D0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023820">
              <w:rPr>
                <w:rFonts w:eastAsiaTheme="minorEastAsia" w:cs="Calibri"/>
                <w:iCs/>
                <w:color w:val="FFFFFF"/>
                <w:szCs w:val="16"/>
                <w:lang w:eastAsia="en-AU"/>
              </w:rPr>
              <w:t>2018</w:t>
            </w:r>
            <w:r>
              <w:rPr>
                <w:rFonts w:eastAsiaTheme="minorEastAsia" w:cs="Calibri"/>
                <w:iCs/>
                <w:color w:val="FFFFFF"/>
                <w:szCs w:val="16"/>
                <w:lang w:eastAsia="en-AU"/>
              </w:rPr>
              <w:br/>
            </w:r>
            <w:r w:rsidRPr="00023820">
              <w:rPr>
                <w:rFonts w:eastAsiaTheme="minorEastAsia" w:cs="Calibri"/>
                <w:iCs/>
                <w:color w:val="FFFFFF"/>
                <w:szCs w:val="16"/>
                <w:lang w:eastAsia="en-AU"/>
              </w:rPr>
              <w:t xml:space="preserve">budget </w:t>
            </w:r>
            <w:r w:rsidRPr="00023820">
              <w:rPr>
                <w:rFonts w:eastAsiaTheme="minorEastAsia" w:cs="Calibri"/>
                <w:iCs/>
                <w:color w:val="FFFFFF"/>
                <w:szCs w:val="16"/>
                <w:vertAlign w:val="superscript"/>
                <w:lang w:eastAsia="en-AU"/>
              </w:rPr>
              <w:t>(a)</w:t>
            </w:r>
          </w:p>
        </w:tc>
        <w:tc>
          <w:tcPr>
            <w:tcW w:w="850" w:type="dxa"/>
            <w:tcBorders>
              <w:top w:val="nil"/>
              <w:left w:val="nil"/>
              <w:right w:val="nil"/>
            </w:tcBorders>
            <w:shd w:val="solid" w:color="000000" w:fill="auto"/>
          </w:tcPr>
          <w:p w:rsidR="00A26D04" w:rsidRPr="00023820" w:rsidRDefault="00A26D04" w:rsidP="00A26D0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023820">
              <w:rPr>
                <w:rFonts w:eastAsiaTheme="minorEastAsia" w:cs="Calibri"/>
                <w:iCs/>
                <w:color w:val="FFFFFF"/>
                <w:szCs w:val="16"/>
                <w:lang w:eastAsia="en-AU"/>
              </w:rPr>
              <w:t>2018</w:t>
            </w:r>
            <w:r>
              <w:rPr>
                <w:rFonts w:eastAsiaTheme="minorEastAsia" w:cs="Calibri"/>
                <w:iCs/>
                <w:color w:val="FFFFFF"/>
                <w:szCs w:val="16"/>
                <w:lang w:eastAsia="en-AU"/>
              </w:rPr>
              <w:br/>
            </w:r>
            <w:r w:rsidRPr="00023820">
              <w:rPr>
                <w:rFonts w:eastAsiaTheme="minorEastAsia" w:cs="Calibri"/>
                <w:iCs/>
                <w:color w:val="FFFFFF"/>
                <w:szCs w:val="16"/>
                <w:lang w:eastAsia="en-AU"/>
              </w:rPr>
              <w:t>revised</w:t>
            </w:r>
          </w:p>
        </w:tc>
        <w:tc>
          <w:tcPr>
            <w:tcW w:w="850" w:type="dxa"/>
            <w:tcBorders>
              <w:top w:val="nil"/>
              <w:left w:val="nil"/>
              <w:right w:val="nil"/>
            </w:tcBorders>
            <w:shd w:val="solid" w:color="000000" w:fill="auto"/>
          </w:tcPr>
          <w:p w:rsidR="00A26D04" w:rsidRPr="00023820" w:rsidRDefault="00A26D04" w:rsidP="00A26D0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023820">
              <w:rPr>
                <w:rFonts w:eastAsiaTheme="minorEastAsia" w:cs="Calibri"/>
                <w:iCs/>
                <w:color w:val="FFFFFF"/>
                <w:szCs w:val="16"/>
                <w:lang w:eastAsia="en-AU"/>
              </w:rPr>
              <w:t>2019</w:t>
            </w:r>
            <w:r>
              <w:rPr>
                <w:rFonts w:eastAsiaTheme="minorEastAsia" w:cs="Calibri"/>
                <w:iCs/>
                <w:color w:val="FFFFFF"/>
                <w:szCs w:val="16"/>
                <w:lang w:eastAsia="en-AU"/>
              </w:rPr>
              <w:br/>
            </w:r>
            <w:r w:rsidRPr="00023820">
              <w:rPr>
                <w:rFonts w:eastAsiaTheme="minorEastAsia" w:cs="Calibri"/>
                <w:iCs/>
                <w:color w:val="FFFFFF"/>
                <w:szCs w:val="16"/>
                <w:lang w:eastAsia="en-AU"/>
              </w:rPr>
              <w:t>estimate</w:t>
            </w:r>
          </w:p>
        </w:tc>
        <w:tc>
          <w:tcPr>
            <w:tcW w:w="850" w:type="dxa"/>
            <w:tcBorders>
              <w:top w:val="nil"/>
              <w:left w:val="nil"/>
              <w:right w:val="nil"/>
            </w:tcBorders>
            <w:shd w:val="solid" w:color="000000" w:fill="auto"/>
          </w:tcPr>
          <w:p w:rsidR="00A26D04" w:rsidRPr="00023820" w:rsidRDefault="00A26D04" w:rsidP="00A26D0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023820">
              <w:rPr>
                <w:rFonts w:eastAsiaTheme="minorEastAsia" w:cs="Calibri"/>
                <w:iCs/>
                <w:color w:val="FFFFFF"/>
                <w:szCs w:val="16"/>
                <w:lang w:eastAsia="en-AU"/>
              </w:rPr>
              <w:t>2020</w:t>
            </w:r>
            <w:r>
              <w:rPr>
                <w:rFonts w:eastAsiaTheme="minorEastAsia" w:cs="Calibri"/>
                <w:iCs/>
                <w:color w:val="FFFFFF"/>
                <w:szCs w:val="16"/>
                <w:lang w:eastAsia="en-AU"/>
              </w:rPr>
              <w:br/>
            </w:r>
            <w:r w:rsidRPr="00023820">
              <w:rPr>
                <w:rFonts w:eastAsiaTheme="minorEastAsia" w:cs="Calibri"/>
                <w:iCs/>
                <w:color w:val="FFFFFF"/>
                <w:szCs w:val="16"/>
                <w:lang w:eastAsia="en-AU"/>
              </w:rPr>
              <w:t>estimate</w:t>
            </w:r>
          </w:p>
        </w:tc>
        <w:tc>
          <w:tcPr>
            <w:tcW w:w="850" w:type="dxa"/>
            <w:tcBorders>
              <w:top w:val="nil"/>
              <w:left w:val="nil"/>
              <w:right w:val="nil"/>
            </w:tcBorders>
            <w:shd w:val="solid" w:color="000000" w:fill="auto"/>
          </w:tcPr>
          <w:p w:rsidR="00A26D04" w:rsidRPr="00023820" w:rsidRDefault="00A26D04" w:rsidP="00A26D0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023820">
              <w:rPr>
                <w:rFonts w:eastAsiaTheme="minorEastAsia" w:cs="Calibri"/>
                <w:iCs/>
                <w:color w:val="FFFFFF"/>
                <w:szCs w:val="16"/>
                <w:lang w:eastAsia="en-AU"/>
              </w:rPr>
              <w:t>2021</w:t>
            </w:r>
            <w:r>
              <w:rPr>
                <w:rFonts w:eastAsiaTheme="minorEastAsia" w:cs="Calibri"/>
                <w:iCs/>
                <w:color w:val="FFFFFF"/>
                <w:szCs w:val="16"/>
                <w:lang w:eastAsia="en-AU"/>
              </w:rPr>
              <w:br/>
            </w:r>
            <w:r w:rsidRPr="00023820">
              <w:rPr>
                <w:rFonts w:eastAsiaTheme="minorEastAsia" w:cs="Calibri"/>
                <w:iCs/>
                <w:color w:val="FFFFFF"/>
                <w:szCs w:val="16"/>
                <w:lang w:eastAsia="en-AU"/>
              </w:rPr>
              <w:t>estimate</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A46DCA" w:rsidRPr="00023820" w:rsidRDefault="00A46DCA" w:rsidP="00A26D04">
            <w:pPr>
              <w:keepLines w:val="0"/>
              <w:autoSpaceDE w:val="0"/>
              <w:autoSpaceDN w:val="0"/>
              <w:adjustRightInd w:val="0"/>
              <w:rPr>
                <w:rFonts w:eastAsiaTheme="minorEastAsia" w:cs="Calibri"/>
                <w:b/>
                <w:bCs/>
                <w:color w:val="000000"/>
                <w:szCs w:val="16"/>
                <w:lang w:eastAsia="en-AU"/>
              </w:rPr>
            </w:pPr>
            <w:r w:rsidRPr="00023820">
              <w:rPr>
                <w:rFonts w:eastAsiaTheme="minorEastAsia" w:cs="Calibri"/>
                <w:b/>
                <w:bCs/>
                <w:color w:val="000000"/>
                <w:szCs w:val="16"/>
                <w:lang w:eastAsia="en-AU"/>
              </w:rPr>
              <w:t>Assets</w:t>
            </w:r>
          </w:p>
        </w:tc>
        <w:tc>
          <w:tcPr>
            <w:tcW w:w="850" w:type="dxa"/>
            <w:gridSpan w:val="2"/>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023820">
              <w:rPr>
                <w:rFonts w:eastAsiaTheme="minorEastAsia" w:cs="Calibri"/>
                <w:b/>
                <w:bCs/>
                <w:color w:val="000000"/>
                <w:lang w:eastAsia="en-AU"/>
              </w:rPr>
              <w:t xml:space="preserve"> </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023820">
              <w:rPr>
                <w:rFonts w:eastAsiaTheme="minorEastAsia" w:cs="Calibri"/>
                <w:b/>
                <w:bCs/>
                <w:color w:val="000000"/>
                <w:lang w:eastAsia="en-AU"/>
              </w:rPr>
              <w:t xml:space="preserve"> </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023820">
              <w:rPr>
                <w:rFonts w:eastAsiaTheme="minorEastAsia" w:cs="Calibri"/>
                <w:b/>
                <w:bCs/>
                <w:color w:val="000000"/>
                <w:lang w:eastAsia="en-AU"/>
              </w:rPr>
              <w:t xml:space="preserve"> </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023820">
              <w:rPr>
                <w:rFonts w:eastAsiaTheme="minorEastAsia" w:cs="Calibri"/>
                <w:b/>
                <w:bCs/>
                <w:color w:val="000000"/>
                <w:lang w:eastAsia="en-AU"/>
              </w:rPr>
              <w:t xml:space="preserve"> </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023820">
              <w:rPr>
                <w:rFonts w:eastAsiaTheme="minorEastAsia" w:cs="Calibri"/>
                <w:b/>
                <w:bCs/>
                <w:color w:val="000000"/>
                <w:lang w:eastAsia="en-AU"/>
              </w:rPr>
              <w:t xml:space="preserve"> </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A46DCA" w:rsidRPr="00023820" w:rsidRDefault="00A46DCA" w:rsidP="00A26D04">
            <w:pPr>
              <w:keepLines w:val="0"/>
              <w:autoSpaceDE w:val="0"/>
              <w:autoSpaceDN w:val="0"/>
              <w:adjustRightInd w:val="0"/>
              <w:rPr>
                <w:rFonts w:eastAsiaTheme="minorEastAsia" w:cs="Calibri"/>
                <w:b/>
                <w:bCs/>
                <w:color w:val="000000"/>
                <w:szCs w:val="16"/>
                <w:lang w:eastAsia="en-AU"/>
              </w:rPr>
            </w:pPr>
            <w:r w:rsidRPr="00023820">
              <w:rPr>
                <w:rFonts w:eastAsiaTheme="minorEastAsia" w:cs="Calibri"/>
                <w:b/>
                <w:bCs/>
                <w:color w:val="000000"/>
                <w:szCs w:val="16"/>
                <w:lang w:eastAsia="en-AU"/>
              </w:rPr>
              <w:t>Financial assets</w:t>
            </w:r>
          </w:p>
        </w:tc>
        <w:tc>
          <w:tcPr>
            <w:tcW w:w="850" w:type="dxa"/>
            <w:gridSpan w:val="2"/>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023820">
              <w:rPr>
                <w:rFonts w:eastAsiaTheme="minorEastAsia" w:cs="Calibri"/>
                <w:b/>
                <w:bCs/>
                <w:color w:val="000000"/>
                <w:lang w:eastAsia="en-AU"/>
              </w:rPr>
              <w:t xml:space="preserve"> </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023820">
              <w:rPr>
                <w:rFonts w:eastAsiaTheme="minorEastAsia" w:cs="Calibri"/>
                <w:b/>
                <w:bCs/>
                <w:color w:val="000000"/>
                <w:lang w:eastAsia="en-AU"/>
              </w:rPr>
              <w:t xml:space="preserve"> </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023820">
              <w:rPr>
                <w:rFonts w:eastAsiaTheme="minorEastAsia" w:cs="Calibri"/>
                <w:b/>
                <w:bCs/>
                <w:color w:val="000000"/>
                <w:lang w:eastAsia="en-AU"/>
              </w:rPr>
              <w:t xml:space="preserve"> </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023820">
              <w:rPr>
                <w:rFonts w:eastAsiaTheme="minorEastAsia" w:cs="Calibri"/>
                <w:b/>
                <w:bCs/>
                <w:color w:val="000000"/>
                <w:lang w:eastAsia="en-AU"/>
              </w:rPr>
              <w:t xml:space="preserve"> </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023820">
              <w:rPr>
                <w:rFonts w:eastAsiaTheme="minorEastAsia" w:cs="Calibri"/>
                <w:b/>
                <w:bCs/>
                <w:color w:val="000000"/>
                <w:lang w:eastAsia="en-AU"/>
              </w:rPr>
              <w:t xml:space="preserve"> </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A46DCA" w:rsidRPr="00023820" w:rsidRDefault="00A46DCA" w:rsidP="00A26D04">
            <w:pPr>
              <w:keepLines w:val="0"/>
              <w:autoSpaceDE w:val="0"/>
              <w:autoSpaceDN w:val="0"/>
              <w:adjustRightInd w:val="0"/>
              <w:rPr>
                <w:rFonts w:eastAsiaTheme="minorEastAsia" w:cs="Calibri"/>
                <w:color w:val="000000"/>
                <w:szCs w:val="16"/>
                <w:lang w:eastAsia="en-AU"/>
              </w:rPr>
            </w:pPr>
            <w:r w:rsidRPr="00023820">
              <w:rPr>
                <w:rFonts w:eastAsiaTheme="minorEastAsia" w:cs="Calibri"/>
                <w:color w:val="000000"/>
                <w:szCs w:val="16"/>
                <w:lang w:eastAsia="en-AU"/>
              </w:rPr>
              <w:t>Cash and deposits</w:t>
            </w:r>
          </w:p>
        </w:tc>
        <w:tc>
          <w:tcPr>
            <w:tcW w:w="850" w:type="dxa"/>
            <w:gridSpan w:val="2"/>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023820">
              <w:rPr>
                <w:rFonts w:eastAsiaTheme="minorEastAsia" w:cs="Calibri"/>
                <w:color w:val="000000"/>
                <w:szCs w:val="16"/>
                <w:lang w:eastAsia="en-AU"/>
              </w:rPr>
              <w:t>4 272</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023820">
              <w:rPr>
                <w:rFonts w:eastAsiaTheme="minorEastAsia" w:cs="Calibri"/>
                <w:color w:val="000000"/>
                <w:szCs w:val="16"/>
                <w:lang w:eastAsia="en-AU"/>
              </w:rPr>
              <w:t>3 697</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023820">
              <w:rPr>
                <w:rFonts w:eastAsiaTheme="minorEastAsia" w:cs="Calibri"/>
                <w:color w:val="000000"/>
                <w:szCs w:val="16"/>
                <w:lang w:eastAsia="en-AU"/>
              </w:rPr>
              <w:t>3 826</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023820">
              <w:rPr>
                <w:rFonts w:eastAsiaTheme="minorEastAsia" w:cs="Calibri"/>
                <w:color w:val="000000"/>
                <w:szCs w:val="16"/>
                <w:lang w:eastAsia="en-AU"/>
              </w:rPr>
              <w:t>4 053</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023820">
              <w:rPr>
                <w:rFonts w:eastAsiaTheme="minorEastAsia" w:cs="Calibri"/>
                <w:color w:val="000000"/>
                <w:szCs w:val="16"/>
                <w:lang w:eastAsia="en-AU"/>
              </w:rPr>
              <w:t>4 355</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A46DCA" w:rsidRPr="00023820" w:rsidRDefault="00A46DCA" w:rsidP="00A26D04">
            <w:pPr>
              <w:keepLines w:val="0"/>
              <w:autoSpaceDE w:val="0"/>
              <w:autoSpaceDN w:val="0"/>
              <w:adjustRightInd w:val="0"/>
              <w:rPr>
                <w:rFonts w:eastAsiaTheme="minorEastAsia" w:cs="Calibri"/>
                <w:color w:val="000000"/>
                <w:szCs w:val="16"/>
                <w:lang w:eastAsia="en-AU"/>
              </w:rPr>
            </w:pPr>
            <w:r w:rsidRPr="00023820">
              <w:rPr>
                <w:rFonts w:eastAsiaTheme="minorEastAsia" w:cs="Calibri"/>
                <w:color w:val="000000"/>
                <w:szCs w:val="16"/>
                <w:lang w:eastAsia="en-AU"/>
              </w:rPr>
              <w:t>Advances paid</w:t>
            </w:r>
          </w:p>
        </w:tc>
        <w:tc>
          <w:tcPr>
            <w:tcW w:w="850" w:type="dxa"/>
            <w:gridSpan w:val="2"/>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17</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5</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5</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5</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5</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A46DCA" w:rsidRPr="00023820" w:rsidRDefault="00A46DCA" w:rsidP="00A26D04">
            <w:pPr>
              <w:keepLines w:val="0"/>
              <w:autoSpaceDE w:val="0"/>
              <w:autoSpaceDN w:val="0"/>
              <w:adjustRightInd w:val="0"/>
              <w:rPr>
                <w:rFonts w:eastAsiaTheme="minorEastAsia" w:cs="Calibri"/>
                <w:color w:val="000000"/>
                <w:szCs w:val="16"/>
                <w:lang w:eastAsia="en-AU"/>
              </w:rPr>
            </w:pPr>
            <w:r w:rsidRPr="00023820">
              <w:rPr>
                <w:rFonts w:eastAsiaTheme="minorEastAsia" w:cs="Calibri"/>
                <w:color w:val="000000"/>
                <w:szCs w:val="16"/>
                <w:lang w:eastAsia="en-AU"/>
              </w:rPr>
              <w:t>Investments, loans and placements</w:t>
            </w:r>
          </w:p>
        </w:tc>
        <w:tc>
          <w:tcPr>
            <w:tcW w:w="850" w:type="dxa"/>
            <w:gridSpan w:val="2"/>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023820">
              <w:rPr>
                <w:rFonts w:eastAsiaTheme="minorEastAsia" w:cs="Calibri"/>
                <w:color w:val="000000"/>
                <w:szCs w:val="16"/>
                <w:lang w:eastAsia="en-AU"/>
              </w:rPr>
              <w:t>37 638</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023820">
              <w:rPr>
                <w:rFonts w:eastAsiaTheme="minorEastAsia" w:cs="Calibri"/>
                <w:color w:val="000000"/>
                <w:szCs w:val="16"/>
                <w:lang w:eastAsia="en-AU"/>
              </w:rPr>
              <w:t>35 318</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023820">
              <w:rPr>
                <w:rFonts w:eastAsiaTheme="minorEastAsia" w:cs="Calibri"/>
                <w:color w:val="000000"/>
                <w:szCs w:val="16"/>
                <w:lang w:eastAsia="en-AU"/>
              </w:rPr>
              <w:t>34 582</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023820">
              <w:rPr>
                <w:rFonts w:eastAsiaTheme="minorEastAsia" w:cs="Calibri"/>
                <w:color w:val="000000"/>
                <w:szCs w:val="16"/>
                <w:lang w:eastAsia="en-AU"/>
              </w:rPr>
              <w:t>34 892</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023820">
              <w:rPr>
                <w:rFonts w:eastAsiaTheme="minorEastAsia" w:cs="Calibri"/>
                <w:color w:val="000000"/>
                <w:szCs w:val="16"/>
                <w:lang w:eastAsia="en-AU"/>
              </w:rPr>
              <w:t>35 132</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3696" w:type="dxa"/>
            <w:gridSpan w:val="2"/>
            <w:tcBorders>
              <w:top w:val="nil"/>
              <w:left w:val="nil"/>
              <w:bottom w:val="nil"/>
              <w:right w:val="nil"/>
            </w:tcBorders>
          </w:tcPr>
          <w:p w:rsidR="00A46DCA" w:rsidRPr="00023820" w:rsidRDefault="00A46DCA" w:rsidP="00A26D04">
            <w:pPr>
              <w:keepLines w:val="0"/>
              <w:autoSpaceDE w:val="0"/>
              <w:autoSpaceDN w:val="0"/>
              <w:adjustRightInd w:val="0"/>
              <w:rPr>
                <w:rFonts w:eastAsiaTheme="minorEastAsia" w:cs="Calibri"/>
                <w:color w:val="000000"/>
                <w:szCs w:val="16"/>
                <w:vertAlign w:val="superscript"/>
                <w:lang w:eastAsia="en-AU"/>
              </w:rPr>
            </w:pPr>
            <w:r w:rsidRPr="00023820">
              <w:rPr>
                <w:rFonts w:eastAsiaTheme="minorEastAsia" w:cs="Calibri"/>
                <w:color w:val="000000"/>
                <w:szCs w:val="16"/>
                <w:lang w:eastAsia="en-AU"/>
              </w:rPr>
              <w:t xml:space="preserve">Loans receivable from non-financial public sector </w:t>
            </w:r>
            <w:r w:rsidRPr="00023820">
              <w:rPr>
                <w:rFonts w:eastAsiaTheme="minorEastAsia" w:cs="Calibri"/>
                <w:color w:val="000000"/>
                <w:szCs w:val="16"/>
                <w:vertAlign w:val="superscript"/>
                <w:lang w:eastAsia="en-AU"/>
              </w:rPr>
              <w:t>(b)</w:t>
            </w:r>
          </w:p>
        </w:tc>
        <w:tc>
          <w:tcPr>
            <w:tcW w:w="669"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023820">
              <w:rPr>
                <w:rFonts w:eastAsiaTheme="minorEastAsia" w:cs="Calibri"/>
                <w:color w:val="000000"/>
                <w:szCs w:val="16"/>
                <w:lang w:eastAsia="en-AU"/>
              </w:rPr>
              <w:t>35 728</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023820">
              <w:rPr>
                <w:rFonts w:eastAsiaTheme="minorEastAsia" w:cs="Calibri"/>
                <w:color w:val="000000"/>
                <w:szCs w:val="16"/>
                <w:lang w:eastAsia="en-AU"/>
              </w:rPr>
              <w:t>35 913</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023820">
              <w:rPr>
                <w:rFonts w:eastAsiaTheme="minorEastAsia" w:cs="Calibri"/>
                <w:color w:val="000000"/>
                <w:szCs w:val="16"/>
                <w:lang w:eastAsia="en-AU"/>
              </w:rPr>
              <w:t>39 176</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023820">
              <w:rPr>
                <w:rFonts w:eastAsiaTheme="minorEastAsia" w:cs="Calibri"/>
                <w:color w:val="000000"/>
                <w:szCs w:val="16"/>
                <w:lang w:eastAsia="en-AU"/>
              </w:rPr>
              <w:t>42 993</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023820">
              <w:rPr>
                <w:rFonts w:eastAsiaTheme="minorEastAsia" w:cs="Calibri"/>
                <w:color w:val="000000"/>
                <w:szCs w:val="16"/>
                <w:lang w:eastAsia="en-AU"/>
              </w:rPr>
              <w:t>45 037</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single" w:sz="6" w:space="0" w:color="000000"/>
              <w:right w:val="nil"/>
            </w:tcBorders>
          </w:tcPr>
          <w:p w:rsidR="00A46DCA" w:rsidRPr="00023820" w:rsidRDefault="00A46DCA" w:rsidP="00A26D04">
            <w:pPr>
              <w:keepLines w:val="0"/>
              <w:autoSpaceDE w:val="0"/>
              <w:autoSpaceDN w:val="0"/>
              <w:adjustRightInd w:val="0"/>
              <w:rPr>
                <w:rFonts w:eastAsiaTheme="minorEastAsia" w:cs="Calibri"/>
                <w:color w:val="000000"/>
                <w:szCs w:val="16"/>
                <w:lang w:eastAsia="en-AU"/>
              </w:rPr>
            </w:pPr>
            <w:r w:rsidRPr="00023820">
              <w:rPr>
                <w:rFonts w:eastAsiaTheme="minorEastAsia" w:cs="Calibri"/>
                <w:color w:val="000000"/>
                <w:szCs w:val="16"/>
                <w:lang w:eastAsia="en-AU"/>
              </w:rPr>
              <w:t>Receivables</w:t>
            </w:r>
          </w:p>
        </w:tc>
        <w:tc>
          <w:tcPr>
            <w:tcW w:w="850" w:type="dxa"/>
            <w:gridSpan w:val="2"/>
            <w:tcBorders>
              <w:top w:val="nil"/>
              <w:left w:val="nil"/>
              <w:bottom w:val="single" w:sz="6" w:space="0" w:color="000000"/>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023820">
              <w:rPr>
                <w:rFonts w:eastAsiaTheme="minorEastAsia" w:cs="Calibri"/>
                <w:color w:val="000000"/>
                <w:szCs w:val="16"/>
                <w:lang w:eastAsia="en-AU"/>
              </w:rPr>
              <w:t>1 547</w:t>
            </w:r>
          </w:p>
        </w:tc>
        <w:tc>
          <w:tcPr>
            <w:tcW w:w="850" w:type="dxa"/>
            <w:tcBorders>
              <w:top w:val="nil"/>
              <w:left w:val="nil"/>
              <w:bottom w:val="single" w:sz="6" w:space="0" w:color="000000"/>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023820">
              <w:rPr>
                <w:rFonts w:eastAsiaTheme="minorEastAsia" w:cs="Calibri"/>
                <w:color w:val="000000"/>
                <w:szCs w:val="16"/>
                <w:lang w:eastAsia="en-AU"/>
              </w:rPr>
              <w:t>1 213</w:t>
            </w:r>
          </w:p>
        </w:tc>
        <w:tc>
          <w:tcPr>
            <w:tcW w:w="850" w:type="dxa"/>
            <w:tcBorders>
              <w:top w:val="nil"/>
              <w:left w:val="nil"/>
              <w:bottom w:val="single" w:sz="6" w:space="0" w:color="000000"/>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023820">
              <w:rPr>
                <w:rFonts w:eastAsiaTheme="minorEastAsia" w:cs="Calibri"/>
                <w:color w:val="000000"/>
                <w:szCs w:val="16"/>
                <w:lang w:eastAsia="en-AU"/>
              </w:rPr>
              <w:t>1 324</w:t>
            </w:r>
          </w:p>
        </w:tc>
        <w:tc>
          <w:tcPr>
            <w:tcW w:w="850" w:type="dxa"/>
            <w:tcBorders>
              <w:top w:val="nil"/>
              <w:left w:val="nil"/>
              <w:bottom w:val="single" w:sz="6" w:space="0" w:color="000000"/>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023820">
              <w:rPr>
                <w:rFonts w:eastAsiaTheme="minorEastAsia" w:cs="Calibri"/>
                <w:color w:val="000000"/>
                <w:szCs w:val="16"/>
                <w:lang w:eastAsia="en-AU"/>
              </w:rPr>
              <w:t>1 363</w:t>
            </w:r>
          </w:p>
        </w:tc>
        <w:tc>
          <w:tcPr>
            <w:tcW w:w="850" w:type="dxa"/>
            <w:tcBorders>
              <w:top w:val="nil"/>
              <w:left w:val="nil"/>
              <w:bottom w:val="single" w:sz="6" w:space="0" w:color="000000"/>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023820">
              <w:rPr>
                <w:rFonts w:eastAsiaTheme="minorEastAsia" w:cs="Calibri"/>
                <w:color w:val="000000"/>
                <w:szCs w:val="16"/>
                <w:lang w:eastAsia="en-AU"/>
              </w:rPr>
              <w:t>1 380</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A46DCA" w:rsidRPr="00023820" w:rsidRDefault="00A46DCA" w:rsidP="00A26D04">
            <w:pPr>
              <w:keepLines w:val="0"/>
              <w:autoSpaceDE w:val="0"/>
              <w:autoSpaceDN w:val="0"/>
              <w:adjustRightInd w:val="0"/>
              <w:rPr>
                <w:rFonts w:eastAsiaTheme="minorEastAsia" w:cs="Calibri"/>
                <w:b/>
                <w:bCs/>
                <w:color w:val="000000"/>
                <w:szCs w:val="16"/>
                <w:lang w:eastAsia="en-AU"/>
              </w:rPr>
            </w:pPr>
            <w:r w:rsidRPr="00023820">
              <w:rPr>
                <w:rFonts w:eastAsiaTheme="minorEastAsia" w:cs="Calibri"/>
                <w:b/>
                <w:bCs/>
                <w:color w:val="000000"/>
                <w:szCs w:val="16"/>
                <w:lang w:eastAsia="en-AU"/>
              </w:rPr>
              <w:t>Total financial assets</w:t>
            </w:r>
          </w:p>
        </w:tc>
        <w:tc>
          <w:tcPr>
            <w:tcW w:w="850" w:type="dxa"/>
            <w:gridSpan w:val="2"/>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023820">
              <w:rPr>
                <w:rFonts w:eastAsiaTheme="minorEastAsia" w:cs="Calibri"/>
                <w:b/>
                <w:bCs/>
                <w:color w:val="000000"/>
                <w:szCs w:val="16"/>
                <w:lang w:eastAsia="en-AU"/>
              </w:rPr>
              <w:t>79 202</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023820">
              <w:rPr>
                <w:rFonts w:eastAsiaTheme="minorEastAsia" w:cs="Calibri"/>
                <w:b/>
                <w:bCs/>
                <w:color w:val="000000"/>
                <w:szCs w:val="16"/>
                <w:lang w:eastAsia="en-AU"/>
              </w:rPr>
              <w:t>76 147</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023820">
              <w:rPr>
                <w:rFonts w:eastAsiaTheme="minorEastAsia" w:cs="Calibri"/>
                <w:b/>
                <w:bCs/>
                <w:color w:val="000000"/>
                <w:szCs w:val="16"/>
                <w:lang w:eastAsia="en-AU"/>
              </w:rPr>
              <w:t>78 913</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023820">
              <w:rPr>
                <w:rFonts w:eastAsiaTheme="minorEastAsia" w:cs="Calibri"/>
                <w:b/>
                <w:bCs/>
                <w:color w:val="000000"/>
                <w:szCs w:val="16"/>
                <w:lang w:eastAsia="en-AU"/>
              </w:rPr>
              <w:t>83 306</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023820">
              <w:rPr>
                <w:rFonts w:eastAsiaTheme="minorEastAsia" w:cs="Calibri"/>
                <w:b/>
                <w:bCs/>
                <w:color w:val="000000"/>
                <w:szCs w:val="16"/>
                <w:lang w:eastAsia="en-AU"/>
              </w:rPr>
              <w:t>85 909</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A46DCA" w:rsidRPr="00023820" w:rsidRDefault="00A46DCA" w:rsidP="00A26D04">
            <w:pPr>
              <w:keepLines w:val="0"/>
              <w:autoSpaceDE w:val="0"/>
              <w:autoSpaceDN w:val="0"/>
              <w:adjustRightInd w:val="0"/>
              <w:rPr>
                <w:rFonts w:eastAsiaTheme="minorEastAsia" w:cs="Calibri"/>
                <w:b/>
                <w:bCs/>
                <w:color w:val="000000"/>
                <w:szCs w:val="16"/>
                <w:lang w:eastAsia="en-AU"/>
              </w:rPr>
            </w:pPr>
            <w:r w:rsidRPr="00023820">
              <w:rPr>
                <w:rFonts w:eastAsiaTheme="minorEastAsia" w:cs="Calibri"/>
                <w:b/>
                <w:bCs/>
                <w:color w:val="000000"/>
                <w:szCs w:val="16"/>
                <w:lang w:eastAsia="en-AU"/>
              </w:rPr>
              <w:t>Non-financial assets</w:t>
            </w:r>
          </w:p>
        </w:tc>
        <w:tc>
          <w:tcPr>
            <w:tcW w:w="850" w:type="dxa"/>
            <w:gridSpan w:val="2"/>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023820">
              <w:rPr>
                <w:rFonts w:eastAsiaTheme="minorEastAsia" w:cs="Calibri"/>
                <w:b/>
                <w:bCs/>
                <w:color w:val="000000"/>
                <w:lang w:eastAsia="en-AU"/>
              </w:rPr>
              <w:t xml:space="preserve"> </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023820">
              <w:rPr>
                <w:rFonts w:eastAsiaTheme="minorEastAsia" w:cs="Calibri"/>
                <w:b/>
                <w:bCs/>
                <w:color w:val="000000"/>
                <w:lang w:eastAsia="en-AU"/>
              </w:rPr>
              <w:t xml:space="preserve"> </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023820">
              <w:rPr>
                <w:rFonts w:eastAsiaTheme="minorEastAsia" w:cs="Calibri"/>
                <w:b/>
                <w:bCs/>
                <w:color w:val="000000"/>
                <w:lang w:eastAsia="en-AU"/>
              </w:rPr>
              <w:t xml:space="preserve"> </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023820">
              <w:rPr>
                <w:rFonts w:eastAsiaTheme="minorEastAsia" w:cs="Calibri"/>
                <w:b/>
                <w:bCs/>
                <w:color w:val="000000"/>
                <w:lang w:eastAsia="en-AU"/>
              </w:rPr>
              <w:t xml:space="preserve"> </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023820">
              <w:rPr>
                <w:rFonts w:eastAsiaTheme="minorEastAsia" w:cs="Calibri"/>
                <w:b/>
                <w:bCs/>
                <w:color w:val="000000"/>
                <w:lang w:eastAsia="en-AU"/>
              </w:rPr>
              <w:t xml:space="preserve"> </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A46DCA" w:rsidRPr="00023820" w:rsidRDefault="00A46DCA" w:rsidP="00A26D04">
            <w:pPr>
              <w:keepLines w:val="0"/>
              <w:autoSpaceDE w:val="0"/>
              <w:autoSpaceDN w:val="0"/>
              <w:adjustRightInd w:val="0"/>
              <w:rPr>
                <w:rFonts w:eastAsiaTheme="minorEastAsia" w:cs="Calibri"/>
                <w:color w:val="000000"/>
                <w:szCs w:val="16"/>
                <w:lang w:eastAsia="en-AU"/>
              </w:rPr>
            </w:pPr>
            <w:r w:rsidRPr="00023820">
              <w:rPr>
                <w:rFonts w:eastAsiaTheme="minorEastAsia" w:cs="Calibri"/>
                <w:color w:val="000000"/>
                <w:szCs w:val="16"/>
                <w:lang w:eastAsia="en-AU"/>
              </w:rPr>
              <w:t xml:space="preserve">Land, buildings, infrastructure, plant </w:t>
            </w:r>
            <w:r w:rsidR="008E5E35">
              <w:rPr>
                <w:rFonts w:eastAsiaTheme="minorEastAsia" w:cs="Calibri"/>
                <w:color w:val="000000"/>
                <w:szCs w:val="16"/>
                <w:lang w:eastAsia="en-AU"/>
              </w:rPr>
              <w:br/>
            </w:r>
            <w:r w:rsidRPr="00023820">
              <w:rPr>
                <w:rFonts w:eastAsiaTheme="minorEastAsia" w:cs="Calibri"/>
                <w:color w:val="000000"/>
                <w:szCs w:val="16"/>
                <w:lang w:eastAsia="en-AU"/>
              </w:rPr>
              <w:t>and equipment</w:t>
            </w:r>
          </w:p>
        </w:tc>
        <w:tc>
          <w:tcPr>
            <w:tcW w:w="850" w:type="dxa"/>
            <w:gridSpan w:val="2"/>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98</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131</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213</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314</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420</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A46DCA" w:rsidRPr="00023820" w:rsidRDefault="00A46DCA" w:rsidP="00A26D04">
            <w:pPr>
              <w:keepLines w:val="0"/>
              <w:autoSpaceDE w:val="0"/>
              <w:autoSpaceDN w:val="0"/>
              <w:adjustRightInd w:val="0"/>
              <w:rPr>
                <w:rFonts w:eastAsiaTheme="minorEastAsia" w:cs="Calibri"/>
                <w:color w:val="000000"/>
                <w:szCs w:val="16"/>
                <w:lang w:eastAsia="en-AU"/>
              </w:rPr>
            </w:pPr>
            <w:r w:rsidRPr="00023820">
              <w:rPr>
                <w:rFonts w:eastAsiaTheme="minorEastAsia" w:cs="Calibri"/>
                <w:color w:val="000000"/>
                <w:szCs w:val="16"/>
                <w:lang w:eastAsia="en-AU"/>
              </w:rPr>
              <w:t>Other non-financial assets</w:t>
            </w:r>
          </w:p>
        </w:tc>
        <w:tc>
          <w:tcPr>
            <w:tcW w:w="850" w:type="dxa"/>
            <w:gridSpan w:val="2"/>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757</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625</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674</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698</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762</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3515" w:type="dxa"/>
            <w:tcBorders>
              <w:top w:val="single" w:sz="6" w:space="0" w:color="000000"/>
              <w:left w:val="nil"/>
              <w:bottom w:val="single" w:sz="6" w:space="0" w:color="000000"/>
              <w:right w:val="nil"/>
            </w:tcBorders>
          </w:tcPr>
          <w:p w:rsidR="00A46DCA" w:rsidRPr="00023820" w:rsidRDefault="00A46DCA" w:rsidP="00A26D04">
            <w:pPr>
              <w:keepLines w:val="0"/>
              <w:autoSpaceDE w:val="0"/>
              <w:autoSpaceDN w:val="0"/>
              <w:adjustRightInd w:val="0"/>
              <w:rPr>
                <w:rFonts w:eastAsiaTheme="minorEastAsia" w:cs="Calibri"/>
                <w:b/>
                <w:bCs/>
                <w:color w:val="000000"/>
                <w:szCs w:val="16"/>
                <w:lang w:eastAsia="en-AU"/>
              </w:rPr>
            </w:pPr>
            <w:r w:rsidRPr="00023820">
              <w:rPr>
                <w:rFonts w:eastAsiaTheme="minorEastAsia" w:cs="Calibri"/>
                <w:b/>
                <w:bCs/>
                <w:color w:val="000000"/>
                <w:szCs w:val="16"/>
                <w:lang w:eastAsia="en-AU"/>
              </w:rPr>
              <w:t>Total non-financial assets</w:t>
            </w:r>
          </w:p>
        </w:tc>
        <w:tc>
          <w:tcPr>
            <w:tcW w:w="850" w:type="dxa"/>
            <w:gridSpan w:val="2"/>
            <w:tcBorders>
              <w:top w:val="single" w:sz="6" w:space="0" w:color="000000"/>
              <w:left w:val="nil"/>
              <w:bottom w:val="single" w:sz="6" w:space="0" w:color="000000"/>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Pr>
                <w:rFonts w:eastAsiaTheme="minorEastAsia" w:cs="Calibri"/>
                <w:b/>
                <w:bCs/>
                <w:color w:val="000000"/>
                <w:szCs w:val="16"/>
                <w:lang w:eastAsia="en-AU"/>
              </w:rPr>
              <w:t>855</w:t>
            </w:r>
          </w:p>
        </w:tc>
        <w:tc>
          <w:tcPr>
            <w:tcW w:w="850" w:type="dxa"/>
            <w:tcBorders>
              <w:top w:val="single" w:sz="6" w:space="0" w:color="000000"/>
              <w:left w:val="nil"/>
              <w:bottom w:val="single" w:sz="6" w:space="0" w:color="000000"/>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Pr>
                <w:rFonts w:eastAsiaTheme="minorEastAsia" w:cs="Calibri"/>
                <w:b/>
                <w:bCs/>
                <w:color w:val="000000"/>
                <w:szCs w:val="16"/>
                <w:lang w:eastAsia="en-AU"/>
              </w:rPr>
              <w:t>756</w:t>
            </w:r>
          </w:p>
        </w:tc>
        <w:tc>
          <w:tcPr>
            <w:tcW w:w="850" w:type="dxa"/>
            <w:tcBorders>
              <w:top w:val="single" w:sz="6" w:space="0" w:color="000000"/>
              <w:left w:val="nil"/>
              <w:bottom w:val="single" w:sz="6" w:space="0" w:color="000000"/>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Pr>
                <w:rFonts w:eastAsiaTheme="minorEastAsia" w:cs="Calibri"/>
                <w:b/>
                <w:bCs/>
                <w:color w:val="000000"/>
                <w:szCs w:val="16"/>
                <w:lang w:eastAsia="en-AU"/>
              </w:rPr>
              <w:t>887</w:t>
            </w:r>
          </w:p>
        </w:tc>
        <w:tc>
          <w:tcPr>
            <w:tcW w:w="850" w:type="dxa"/>
            <w:tcBorders>
              <w:top w:val="single" w:sz="6" w:space="0" w:color="000000"/>
              <w:left w:val="nil"/>
              <w:bottom w:val="single" w:sz="6" w:space="0" w:color="000000"/>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023820">
              <w:rPr>
                <w:rFonts w:eastAsiaTheme="minorEastAsia" w:cs="Calibri"/>
                <w:b/>
                <w:bCs/>
                <w:color w:val="000000"/>
                <w:szCs w:val="16"/>
                <w:lang w:eastAsia="en-AU"/>
              </w:rPr>
              <w:t>1 012</w:t>
            </w:r>
          </w:p>
        </w:tc>
        <w:tc>
          <w:tcPr>
            <w:tcW w:w="850" w:type="dxa"/>
            <w:tcBorders>
              <w:top w:val="single" w:sz="6" w:space="0" w:color="000000"/>
              <w:left w:val="nil"/>
              <w:bottom w:val="single" w:sz="6" w:space="0" w:color="000000"/>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023820">
              <w:rPr>
                <w:rFonts w:eastAsiaTheme="minorEastAsia" w:cs="Calibri"/>
                <w:b/>
                <w:bCs/>
                <w:color w:val="000000"/>
                <w:szCs w:val="16"/>
                <w:lang w:eastAsia="en-AU"/>
              </w:rPr>
              <w:t>1 182</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A46DCA" w:rsidRPr="00023820" w:rsidRDefault="00A46DCA" w:rsidP="00A26D04">
            <w:pPr>
              <w:keepLines w:val="0"/>
              <w:autoSpaceDE w:val="0"/>
              <w:autoSpaceDN w:val="0"/>
              <w:adjustRightInd w:val="0"/>
              <w:rPr>
                <w:rFonts w:eastAsiaTheme="minorEastAsia" w:cs="Calibri"/>
                <w:b/>
                <w:bCs/>
                <w:color w:val="000000"/>
                <w:szCs w:val="16"/>
                <w:lang w:eastAsia="en-AU"/>
              </w:rPr>
            </w:pPr>
            <w:r w:rsidRPr="00023820">
              <w:rPr>
                <w:rFonts w:eastAsiaTheme="minorEastAsia" w:cs="Calibri"/>
                <w:b/>
                <w:bCs/>
                <w:color w:val="000000"/>
                <w:szCs w:val="16"/>
                <w:lang w:eastAsia="en-AU"/>
              </w:rPr>
              <w:t>Total assets</w:t>
            </w:r>
          </w:p>
        </w:tc>
        <w:tc>
          <w:tcPr>
            <w:tcW w:w="850" w:type="dxa"/>
            <w:gridSpan w:val="2"/>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023820">
              <w:rPr>
                <w:rFonts w:eastAsiaTheme="minorEastAsia" w:cs="Calibri"/>
                <w:b/>
                <w:bCs/>
                <w:color w:val="000000"/>
                <w:szCs w:val="16"/>
                <w:lang w:eastAsia="en-AU"/>
              </w:rPr>
              <w:t>80 057</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023820">
              <w:rPr>
                <w:rFonts w:eastAsiaTheme="minorEastAsia" w:cs="Calibri"/>
                <w:b/>
                <w:bCs/>
                <w:color w:val="000000"/>
                <w:szCs w:val="16"/>
                <w:lang w:eastAsia="en-AU"/>
              </w:rPr>
              <w:t>76 903</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023820">
              <w:rPr>
                <w:rFonts w:eastAsiaTheme="minorEastAsia" w:cs="Calibri"/>
                <w:b/>
                <w:bCs/>
                <w:color w:val="000000"/>
                <w:szCs w:val="16"/>
                <w:lang w:eastAsia="en-AU"/>
              </w:rPr>
              <w:t>79 799</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023820">
              <w:rPr>
                <w:rFonts w:eastAsiaTheme="minorEastAsia" w:cs="Calibri"/>
                <w:b/>
                <w:bCs/>
                <w:color w:val="000000"/>
                <w:szCs w:val="16"/>
                <w:lang w:eastAsia="en-AU"/>
              </w:rPr>
              <w:t>84 317</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023820">
              <w:rPr>
                <w:rFonts w:eastAsiaTheme="minorEastAsia" w:cs="Calibri"/>
                <w:b/>
                <w:bCs/>
                <w:color w:val="000000"/>
                <w:szCs w:val="16"/>
                <w:lang w:eastAsia="en-AU"/>
              </w:rPr>
              <w:t>87 092</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A46DCA" w:rsidRPr="00023820" w:rsidRDefault="00A46DCA" w:rsidP="00A26D04">
            <w:pPr>
              <w:keepLines w:val="0"/>
              <w:autoSpaceDE w:val="0"/>
              <w:autoSpaceDN w:val="0"/>
              <w:adjustRightInd w:val="0"/>
              <w:rPr>
                <w:rFonts w:eastAsiaTheme="minorEastAsia" w:cs="Calibri"/>
                <w:b/>
                <w:bCs/>
                <w:color w:val="000000"/>
                <w:szCs w:val="16"/>
                <w:lang w:eastAsia="en-AU"/>
              </w:rPr>
            </w:pPr>
            <w:r w:rsidRPr="00023820">
              <w:rPr>
                <w:rFonts w:eastAsiaTheme="minorEastAsia" w:cs="Calibri"/>
                <w:b/>
                <w:bCs/>
                <w:color w:val="000000"/>
                <w:szCs w:val="16"/>
                <w:lang w:eastAsia="en-AU"/>
              </w:rPr>
              <w:t>Liabilities</w:t>
            </w:r>
          </w:p>
        </w:tc>
        <w:tc>
          <w:tcPr>
            <w:tcW w:w="850" w:type="dxa"/>
            <w:gridSpan w:val="2"/>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023820">
              <w:rPr>
                <w:rFonts w:eastAsiaTheme="minorEastAsia" w:cs="Calibri"/>
                <w:b/>
                <w:bCs/>
                <w:color w:val="000000"/>
                <w:lang w:eastAsia="en-AU"/>
              </w:rPr>
              <w:t xml:space="preserve"> </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023820">
              <w:rPr>
                <w:rFonts w:eastAsiaTheme="minorEastAsia" w:cs="Calibri"/>
                <w:b/>
                <w:bCs/>
                <w:color w:val="000000"/>
                <w:lang w:eastAsia="en-AU"/>
              </w:rPr>
              <w:t xml:space="preserve"> </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023820">
              <w:rPr>
                <w:rFonts w:eastAsiaTheme="minorEastAsia" w:cs="Calibri"/>
                <w:b/>
                <w:bCs/>
                <w:color w:val="000000"/>
                <w:lang w:eastAsia="en-AU"/>
              </w:rPr>
              <w:t xml:space="preserve"> </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023820">
              <w:rPr>
                <w:rFonts w:eastAsiaTheme="minorEastAsia" w:cs="Calibri"/>
                <w:b/>
                <w:bCs/>
                <w:color w:val="000000"/>
                <w:lang w:eastAsia="en-AU"/>
              </w:rPr>
              <w:t xml:space="preserve"> </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023820">
              <w:rPr>
                <w:rFonts w:eastAsiaTheme="minorEastAsia" w:cs="Calibri"/>
                <w:b/>
                <w:bCs/>
                <w:color w:val="000000"/>
                <w:lang w:eastAsia="en-AU"/>
              </w:rPr>
              <w:t xml:space="preserve"> </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A46DCA" w:rsidRPr="00023820" w:rsidRDefault="00A46DCA" w:rsidP="00A26D04">
            <w:pPr>
              <w:keepLines w:val="0"/>
              <w:autoSpaceDE w:val="0"/>
              <w:autoSpaceDN w:val="0"/>
              <w:adjustRightInd w:val="0"/>
              <w:rPr>
                <w:rFonts w:eastAsiaTheme="minorEastAsia" w:cs="Calibri"/>
                <w:color w:val="000000"/>
                <w:szCs w:val="16"/>
                <w:lang w:eastAsia="en-AU"/>
              </w:rPr>
            </w:pPr>
            <w:r w:rsidRPr="00023820">
              <w:rPr>
                <w:rFonts w:eastAsiaTheme="minorEastAsia" w:cs="Calibri"/>
                <w:color w:val="000000"/>
                <w:szCs w:val="16"/>
                <w:lang w:eastAsia="en-AU"/>
              </w:rPr>
              <w:t>Deposits held and advances received</w:t>
            </w:r>
          </w:p>
        </w:tc>
        <w:tc>
          <w:tcPr>
            <w:tcW w:w="850" w:type="dxa"/>
            <w:gridSpan w:val="2"/>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023820">
              <w:rPr>
                <w:rFonts w:eastAsiaTheme="minorEastAsia" w:cs="Calibri"/>
                <w:color w:val="000000"/>
                <w:szCs w:val="16"/>
                <w:lang w:eastAsia="en-AU"/>
              </w:rPr>
              <w:t>6 139</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023820">
              <w:rPr>
                <w:rFonts w:eastAsiaTheme="minorEastAsia" w:cs="Calibri"/>
                <w:color w:val="000000"/>
                <w:szCs w:val="16"/>
                <w:lang w:eastAsia="en-AU"/>
              </w:rPr>
              <w:t>5 165</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023820">
              <w:rPr>
                <w:rFonts w:eastAsiaTheme="minorEastAsia" w:cs="Calibri"/>
                <w:color w:val="000000"/>
                <w:szCs w:val="16"/>
                <w:lang w:eastAsia="en-AU"/>
              </w:rPr>
              <w:t>4 914</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023820">
              <w:rPr>
                <w:rFonts w:eastAsiaTheme="minorEastAsia" w:cs="Calibri"/>
                <w:color w:val="000000"/>
                <w:szCs w:val="16"/>
                <w:lang w:eastAsia="en-AU"/>
              </w:rPr>
              <w:t>4 654</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023820">
              <w:rPr>
                <w:rFonts w:eastAsiaTheme="minorEastAsia" w:cs="Calibri"/>
                <w:color w:val="000000"/>
                <w:szCs w:val="16"/>
                <w:lang w:eastAsia="en-AU"/>
              </w:rPr>
              <w:t>4 486</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A46DCA" w:rsidRPr="00023820" w:rsidRDefault="00A46DCA" w:rsidP="00A26D04">
            <w:pPr>
              <w:keepLines w:val="0"/>
              <w:autoSpaceDE w:val="0"/>
              <w:autoSpaceDN w:val="0"/>
              <w:adjustRightInd w:val="0"/>
              <w:rPr>
                <w:rFonts w:eastAsiaTheme="minorEastAsia" w:cs="Calibri"/>
                <w:color w:val="000000"/>
                <w:szCs w:val="16"/>
                <w:lang w:eastAsia="en-AU"/>
              </w:rPr>
            </w:pPr>
            <w:r w:rsidRPr="00023820">
              <w:rPr>
                <w:rFonts w:eastAsiaTheme="minorEastAsia" w:cs="Calibri"/>
                <w:color w:val="000000"/>
                <w:szCs w:val="16"/>
                <w:lang w:eastAsia="en-AU"/>
              </w:rPr>
              <w:t>Payables</w:t>
            </w:r>
          </w:p>
        </w:tc>
        <w:tc>
          <w:tcPr>
            <w:tcW w:w="850" w:type="dxa"/>
            <w:gridSpan w:val="2"/>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023820">
              <w:rPr>
                <w:rFonts w:eastAsiaTheme="minorEastAsia" w:cs="Calibri"/>
                <w:color w:val="000000"/>
                <w:szCs w:val="16"/>
                <w:lang w:eastAsia="en-AU"/>
              </w:rPr>
              <w:t>1 953</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023820">
              <w:rPr>
                <w:rFonts w:eastAsiaTheme="minorEastAsia" w:cs="Calibri"/>
                <w:color w:val="000000"/>
                <w:szCs w:val="16"/>
                <w:lang w:eastAsia="en-AU"/>
              </w:rPr>
              <w:t>1 728</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023820">
              <w:rPr>
                <w:rFonts w:eastAsiaTheme="minorEastAsia" w:cs="Calibri"/>
                <w:color w:val="000000"/>
                <w:szCs w:val="16"/>
                <w:lang w:eastAsia="en-AU"/>
              </w:rPr>
              <w:t>1 832</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023820">
              <w:rPr>
                <w:rFonts w:eastAsiaTheme="minorEastAsia" w:cs="Calibri"/>
                <w:color w:val="000000"/>
                <w:szCs w:val="16"/>
                <w:lang w:eastAsia="en-AU"/>
              </w:rPr>
              <w:t>1 853</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023820">
              <w:rPr>
                <w:rFonts w:eastAsiaTheme="minorEastAsia" w:cs="Calibri"/>
                <w:color w:val="000000"/>
                <w:szCs w:val="16"/>
                <w:lang w:eastAsia="en-AU"/>
              </w:rPr>
              <w:t>1 854</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A46DCA" w:rsidRPr="00023820" w:rsidRDefault="00A46DCA" w:rsidP="00A26D04">
            <w:pPr>
              <w:keepLines w:val="0"/>
              <w:autoSpaceDE w:val="0"/>
              <w:autoSpaceDN w:val="0"/>
              <w:adjustRightInd w:val="0"/>
              <w:rPr>
                <w:rFonts w:eastAsiaTheme="minorEastAsia" w:cs="Calibri"/>
                <w:color w:val="000000"/>
                <w:szCs w:val="16"/>
                <w:vertAlign w:val="superscript"/>
                <w:lang w:eastAsia="en-AU"/>
              </w:rPr>
            </w:pPr>
            <w:r w:rsidRPr="00023820">
              <w:rPr>
                <w:rFonts w:eastAsiaTheme="minorEastAsia" w:cs="Calibri"/>
                <w:color w:val="000000"/>
                <w:szCs w:val="16"/>
                <w:lang w:eastAsia="en-AU"/>
              </w:rPr>
              <w:t xml:space="preserve">Borrowings </w:t>
            </w:r>
            <w:r w:rsidRPr="00023820">
              <w:rPr>
                <w:rFonts w:eastAsiaTheme="minorEastAsia" w:cs="Calibri"/>
                <w:color w:val="000000"/>
                <w:szCs w:val="16"/>
                <w:vertAlign w:val="superscript"/>
                <w:lang w:eastAsia="en-AU"/>
              </w:rPr>
              <w:t>(c)</w:t>
            </w:r>
          </w:p>
        </w:tc>
        <w:tc>
          <w:tcPr>
            <w:tcW w:w="850" w:type="dxa"/>
            <w:gridSpan w:val="2"/>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023820">
              <w:rPr>
                <w:rFonts w:eastAsiaTheme="minorEastAsia" w:cs="Calibri"/>
                <w:color w:val="000000"/>
                <w:szCs w:val="16"/>
                <w:lang w:eastAsia="en-AU"/>
              </w:rPr>
              <w:t>42 436</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023820">
              <w:rPr>
                <w:rFonts w:eastAsiaTheme="minorEastAsia" w:cs="Calibri"/>
                <w:color w:val="000000"/>
                <w:szCs w:val="16"/>
                <w:lang w:eastAsia="en-AU"/>
              </w:rPr>
              <w:t>40 319</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023820">
              <w:rPr>
                <w:rFonts w:eastAsiaTheme="minorEastAsia" w:cs="Calibri"/>
                <w:color w:val="000000"/>
                <w:szCs w:val="16"/>
                <w:lang w:eastAsia="en-AU"/>
              </w:rPr>
              <w:t>42 483</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023820">
              <w:rPr>
                <w:rFonts w:eastAsiaTheme="minorEastAsia" w:cs="Calibri"/>
                <w:color w:val="000000"/>
                <w:szCs w:val="16"/>
                <w:lang w:eastAsia="en-AU"/>
              </w:rPr>
              <w:t>46 250</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023820">
              <w:rPr>
                <w:rFonts w:eastAsiaTheme="minorEastAsia" w:cs="Calibri"/>
                <w:color w:val="000000"/>
                <w:szCs w:val="16"/>
                <w:lang w:eastAsia="en-AU"/>
              </w:rPr>
              <w:t>48 448</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A46DCA" w:rsidRPr="00023820" w:rsidRDefault="00A46DCA" w:rsidP="00A26D04">
            <w:pPr>
              <w:keepLines w:val="0"/>
              <w:autoSpaceDE w:val="0"/>
              <w:autoSpaceDN w:val="0"/>
              <w:adjustRightInd w:val="0"/>
              <w:rPr>
                <w:rFonts w:eastAsiaTheme="minorEastAsia" w:cs="Calibri"/>
                <w:color w:val="000000"/>
                <w:szCs w:val="16"/>
                <w:lang w:eastAsia="en-AU"/>
              </w:rPr>
            </w:pPr>
            <w:r w:rsidRPr="00023820">
              <w:rPr>
                <w:rFonts w:eastAsiaTheme="minorEastAsia" w:cs="Calibri"/>
                <w:color w:val="000000"/>
                <w:szCs w:val="16"/>
                <w:lang w:eastAsia="en-AU"/>
              </w:rPr>
              <w:t>Employee benefits</w:t>
            </w:r>
          </w:p>
        </w:tc>
        <w:tc>
          <w:tcPr>
            <w:tcW w:w="850" w:type="dxa"/>
            <w:gridSpan w:val="2"/>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109</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88</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90</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93</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95</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A46DCA" w:rsidRPr="00023820" w:rsidRDefault="00A46DCA" w:rsidP="00A26D04">
            <w:pPr>
              <w:keepLines w:val="0"/>
              <w:autoSpaceDE w:val="0"/>
              <w:autoSpaceDN w:val="0"/>
              <w:adjustRightInd w:val="0"/>
              <w:rPr>
                <w:rFonts w:eastAsiaTheme="minorEastAsia" w:cs="Calibri"/>
                <w:color w:val="000000"/>
                <w:szCs w:val="16"/>
                <w:lang w:eastAsia="en-AU"/>
              </w:rPr>
            </w:pPr>
            <w:r w:rsidRPr="00023820">
              <w:rPr>
                <w:rFonts w:eastAsiaTheme="minorEastAsia" w:cs="Calibri"/>
                <w:color w:val="000000"/>
                <w:szCs w:val="16"/>
                <w:lang w:eastAsia="en-AU"/>
              </w:rPr>
              <w:t>Other provisions</w:t>
            </w:r>
          </w:p>
        </w:tc>
        <w:tc>
          <w:tcPr>
            <w:tcW w:w="850" w:type="dxa"/>
            <w:gridSpan w:val="2"/>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023820">
              <w:rPr>
                <w:rFonts w:eastAsiaTheme="minorEastAsia" w:cs="Calibri"/>
                <w:color w:val="000000"/>
                <w:szCs w:val="16"/>
                <w:lang w:eastAsia="en-AU"/>
              </w:rPr>
              <w:t>29 546</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023820">
              <w:rPr>
                <w:rFonts w:eastAsiaTheme="minorEastAsia" w:cs="Calibri"/>
                <w:color w:val="000000"/>
                <w:szCs w:val="16"/>
                <w:lang w:eastAsia="en-AU"/>
              </w:rPr>
              <w:t>29 277</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023820">
              <w:rPr>
                <w:rFonts w:eastAsiaTheme="minorEastAsia" w:cs="Calibri"/>
                <w:color w:val="000000"/>
                <w:szCs w:val="16"/>
                <w:lang w:eastAsia="en-AU"/>
              </w:rPr>
              <w:t>30 948</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023820">
              <w:rPr>
                <w:rFonts w:eastAsiaTheme="minorEastAsia" w:cs="Calibri"/>
                <w:color w:val="000000"/>
                <w:szCs w:val="16"/>
                <w:lang w:eastAsia="en-AU"/>
              </w:rPr>
              <w:t>32 679</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023820">
              <w:rPr>
                <w:rFonts w:eastAsiaTheme="minorEastAsia" w:cs="Calibri"/>
                <w:color w:val="000000"/>
                <w:szCs w:val="16"/>
                <w:lang w:eastAsia="en-AU"/>
              </w:rPr>
              <w:t>34 437</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3515" w:type="dxa"/>
            <w:tcBorders>
              <w:top w:val="single" w:sz="6" w:space="0" w:color="000000"/>
              <w:left w:val="nil"/>
              <w:bottom w:val="nil"/>
              <w:right w:val="nil"/>
            </w:tcBorders>
          </w:tcPr>
          <w:p w:rsidR="00A46DCA" w:rsidRPr="00023820" w:rsidRDefault="00A46DCA" w:rsidP="00A26D04">
            <w:pPr>
              <w:keepLines w:val="0"/>
              <w:autoSpaceDE w:val="0"/>
              <w:autoSpaceDN w:val="0"/>
              <w:adjustRightInd w:val="0"/>
              <w:rPr>
                <w:rFonts w:eastAsiaTheme="minorEastAsia" w:cs="Calibri"/>
                <w:b/>
                <w:bCs/>
                <w:color w:val="000000"/>
                <w:szCs w:val="16"/>
                <w:lang w:eastAsia="en-AU"/>
              </w:rPr>
            </w:pPr>
            <w:r w:rsidRPr="00023820">
              <w:rPr>
                <w:rFonts w:eastAsiaTheme="minorEastAsia" w:cs="Calibri"/>
                <w:b/>
                <w:bCs/>
                <w:color w:val="000000"/>
                <w:szCs w:val="16"/>
                <w:lang w:eastAsia="en-AU"/>
              </w:rPr>
              <w:t>Total liabilities</w:t>
            </w:r>
          </w:p>
        </w:tc>
        <w:tc>
          <w:tcPr>
            <w:tcW w:w="850" w:type="dxa"/>
            <w:gridSpan w:val="2"/>
            <w:tcBorders>
              <w:top w:val="single" w:sz="6" w:space="0" w:color="000000"/>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023820">
              <w:rPr>
                <w:rFonts w:eastAsiaTheme="minorEastAsia" w:cs="Calibri"/>
                <w:b/>
                <w:bCs/>
                <w:color w:val="000000"/>
                <w:szCs w:val="16"/>
                <w:lang w:eastAsia="en-AU"/>
              </w:rPr>
              <w:t>80 182</w:t>
            </w:r>
          </w:p>
        </w:tc>
        <w:tc>
          <w:tcPr>
            <w:tcW w:w="850" w:type="dxa"/>
            <w:tcBorders>
              <w:top w:val="single" w:sz="6" w:space="0" w:color="000000"/>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023820">
              <w:rPr>
                <w:rFonts w:eastAsiaTheme="minorEastAsia" w:cs="Calibri"/>
                <w:b/>
                <w:bCs/>
                <w:color w:val="000000"/>
                <w:szCs w:val="16"/>
                <w:lang w:eastAsia="en-AU"/>
              </w:rPr>
              <w:t>76 576</w:t>
            </w:r>
          </w:p>
        </w:tc>
        <w:tc>
          <w:tcPr>
            <w:tcW w:w="850" w:type="dxa"/>
            <w:tcBorders>
              <w:top w:val="single" w:sz="6" w:space="0" w:color="000000"/>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023820">
              <w:rPr>
                <w:rFonts w:eastAsiaTheme="minorEastAsia" w:cs="Calibri"/>
                <w:b/>
                <w:bCs/>
                <w:color w:val="000000"/>
                <w:szCs w:val="16"/>
                <w:lang w:eastAsia="en-AU"/>
              </w:rPr>
              <w:t>80 268</w:t>
            </w:r>
          </w:p>
        </w:tc>
        <w:tc>
          <w:tcPr>
            <w:tcW w:w="850" w:type="dxa"/>
            <w:tcBorders>
              <w:top w:val="single" w:sz="6" w:space="0" w:color="000000"/>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023820">
              <w:rPr>
                <w:rFonts w:eastAsiaTheme="minorEastAsia" w:cs="Calibri"/>
                <w:b/>
                <w:bCs/>
                <w:color w:val="000000"/>
                <w:szCs w:val="16"/>
                <w:lang w:eastAsia="en-AU"/>
              </w:rPr>
              <w:t>85 529</w:t>
            </w:r>
          </w:p>
        </w:tc>
        <w:tc>
          <w:tcPr>
            <w:tcW w:w="850" w:type="dxa"/>
            <w:tcBorders>
              <w:top w:val="single" w:sz="6" w:space="0" w:color="000000"/>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023820">
              <w:rPr>
                <w:rFonts w:eastAsiaTheme="minorEastAsia" w:cs="Calibri"/>
                <w:b/>
                <w:bCs/>
                <w:color w:val="000000"/>
                <w:szCs w:val="16"/>
                <w:lang w:eastAsia="en-AU"/>
              </w:rPr>
              <w:t>89 319</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3515" w:type="dxa"/>
            <w:tcBorders>
              <w:top w:val="single" w:sz="6" w:space="0" w:color="000000"/>
              <w:left w:val="nil"/>
              <w:bottom w:val="single" w:sz="12" w:space="0" w:color="000000"/>
              <w:right w:val="nil"/>
            </w:tcBorders>
          </w:tcPr>
          <w:p w:rsidR="00A46DCA" w:rsidRPr="00023820" w:rsidRDefault="00A46DCA" w:rsidP="00A26D04">
            <w:pPr>
              <w:keepLines w:val="0"/>
              <w:autoSpaceDE w:val="0"/>
              <w:autoSpaceDN w:val="0"/>
              <w:adjustRightInd w:val="0"/>
              <w:rPr>
                <w:rFonts w:eastAsiaTheme="minorEastAsia" w:cs="Calibri"/>
                <w:b/>
                <w:bCs/>
                <w:color w:val="000000"/>
                <w:szCs w:val="16"/>
                <w:vertAlign w:val="superscript"/>
                <w:lang w:eastAsia="en-AU"/>
              </w:rPr>
            </w:pPr>
            <w:r w:rsidRPr="00023820">
              <w:rPr>
                <w:rFonts w:eastAsiaTheme="minorEastAsia" w:cs="Calibri"/>
                <w:b/>
                <w:bCs/>
                <w:color w:val="000000"/>
                <w:szCs w:val="16"/>
                <w:lang w:eastAsia="en-AU"/>
              </w:rPr>
              <w:t xml:space="preserve">Net assets </w:t>
            </w:r>
            <w:r w:rsidRPr="00023820">
              <w:rPr>
                <w:rFonts w:eastAsiaTheme="minorEastAsia" w:cs="Calibri"/>
                <w:b/>
                <w:bCs/>
                <w:color w:val="000000"/>
                <w:szCs w:val="16"/>
                <w:vertAlign w:val="superscript"/>
                <w:lang w:eastAsia="en-AU"/>
              </w:rPr>
              <w:t>(d)</w:t>
            </w:r>
          </w:p>
        </w:tc>
        <w:tc>
          <w:tcPr>
            <w:tcW w:w="850" w:type="dxa"/>
            <w:gridSpan w:val="2"/>
            <w:tcBorders>
              <w:top w:val="single" w:sz="6" w:space="0" w:color="000000"/>
              <w:left w:val="nil"/>
              <w:bottom w:val="single" w:sz="12" w:space="0" w:color="000000"/>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Pr>
                <w:rFonts w:eastAsiaTheme="minorEastAsia" w:cs="Calibri"/>
                <w:b/>
                <w:bCs/>
                <w:color w:val="000000"/>
                <w:szCs w:val="16"/>
                <w:lang w:eastAsia="en-AU"/>
              </w:rPr>
              <w:t>(126)</w:t>
            </w:r>
          </w:p>
        </w:tc>
        <w:tc>
          <w:tcPr>
            <w:tcW w:w="850" w:type="dxa"/>
            <w:tcBorders>
              <w:top w:val="single" w:sz="6" w:space="0" w:color="000000"/>
              <w:left w:val="nil"/>
              <w:bottom w:val="single" w:sz="12" w:space="0" w:color="000000"/>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Pr>
                <w:rFonts w:eastAsiaTheme="minorEastAsia" w:cs="Calibri"/>
                <w:b/>
                <w:bCs/>
                <w:color w:val="000000"/>
                <w:szCs w:val="16"/>
                <w:lang w:eastAsia="en-AU"/>
              </w:rPr>
              <w:t>327</w:t>
            </w:r>
          </w:p>
        </w:tc>
        <w:tc>
          <w:tcPr>
            <w:tcW w:w="850" w:type="dxa"/>
            <w:tcBorders>
              <w:top w:val="single" w:sz="6" w:space="0" w:color="000000"/>
              <w:left w:val="nil"/>
              <w:bottom w:val="single" w:sz="12" w:space="0" w:color="000000"/>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Pr>
                <w:rFonts w:eastAsiaTheme="minorEastAsia" w:cs="Calibri"/>
                <w:b/>
                <w:bCs/>
                <w:color w:val="000000"/>
                <w:szCs w:val="16"/>
                <w:lang w:eastAsia="en-AU"/>
              </w:rPr>
              <w:t>(468)</w:t>
            </w:r>
          </w:p>
        </w:tc>
        <w:tc>
          <w:tcPr>
            <w:tcW w:w="850" w:type="dxa"/>
            <w:tcBorders>
              <w:top w:val="single" w:sz="6" w:space="0" w:color="000000"/>
              <w:left w:val="nil"/>
              <w:bottom w:val="single" w:sz="12" w:space="0" w:color="000000"/>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Pr>
                <w:rFonts w:eastAsiaTheme="minorEastAsia" w:cs="Calibri"/>
                <w:b/>
                <w:bCs/>
                <w:color w:val="000000"/>
                <w:szCs w:val="16"/>
                <w:lang w:eastAsia="en-AU"/>
              </w:rPr>
              <w:t>(1 211)</w:t>
            </w:r>
          </w:p>
        </w:tc>
        <w:tc>
          <w:tcPr>
            <w:tcW w:w="850" w:type="dxa"/>
            <w:tcBorders>
              <w:top w:val="single" w:sz="6" w:space="0" w:color="000000"/>
              <w:left w:val="nil"/>
              <w:bottom w:val="single" w:sz="12" w:space="0" w:color="000000"/>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Pr>
                <w:rFonts w:eastAsiaTheme="minorEastAsia" w:cs="Calibri"/>
                <w:b/>
                <w:bCs/>
                <w:color w:val="000000"/>
                <w:szCs w:val="16"/>
                <w:lang w:eastAsia="en-AU"/>
              </w:rPr>
              <w:t>(2 228)</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A46DCA" w:rsidRPr="00023820" w:rsidRDefault="00A46DCA" w:rsidP="00A26D04">
            <w:pPr>
              <w:keepLines w:val="0"/>
              <w:autoSpaceDE w:val="0"/>
              <w:autoSpaceDN w:val="0"/>
              <w:adjustRightInd w:val="0"/>
              <w:rPr>
                <w:rFonts w:eastAsiaTheme="minorEastAsia" w:cs="Calibri"/>
                <w:color w:val="000000"/>
                <w:szCs w:val="16"/>
                <w:lang w:eastAsia="en-AU"/>
              </w:rPr>
            </w:pPr>
            <w:r w:rsidRPr="00023820">
              <w:rPr>
                <w:rFonts w:eastAsiaTheme="minorEastAsia" w:cs="Calibri"/>
                <w:color w:val="000000"/>
                <w:szCs w:val="16"/>
                <w:lang w:eastAsia="en-AU"/>
              </w:rPr>
              <w:t>Accumulated surplus/(deficit)</w:t>
            </w:r>
          </w:p>
        </w:tc>
        <w:tc>
          <w:tcPr>
            <w:tcW w:w="850" w:type="dxa"/>
            <w:gridSpan w:val="2"/>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(218)</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234</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(563)</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(1 309)</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(2 328)</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A46DCA" w:rsidRPr="00023820" w:rsidRDefault="00A46DCA" w:rsidP="00A26D04">
            <w:pPr>
              <w:keepLines w:val="0"/>
              <w:autoSpaceDE w:val="0"/>
              <w:autoSpaceDN w:val="0"/>
              <w:adjustRightInd w:val="0"/>
              <w:rPr>
                <w:rFonts w:eastAsiaTheme="minorEastAsia" w:cs="Calibri"/>
                <w:color w:val="000000"/>
                <w:szCs w:val="16"/>
                <w:lang w:eastAsia="en-AU"/>
              </w:rPr>
            </w:pPr>
            <w:r w:rsidRPr="00023820">
              <w:rPr>
                <w:rFonts w:eastAsiaTheme="minorEastAsia" w:cs="Calibri"/>
                <w:color w:val="000000"/>
                <w:szCs w:val="16"/>
                <w:lang w:eastAsia="en-AU"/>
              </w:rPr>
              <w:t>Reserves</w:t>
            </w:r>
          </w:p>
        </w:tc>
        <w:tc>
          <w:tcPr>
            <w:tcW w:w="850" w:type="dxa"/>
            <w:gridSpan w:val="2"/>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92</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92</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95</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98</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100</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3515" w:type="dxa"/>
            <w:tcBorders>
              <w:top w:val="single" w:sz="6" w:space="0" w:color="000000"/>
              <w:left w:val="nil"/>
              <w:bottom w:val="single" w:sz="12" w:space="0" w:color="000000"/>
              <w:right w:val="nil"/>
            </w:tcBorders>
          </w:tcPr>
          <w:p w:rsidR="00A46DCA" w:rsidRPr="00023820" w:rsidRDefault="00A46DCA" w:rsidP="00A26D04">
            <w:pPr>
              <w:keepLines w:val="0"/>
              <w:autoSpaceDE w:val="0"/>
              <w:autoSpaceDN w:val="0"/>
              <w:adjustRightInd w:val="0"/>
              <w:rPr>
                <w:rFonts w:eastAsiaTheme="minorEastAsia" w:cs="Calibri"/>
                <w:b/>
                <w:bCs/>
                <w:color w:val="000000"/>
                <w:szCs w:val="16"/>
                <w:vertAlign w:val="superscript"/>
                <w:lang w:eastAsia="en-AU"/>
              </w:rPr>
            </w:pPr>
            <w:r w:rsidRPr="00023820">
              <w:rPr>
                <w:rFonts w:eastAsiaTheme="minorEastAsia" w:cs="Calibri"/>
                <w:b/>
                <w:bCs/>
                <w:color w:val="000000"/>
                <w:szCs w:val="16"/>
                <w:lang w:eastAsia="en-AU"/>
              </w:rPr>
              <w:t xml:space="preserve">Net worth </w:t>
            </w:r>
            <w:r w:rsidRPr="00023820">
              <w:rPr>
                <w:rFonts w:eastAsiaTheme="minorEastAsia" w:cs="Calibri"/>
                <w:b/>
                <w:bCs/>
                <w:color w:val="000000"/>
                <w:szCs w:val="16"/>
                <w:vertAlign w:val="superscript"/>
                <w:lang w:eastAsia="en-AU"/>
              </w:rPr>
              <w:t>(d)</w:t>
            </w:r>
          </w:p>
        </w:tc>
        <w:tc>
          <w:tcPr>
            <w:tcW w:w="850" w:type="dxa"/>
            <w:gridSpan w:val="2"/>
            <w:tcBorders>
              <w:top w:val="single" w:sz="6" w:space="0" w:color="000000"/>
              <w:left w:val="nil"/>
              <w:bottom w:val="single" w:sz="12" w:space="0" w:color="000000"/>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Pr>
                <w:rFonts w:eastAsiaTheme="minorEastAsia" w:cs="Calibri"/>
                <w:b/>
                <w:bCs/>
                <w:color w:val="000000"/>
                <w:szCs w:val="16"/>
                <w:lang w:eastAsia="en-AU"/>
              </w:rPr>
              <w:t>(126)</w:t>
            </w:r>
          </w:p>
        </w:tc>
        <w:tc>
          <w:tcPr>
            <w:tcW w:w="850" w:type="dxa"/>
            <w:tcBorders>
              <w:top w:val="single" w:sz="6" w:space="0" w:color="000000"/>
              <w:left w:val="nil"/>
              <w:bottom w:val="single" w:sz="12" w:space="0" w:color="000000"/>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Pr>
                <w:rFonts w:eastAsiaTheme="minorEastAsia" w:cs="Calibri"/>
                <w:b/>
                <w:bCs/>
                <w:color w:val="000000"/>
                <w:szCs w:val="16"/>
                <w:lang w:eastAsia="en-AU"/>
              </w:rPr>
              <w:t>327</w:t>
            </w:r>
          </w:p>
        </w:tc>
        <w:tc>
          <w:tcPr>
            <w:tcW w:w="850" w:type="dxa"/>
            <w:tcBorders>
              <w:top w:val="single" w:sz="6" w:space="0" w:color="000000"/>
              <w:left w:val="nil"/>
              <w:bottom w:val="single" w:sz="12" w:space="0" w:color="000000"/>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Pr>
                <w:rFonts w:eastAsiaTheme="minorEastAsia" w:cs="Calibri"/>
                <w:b/>
                <w:bCs/>
                <w:color w:val="000000"/>
                <w:szCs w:val="16"/>
                <w:lang w:eastAsia="en-AU"/>
              </w:rPr>
              <w:t>(468)</w:t>
            </w:r>
          </w:p>
        </w:tc>
        <w:tc>
          <w:tcPr>
            <w:tcW w:w="850" w:type="dxa"/>
            <w:tcBorders>
              <w:top w:val="single" w:sz="6" w:space="0" w:color="000000"/>
              <w:left w:val="nil"/>
              <w:bottom w:val="single" w:sz="12" w:space="0" w:color="000000"/>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Pr>
                <w:rFonts w:eastAsiaTheme="minorEastAsia" w:cs="Calibri"/>
                <w:b/>
                <w:bCs/>
                <w:color w:val="000000"/>
                <w:szCs w:val="16"/>
                <w:lang w:eastAsia="en-AU"/>
              </w:rPr>
              <w:t>(1 211)</w:t>
            </w:r>
          </w:p>
        </w:tc>
        <w:tc>
          <w:tcPr>
            <w:tcW w:w="850" w:type="dxa"/>
            <w:tcBorders>
              <w:top w:val="single" w:sz="6" w:space="0" w:color="000000"/>
              <w:left w:val="nil"/>
              <w:bottom w:val="single" w:sz="12" w:space="0" w:color="000000"/>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Pr>
                <w:rFonts w:eastAsiaTheme="minorEastAsia" w:cs="Calibri"/>
                <w:b/>
                <w:bCs/>
                <w:color w:val="000000"/>
                <w:szCs w:val="16"/>
                <w:lang w:eastAsia="en-AU"/>
              </w:rPr>
              <w:t>(2 228)</w:t>
            </w:r>
          </w:p>
        </w:tc>
      </w:tr>
      <w:tr w:rsidR="00A46DCA" w:rsidRPr="00023820" w:rsidTr="00A26D04">
        <w:trPr>
          <w:trHeight w:hRule="exact" w:val="120"/>
        </w:trPr>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A46DCA" w:rsidRPr="00023820" w:rsidRDefault="00A46DCA" w:rsidP="00A26D04">
            <w:pPr>
              <w:keepLines w:val="0"/>
              <w:autoSpaceDE w:val="0"/>
              <w:autoSpaceDN w:val="0"/>
              <w:adjustRightInd w:val="0"/>
              <w:rPr>
                <w:rFonts w:eastAsiaTheme="minorEastAsia" w:cs="Calibri"/>
                <w:color w:val="000000"/>
                <w:lang w:eastAsia="en-AU"/>
              </w:rPr>
            </w:pPr>
            <w:r w:rsidRPr="00023820">
              <w:rPr>
                <w:rFonts w:eastAsiaTheme="minorEastAsia" w:cs="Calibri"/>
                <w:color w:val="000000"/>
                <w:lang w:eastAsia="en-AU"/>
              </w:rPr>
              <w:t xml:space="preserve"> </w:t>
            </w:r>
          </w:p>
        </w:tc>
        <w:tc>
          <w:tcPr>
            <w:tcW w:w="850" w:type="dxa"/>
            <w:gridSpan w:val="2"/>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023820">
              <w:rPr>
                <w:rFonts w:eastAsiaTheme="minorEastAsia" w:cs="Calibri"/>
                <w:color w:val="000000"/>
                <w:lang w:eastAsia="en-AU"/>
              </w:rPr>
              <w:t xml:space="preserve"> </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023820">
              <w:rPr>
                <w:rFonts w:eastAsiaTheme="minorEastAsia" w:cs="Calibri"/>
                <w:color w:val="000000"/>
                <w:lang w:eastAsia="en-AU"/>
              </w:rPr>
              <w:t xml:space="preserve"> </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023820">
              <w:rPr>
                <w:rFonts w:eastAsiaTheme="minorEastAsia" w:cs="Calibri"/>
                <w:color w:val="000000"/>
                <w:lang w:eastAsia="en-AU"/>
              </w:rPr>
              <w:t xml:space="preserve"> </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023820">
              <w:rPr>
                <w:rFonts w:eastAsiaTheme="minorEastAsia" w:cs="Calibri"/>
                <w:color w:val="000000"/>
                <w:lang w:eastAsia="en-AU"/>
              </w:rPr>
              <w:t xml:space="preserve"> </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023820">
              <w:rPr>
                <w:rFonts w:eastAsiaTheme="minorEastAsia" w:cs="Calibri"/>
                <w:color w:val="000000"/>
                <w:lang w:eastAsia="en-AU"/>
              </w:rPr>
              <w:t xml:space="preserve"> </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A46DCA" w:rsidRPr="00023820" w:rsidRDefault="00A46DCA" w:rsidP="00A26D04">
            <w:pPr>
              <w:keepLines w:val="0"/>
              <w:autoSpaceDE w:val="0"/>
              <w:autoSpaceDN w:val="0"/>
              <w:adjustRightInd w:val="0"/>
              <w:rPr>
                <w:rFonts w:eastAsiaTheme="minorEastAsia" w:cs="Calibri"/>
                <w:b/>
                <w:bCs/>
                <w:color w:val="000000"/>
                <w:szCs w:val="16"/>
                <w:lang w:eastAsia="en-AU"/>
              </w:rPr>
            </w:pPr>
            <w:r w:rsidRPr="00023820">
              <w:rPr>
                <w:rFonts w:eastAsiaTheme="minorEastAsia" w:cs="Calibri"/>
                <w:b/>
                <w:bCs/>
                <w:color w:val="000000"/>
                <w:szCs w:val="16"/>
                <w:lang w:eastAsia="en-AU"/>
              </w:rPr>
              <w:t>FISCAL AGGREGATES</w:t>
            </w:r>
          </w:p>
        </w:tc>
        <w:tc>
          <w:tcPr>
            <w:tcW w:w="850" w:type="dxa"/>
            <w:gridSpan w:val="2"/>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023820">
              <w:rPr>
                <w:rFonts w:eastAsiaTheme="minorEastAsia" w:cs="Calibri"/>
                <w:b/>
                <w:bCs/>
                <w:color w:val="000000"/>
                <w:lang w:eastAsia="en-AU"/>
              </w:rPr>
              <w:t xml:space="preserve"> </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023820">
              <w:rPr>
                <w:rFonts w:eastAsiaTheme="minorEastAsia" w:cs="Calibri"/>
                <w:b/>
                <w:bCs/>
                <w:color w:val="000000"/>
                <w:lang w:eastAsia="en-AU"/>
              </w:rPr>
              <w:t xml:space="preserve"> </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023820">
              <w:rPr>
                <w:rFonts w:eastAsiaTheme="minorEastAsia" w:cs="Calibri"/>
                <w:b/>
                <w:bCs/>
                <w:color w:val="000000"/>
                <w:lang w:eastAsia="en-AU"/>
              </w:rPr>
              <w:t xml:space="preserve"> </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023820">
              <w:rPr>
                <w:rFonts w:eastAsiaTheme="minorEastAsia" w:cs="Calibri"/>
                <w:b/>
                <w:bCs/>
                <w:color w:val="000000"/>
                <w:lang w:eastAsia="en-AU"/>
              </w:rPr>
              <w:t xml:space="preserve"> </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023820">
              <w:rPr>
                <w:rFonts w:eastAsiaTheme="minorEastAsia" w:cs="Calibri"/>
                <w:b/>
                <w:bCs/>
                <w:color w:val="000000"/>
                <w:lang w:eastAsia="en-AU"/>
              </w:rPr>
              <w:t xml:space="preserve"> </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A46DCA" w:rsidRPr="00023820" w:rsidRDefault="00A46DCA" w:rsidP="00A26D04">
            <w:pPr>
              <w:keepLines w:val="0"/>
              <w:autoSpaceDE w:val="0"/>
              <w:autoSpaceDN w:val="0"/>
              <w:adjustRightInd w:val="0"/>
              <w:rPr>
                <w:rFonts w:eastAsiaTheme="minorEastAsia" w:cs="Calibri"/>
                <w:color w:val="000000"/>
                <w:szCs w:val="16"/>
                <w:lang w:eastAsia="en-AU"/>
              </w:rPr>
            </w:pPr>
            <w:r w:rsidRPr="00023820">
              <w:rPr>
                <w:rFonts w:eastAsiaTheme="minorEastAsia" w:cs="Calibri"/>
                <w:color w:val="000000"/>
                <w:szCs w:val="16"/>
                <w:lang w:eastAsia="en-AU"/>
              </w:rPr>
              <w:t>Net financial worth</w:t>
            </w:r>
          </w:p>
        </w:tc>
        <w:tc>
          <w:tcPr>
            <w:tcW w:w="850" w:type="dxa"/>
            <w:gridSpan w:val="2"/>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(981)</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(429)</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(1 355)</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(2 223)</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(3 410)</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A46DCA" w:rsidRPr="00023820" w:rsidRDefault="00A46DCA" w:rsidP="00A26D04">
            <w:pPr>
              <w:keepLines w:val="0"/>
              <w:autoSpaceDE w:val="0"/>
              <w:autoSpaceDN w:val="0"/>
              <w:adjustRightInd w:val="0"/>
              <w:rPr>
                <w:rFonts w:eastAsiaTheme="minorEastAsia" w:cs="Calibri"/>
                <w:color w:val="000000"/>
                <w:szCs w:val="16"/>
                <w:lang w:eastAsia="en-AU"/>
              </w:rPr>
            </w:pPr>
            <w:r w:rsidRPr="00023820">
              <w:rPr>
                <w:rFonts w:eastAsiaTheme="minorEastAsia" w:cs="Calibri"/>
                <w:color w:val="000000"/>
                <w:szCs w:val="16"/>
                <w:lang w:eastAsia="en-AU"/>
              </w:rPr>
              <w:t>Net financial liabilities</w:t>
            </w:r>
          </w:p>
        </w:tc>
        <w:tc>
          <w:tcPr>
            <w:tcW w:w="850" w:type="dxa"/>
            <w:gridSpan w:val="2"/>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981</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429</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023820">
              <w:rPr>
                <w:rFonts w:eastAsiaTheme="minorEastAsia" w:cs="Calibri"/>
                <w:color w:val="000000"/>
                <w:szCs w:val="16"/>
                <w:lang w:eastAsia="en-AU"/>
              </w:rPr>
              <w:t>1 355</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023820">
              <w:rPr>
                <w:rFonts w:eastAsiaTheme="minorEastAsia" w:cs="Calibri"/>
                <w:color w:val="000000"/>
                <w:szCs w:val="16"/>
                <w:lang w:eastAsia="en-AU"/>
              </w:rPr>
              <w:t>2 223</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023820">
              <w:rPr>
                <w:rFonts w:eastAsiaTheme="minorEastAsia" w:cs="Calibri"/>
                <w:color w:val="000000"/>
                <w:szCs w:val="16"/>
                <w:lang w:eastAsia="en-AU"/>
              </w:rPr>
              <w:t>3 410</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single" w:sz="12" w:space="0" w:color="000000"/>
              <w:right w:val="nil"/>
            </w:tcBorders>
          </w:tcPr>
          <w:p w:rsidR="00A46DCA" w:rsidRPr="00023820" w:rsidRDefault="00A46DCA" w:rsidP="00A26D04">
            <w:pPr>
              <w:keepLines w:val="0"/>
              <w:autoSpaceDE w:val="0"/>
              <w:autoSpaceDN w:val="0"/>
              <w:adjustRightInd w:val="0"/>
              <w:rPr>
                <w:rFonts w:eastAsiaTheme="minorEastAsia" w:cs="Calibri"/>
                <w:color w:val="000000"/>
                <w:szCs w:val="16"/>
                <w:lang w:eastAsia="en-AU"/>
              </w:rPr>
            </w:pPr>
            <w:r w:rsidRPr="00023820">
              <w:rPr>
                <w:rFonts w:eastAsiaTheme="minorEastAsia" w:cs="Calibri"/>
                <w:color w:val="000000"/>
                <w:szCs w:val="16"/>
                <w:lang w:eastAsia="en-AU"/>
              </w:rPr>
              <w:t>Net debt</w:t>
            </w:r>
          </w:p>
        </w:tc>
        <w:tc>
          <w:tcPr>
            <w:tcW w:w="850" w:type="dxa"/>
            <w:gridSpan w:val="2"/>
            <w:tcBorders>
              <w:top w:val="nil"/>
              <w:left w:val="nil"/>
              <w:bottom w:val="single" w:sz="12" w:space="0" w:color="000000"/>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(29 080)</w:t>
            </w:r>
          </w:p>
        </w:tc>
        <w:tc>
          <w:tcPr>
            <w:tcW w:w="850" w:type="dxa"/>
            <w:tcBorders>
              <w:top w:val="nil"/>
              <w:left w:val="nil"/>
              <w:bottom w:val="single" w:sz="12" w:space="0" w:color="000000"/>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(29 450)</w:t>
            </w:r>
          </w:p>
        </w:tc>
        <w:tc>
          <w:tcPr>
            <w:tcW w:w="850" w:type="dxa"/>
            <w:tcBorders>
              <w:top w:val="nil"/>
              <w:left w:val="nil"/>
              <w:bottom w:val="single" w:sz="12" w:space="0" w:color="000000"/>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(30 191)</w:t>
            </w:r>
          </w:p>
        </w:tc>
        <w:tc>
          <w:tcPr>
            <w:tcW w:w="850" w:type="dxa"/>
            <w:tcBorders>
              <w:top w:val="nil"/>
              <w:left w:val="nil"/>
              <w:bottom w:val="single" w:sz="12" w:space="0" w:color="000000"/>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(31 039)</w:t>
            </w:r>
          </w:p>
        </w:tc>
        <w:tc>
          <w:tcPr>
            <w:tcW w:w="850" w:type="dxa"/>
            <w:tcBorders>
              <w:top w:val="nil"/>
              <w:left w:val="nil"/>
              <w:bottom w:val="single" w:sz="12" w:space="0" w:color="000000"/>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(31 596)</w:t>
            </w:r>
          </w:p>
        </w:tc>
      </w:tr>
    </w:tbl>
    <w:p w:rsidR="00A46DCA" w:rsidRPr="00203144" w:rsidRDefault="00A46DCA" w:rsidP="00A26D04">
      <w:pPr>
        <w:pStyle w:val="Source"/>
      </w:pPr>
      <w:r w:rsidRPr="00203144">
        <w:t>Source: Department of Treasury and Finance</w:t>
      </w:r>
    </w:p>
    <w:p w:rsidR="00A46DCA" w:rsidRPr="00203144" w:rsidRDefault="00A46DCA" w:rsidP="00A26D04">
      <w:pPr>
        <w:pStyle w:val="Note"/>
      </w:pPr>
      <w:r w:rsidRPr="00AB0006">
        <w:t>Notes:</w:t>
      </w:r>
    </w:p>
    <w:p w:rsidR="00A46DCA" w:rsidRPr="00FF76EB" w:rsidRDefault="00A46DCA" w:rsidP="00A26D04">
      <w:pPr>
        <w:pStyle w:val="Note"/>
        <w:rPr>
          <w:rFonts w:cs="Times New Roman"/>
          <w:lang w:eastAsia="en-AU"/>
        </w:rPr>
      </w:pPr>
      <w:r w:rsidRPr="00FF76EB">
        <w:rPr>
          <w:rFonts w:cs="Times New Roman"/>
          <w:lang w:eastAsia="en-AU"/>
        </w:rPr>
        <w:t>(a)</w:t>
      </w:r>
      <w:r w:rsidRPr="00FF76EB">
        <w:rPr>
          <w:rFonts w:cs="Times New Roman"/>
          <w:lang w:eastAsia="en-AU"/>
        </w:rPr>
        <w:tab/>
      </w:r>
      <w:r w:rsidRPr="00203144">
        <w:rPr>
          <w:rFonts w:cs="Times New Roman"/>
          <w:lang w:eastAsia="en-AU"/>
        </w:rPr>
        <w:t>Balances represent actual opening balances at 1 July 2017 plus 2017-18 budgeted movements.</w:t>
      </w:r>
    </w:p>
    <w:p w:rsidR="00A46DCA" w:rsidRPr="00AB0006" w:rsidRDefault="00A46DCA" w:rsidP="00A26D04">
      <w:pPr>
        <w:pStyle w:val="Note"/>
        <w:rPr>
          <w:rFonts w:cs="Times New Roman"/>
          <w:lang w:eastAsia="en-AU"/>
        </w:rPr>
      </w:pPr>
      <w:r w:rsidRPr="00203144">
        <w:rPr>
          <w:rFonts w:cs="Times New Roman"/>
          <w:lang w:eastAsia="en-AU"/>
        </w:rPr>
        <w:t>(b</w:t>
      </w:r>
      <w:r w:rsidRPr="00AB0006">
        <w:rPr>
          <w:rFonts w:cs="Times New Roman"/>
          <w:lang w:eastAsia="en-AU"/>
        </w:rPr>
        <w:t>)</w:t>
      </w:r>
      <w:r w:rsidRPr="00AB0006">
        <w:rPr>
          <w:rFonts w:cs="Times New Roman"/>
          <w:lang w:eastAsia="en-AU"/>
        </w:rPr>
        <w:tab/>
        <w:t>Loans receivable from the non-financial public sector are measured at amortised cost.</w:t>
      </w:r>
    </w:p>
    <w:p w:rsidR="00A46DCA" w:rsidRPr="00AB0006" w:rsidRDefault="00A46DCA" w:rsidP="00A26D04">
      <w:pPr>
        <w:pStyle w:val="Note"/>
        <w:rPr>
          <w:rFonts w:cs="Times New Roman"/>
          <w:lang w:eastAsia="en-AU"/>
        </w:rPr>
      </w:pPr>
      <w:r w:rsidRPr="00203144">
        <w:rPr>
          <w:rFonts w:cs="Times New Roman"/>
          <w:lang w:eastAsia="en-AU"/>
        </w:rPr>
        <w:t>(c</w:t>
      </w:r>
      <w:r w:rsidRPr="00AB0006">
        <w:rPr>
          <w:rFonts w:cs="Times New Roman"/>
          <w:lang w:eastAsia="en-AU"/>
        </w:rPr>
        <w:t>)</w:t>
      </w:r>
      <w:r w:rsidRPr="00AB0006">
        <w:rPr>
          <w:rFonts w:cs="Times New Roman"/>
          <w:lang w:eastAsia="en-AU"/>
        </w:rPr>
        <w:tab/>
        <w:t>Borrowings with the private sector are reported at market value.</w:t>
      </w:r>
    </w:p>
    <w:p w:rsidR="00A46DCA" w:rsidRPr="00AB0006" w:rsidRDefault="00A46DCA" w:rsidP="00A26D04">
      <w:pPr>
        <w:pStyle w:val="Note"/>
        <w:rPr>
          <w:rFonts w:cs="Times New Roman"/>
          <w:lang w:eastAsia="en-AU"/>
        </w:rPr>
      </w:pPr>
      <w:r w:rsidRPr="00203144">
        <w:rPr>
          <w:rFonts w:cs="Times New Roman"/>
          <w:lang w:eastAsia="en-AU"/>
        </w:rPr>
        <w:t>(d</w:t>
      </w:r>
      <w:r w:rsidRPr="00AB0006">
        <w:rPr>
          <w:rFonts w:cs="Times New Roman"/>
          <w:lang w:eastAsia="en-AU"/>
        </w:rPr>
        <w:t>)</w:t>
      </w:r>
      <w:r w:rsidRPr="00AB0006">
        <w:rPr>
          <w:rFonts w:cs="Times New Roman"/>
          <w:lang w:eastAsia="en-AU"/>
        </w:rPr>
        <w:tab/>
        <w:t>Treasury Corporation of Victoria</w:t>
      </w:r>
      <w:r>
        <w:rPr>
          <w:rFonts w:cs="Times New Roman"/>
          <w:lang w:eastAsia="en-AU"/>
        </w:rPr>
        <w:t>’</w:t>
      </w:r>
      <w:r w:rsidRPr="00AB0006">
        <w:rPr>
          <w:rFonts w:cs="Times New Roman"/>
          <w:lang w:eastAsia="en-AU"/>
        </w:rPr>
        <w:t>s external loan liabilities are reported at mark-to-market value while the corresponding assets, that is lending to the non-financial public sector, are reported at historical value. This mismatch results in the negative net asset position of the sector.</w:t>
      </w:r>
    </w:p>
    <w:p w:rsidR="00A46DCA" w:rsidRPr="00AB0006" w:rsidRDefault="00A46DCA" w:rsidP="00A26D04">
      <w:pPr>
        <w:keepLines w:val="0"/>
        <w:rPr>
          <w:rFonts w:asciiTheme="majorHAnsi" w:hAnsiTheme="majorHAnsi" w:cs="Times New Roman"/>
          <w:i/>
          <w:sz w:val="15"/>
          <w:szCs w:val="15"/>
          <w:lang w:eastAsia="en-AU"/>
        </w:rPr>
      </w:pPr>
      <w:r>
        <w:rPr>
          <w:rFonts w:asciiTheme="majorHAnsi" w:hAnsiTheme="majorHAnsi" w:cs="Times New Roman"/>
          <w:i/>
          <w:sz w:val="15"/>
          <w:szCs w:val="15"/>
          <w:lang w:eastAsia="en-AU"/>
        </w:rPr>
        <w:br w:type="page"/>
      </w:r>
    </w:p>
    <w:p w:rsidR="00A46DCA" w:rsidRPr="00023820" w:rsidRDefault="00A46DCA" w:rsidP="00A26D04">
      <w:pPr>
        <w:pStyle w:val="TableHeading"/>
        <w:rPr>
          <w:bCs/>
          <w:lang w:val="en-US"/>
        </w:rPr>
      </w:pPr>
      <w:r>
        <w:lastRenderedPageBreak/>
        <w:t>Table 5.15</w:t>
      </w:r>
      <w:r w:rsidR="008E5E35">
        <w:t>:</w:t>
      </w:r>
      <w:r>
        <w:tab/>
        <w:t xml:space="preserve">Public financial corporations sector cash flow statement </w:t>
      </w:r>
      <w:r w:rsidR="006A017C">
        <w:br/>
      </w:r>
      <w:r>
        <w:t>for the financial year ended 30 June</w:t>
      </w:r>
      <w:r>
        <w:tab/>
        <w:t>($ million)</w:t>
      </w:r>
    </w:p>
    <w:tbl>
      <w:tblPr>
        <w:tblStyle w:val="DTFTable"/>
        <w:tblW w:w="7765" w:type="dxa"/>
        <w:tblInd w:w="45" w:type="dxa"/>
        <w:tblLayout w:type="fixed"/>
        <w:tblCellMar>
          <w:left w:w="45" w:type="dxa"/>
          <w:right w:w="45" w:type="dxa"/>
        </w:tblCellMar>
        <w:tblLook w:val="06A0" w:firstRow="1" w:lastRow="0" w:firstColumn="1" w:lastColumn="0" w:noHBand="1" w:noVBand="1"/>
      </w:tblPr>
      <w:tblGrid>
        <w:gridCol w:w="3515"/>
        <w:gridCol w:w="170"/>
        <w:gridCol w:w="680"/>
        <w:gridCol w:w="850"/>
        <w:gridCol w:w="850"/>
        <w:gridCol w:w="850"/>
        <w:gridCol w:w="850"/>
      </w:tblGrid>
      <w:tr w:rsidR="00A26D04" w:rsidRPr="00023820" w:rsidTr="00A26D04">
        <w:trPr>
          <w:cnfStyle w:val="100000000000" w:firstRow="1" w:lastRow="0" w:firstColumn="0" w:lastColumn="0" w:oddVBand="0" w:evenVBand="0" w:oddHBand="0" w:evenHBand="0" w:firstRowFirstColumn="0" w:firstRowLastColumn="0" w:lastRowFirstColumn="0" w:lastRowLastColumn="0"/>
          <w:trHeight w:val="435"/>
          <w:tblHeader/>
        </w:trPr>
        <w:tc>
          <w:tcPr>
            <w:cnfStyle w:val="001000000000" w:firstRow="0" w:lastRow="0" w:firstColumn="1" w:lastColumn="0" w:oddVBand="0" w:evenVBand="0" w:oddHBand="0" w:evenHBand="0" w:firstRowFirstColumn="0" w:firstRowLastColumn="0" w:lastRowFirstColumn="0" w:lastRowLastColumn="0"/>
            <w:tcW w:w="3515" w:type="dxa"/>
            <w:tcBorders>
              <w:top w:val="nil"/>
              <w:left w:val="nil"/>
              <w:right w:val="nil"/>
            </w:tcBorders>
            <w:shd w:val="solid" w:color="000000" w:fill="auto"/>
          </w:tcPr>
          <w:p w:rsidR="00A26D04" w:rsidRPr="00023820" w:rsidRDefault="00A26D04" w:rsidP="00A26D04">
            <w:pPr>
              <w:autoSpaceDE w:val="0"/>
              <w:autoSpaceDN w:val="0"/>
              <w:adjustRightInd w:val="0"/>
              <w:spacing w:after="0"/>
              <w:rPr>
                <w:rFonts w:eastAsiaTheme="minorEastAsia" w:cs="Calibri"/>
                <w:iCs/>
                <w:color w:val="FFFFFF"/>
                <w:sz w:val="16"/>
                <w:lang w:eastAsia="en-AU"/>
              </w:rPr>
            </w:pPr>
            <w:r w:rsidRPr="00023820">
              <w:rPr>
                <w:rFonts w:eastAsiaTheme="minorEastAsia" w:cs="Calibri"/>
                <w:iCs/>
                <w:color w:val="FFFFFF"/>
                <w:sz w:val="16"/>
                <w:lang w:eastAsia="en-AU"/>
              </w:rPr>
              <w:t xml:space="preserve">  </w:t>
            </w:r>
          </w:p>
        </w:tc>
        <w:tc>
          <w:tcPr>
            <w:tcW w:w="850" w:type="dxa"/>
            <w:gridSpan w:val="2"/>
            <w:tcBorders>
              <w:top w:val="nil"/>
              <w:left w:val="nil"/>
              <w:right w:val="nil"/>
            </w:tcBorders>
            <w:shd w:val="solid" w:color="000000" w:fill="auto"/>
          </w:tcPr>
          <w:p w:rsidR="00A26D04" w:rsidRPr="00023820" w:rsidRDefault="00A26D04" w:rsidP="00A26D04">
            <w:pPr>
              <w:keepLines w:val="0"/>
              <w:autoSpaceDE w:val="0"/>
              <w:autoSpaceDN w:val="0"/>
              <w:adjustRightInd w:val="0"/>
              <w:spacing w:after="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 w:val="16"/>
                <w:szCs w:val="16"/>
                <w:lang w:eastAsia="en-AU"/>
              </w:rPr>
            </w:pPr>
            <w:r w:rsidRPr="00023820">
              <w:rPr>
                <w:rFonts w:eastAsiaTheme="minorEastAsia" w:cs="Calibri"/>
                <w:iCs/>
                <w:color w:val="FFFFFF"/>
                <w:sz w:val="16"/>
                <w:szCs w:val="16"/>
                <w:lang w:eastAsia="en-AU"/>
              </w:rPr>
              <w:t>2017-18</w:t>
            </w:r>
            <w:r>
              <w:rPr>
                <w:rFonts w:eastAsiaTheme="minorEastAsia" w:cs="Calibri"/>
                <w:iCs/>
                <w:color w:val="FFFFFF"/>
                <w:sz w:val="16"/>
                <w:szCs w:val="16"/>
                <w:lang w:eastAsia="en-AU"/>
              </w:rPr>
              <w:br/>
            </w:r>
            <w:r w:rsidRPr="00023820">
              <w:rPr>
                <w:rFonts w:eastAsiaTheme="minorEastAsia" w:cs="Calibri"/>
                <w:iCs/>
                <w:color w:val="FFFFFF"/>
                <w:sz w:val="16"/>
                <w:szCs w:val="16"/>
                <w:lang w:eastAsia="en-AU"/>
              </w:rPr>
              <w:t>budget</w:t>
            </w:r>
          </w:p>
        </w:tc>
        <w:tc>
          <w:tcPr>
            <w:tcW w:w="850" w:type="dxa"/>
            <w:tcBorders>
              <w:top w:val="nil"/>
              <w:left w:val="nil"/>
              <w:right w:val="nil"/>
            </w:tcBorders>
            <w:shd w:val="solid" w:color="000000" w:fill="auto"/>
          </w:tcPr>
          <w:p w:rsidR="00A26D04" w:rsidRPr="00023820" w:rsidRDefault="00A26D04" w:rsidP="00A26D04">
            <w:pPr>
              <w:keepLines w:val="0"/>
              <w:autoSpaceDE w:val="0"/>
              <w:autoSpaceDN w:val="0"/>
              <w:adjustRightInd w:val="0"/>
              <w:spacing w:after="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 w:val="16"/>
                <w:szCs w:val="16"/>
                <w:lang w:eastAsia="en-AU"/>
              </w:rPr>
            </w:pPr>
            <w:r w:rsidRPr="00023820">
              <w:rPr>
                <w:rFonts w:eastAsiaTheme="minorEastAsia" w:cs="Calibri"/>
                <w:iCs/>
                <w:color w:val="FFFFFF"/>
                <w:sz w:val="16"/>
                <w:szCs w:val="16"/>
                <w:lang w:eastAsia="en-AU"/>
              </w:rPr>
              <w:t>2017-18</w:t>
            </w:r>
            <w:r>
              <w:rPr>
                <w:rFonts w:eastAsiaTheme="minorEastAsia" w:cs="Calibri"/>
                <w:iCs/>
                <w:color w:val="FFFFFF"/>
                <w:sz w:val="16"/>
                <w:szCs w:val="16"/>
                <w:lang w:eastAsia="en-AU"/>
              </w:rPr>
              <w:br/>
            </w:r>
            <w:r w:rsidRPr="00023820">
              <w:rPr>
                <w:rFonts w:eastAsiaTheme="minorEastAsia" w:cs="Calibri"/>
                <w:iCs/>
                <w:color w:val="FFFFFF"/>
                <w:sz w:val="16"/>
                <w:szCs w:val="16"/>
                <w:lang w:eastAsia="en-AU"/>
              </w:rPr>
              <w:t>revised</w:t>
            </w:r>
          </w:p>
        </w:tc>
        <w:tc>
          <w:tcPr>
            <w:tcW w:w="850" w:type="dxa"/>
            <w:tcBorders>
              <w:top w:val="nil"/>
              <w:left w:val="nil"/>
              <w:right w:val="nil"/>
            </w:tcBorders>
            <w:shd w:val="solid" w:color="000000" w:fill="auto"/>
          </w:tcPr>
          <w:p w:rsidR="00A26D04" w:rsidRPr="00023820" w:rsidRDefault="00A26D04" w:rsidP="00A26D04">
            <w:pPr>
              <w:keepLines w:val="0"/>
              <w:autoSpaceDE w:val="0"/>
              <w:autoSpaceDN w:val="0"/>
              <w:adjustRightInd w:val="0"/>
              <w:spacing w:after="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 w:val="16"/>
                <w:szCs w:val="16"/>
                <w:lang w:eastAsia="en-AU"/>
              </w:rPr>
            </w:pPr>
            <w:r w:rsidRPr="00023820">
              <w:rPr>
                <w:rFonts w:eastAsiaTheme="minorEastAsia" w:cs="Calibri"/>
                <w:iCs/>
                <w:color w:val="FFFFFF"/>
                <w:sz w:val="16"/>
                <w:szCs w:val="16"/>
                <w:lang w:eastAsia="en-AU"/>
              </w:rPr>
              <w:t>2018-19</w:t>
            </w:r>
            <w:r>
              <w:rPr>
                <w:rFonts w:eastAsiaTheme="minorEastAsia" w:cs="Calibri"/>
                <w:iCs/>
                <w:color w:val="FFFFFF"/>
                <w:sz w:val="16"/>
                <w:szCs w:val="16"/>
                <w:lang w:eastAsia="en-AU"/>
              </w:rPr>
              <w:br/>
            </w:r>
            <w:r w:rsidRPr="00023820">
              <w:rPr>
                <w:rFonts w:eastAsiaTheme="minorEastAsia" w:cs="Calibri"/>
                <w:iCs/>
                <w:color w:val="FFFFFF"/>
                <w:sz w:val="16"/>
                <w:szCs w:val="16"/>
                <w:lang w:eastAsia="en-AU"/>
              </w:rPr>
              <w:t>estimate</w:t>
            </w:r>
          </w:p>
        </w:tc>
        <w:tc>
          <w:tcPr>
            <w:tcW w:w="850" w:type="dxa"/>
            <w:tcBorders>
              <w:top w:val="nil"/>
              <w:left w:val="nil"/>
              <w:right w:val="nil"/>
            </w:tcBorders>
            <w:shd w:val="solid" w:color="000000" w:fill="auto"/>
          </w:tcPr>
          <w:p w:rsidR="00A26D04" w:rsidRPr="00023820" w:rsidRDefault="00A26D04" w:rsidP="00A26D04">
            <w:pPr>
              <w:keepLines w:val="0"/>
              <w:autoSpaceDE w:val="0"/>
              <w:autoSpaceDN w:val="0"/>
              <w:adjustRightInd w:val="0"/>
              <w:spacing w:after="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 w:val="16"/>
                <w:szCs w:val="16"/>
                <w:lang w:eastAsia="en-AU"/>
              </w:rPr>
            </w:pPr>
            <w:r w:rsidRPr="00023820">
              <w:rPr>
                <w:rFonts w:eastAsiaTheme="minorEastAsia" w:cs="Calibri"/>
                <w:iCs/>
                <w:color w:val="FFFFFF"/>
                <w:sz w:val="16"/>
                <w:szCs w:val="16"/>
                <w:lang w:eastAsia="en-AU"/>
              </w:rPr>
              <w:t>2019-20</w:t>
            </w:r>
            <w:r>
              <w:rPr>
                <w:rFonts w:eastAsiaTheme="minorEastAsia" w:cs="Calibri"/>
                <w:iCs/>
                <w:color w:val="FFFFFF"/>
                <w:sz w:val="16"/>
                <w:szCs w:val="16"/>
                <w:lang w:eastAsia="en-AU"/>
              </w:rPr>
              <w:br/>
            </w:r>
            <w:r w:rsidRPr="00023820">
              <w:rPr>
                <w:rFonts w:eastAsiaTheme="minorEastAsia" w:cs="Calibri"/>
                <w:iCs/>
                <w:color w:val="FFFFFF"/>
                <w:sz w:val="16"/>
                <w:szCs w:val="16"/>
                <w:lang w:eastAsia="en-AU"/>
              </w:rPr>
              <w:t>estimate</w:t>
            </w:r>
          </w:p>
        </w:tc>
        <w:tc>
          <w:tcPr>
            <w:tcW w:w="850" w:type="dxa"/>
            <w:tcBorders>
              <w:top w:val="nil"/>
              <w:left w:val="nil"/>
              <w:right w:val="nil"/>
            </w:tcBorders>
            <w:shd w:val="solid" w:color="000000" w:fill="auto"/>
          </w:tcPr>
          <w:p w:rsidR="00A26D04" w:rsidRPr="00023820" w:rsidRDefault="00A26D04" w:rsidP="00A26D04">
            <w:pPr>
              <w:keepLines w:val="0"/>
              <w:autoSpaceDE w:val="0"/>
              <w:autoSpaceDN w:val="0"/>
              <w:adjustRightInd w:val="0"/>
              <w:spacing w:after="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 w:val="16"/>
                <w:szCs w:val="16"/>
                <w:lang w:eastAsia="en-AU"/>
              </w:rPr>
            </w:pPr>
            <w:r w:rsidRPr="00023820">
              <w:rPr>
                <w:rFonts w:eastAsiaTheme="minorEastAsia" w:cs="Calibri"/>
                <w:iCs/>
                <w:color w:val="FFFFFF"/>
                <w:sz w:val="16"/>
                <w:szCs w:val="16"/>
                <w:lang w:eastAsia="en-AU"/>
              </w:rPr>
              <w:t>2020-21</w:t>
            </w:r>
            <w:r>
              <w:rPr>
                <w:rFonts w:eastAsiaTheme="minorEastAsia" w:cs="Calibri"/>
                <w:iCs/>
                <w:color w:val="FFFFFF"/>
                <w:sz w:val="16"/>
                <w:szCs w:val="16"/>
                <w:lang w:eastAsia="en-AU"/>
              </w:rPr>
              <w:br/>
            </w:r>
            <w:r w:rsidRPr="00023820">
              <w:rPr>
                <w:rFonts w:eastAsiaTheme="minorEastAsia" w:cs="Calibri"/>
                <w:iCs/>
                <w:color w:val="FFFFFF"/>
                <w:sz w:val="16"/>
                <w:szCs w:val="16"/>
                <w:lang w:eastAsia="en-AU"/>
              </w:rPr>
              <w:t>estimate</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A46DCA" w:rsidRPr="00023820" w:rsidRDefault="00A46DCA" w:rsidP="00A26D04">
            <w:pPr>
              <w:keepLines w:val="0"/>
              <w:autoSpaceDE w:val="0"/>
              <w:autoSpaceDN w:val="0"/>
              <w:adjustRightInd w:val="0"/>
              <w:spacing w:after="0"/>
              <w:rPr>
                <w:rFonts w:eastAsiaTheme="minorEastAsia" w:cs="Calibri"/>
                <w:b/>
                <w:bCs/>
                <w:color w:val="000000"/>
                <w:sz w:val="16"/>
                <w:szCs w:val="16"/>
                <w:lang w:eastAsia="en-AU"/>
              </w:rPr>
            </w:pPr>
            <w:r w:rsidRPr="00023820">
              <w:rPr>
                <w:rFonts w:eastAsiaTheme="minorEastAsia" w:cs="Calibri"/>
                <w:b/>
                <w:bCs/>
                <w:color w:val="000000"/>
                <w:sz w:val="16"/>
                <w:szCs w:val="16"/>
                <w:lang w:eastAsia="en-AU"/>
              </w:rPr>
              <w:t>Cash flows from operating activities</w:t>
            </w:r>
          </w:p>
        </w:tc>
        <w:tc>
          <w:tcPr>
            <w:tcW w:w="850" w:type="dxa"/>
            <w:gridSpan w:val="2"/>
            <w:tcBorders>
              <w:top w:val="nil"/>
              <w:left w:val="nil"/>
              <w:bottom w:val="nil"/>
              <w:right w:val="nil"/>
            </w:tcBorders>
          </w:tcPr>
          <w:p w:rsidR="00A46DCA" w:rsidRPr="00023820"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lang w:eastAsia="en-AU"/>
              </w:rPr>
            </w:pPr>
            <w:r w:rsidRPr="00023820">
              <w:rPr>
                <w:rFonts w:eastAsiaTheme="minorEastAsia" w:cs="Calibri"/>
                <w:b/>
                <w:bCs/>
                <w:color w:val="000000"/>
                <w:sz w:val="16"/>
                <w:lang w:eastAsia="en-AU"/>
              </w:rPr>
              <w:t xml:space="preserve"> </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lang w:eastAsia="en-AU"/>
              </w:rPr>
            </w:pPr>
            <w:r w:rsidRPr="00023820">
              <w:rPr>
                <w:rFonts w:eastAsiaTheme="minorEastAsia" w:cs="Calibri"/>
                <w:b/>
                <w:bCs/>
                <w:color w:val="000000"/>
                <w:sz w:val="16"/>
                <w:lang w:eastAsia="en-AU"/>
              </w:rPr>
              <w:t xml:space="preserve"> </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lang w:eastAsia="en-AU"/>
              </w:rPr>
            </w:pPr>
            <w:r w:rsidRPr="00023820">
              <w:rPr>
                <w:rFonts w:eastAsiaTheme="minorEastAsia" w:cs="Calibri"/>
                <w:b/>
                <w:bCs/>
                <w:color w:val="000000"/>
                <w:sz w:val="16"/>
                <w:lang w:eastAsia="en-AU"/>
              </w:rPr>
              <w:t xml:space="preserve"> </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lang w:eastAsia="en-AU"/>
              </w:rPr>
            </w:pPr>
            <w:r w:rsidRPr="00023820">
              <w:rPr>
                <w:rFonts w:eastAsiaTheme="minorEastAsia" w:cs="Calibri"/>
                <w:b/>
                <w:bCs/>
                <w:color w:val="000000"/>
                <w:sz w:val="16"/>
                <w:lang w:eastAsia="en-AU"/>
              </w:rPr>
              <w:t xml:space="preserve"> </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lang w:eastAsia="en-AU"/>
              </w:rPr>
            </w:pPr>
            <w:r w:rsidRPr="00023820">
              <w:rPr>
                <w:rFonts w:eastAsiaTheme="minorEastAsia" w:cs="Calibri"/>
                <w:b/>
                <w:bCs/>
                <w:color w:val="000000"/>
                <w:sz w:val="16"/>
                <w:lang w:eastAsia="en-AU"/>
              </w:rPr>
              <w:t xml:space="preserve"> </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A46DCA" w:rsidRPr="00023820" w:rsidRDefault="00A46DCA" w:rsidP="00A26D04">
            <w:pPr>
              <w:keepLines w:val="0"/>
              <w:autoSpaceDE w:val="0"/>
              <w:autoSpaceDN w:val="0"/>
              <w:adjustRightInd w:val="0"/>
              <w:spacing w:after="0"/>
              <w:rPr>
                <w:rFonts w:eastAsiaTheme="minorEastAsia" w:cs="Calibri"/>
                <w:b/>
                <w:bCs/>
                <w:color w:val="000000"/>
                <w:sz w:val="16"/>
                <w:szCs w:val="16"/>
                <w:lang w:eastAsia="en-AU"/>
              </w:rPr>
            </w:pPr>
            <w:r w:rsidRPr="00023820">
              <w:rPr>
                <w:rFonts w:eastAsiaTheme="minorEastAsia" w:cs="Calibri"/>
                <w:b/>
                <w:bCs/>
                <w:color w:val="000000"/>
                <w:sz w:val="16"/>
                <w:szCs w:val="16"/>
                <w:lang w:eastAsia="en-AU"/>
              </w:rPr>
              <w:t>Receipts</w:t>
            </w:r>
          </w:p>
        </w:tc>
        <w:tc>
          <w:tcPr>
            <w:tcW w:w="850" w:type="dxa"/>
            <w:gridSpan w:val="2"/>
            <w:tcBorders>
              <w:top w:val="nil"/>
              <w:left w:val="nil"/>
              <w:bottom w:val="nil"/>
              <w:right w:val="nil"/>
            </w:tcBorders>
          </w:tcPr>
          <w:p w:rsidR="00A46DCA" w:rsidRPr="00023820"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lang w:eastAsia="en-AU"/>
              </w:rPr>
            </w:pPr>
            <w:r w:rsidRPr="00023820">
              <w:rPr>
                <w:rFonts w:eastAsiaTheme="minorEastAsia" w:cs="Calibri"/>
                <w:b/>
                <w:bCs/>
                <w:color w:val="000000"/>
                <w:sz w:val="16"/>
                <w:lang w:eastAsia="en-AU"/>
              </w:rPr>
              <w:t xml:space="preserve"> </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lang w:eastAsia="en-AU"/>
              </w:rPr>
            </w:pPr>
            <w:r w:rsidRPr="00023820">
              <w:rPr>
                <w:rFonts w:eastAsiaTheme="minorEastAsia" w:cs="Calibri"/>
                <w:b/>
                <w:bCs/>
                <w:color w:val="000000"/>
                <w:sz w:val="16"/>
                <w:lang w:eastAsia="en-AU"/>
              </w:rPr>
              <w:t xml:space="preserve"> </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lang w:eastAsia="en-AU"/>
              </w:rPr>
            </w:pPr>
            <w:r w:rsidRPr="00023820">
              <w:rPr>
                <w:rFonts w:eastAsiaTheme="minorEastAsia" w:cs="Calibri"/>
                <w:b/>
                <w:bCs/>
                <w:color w:val="000000"/>
                <w:sz w:val="16"/>
                <w:lang w:eastAsia="en-AU"/>
              </w:rPr>
              <w:t xml:space="preserve"> </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lang w:eastAsia="en-AU"/>
              </w:rPr>
            </w:pPr>
            <w:r w:rsidRPr="00023820">
              <w:rPr>
                <w:rFonts w:eastAsiaTheme="minorEastAsia" w:cs="Calibri"/>
                <w:b/>
                <w:bCs/>
                <w:color w:val="000000"/>
                <w:sz w:val="16"/>
                <w:lang w:eastAsia="en-AU"/>
              </w:rPr>
              <w:t xml:space="preserve"> </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lang w:eastAsia="en-AU"/>
              </w:rPr>
            </w:pPr>
            <w:r w:rsidRPr="00023820">
              <w:rPr>
                <w:rFonts w:eastAsiaTheme="minorEastAsia" w:cs="Calibri"/>
                <w:b/>
                <w:bCs/>
                <w:color w:val="000000"/>
                <w:sz w:val="16"/>
                <w:lang w:eastAsia="en-AU"/>
              </w:rPr>
              <w:t xml:space="preserve"> </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A46DCA" w:rsidRPr="00023820" w:rsidRDefault="00A46DCA" w:rsidP="00A26D04">
            <w:pPr>
              <w:keepLines w:val="0"/>
              <w:autoSpaceDE w:val="0"/>
              <w:autoSpaceDN w:val="0"/>
              <w:adjustRightInd w:val="0"/>
              <w:spacing w:after="0"/>
              <w:rPr>
                <w:rFonts w:eastAsiaTheme="minorEastAsia" w:cs="Calibri"/>
                <w:color w:val="000000"/>
                <w:sz w:val="16"/>
                <w:szCs w:val="16"/>
                <w:vertAlign w:val="superscript"/>
                <w:lang w:eastAsia="en-AU"/>
              </w:rPr>
            </w:pPr>
            <w:r w:rsidRPr="00023820">
              <w:rPr>
                <w:rFonts w:eastAsiaTheme="minorEastAsia" w:cs="Calibri"/>
                <w:color w:val="000000"/>
                <w:sz w:val="16"/>
                <w:szCs w:val="16"/>
                <w:lang w:eastAsia="en-AU"/>
              </w:rPr>
              <w:t xml:space="preserve">Sales of goods and services </w:t>
            </w:r>
            <w:r w:rsidRPr="00023820">
              <w:rPr>
                <w:rFonts w:eastAsiaTheme="minorEastAsia" w:cs="Calibri"/>
                <w:color w:val="000000"/>
                <w:sz w:val="16"/>
                <w:szCs w:val="16"/>
                <w:vertAlign w:val="superscript"/>
                <w:lang w:eastAsia="en-AU"/>
              </w:rPr>
              <w:t>(a)</w:t>
            </w:r>
          </w:p>
        </w:tc>
        <w:tc>
          <w:tcPr>
            <w:tcW w:w="850" w:type="dxa"/>
            <w:gridSpan w:val="2"/>
            <w:tcBorders>
              <w:top w:val="nil"/>
              <w:left w:val="nil"/>
              <w:bottom w:val="nil"/>
              <w:right w:val="nil"/>
            </w:tcBorders>
          </w:tcPr>
          <w:p w:rsidR="00A46DCA" w:rsidRPr="00023820"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lang w:eastAsia="en-AU"/>
              </w:rPr>
            </w:pPr>
            <w:r w:rsidRPr="00023820">
              <w:rPr>
                <w:rFonts w:eastAsiaTheme="minorEastAsia" w:cs="Calibri"/>
                <w:color w:val="000000"/>
                <w:sz w:val="16"/>
                <w:szCs w:val="16"/>
                <w:lang w:eastAsia="en-AU"/>
              </w:rPr>
              <w:t>4 989</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lang w:eastAsia="en-AU"/>
              </w:rPr>
            </w:pPr>
            <w:r w:rsidRPr="00023820">
              <w:rPr>
                <w:rFonts w:eastAsiaTheme="minorEastAsia" w:cs="Calibri"/>
                <w:color w:val="000000"/>
                <w:sz w:val="16"/>
                <w:szCs w:val="16"/>
                <w:lang w:eastAsia="en-AU"/>
              </w:rPr>
              <w:t>5 038</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lang w:eastAsia="en-AU"/>
              </w:rPr>
            </w:pPr>
            <w:r w:rsidRPr="00023820">
              <w:rPr>
                <w:rFonts w:eastAsiaTheme="minorEastAsia" w:cs="Calibri"/>
                <w:color w:val="000000"/>
                <w:sz w:val="16"/>
                <w:szCs w:val="16"/>
                <w:lang w:eastAsia="en-AU"/>
              </w:rPr>
              <w:t>5 243</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lang w:eastAsia="en-AU"/>
              </w:rPr>
            </w:pPr>
            <w:r w:rsidRPr="00023820">
              <w:rPr>
                <w:rFonts w:eastAsiaTheme="minorEastAsia" w:cs="Calibri"/>
                <w:color w:val="000000"/>
                <w:sz w:val="16"/>
                <w:szCs w:val="16"/>
                <w:lang w:eastAsia="en-AU"/>
              </w:rPr>
              <w:t>5 398</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lang w:eastAsia="en-AU"/>
              </w:rPr>
            </w:pPr>
            <w:r w:rsidRPr="00023820">
              <w:rPr>
                <w:rFonts w:eastAsiaTheme="minorEastAsia" w:cs="Calibri"/>
                <w:color w:val="000000"/>
                <w:sz w:val="16"/>
                <w:szCs w:val="16"/>
                <w:lang w:eastAsia="en-AU"/>
              </w:rPr>
              <w:t>5 703</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A46DCA" w:rsidRPr="00023820" w:rsidRDefault="00A46DCA" w:rsidP="00A26D04">
            <w:pPr>
              <w:keepLines w:val="0"/>
              <w:autoSpaceDE w:val="0"/>
              <w:autoSpaceDN w:val="0"/>
              <w:adjustRightInd w:val="0"/>
              <w:spacing w:after="0"/>
              <w:rPr>
                <w:rFonts w:eastAsiaTheme="minorEastAsia" w:cs="Calibri"/>
                <w:color w:val="000000"/>
                <w:sz w:val="16"/>
                <w:szCs w:val="16"/>
                <w:lang w:eastAsia="en-AU"/>
              </w:rPr>
            </w:pPr>
            <w:r w:rsidRPr="00023820">
              <w:rPr>
                <w:rFonts w:eastAsiaTheme="minorEastAsia" w:cs="Calibri"/>
                <w:color w:val="000000"/>
                <w:sz w:val="16"/>
                <w:szCs w:val="16"/>
                <w:lang w:eastAsia="en-AU"/>
              </w:rPr>
              <w:t>Interest received</w:t>
            </w:r>
          </w:p>
        </w:tc>
        <w:tc>
          <w:tcPr>
            <w:tcW w:w="850" w:type="dxa"/>
            <w:gridSpan w:val="2"/>
            <w:tcBorders>
              <w:top w:val="nil"/>
              <w:left w:val="nil"/>
              <w:bottom w:val="nil"/>
              <w:right w:val="nil"/>
            </w:tcBorders>
          </w:tcPr>
          <w:p w:rsidR="00A46DCA" w:rsidRPr="00023820"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lang w:eastAsia="en-AU"/>
              </w:rPr>
            </w:pPr>
            <w:r w:rsidRPr="00023820">
              <w:rPr>
                <w:rFonts w:eastAsiaTheme="minorEastAsia" w:cs="Calibri"/>
                <w:color w:val="000000"/>
                <w:sz w:val="16"/>
                <w:szCs w:val="16"/>
                <w:lang w:eastAsia="en-AU"/>
              </w:rPr>
              <w:t>2 099</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lang w:eastAsia="en-AU"/>
              </w:rPr>
            </w:pPr>
            <w:r w:rsidRPr="00023820">
              <w:rPr>
                <w:rFonts w:eastAsiaTheme="minorEastAsia" w:cs="Calibri"/>
                <w:color w:val="000000"/>
                <w:sz w:val="16"/>
                <w:szCs w:val="16"/>
                <w:lang w:eastAsia="en-AU"/>
              </w:rPr>
              <w:t>2 091</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lang w:eastAsia="en-AU"/>
              </w:rPr>
            </w:pPr>
            <w:r w:rsidRPr="00023820">
              <w:rPr>
                <w:rFonts w:eastAsiaTheme="minorEastAsia" w:cs="Calibri"/>
                <w:color w:val="000000"/>
                <w:sz w:val="16"/>
                <w:szCs w:val="16"/>
                <w:lang w:eastAsia="en-AU"/>
              </w:rPr>
              <w:t>2 151</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lang w:eastAsia="en-AU"/>
              </w:rPr>
            </w:pPr>
            <w:r w:rsidRPr="00023820">
              <w:rPr>
                <w:rFonts w:eastAsiaTheme="minorEastAsia" w:cs="Calibri"/>
                <w:color w:val="000000"/>
                <w:sz w:val="16"/>
                <w:szCs w:val="16"/>
                <w:lang w:eastAsia="en-AU"/>
              </w:rPr>
              <w:t>2 261</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lang w:eastAsia="en-AU"/>
              </w:rPr>
            </w:pPr>
            <w:r w:rsidRPr="00023820">
              <w:rPr>
                <w:rFonts w:eastAsiaTheme="minorEastAsia" w:cs="Calibri"/>
                <w:color w:val="000000"/>
                <w:sz w:val="16"/>
                <w:szCs w:val="16"/>
                <w:lang w:eastAsia="en-AU"/>
              </w:rPr>
              <w:t>2 394</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A46DCA" w:rsidRPr="00023820" w:rsidRDefault="00A46DCA" w:rsidP="00A26D04">
            <w:pPr>
              <w:keepLines w:val="0"/>
              <w:autoSpaceDE w:val="0"/>
              <w:autoSpaceDN w:val="0"/>
              <w:adjustRightInd w:val="0"/>
              <w:spacing w:after="0"/>
              <w:rPr>
                <w:rFonts w:eastAsiaTheme="minorEastAsia" w:cs="Calibri"/>
                <w:color w:val="000000"/>
                <w:sz w:val="16"/>
                <w:szCs w:val="16"/>
                <w:lang w:eastAsia="en-AU"/>
              </w:rPr>
            </w:pPr>
            <w:r w:rsidRPr="00023820">
              <w:rPr>
                <w:rFonts w:eastAsiaTheme="minorEastAsia" w:cs="Calibri"/>
                <w:color w:val="000000"/>
                <w:sz w:val="16"/>
                <w:szCs w:val="16"/>
                <w:lang w:eastAsia="en-AU"/>
              </w:rPr>
              <w:t>Dividends receipts</w:t>
            </w:r>
          </w:p>
        </w:tc>
        <w:tc>
          <w:tcPr>
            <w:tcW w:w="850" w:type="dxa"/>
            <w:gridSpan w:val="2"/>
            <w:tcBorders>
              <w:top w:val="nil"/>
              <w:left w:val="nil"/>
              <w:bottom w:val="nil"/>
              <w:right w:val="nil"/>
            </w:tcBorders>
          </w:tcPr>
          <w:p w:rsidR="00A46DCA" w:rsidRPr="00023820"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lang w:eastAsia="en-AU"/>
              </w:rPr>
            </w:pPr>
            <w:r w:rsidRPr="00023820">
              <w:rPr>
                <w:rFonts w:eastAsiaTheme="minorEastAsia" w:cs="Calibri"/>
                <w:color w:val="000000"/>
                <w:sz w:val="16"/>
                <w:szCs w:val="16"/>
                <w:lang w:eastAsia="en-AU"/>
              </w:rPr>
              <w:t>1 105</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lang w:eastAsia="en-AU"/>
              </w:rPr>
            </w:pPr>
            <w:r w:rsidRPr="00023820">
              <w:rPr>
                <w:rFonts w:eastAsiaTheme="minorEastAsia" w:cs="Calibri"/>
                <w:color w:val="000000"/>
                <w:sz w:val="16"/>
                <w:szCs w:val="16"/>
                <w:lang w:eastAsia="en-AU"/>
              </w:rPr>
              <w:t>1 177</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lang w:eastAsia="en-AU"/>
              </w:rPr>
            </w:pPr>
            <w:r w:rsidRPr="00023820">
              <w:rPr>
                <w:rFonts w:eastAsiaTheme="minorEastAsia" w:cs="Calibri"/>
                <w:color w:val="000000"/>
                <w:sz w:val="16"/>
                <w:szCs w:val="16"/>
                <w:lang w:eastAsia="en-AU"/>
              </w:rPr>
              <w:t>1 180</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lang w:eastAsia="en-AU"/>
              </w:rPr>
            </w:pPr>
            <w:r w:rsidRPr="00023820">
              <w:rPr>
                <w:rFonts w:eastAsiaTheme="minorEastAsia" w:cs="Calibri"/>
                <w:color w:val="000000"/>
                <w:sz w:val="16"/>
                <w:szCs w:val="16"/>
                <w:lang w:eastAsia="en-AU"/>
              </w:rPr>
              <w:t>1 274</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lang w:eastAsia="en-AU"/>
              </w:rPr>
            </w:pPr>
            <w:r w:rsidRPr="00023820">
              <w:rPr>
                <w:rFonts w:eastAsiaTheme="minorEastAsia" w:cs="Calibri"/>
                <w:color w:val="000000"/>
                <w:sz w:val="16"/>
                <w:szCs w:val="16"/>
                <w:lang w:eastAsia="en-AU"/>
              </w:rPr>
              <w:t>1 320</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single" w:sz="6" w:space="0" w:color="000000"/>
              <w:right w:val="nil"/>
            </w:tcBorders>
          </w:tcPr>
          <w:p w:rsidR="00A46DCA" w:rsidRPr="00023820" w:rsidRDefault="00A46DCA" w:rsidP="00A26D04">
            <w:pPr>
              <w:keepLines w:val="0"/>
              <w:autoSpaceDE w:val="0"/>
              <w:autoSpaceDN w:val="0"/>
              <w:adjustRightInd w:val="0"/>
              <w:spacing w:after="0"/>
              <w:rPr>
                <w:rFonts w:eastAsiaTheme="minorEastAsia" w:cs="Calibri"/>
                <w:color w:val="000000"/>
                <w:sz w:val="16"/>
                <w:szCs w:val="16"/>
                <w:lang w:eastAsia="en-AU"/>
              </w:rPr>
            </w:pPr>
            <w:r w:rsidRPr="00023820">
              <w:rPr>
                <w:rFonts w:eastAsiaTheme="minorEastAsia" w:cs="Calibri"/>
                <w:color w:val="000000"/>
                <w:sz w:val="16"/>
                <w:szCs w:val="16"/>
                <w:lang w:eastAsia="en-AU"/>
              </w:rPr>
              <w:t>Other receipts</w:t>
            </w:r>
          </w:p>
        </w:tc>
        <w:tc>
          <w:tcPr>
            <w:tcW w:w="850" w:type="dxa"/>
            <w:gridSpan w:val="2"/>
            <w:tcBorders>
              <w:top w:val="nil"/>
              <w:left w:val="nil"/>
              <w:bottom w:val="single" w:sz="6" w:space="0" w:color="000000"/>
              <w:right w:val="nil"/>
            </w:tcBorders>
          </w:tcPr>
          <w:p w:rsidR="00A46DCA" w:rsidRPr="00023820"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lang w:eastAsia="en-AU"/>
              </w:rPr>
            </w:pPr>
            <w:r>
              <w:rPr>
                <w:rFonts w:eastAsiaTheme="minorEastAsia" w:cs="Calibri"/>
                <w:color w:val="000000"/>
                <w:sz w:val="16"/>
                <w:szCs w:val="16"/>
                <w:lang w:eastAsia="en-AU"/>
              </w:rPr>
              <w:t>41</w:t>
            </w:r>
          </w:p>
        </w:tc>
        <w:tc>
          <w:tcPr>
            <w:tcW w:w="850" w:type="dxa"/>
            <w:tcBorders>
              <w:top w:val="nil"/>
              <w:left w:val="nil"/>
              <w:bottom w:val="single" w:sz="6" w:space="0" w:color="000000"/>
              <w:right w:val="nil"/>
            </w:tcBorders>
          </w:tcPr>
          <w:p w:rsidR="00A46DCA" w:rsidRPr="00023820"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lang w:eastAsia="en-AU"/>
              </w:rPr>
            </w:pPr>
            <w:r>
              <w:rPr>
                <w:rFonts w:eastAsiaTheme="minorEastAsia" w:cs="Calibri"/>
                <w:color w:val="000000"/>
                <w:sz w:val="16"/>
                <w:szCs w:val="16"/>
                <w:lang w:eastAsia="en-AU"/>
              </w:rPr>
              <w:t>145</w:t>
            </w:r>
          </w:p>
        </w:tc>
        <w:tc>
          <w:tcPr>
            <w:tcW w:w="850" w:type="dxa"/>
            <w:tcBorders>
              <w:top w:val="nil"/>
              <w:left w:val="nil"/>
              <w:bottom w:val="single" w:sz="6" w:space="0" w:color="000000"/>
              <w:right w:val="nil"/>
            </w:tcBorders>
          </w:tcPr>
          <w:p w:rsidR="00A46DCA" w:rsidRPr="00023820"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lang w:eastAsia="en-AU"/>
              </w:rPr>
            </w:pPr>
            <w:r>
              <w:rPr>
                <w:rFonts w:eastAsiaTheme="minorEastAsia" w:cs="Calibri"/>
                <w:color w:val="000000"/>
                <w:sz w:val="16"/>
                <w:szCs w:val="16"/>
                <w:lang w:eastAsia="en-AU"/>
              </w:rPr>
              <w:t>98</w:t>
            </w:r>
          </w:p>
        </w:tc>
        <w:tc>
          <w:tcPr>
            <w:tcW w:w="850" w:type="dxa"/>
            <w:tcBorders>
              <w:top w:val="nil"/>
              <w:left w:val="nil"/>
              <w:bottom w:val="single" w:sz="6" w:space="0" w:color="000000"/>
              <w:right w:val="nil"/>
            </w:tcBorders>
          </w:tcPr>
          <w:p w:rsidR="00A46DCA" w:rsidRPr="00023820"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lang w:eastAsia="en-AU"/>
              </w:rPr>
            </w:pPr>
            <w:r>
              <w:rPr>
                <w:rFonts w:eastAsiaTheme="minorEastAsia" w:cs="Calibri"/>
                <w:color w:val="000000"/>
                <w:sz w:val="16"/>
                <w:szCs w:val="16"/>
                <w:lang w:eastAsia="en-AU"/>
              </w:rPr>
              <w:t>178</w:t>
            </w:r>
          </w:p>
        </w:tc>
        <w:tc>
          <w:tcPr>
            <w:tcW w:w="850" w:type="dxa"/>
            <w:tcBorders>
              <w:top w:val="nil"/>
              <w:left w:val="nil"/>
              <w:bottom w:val="single" w:sz="6" w:space="0" w:color="000000"/>
              <w:right w:val="nil"/>
            </w:tcBorders>
          </w:tcPr>
          <w:p w:rsidR="00A46DCA" w:rsidRPr="00023820"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lang w:eastAsia="en-AU"/>
              </w:rPr>
            </w:pPr>
            <w:r>
              <w:rPr>
                <w:rFonts w:eastAsiaTheme="minorEastAsia" w:cs="Calibri"/>
                <w:color w:val="000000"/>
                <w:sz w:val="16"/>
                <w:szCs w:val="16"/>
                <w:lang w:eastAsia="en-AU"/>
              </w:rPr>
              <w:t>124</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A46DCA" w:rsidRPr="00023820" w:rsidRDefault="00A46DCA" w:rsidP="00A26D04">
            <w:pPr>
              <w:keepLines w:val="0"/>
              <w:autoSpaceDE w:val="0"/>
              <w:autoSpaceDN w:val="0"/>
              <w:adjustRightInd w:val="0"/>
              <w:spacing w:after="0"/>
              <w:rPr>
                <w:rFonts w:eastAsiaTheme="minorEastAsia" w:cs="Calibri"/>
                <w:b/>
                <w:bCs/>
                <w:color w:val="000000"/>
                <w:sz w:val="16"/>
                <w:szCs w:val="16"/>
                <w:lang w:eastAsia="en-AU"/>
              </w:rPr>
            </w:pPr>
            <w:r w:rsidRPr="00023820">
              <w:rPr>
                <w:rFonts w:eastAsiaTheme="minorEastAsia" w:cs="Calibri"/>
                <w:b/>
                <w:bCs/>
                <w:color w:val="000000"/>
                <w:sz w:val="16"/>
                <w:szCs w:val="16"/>
                <w:lang w:eastAsia="en-AU"/>
              </w:rPr>
              <w:t>Total receipts</w:t>
            </w:r>
          </w:p>
        </w:tc>
        <w:tc>
          <w:tcPr>
            <w:tcW w:w="850" w:type="dxa"/>
            <w:gridSpan w:val="2"/>
            <w:tcBorders>
              <w:top w:val="nil"/>
              <w:left w:val="nil"/>
              <w:bottom w:val="nil"/>
              <w:right w:val="nil"/>
            </w:tcBorders>
          </w:tcPr>
          <w:p w:rsidR="00A46DCA" w:rsidRPr="00023820"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szCs w:val="16"/>
                <w:lang w:eastAsia="en-AU"/>
              </w:rPr>
            </w:pPr>
            <w:r w:rsidRPr="00023820">
              <w:rPr>
                <w:rFonts w:eastAsiaTheme="minorEastAsia" w:cs="Calibri"/>
                <w:b/>
                <w:bCs/>
                <w:color w:val="000000"/>
                <w:sz w:val="16"/>
                <w:szCs w:val="16"/>
                <w:lang w:eastAsia="en-AU"/>
              </w:rPr>
              <w:t>8 234</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szCs w:val="16"/>
                <w:lang w:eastAsia="en-AU"/>
              </w:rPr>
            </w:pPr>
            <w:r w:rsidRPr="00023820">
              <w:rPr>
                <w:rFonts w:eastAsiaTheme="minorEastAsia" w:cs="Calibri"/>
                <w:b/>
                <w:bCs/>
                <w:color w:val="000000"/>
                <w:sz w:val="16"/>
                <w:szCs w:val="16"/>
                <w:lang w:eastAsia="en-AU"/>
              </w:rPr>
              <w:t>8 451</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szCs w:val="16"/>
                <w:lang w:eastAsia="en-AU"/>
              </w:rPr>
            </w:pPr>
            <w:r w:rsidRPr="00023820">
              <w:rPr>
                <w:rFonts w:eastAsiaTheme="minorEastAsia" w:cs="Calibri"/>
                <w:b/>
                <w:bCs/>
                <w:color w:val="000000"/>
                <w:sz w:val="16"/>
                <w:szCs w:val="16"/>
                <w:lang w:eastAsia="en-AU"/>
              </w:rPr>
              <w:t>8 672</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szCs w:val="16"/>
                <w:lang w:eastAsia="en-AU"/>
              </w:rPr>
            </w:pPr>
            <w:r w:rsidRPr="00023820">
              <w:rPr>
                <w:rFonts w:eastAsiaTheme="minorEastAsia" w:cs="Calibri"/>
                <w:b/>
                <w:bCs/>
                <w:color w:val="000000"/>
                <w:sz w:val="16"/>
                <w:szCs w:val="16"/>
                <w:lang w:eastAsia="en-AU"/>
              </w:rPr>
              <w:t>9 111</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szCs w:val="16"/>
                <w:lang w:eastAsia="en-AU"/>
              </w:rPr>
            </w:pPr>
            <w:r w:rsidRPr="00023820">
              <w:rPr>
                <w:rFonts w:eastAsiaTheme="minorEastAsia" w:cs="Calibri"/>
                <w:b/>
                <w:bCs/>
                <w:color w:val="000000"/>
                <w:sz w:val="16"/>
                <w:szCs w:val="16"/>
                <w:lang w:eastAsia="en-AU"/>
              </w:rPr>
              <w:t>9 541</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A46DCA" w:rsidRPr="00023820" w:rsidRDefault="00A46DCA" w:rsidP="00A26D04">
            <w:pPr>
              <w:keepLines w:val="0"/>
              <w:autoSpaceDE w:val="0"/>
              <w:autoSpaceDN w:val="0"/>
              <w:adjustRightInd w:val="0"/>
              <w:spacing w:after="0"/>
              <w:rPr>
                <w:rFonts w:eastAsiaTheme="minorEastAsia" w:cs="Calibri"/>
                <w:b/>
                <w:bCs/>
                <w:color w:val="000000"/>
                <w:sz w:val="16"/>
                <w:szCs w:val="16"/>
                <w:lang w:eastAsia="en-AU"/>
              </w:rPr>
            </w:pPr>
            <w:r w:rsidRPr="00023820">
              <w:rPr>
                <w:rFonts w:eastAsiaTheme="minorEastAsia" w:cs="Calibri"/>
                <w:b/>
                <w:bCs/>
                <w:color w:val="000000"/>
                <w:sz w:val="16"/>
                <w:szCs w:val="16"/>
                <w:lang w:eastAsia="en-AU"/>
              </w:rPr>
              <w:t>Payments</w:t>
            </w:r>
          </w:p>
        </w:tc>
        <w:tc>
          <w:tcPr>
            <w:tcW w:w="850" w:type="dxa"/>
            <w:gridSpan w:val="2"/>
            <w:tcBorders>
              <w:top w:val="nil"/>
              <w:left w:val="nil"/>
              <w:bottom w:val="nil"/>
              <w:right w:val="nil"/>
            </w:tcBorders>
          </w:tcPr>
          <w:p w:rsidR="00A46DCA" w:rsidRPr="00023820"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lang w:eastAsia="en-AU"/>
              </w:rPr>
            </w:pPr>
            <w:r w:rsidRPr="00023820">
              <w:rPr>
                <w:rFonts w:eastAsiaTheme="minorEastAsia" w:cs="Calibri"/>
                <w:b/>
                <w:bCs/>
                <w:color w:val="000000"/>
                <w:sz w:val="16"/>
                <w:lang w:eastAsia="en-AU"/>
              </w:rPr>
              <w:t xml:space="preserve"> </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lang w:eastAsia="en-AU"/>
              </w:rPr>
            </w:pPr>
            <w:r w:rsidRPr="00023820">
              <w:rPr>
                <w:rFonts w:eastAsiaTheme="minorEastAsia" w:cs="Calibri"/>
                <w:b/>
                <w:bCs/>
                <w:color w:val="000000"/>
                <w:sz w:val="16"/>
                <w:lang w:eastAsia="en-AU"/>
              </w:rPr>
              <w:t xml:space="preserve"> </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lang w:eastAsia="en-AU"/>
              </w:rPr>
            </w:pPr>
            <w:r w:rsidRPr="00023820">
              <w:rPr>
                <w:rFonts w:eastAsiaTheme="minorEastAsia" w:cs="Calibri"/>
                <w:b/>
                <w:bCs/>
                <w:color w:val="000000"/>
                <w:sz w:val="16"/>
                <w:lang w:eastAsia="en-AU"/>
              </w:rPr>
              <w:t xml:space="preserve"> </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lang w:eastAsia="en-AU"/>
              </w:rPr>
            </w:pPr>
            <w:r w:rsidRPr="00023820">
              <w:rPr>
                <w:rFonts w:eastAsiaTheme="minorEastAsia" w:cs="Calibri"/>
                <w:b/>
                <w:bCs/>
                <w:color w:val="000000"/>
                <w:sz w:val="16"/>
                <w:lang w:eastAsia="en-AU"/>
              </w:rPr>
              <w:t xml:space="preserve"> </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lang w:eastAsia="en-AU"/>
              </w:rPr>
            </w:pPr>
            <w:r w:rsidRPr="00023820">
              <w:rPr>
                <w:rFonts w:eastAsiaTheme="minorEastAsia" w:cs="Calibri"/>
                <w:b/>
                <w:bCs/>
                <w:color w:val="000000"/>
                <w:sz w:val="16"/>
                <w:lang w:eastAsia="en-AU"/>
              </w:rPr>
              <w:t xml:space="preserve"> </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A46DCA" w:rsidRPr="00023820" w:rsidRDefault="00A46DCA" w:rsidP="00A26D04">
            <w:pPr>
              <w:keepLines w:val="0"/>
              <w:autoSpaceDE w:val="0"/>
              <w:autoSpaceDN w:val="0"/>
              <w:adjustRightInd w:val="0"/>
              <w:spacing w:after="0"/>
              <w:rPr>
                <w:rFonts w:eastAsiaTheme="minorEastAsia" w:cs="Calibri"/>
                <w:color w:val="000000"/>
                <w:sz w:val="16"/>
                <w:szCs w:val="16"/>
                <w:lang w:eastAsia="en-AU"/>
              </w:rPr>
            </w:pPr>
            <w:r w:rsidRPr="00023820">
              <w:rPr>
                <w:rFonts w:eastAsiaTheme="minorEastAsia" w:cs="Calibri"/>
                <w:color w:val="000000"/>
                <w:sz w:val="16"/>
                <w:szCs w:val="16"/>
                <w:lang w:eastAsia="en-AU"/>
              </w:rPr>
              <w:t>Payments for employees</w:t>
            </w:r>
          </w:p>
        </w:tc>
        <w:tc>
          <w:tcPr>
            <w:tcW w:w="850" w:type="dxa"/>
            <w:gridSpan w:val="2"/>
            <w:tcBorders>
              <w:top w:val="nil"/>
              <w:left w:val="nil"/>
              <w:bottom w:val="nil"/>
              <w:right w:val="nil"/>
            </w:tcBorders>
          </w:tcPr>
          <w:p w:rsidR="00A46DCA" w:rsidRPr="00023820"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lang w:eastAsia="en-AU"/>
              </w:rPr>
            </w:pPr>
            <w:r>
              <w:rPr>
                <w:rFonts w:eastAsiaTheme="minorEastAsia" w:cs="Calibri"/>
                <w:color w:val="000000"/>
                <w:sz w:val="16"/>
                <w:szCs w:val="16"/>
                <w:lang w:eastAsia="en-AU"/>
              </w:rPr>
              <w:t>(349)</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lang w:eastAsia="en-AU"/>
              </w:rPr>
            </w:pPr>
            <w:r>
              <w:rPr>
                <w:rFonts w:eastAsiaTheme="minorEastAsia" w:cs="Calibri"/>
                <w:color w:val="000000"/>
                <w:sz w:val="16"/>
                <w:szCs w:val="16"/>
                <w:lang w:eastAsia="en-AU"/>
              </w:rPr>
              <w:t>(398)</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lang w:eastAsia="en-AU"/>
              </w:rPr>
            </w:pPr>
            <w:r>
              <w:rPr>
                <w:rFonts w:eastAsiaTheme="minorEastAsia" w:cs="Calibri"/>
                <w:color w:val="000000"/>
                <w:sz w:val="16"/>
                <w:szCs w:val="16"/>
                <w:lang w:eastAsia="en-AU"/>
              </w:rPr>
              <w:t>(413)</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lang w:eastAsia="en-AU"/>
              </w:rPr>
            </w:pPr>
            <w:r>
              <w:rPr>
                <w:rFonts w:eastAsiaTheme="minorEastAsia" w:cs="Calibri"/>
                <w:color w:val="000000"/>
                <w:sz w:val="16"/>
                <w:szCs w:val="16"/>
                <w:lang w:eastAsia="en-AU"/>
              </w:rPr>
              <w:t>(402)</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lang w:eastAsia="en-AU"/>
              </w:rPr>
            </w:pPr>
            <w:r>
              <w:rPr>
                <w:rFonts w:eastAsiaTheme="minorEastAsia" w:cs="Calibri"/>
                <w:color w:val="000000"/>
                <w:sz w:val="16"/>
                <w:szCs w:val="16"/>
                <w:lang w:eastAsia="en-AU"/>
              </w:rPr>
              <w:t>(374)</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A46DCA" w:rsidRPr="00023820" w:rsidRDefault="00A46DCA" w:rsidP="00A26D04">
            <w:pPr>
              <w:keepLines w:val="0"/>
              <w:autoSpaceDE w:val="0"/>
              <w:autoSpaceDN w:val="0"/>
              <w:adjustRightInd w:val="0"/>
              <w:spacing w:after="0"/>
              <w:rPr>
                <w:rFonts w:eastAsiaTheme="minorEastAsia" w:cs="Calibri"/>
                <w:color w:val="000000"/>
                <w:sz w:val="16"/>
                <w:szCs w:val="16"/>
                <w:lang w:eastAsia="en-AU"/>
              </w:rPr>
            </w:pPr>
            <w:r w:rsidRPr="00023820">
              <w:rPr>
                <w:rFonts w:eastAsiaTheme="minorEastAsia" w:cs="Calibri"/>
                <w:color w:val="000000"/>
                <w:sz w:val="16"/>
                <w:szCs w:val="16"/>
                <w:lang w:eastAsia="en-AU"/>
              </w:rPr>
              <w:t>Superannuation</w:t>
            </w:r>
          </w:p>
        </w:tc>
        <w:tc>
          <w:tcPr>
            <w:tcW w:w="850" w:type="dxa"/>
            <w:gridSpan w:val="2"/>
            <w:tcBorders>
              <w:top w:val="nil"/>
              <w:left w:val="nil"/>
              <w:bottom w:val="nil"/>
              <w:right w:val="nil"/>
            </w:tcBorders>
          </w:tcPr>
          <w:p w:rsidR="00A46DCA" w:rsidRPr="00023820"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lang w:eastAsia="en-AU"/>
              </w:rPr>
            </w:pPr>
            <w:r>
              <w:rPr>
                <w:rFonts w:eastAsiaTheme="minorEastAsia" w:cs="Calibri"/>
                <w:color w:val="000000"/>
                <w:sz w:val="16"/>
                <w:szCs w:val="16"/>
                <w:lang w:eastAsia="en-AU"/>
              </w:rPr>
              <w:t>(26)</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lang w:eastAsia="en-AU"/>
              </w:rPr>
            </w:pPr>
            <w:r>
              <w:rPr>
                <w:rFonts w:eastAsiaTheme="minorEastAsia" w:cs="Calibri"/>
                <w:color w:val="000000"/>
                <w:sz w:val="16"/>
                <w:szCs w:val="16"/>
                <w:lang w:eastAsia="en-AU"/>
              </w:rPr>
              <w:t>(27)</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lang w:eastAsia="en-AU"/>
              </w:rPr>
            </w:pPr>
            <w:r>
              <w:rPr>
                <w:rFonts w:eastAsiaTheme="minorEastAsia" w:cs="Calibri"/>
                <w:color w:val="000000"/>
                <w:sz w:val="16"/>
                <w:szCs w:val="16"/>
                <w:lang w:eastAsia="en-AU"/>
              </w:rPr>
              <w:t>(30)</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lang w:eastAsia="en-AU"/>
              </w:rPr>
            </w:pPr>
            <w:r>
              <w:rPr>
                <w:rFonts w:eastAsiaTheme="minorEastAsia" w:cs="Calibri"/>
                <w:color w:val="000000"/>
                <w:sz w:val="16"/>
                <w:szCs w:val="16"/>
                <w:lang w:eastAsia="en-AU"/>
              </w:rPr>
              <w:t>(30)</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lang w:eastAsia="en-AU"/>
              </w:rPr>
            </w:pPr>
            <w:r>
              <w:rPr>
                <w:rFonts w:eastAsiaTheme="minorEastAsia" w:cs="Calibri"/>
                <w:color w:val="000000"/>
                <w:sz w:val="16"/>
                <w:szCs w:val="16"/>
                <w:lang w:eastAsia="en-AU"/>
              </w:rPr>
              <w:t>(27)</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A46DCA" w:rsidRPr="00023820" w:rsidRDefault="00A46DCA" w:rsidP="00A26D04">
            <w:pPr>
              <w:keepLines w:val="0"/>
              <w:autoSpaceDE w:val="0"/>
              <w:autoSpaceDN w:val="0"/>
              <w:adjustRightInd w:val="0"/>
              <w:spacing w:after="0"/>
              <w:rPr>
                <w:rFonts w:eastAsiaTheme="minorEastAsia" w:cs="Calibri"/>
                <w:color w:val="000000"/>
                <w:sz w:val="16"/>
                <w:szCs w:val="16"/>
                <w:lang w:eastAsia="en-AU"/>
              </w:rPr>
            </w:pPr>
            <w:r w:rsidRPr="00023820">
              <w:rPr>
                <w:rFonts w:eastAsiaTheme="minorEastAsia" w:cs="Calibri"/>
                <w:color w:val="000000"/>
                <w:sz w:val="16"/>
                <w:szCs w:val="16"/>
                <w:lang w:eastAsia="en-AU"/>
              </w:rPr>
              <w:t>Interest paid</w:t>
            </w:r>
          </w:p>
        </w:tc>
        <w:tc>
          <w:tcPr>
            <w:tcW w:w="850" w:type="dxa"/>
            <w:gridSpan w:val="2"/>
            <w:tcBorders>
              <w:top w:val="nil"/>
              <w:left w:val="nil"/>
              <w:bottom w:val="nil"/>
              <w:right w:val="nil"/>
            </w:tcBorders>
          </w:tcPr>
          <w:p w:rsidR="00A46DCA" w:rsidRPr="00023820"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lang w:eastAsia="en-AU"/>
              </w:rPr>
            </w:pPr>
            <w:r>
              <w:rPr>
                <w:rFonts w:eastAsiaTheme="minorEastAsia" w:cs="Calibri"/>
                <w:color w:val="000000"/>
                <w:sz w:val="16"/>
                <w:szCs w:val="16"/>
                <w:lang w:eastAsia="en-AU"/>
              </w:rPr>
              <w:t>(2 008)</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lang w:eastAsia="en-AU"/>
              </w:rPr>
            </w:pPr>
            <w:r>
              <w:rPr>
                <w:rFonts w:eastAsiaTheme="minorEastAsia" w:cs="Calibri"/>
                <w:color w:val="000000"/>
                <w:sz w:val="16"/>
                <w:szCs w:val="16"/>
                <w:lang w:eastAsia="en-AU"/>
              </w:rPr>
              <w:t>(1 799)</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lang w:eastAsia="en-AU"/>
              </w:rPr>
            </w:pPr>
            <w:r>
              <w:rPr>
                <w:rFonts w:eastAsiaTheme="minorEastAsia" w:cs="Calibri"/>
                <w:color w:val="000000"/>
                <w:sz w:val="16"/>
                <w:szCs w:val="16"/>
                <w:lang w:eastAsia="en-AU"/>
              </w:rPr>
              <w:t>(1 850)</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lang w:eastAsia="en-AU"/>
              </w:rPr>
            </w:pPr>
            <w:r>
              <w:rPr>
                <w:rFonts w:eastAsiaTheme="minorEastAsia" w:cs="Calibri"/>
                <w:color w:val="000000"/>
                <w:sz w:val="16"/>
                <w:szCs w:val="16"/>
                <w:lang w:eastAsia="en-AU"/>
              </w:rPr>
              <w:t>(1 906)</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lang w:eastAsia="en-AU"/>
              </w:rPr>
            </w:pPr>
            <w:r>
              <w:rPr>
                <w:rFonts w:eastAsiaTheme="minorEastAsia" w:cs="Calibri"/>
                <w:color w:val="000000"/>
                <w:sz w:val="16"/>
                <w:szCs w:val="16"/>
                <w:lang w:eastAsia="en-AU"/>
              </w:rPr>
              <w:t>(2 021)</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A46DCA" w:rsidRPr="00023820" w:rsidRDefault="00A46DCA" w:rsidP="00A26D04">
            <w:pPr>
              <w:keepLines w:val="0"/>
              <w:autoSpaceDE w:val="0"/>
              <w:autoSpaceDN w:val="0"/>
              <w:adjustRightInd w:val="0"/>
              <w:spacing w:after="0"/>
              <w:rPr>
                <w:rFonts w:eastAsiaTheme="minorEastAsia" w:cs="Calibri"/>
                <w:color w:val="000000"/>
                <w:sz w:val="16"/>
                <w:szCs w:val="16"/>
                <w:lang w:eastAsia="en-AU"/>
              </w:rPr>
            </w:pPr>
            <w:r w:rsidRPr="00023820">
              <w:rPr>
                <w:rFonts w:eastAsiaTheme="minorEastAsia" w:cs="Calibri"/>
                <w:color w:val="000000"/>
                <w:sz w:val="16"/>
                <w:szCs w:val="16"/>
                <w:lang w:eastAsia="en-AU"/>
              </w:rPr>
              <w:t>Grants and subsidies</w:t>
            </w:r>
            <w:r>
              <w:rPr>
                <w:rFonts w:eastAsiaTheme="minorEastAsia" w:cs="Calibri"/>
                <w:color w:val="000000"/>
                <w:sz w:val="16"/>
                <w:szCs w:val="16"/>
                <w:lang w:eastAsia="en-AU"/>
              </w:rPr>
              <w:t xml:space="preserve"> </w:t>
            </w:r>
            <w:r>
              <w:rPr>
                <w:rFonts w:eastAsiaTheme="minorEastAsia" w:cs="Calibri"/>
                <w:color w:val="000000"/>
                <w:sz w:val="16"/>
                <w:szCs w:val="16"/>
                <w:vertAlign w:val="superscript"/>
                <w:lang w:eastAsia="en-AU"/>
              </w:rPr>
              <w:t>(b)</w:t>
            </w:r>
          </w:p>
        </w:tc>
        <w:tc>
          <w:tcPr>
            <w:tcW w:w="850" w:type="dxa"/>
            <w:gridSpan w:val="2"/>
            <w:tcBorders>
              <w:top w:val="nil"/>
              <w:left w:val="nil"/>
              <w:bottom w:val="nil"/>
              <w:right w:val="nil"/>
            </w:tcBorders>
          </w:tcPr>
          <w:p w:rsidR="00A46DCA" w:rsidRPr="00023820"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lang w:eastAsia="en-AU"/>
              </w:rPr>
            </w:pPr>
            <w:r>
              <w:rPr>
                <w:rFonts w:eastAsiaTheme="minorEastAsia" w:cs="Calibri"/>
                <w:color w:val="000000"/>
                <w:sz w:val="16"/>
                <w:szCs w:val="16"/>
                <w:lang w:eastAsia="en-AU"/>
              </w:rPr>
              <w:t>(803)</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lang w:eastAsia="en-AU"/>
              </w:rPr>
            </w:pPr>
            <w:r>
              <w:rPr>
                <w:rFonts w:eastAsiaTheme="minorEastAsia" w:cs="Calibri"/>
                <w:color w:val="000000"/>
                <w:sz w:val="16"/>
                <w:szCs w:val="16"/>
                <w:lang w:eastAsia="en-AU"/>
              </w:rPr>
              <w:t>(803)</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lang w:eastAsia="en-AU"/>
              </w:rPr>
            </w:pPr>
            <w:r>
              <w:rPr>
                <w:rFonts w:eastAsiaTheme="minorEastAsia" w:cs="Calibri"/>
                <w:color w:val="000000"/>
                <w:sz w:val="16"/>
                <w:szCs w:val="16"/>
                <w:lang w:eastAsia="en-AU"/>
              </w:rPr>
              <w:t>(672)</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lang w:eastAsia="en-AU"/>
              </w:rPr>
            </w:pPr>
            <w:r>
              <w:rPr>
                <w:rFonts w:eastAsiaTheme="minorEastAsia" w:cs="Calibri"/>
                <w:color w:val="000000"/>
                <w:sz w:val="16"/>
                <w:szCs w:val="16"/>
                <w:lang w:eastAsia="en-AU"/>
              </w:rPr>
              <w:t>(709)</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lang w:eastAsia="en-AU"/>
              </w:rPr>
            </w:pPr>
            <w:r>
              <w:rPr>
                <w:rFonts w:eastAsiaTheme="minorEastAsia" w:cs="Calibri"/>
                <w:color w:val="000000"/>
                <w:sz w:val="16"/>
                <w:szCs w:val="16"/>
                <w:lang w:eastAsia="en-AU"/>
              </w:rPr>
              <w:t>(610)</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A46DCA" w:rsidRPr="00023820" w:rsidRDefault="00A46DCA" w:rsidP="00A26D04">
            <w:pPr>
              <w:keepLines w:val="0"/>
              <w:autoSpaceDE w:val="0"/>
              <w:autoSpaceDN w:val="0"/>
              <w:adjustRightInd w:val="0"/>
              <w:spacing w:after="0"/>
              <w:rPr>
                <w:rFonts w:eastAsiaTheme="minorEastAsia" w:cs="Calibri"/>
                <w:color w:val="000000"/>
                <w:sz w:val="16"/>
                <w:szCs w:val="16"/>
                <w:vertAlign w:val="superscript"/>
                <w:lang w:eastAsia="en-AU"/>
              </w:rPr>
            </w:pPr>
            <w:r w:rsidRPr="00023820">
              <w:rPr>
                <w:rFonts w:eastAsiaTheme="minorEastAsia" w:cs="Calibri"/>
                <w:color w:val="000000"/>
                <w:sz w:val="16"/>
                <w:szCs w:val="16"/>
                <w:lang w:eastAsia="en-AU"/>
              </w:rPr>
              <w:t xml:space="preserve">Goods and services </w:t>
            </w:r>
            <w:r w:rsidRPr="00023820">
              <w:rPr>
                <w:rFonts w:eastAsiaTheme="minorEastAsia" w:cs="Calibri"/>
                <w:color w:val="000000"/>
                <w:sz w:val="16"/>
                <w:szCs w:val="16"/>
                <w:vertAlign w:val="superscript"/>
                <w:lang w:eastAsia="en-AU"/>
              </w:rPr>
              <w:t>(a)</w:t>
            </w:r>
            <w:r>
              <w:rPr>
                <w:rFonts w:eastAsiaTheme="minorEastAsia" w:cs="Calibri"/>
                <w:color w:val="000000"/>
                <w:sz w:val="16"/>
                <w:szCs w:val="16"/>
                <w:vertAlign w:val="superscript"/>
                <w:lang w:eastAsia="en-AU"/>
              </w:rPr>
              <w:t>(b)</w:t>
            </w:r>
          </w:p>
        </w:tc>
        <w:tc>
          <w:tcPr>
            <w:tcW w:w="850" w:type="dxa"/>
            <w:gridSpan w:val="2"/>
            <w:tcBorders>
              <w:top w:val="nil"/>
              <w:left w:val="nil"/>
              <w:bottom w:val="nil"/>
              <w:right w:val="nil"/>
            </w:tcBorders>
          </w:tcPr>
          <w:p w:rsidR="00A46DCA" w:rsidRPr="00023820"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lang w:eastAsia="en-AU"/>
              </w:rPr>
            </w:pPr>
            <w:r>
              <w:rPr>
                <w:rFonts w:eastAsiaTheme="minorEastAsia" w:cs="Calibri"/>
                <w:color w:val="000000"/>
                <w:sz w:val="16"/>
                <w:szCs w:val="16"/>
                <w:lang w:eastAsia="en-AU"/>
              </w:rPr>
              <w:t>(4 581)</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lang w:eastAsia="en-AU"/>
              </w:rPr>
            </w:pPr>
            <w:r>
              <w:rPr>
                <w:rFonts w:eastAsiaTheme="minorEastAsia" w:cs="Calibri"/>
                <w:color w:val="000000"/>
                <w:sz w:val="16"/>
                <w:szCs w:val="16"/>
                <w:lang w:eastAsia="en-AU"/>
              </w:rPr>
              <w:t>(5 052)</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lang w:eastAsia="en-AU"/>
              </w:rPr>
            </w:pPr>
            <w:r>
              <w:rPr>
                <w:rFonts w:eastAsiaTheme="minorEastAsia" w:cs="Calibri"/>
                <w:color w:val="000000"/>
                <w:sz w:val="16"/>
                <w:szCs w:val="16"/>
                <w:lang w:eastAsia="en-AU"/>
              </w:rPr>
              <w:t>(4 940)</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lang w:eastAsia="en-AU"/>
              </w:rPr>
            </w:pPr>
            <w:r>
              <w:rPr>
                <w:rFonts w:eastAsiaTheme="minorEastAsia" w:cs="Calibri"/>
                <w:color w:val="000000"/>
                <w:sz w:val="16"/>
                <w:szCs w:val="16"/>
                <w:lang w:eastAsia="en-AU"/>
              </w:rPr>
              <w:t>(5 258)</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lang w:eastAsia="en-AU"/>
              </w:rPr>
            </w:pPr>
            <w:r>
              <w:rPr>
                <w:rFonts w:eastAsiaTheme="minorEastAsia" w:cs="Calibri"/>
                <w:color w:val="000000"/>
                <w:sz w:val="16"/>
                <w:szCs w:val="16"/>
                <w:lang w:eastAsia="en-AU"/>
              </w:rPr>
              <w:t>(5 547)</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A46DCA" w:rsidRPr="00023820" w:rsidRDefault="00A46DCA" w:rsidP="00A26D04">
            <w:pPr>
              <w:keepLines w:val="0"/>
              <w:autoSpaceDE w:val="0"/>
              <w:autoSpaceDN w:val="0"/>
              <w:adjustRightInd w:val="0"/>
              <w:spacing w:after="0"/>
              <w:rPr>
                <w:rFonts w:eastAsiaTheme="minorEastAsia" w:cs="Calibri"/>
                <w:color w:val="000000"/>
                <w:sz w:val="16"/>
                <w:szCs w:val="16"/>
                <w:lang w:eastAsia="en-AU"/>
              </w:rPr>
            </w:pPr>
            <w:r w:rsidRPr="00023820">
              <w:rPr>
                <w:rFonts w:eastAsiaTheme="minorEastAsia" w:cs="Calibri"/>
                <w:color w:val="000000"/>
                <w:sz w:val="16"/>
                <w:szCs w:val="16"/>
                <w:lang w:eastAsia="en-AU"/>
              </w:rPr>
              <w:t>Other payments</w:t>
            </w:r>
          </w:p>
        </w:tc>
        <w:tc>
          <w:tcPr>
            <w:tcW w:w="850" w:type="dxa"/>
            <w:gridSpan w:val="2"/>
            <w:tcBorders>
              <w:top w:val="nil"/>
              <w:left w:val="nil"/>
              <w:bottom w:val="nil"/>
              <w:right w:val="nil"/>
            </w:tcBorders>
          </w:tcPr>
          <w:p w:rsidR="00A46DCA" w:rsidRPr="00023820"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lang w:eastAsia="en-AU"/>
              </w:rPr>
            </w:pPr>
            <w:r>
              <w:rPr>
                <w:rFonts w:eastAsiaTheme="minorEastAsia" w:cs="Calibri"/>
                <w:color w:val="000000"/>
                <w:sz w:val="16"/>
                <w:szCs w:val="16"/>
                <w:lang w:eastAsia="en-AU"/>
              </w:rPr>
              <w:t>(6)</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lang w:eastAsia="en-AU"/>
              </w:rPr>
            </w:pPr>
            <w:r>
              <w:rPr>
                <w:rFonts w:eastAsiaTheme="minorEastAsia" w:cs="Calibri"/>
                <w:color w:val="000000"/>
                <w:sz w:val="16"/>
                <w:szCs w:val="16"/>
                <w:lang w:eastAsia="en-AU"/>
              </w:rPr>
              <w:t>(7)</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lang w:eastAsia="en-AU"/>
              </w:rPr>
            </w:pPr>
            <w:r>
              <w:rPr>
                <w:rFonts w:eastAsiaTheme="minorEastAsia" w:cs="Calibri"/>
                <w:color w:val="000000"/>
                <w:sz w:val="16"/>
                <w:szCs w:val="16"/>
                <w:lang w:eastAsia="en-AU"/>
              </w:rPr>
              <w:t>(143)</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lang w:eastAsia="en-AU"/>
              </w:rPr>
            </w:pPr>
            <w:r>
              <w:rPr>
                <w:rFonts w:eastAsiaTheme="minorEastAsia" w:cs="Calibri"/>
                <w:color w:val="000000"/>
                <w:sz w:val="16"/>
                <w:szCs w:val="16"/>
                <w:lang w:eastAsia="en-AU"/>
              </w:rPr>
              <w:t>(86)</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lang w:eastAsia="en-AU"/>
              </w:rPr>
            </w:pPr>
            <w:r>
              <w:rPr>
                <w:rFonts w:eastAsiaTheme="minorEastAsia" w:cs="Calibri"/>
                <w:color w:val="000000"/>
                <w:sz w:val="16"/>
                <w:szCs w:val="16"/>
                <w:lang w:eastAsia="en-AU"/>
              </w:rPr>
              <w:t>(178)</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3515" w:type="dxa"/>
            <w:tcBorders>
              <w:top w:val="single" w:sz="6" w:space="0" w:color="000000"/>
              <w:left w:val="nil"/>
              <w:bottom w:val="single" w:sz="6" w:space="0" w:color="000000"/>
              <w:right w:val="nil"/>
            </w:tcBorders>
          </w:tcPr>
          <w:p w:rsidR="00A46DCA" w:rsidRPr="00023820" w:rsidRDefault="00A46DCA" w:rsidP="00A26D04">
            <w:pPr>
              <w:keepLines w:val="0"/>
              <w:autoSpaceDE w:val="0"/>
              <w:autoSpaceDN w:val="0"/>
              <w:adjustRightInd w:val="0"/>
              <w:spacing w:after="0"/>
              <w:rPr>
                <w:rFonts w:eastAsiaTheme="minorEastAsia" w:cs="Calibri"/>
                <w:b/>
                <w:bCs/>
                <w:color w:val="000000"/>
                <w:sz w:val="16"/>
                <w:szCs w:val="16"/>
                <w:lang w:eastAsia="en-AU"/>
              </w:rPr>
            </w:pPr>
            <w:r w:rsidRPr="00023820">
              <w:rPr>
                <w:rFonts w:eastAsiaTheme="minorEastAsia" w:cs="Calibri"/>
                <w:b/>
                <w:bCs/>
                <w:color w:val="000000"/>
                <w:sz w:val="16"/>
                <w:szCs w:val="16"/>
                <w:lang w:eastAsia="en-AU"/>
              </w:rPr>
              <w:t>Total payments</w:t>
            </w:r>
          </w:p>
        </w:tc>
        <w:tc>
          <w:tcPr>
            <w:tcW w:w="850" w:type="dxa"/>
            <w:gridSpan w:val="2"/>
            <w:tcBorders>
              <w:top w:val="single" w:sz="6" w:space="0" w:color="000000"/>
              <w:left w:val="nil"/>
              <w:bottom w:val="single" w:sz="6" w:space="0" w:color="000000"/>
              <w:right w:val="nil"/>
            </w:tcBorders>
          </w:tcPr>
          <w:p w:rsidR="00A46DCA" w:rsidRPr="00023820"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szCs w:val="16"/>
                <w:lang w:eastAsia="en-AU"/>
              </w:rPr>
            </w:pPr>
            <w:r>
              <w:rPr>
                <w:rFonts w:eastAsiaTheme="minorEastAsia" w:cs="Calibri"/>
                <w:b/>
                <w:bCs/>
                <w:color w:val="000000"/>
                <w:sz w:val="16"/>
                <w:szCs w:val="16"/>
                <w:lang w:eastAsia="en-AU"/>
              </w:rPr>
              <w:t>(7 772)</w:t>
            </w:r>
          </w:p>
        </w:tc>
        <w:tc>
          <w:tcPr>
            <w:tcW w:w="850" w:type="dxa"/>
            <w:tcBorders>
              <w:top w:val="single" w:sz="6" w:space="0" w:color="000000"/>
              <w:left w:val="nil"/>
              <w:bottom w:val="single" w:sz="6" w:space="0" w:color="000000"/>
              <w:right w:val="nil"/>
            </w:tcBorders>
          </w:tcPr>
          <w:p w:rsidR="00A46DCA" w:rsidRPr="00023820"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szCs w:val="16"/>
                <w:lang w:eastAsia="en-AU"/>
              </w:rPr>
            </w:pPr>
            <w:r>
              <w:rPr>
                <w:rFonts w:eastAsiaTheme="minorEastAsia" w:cs="Calibri"/>
                <w:b/>
                <w:bCs/>
                <w:color w:val="000000"/>
                <w:sz w:val="16"/>
                <w:szCs w:val="16"/>
                <w:lang w:eastAsia="en-AU"/>
              </w:rPr>
              <w:t>(8 087)</w:t>
            </w:r>
          </w:p>
        </w:tc>
        <w:tc>
          <w:tcPr>
            <w:tcW w:w="850" w:type="dxa"/>
            <w:tcBorders>
              <w:top w:val="single" w:sz="6" w:space="0" w:color="000000"/>
              <w:left w:val="nil"/>
              <w:bottom w:val="single" w:sz="6" w:space="0" w:color="000000"/>
              <w:right w:val="nil"/>
            </w:tcBorders>
          </w:tcPr>
          <w:p w:rsidR="00A46DCA" w:rsidRPr="00023820"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szCs w:val="16"/>
                <w:lang w:eastAsia="en-AU"/>
              </w:rPr>
            </w:pPr>
            <w:r>
              <w:rPr>
                <w:rFonts w:eastAsiaTheme="minorEastAsia" w:cs="Calibri"/>
                <w:b/>
                <w:bCs/>
                <w:color w:val="000000"/>
                <w:sz w:val="16"/>
                <w:szCs w:val="16"/>
                <w:lang w:eastAsia="en-AU"/>
              </w:rPr>
              <w:t>(8 049)</w:t>
            </w:r>
          </w:p>
        </w:tc>
        <w:tc>
          <w:tcPr>
            <w:tcW w:w="850" w:type="dxa"/>
            <w:tcBorders>
              <w:top w:val="single" w:sz="6" w:space="0" w:color="000000"/>
              <w:left w:val="nil"/>
              <w:bottom w:val="single" w:sz="6" w:space="0" w:color="000000"/>
              <w:right w:val="nil"/>
            </w:tcBorders>
          </w:tcPr>
          <w:p w:rsidR="00A46DCA" w:rsidRPr="00023820"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szCs w:val="16"/>
                <w:lang w:eastAsia="en-AU"/>
              </w:rPr>
            </w:pPr>
            <w:r>
              <w:rPr>
                <w:rFonts w:eastAsiaTheme="minorEastAsia" w:cs="Calibri"/>
                <w:b/>
                <w:bCs/>
                <w:color w:val="000000"/>
                <w:sz w:val="16"/>
                <w:szCs w:val="16"/>
                <w:lang w:eastAsia="en-AU"/>
              </w:rPr>
              <w:t>(8 392)</w:t>
            </w:r>
          </w:p>
        </w:tc>
        <w:tc>
          <w:tcPr>
            <w:tcW w:w="850" w:type="dxa"/>
            <w:tcBorders>
              <w:top w:val="single" w:sz="6" w:space="0" w:color="000000"/>
              <w:left w:val="nil"/>
              <w:bottom w:val="single" w:sz="6" w:space="0" w:color="000000"/>
              <w:right w:val="nil"/>
            </w:tcBorders>
          </w:tcPr>
          <w:p w:rsidR="00A46DCA" w:rsidRPr="00023820"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szCs w:val="16"/>
                <w:lang w:eastAsia="en-AU"/>
              </w:rPr>
            </w:pPr>
            <w:r>
              <w:rPr>
                <w:rFonts w:eastAsiaTheme="minorEastAsia" w:cs="Calibri"/>
                <w:b/>
                <w:bCs/>
                <w:color w:val="000000"/>
                <w:sz w:val="16"/>
                <w:szCs w:val="16"/>
                <w:lang w:eastAsia="en-AU"/>
              </w:rPr>
              <w:t>(8 757)</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A46DCA" w:rsidRPr="00023820" w:rsidRDefault="00A46DCA" w:rsidP="00A26D04">
            <w:pPr>
              <w:keepLines w:val="0"/>
              <w:autoSpaceDE w:val="0"/>
              <w:autoSpaceDN w:val="0"/>
              <w:adjustRightInd w:val="0"/>
              <w:spacing w:after="0"/>
              <w:rPr>
                <w:rFonts w:eastAsiaTheme="minorEastAsia" w:cs="Calibri"/>
                <w:b/>
                <w:bCs/>
                <w:color w:val="000000"/>
                <w:sz w:val="16"/>
                <w:szCs w:val="16"/>
                <w:lang w:eastAsia="en-AU"/>
              </w:rPr>
            </w:pPr>
            <w:r w:rsidRPr="00023820">
              <w:rPr>
                <w:rFonts w:eastAsiaTheme="minorEastAsia" w:cs="Calibri"/>
                <w:b/>
                <w:bCs/>
                <w:color w:val="000000"/>
                <w:sz w:val="16"/>
                <w:szCs w:val="16"/>
                <w:lang w:eastAsia="en-AU"/>
              </w:rPr>
              <w:t>Net cash flows from operating activities</w:t>
            </w:r>
          </w:p>
        </w:tc>
        <w:tc>
          <w:tcPr>
            <w:tcW w:w="850" w:type="dxa"/>
            <w:gridSpan w:val="2"/>
            <w:tcBorders>
              <w:top w:val="nil"/>
              <w:left w:val="nil"/>
              <w:bottom w:val="nil"/>
              <w:right w:val="nil"/>
            </w:tcBorders>
          </w:tcPr>
          <w:p w:rsidR="00A46DCA" w:rsidRPr="00023820"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szCs w:val="16"/>
                <w:lang w:eastAsia="en-AU"/>
              </w:rPr>
            </w:pPr>
            <w:r>
              <w:rPr>
                <w:rFonts w:eastAsiaTheme="minorEastAsia" w:cs="Calibri"/>
                <w:b/>
                <w:bCs/>
                <w:color w:val="000000"/>
                <w:sz w:val="16"/>
                <w:szCs w:val="16"/>
                <w:lang w:eastAsia="en-AU"/>
              </w:rPr>
              <w:t>462</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szCs w:val="16"/>
                <w:lang w:eastAsia="en-AU"/>
              </w:rPr>
            </w:pPr>
            <w:r>
              <w:rPr>
                <w:rFonts w:eastAsiaTheme="minorEastAsia" w:cs="Calibri"/>
                <w:b/>
                <w:bCs/>
                <w:color w:val="000000"/>
                <w:sz w:val="16"/>
                <w:szCs w:val="16"/>
                <w:lang w:eastAsia="en-AU"/>
              </w:rPr>
              <w:t>364</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szCs w:val="16"/>
                <w:lang w:eastAsia="en-AU"/>
              </w:rPr>
            </w:pPr>
            <w:r>
              <w:rPr>
                <w:rFonts w:eastAsiaTheme="minorEastAsia" w:cs="Calibri"/>
                <w:b/>
                <w:bCs/>
                <w:color w:val="000000"/>
                <w:sz w:val="16"/>
                <w:szCs w:val="16"/>
                <w:lang w:eastAsia="en-AU"/>
              </w:rPr>
              <w:t>624</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szCs w:val="16"/>
                <w:lang w:eastAsia="en-AU"/>
              </w:rPr>
            </w:pPr>
            <w:r>
              <w:rPr>
                <w:rFonts w:eastAsiaTheme="minorEastAsia" w:cs="Calibri"/>
                <w:b/>
                <w:bCs/>
                <w:color w:val="000000"/>
                <w:sz w:val="16"/>
                <w:szCs w:val="16"/>
                <w:lang w:eastAsia="en-AU"/>
              </w:rPr>
              <w:t>719</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szCs w:val="16"/>
                <w:lang w:eastAsia="en-AU"/>
              </w:rPr>
            </w:pPr>
            <w:r>
              <w:rPr>
                <w:rFonts w:eastAsiaTheme="minorEastAsia" w:cs="Calibri"/>
                <w:b/>
                <w:bCs/>
                <w:color w:val="000000"/>
                <w:sz w:val="16"/>
                <w:szCs w:val="16"/>
                <w:lang w:eastAsia="en-AU"/>
              </w:rPr>
              <w:t>784</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A46DCA" w:rsidRPr="00023820" w:rsidRDefault="00A46DCA" w:rsidP="00A26D04">
            <w:pPr>
              <w:keepLines w:val="0"/>
              <w:autoSpaceDE w:val="0"/>
              <w:autoSpaceDN w:val="0"/>
              <w:adjustRightInd w:val="0"/>
              <w:spacing w:after="0"/>
              <w:rPr>
                <w:rFonts w:eastAsiaTheme="minorEastAsia" w:cs="Calibri"/>
                <w:b/>
                <w:bCs/>
                <w:color w:val="000000"/>
                <w:sz w:val="16"/>
                <w:szCs w:val="16"/>
                <w:lang w:eastAsia="en-AU"/>
              </w:rPr>
            </w:pPr>
            <w:r w:rsidRPr="00023820">
              <w:rPr>
                <w:rFonts w:eastAsiaTheme="minorEastAsia" w:cs="Calibri"/>
                <w:b/>
                <w:bCs/>
                <w:color w:val="000000"/>
                <w:sz w:val="16"/>
                <w:szCs w:val="16"/>
                <w:lang w:eastAsia="en-AU"/>
              </w:rPr>
              <w:t>Cash flows from investing activities</w:t>
            </w:r>
          </w:p>
        </w:tc>
        <w:tc>
          <w:tcPr>
            <w:tcW w:w="850" w:type="dxa"/>
            <w:gridSpan w:val="2"/>
            <w:tcBorders>
              <w:top w:val="nil"/>
              <w:left w:val="nil"/>
              <w:bottom w:val="nil"/>
              <w:right w:val="nil"/>
            </w:tcBorders>
          </w:tcPr>
          <w:p w:rsidR="00A46DCA" w:rsidRPr="00023820"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lang w:eastAsia="en-AU"/>
              </w:rPr>
            </w:pPr>
            <w:r w:rsidRPr="00023820">
              <w:rPr>
                <w:rFonts w:eastAsiaTheme="minorEastAsia" w:cs="Calibri"/>
                <w:b/>
                <w:bCs/>
                <w:color w:val="000000"/>
                <w:sz w:val="16"/>
                <w:lang w:eastAsia="en-AU"/>
              </w:rPr>
              <w:t xml:space="preserve"> </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lang w:eastAsia="en-AU"/>
              </w:rPr>
            </w:pPr>
            <w:r w:rsidRPr="00023820">
              <w:rPr>
                <w:rFonts w:eastAsiaTheme="minorEastAsia" w:cs="Calibri"/>
                <w:b/>
                <w:bCs/>
                <w:color w:val="000000"/>
                <w:sz w:val="16"/>
                <w:lang w:eastAsia="en-AU"/>
              </w:rPr>
              <w:t xml:space="preserve"> </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lang w:eastAsia="en-AU"/>
              </w:rPr>
            </w:pPr>
            <w:r w:rsidRPr="00023820">
              <w:rPr>
                <w:rFonts w:eastAsiaTheme="minorEastAsia" w:cs="Calibri"/>
                <w:b/>
                <w:bCs/>
                <w:color w:val="000000"/>
                <w:sz w:val="16"/>
                <w:lang w:eastAsia="en-AU"/>
              </w:rPr>
              <w:t xml:space="preserve"> </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lang w:eastAsia="en-AU"/>
              </w:rPr>
            </w:pPr>
            <w:r w:rsidRPr="00023820">
              <w:rPr>
                <w:rFonts w:eastAsiaTheme="minorEastAsia" w:cs="Calibri"/>
                <w:b/>
                <w:bCs/>
                <w:color w:val="000000"/>
                <w:sz w:val="16"/>
                <w:lang w:eastAsia="en-AU"/>
              </w:rPr>
              <w:t xml:space="preserve"> </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lang w:eastAsia="en-AU"/>
              </w:rPr>
            </w:pPr>
            <w:r w:rsidRPr="00023820">
              <w:rPr>
                <w:rFonts w:eastAsiaTheme="minorEastAsia" w:cs="Calibri"/>
                <w:b/>
                <w:bCs/>
                <w:color w:val="000000"/>
                <w:sz w:val="16"/>
                <w:lang w:eastAsia="en-AU"/>
              </w:rPr>
              <w:t xml:space="preserve"> </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A46DCA" w:rsidRPr="00023820" w:rsidRDefault="00A46DCA" w:rsidP="00A26D04">
            <w:pPr>
              <w:keepLines w:val="0"/>
              <w:autoSpaceDE w:val="0"/>
              <w:autoSpaceDN w:val="0"/>
              <w:adjustRightInd w:val="0"/>
              <w:spacing w:after="0"/>
              <w:rPr>
                <w:rFonts w:eastAsiaTheme="minorEastAsia" w:cs="Calibri"/>
                <w:color w:val="000000"/>
                <w:sz w:val="16"/>
                <w:szCs w:val="16"/>
                <w:lang w:eastAsia="en-AU"/>
              </w:rPr>
            </w:pPr>
            <w:r w:rsidRPr="00023820">
              <w:rPr>
                <w:rFonts w:eastAsiaTheme="minorEastAsia" w:cs="Calibri"/>
                <w:color w:val="000000"/>
                <w:sz w:val="16"/>
                <w:szCs w:val="16"/>
                <w:lang w:eastAsia="en-AU"/>
              </w:rPr>
              <w:t>Purchases of non-financial assets</w:t>
            </w:r>
          </w:p>
        </w:tc>
        <w:tc>
          <w:tcPr>
            <w:tcW w:w="850" w:type="dxa"/>
            <w:gridSpan w:val="2"/>
            <w:tcBorders>
              <w:top w:val="nil"/>
              <w:left w:val="nil"/>
              <w:bottom w:val="nil"/>
              <w:right w:val="nil"/>
            </w:tcBorders>
          </w:tcPr>
          <w:p w:rsidR="00A46DCA" w:rsidRPr="00023820"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lang w:eastAsia="en-AU"/>
              </w:rPr>
            </w:pPr>
            <w:r>
              <w:rPr>
                <w:rFonts w:eastAsiaTheme="minorEastAsia" w:cs="Calibri"/>
                <w:color w:val="000000"/>
                <w:sz w:val="16"/>
                <w:szCs w:val="16"/>
                <w:lang w:eastAsia="en-AU"/>
              </w:rPr>
              <w:t>(57)</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lang w:eastAsia="en-AU"/>
              </w:rPr>
            </w:pPr>
            <w:r>
              <w:rPr>
                <w:rFonts w:eastAsiaTheme="minorEastAsia" w:cs="Calibri"/>
                <w:color w:val="000000"/>
                <w:sz w:val="16"/>
                <w:szCs w:val="16"/>
                <w:lang w:eastAsia="en-AU"/>
              </w:rPr>
              <w:t>(88)</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lang w:eastAsia="en-AU"/>
              </w:rPr>
            </w:pPr>
            <w:r>
              <w:rPr>
                <w:rFonts w:eastAsiaTheme="minorEastAsia" w:cs="Calibri"/>
                <w:color w:val="000000"/>
                <w:sz w:val="16"/>
                <w:szCs w:val="16"/>
                <w:lang w:eastAsia="en-AU"/>
              </w:rPr>
              <w:t>(124)</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lang w:eastAsia="en-AU"/>
              </w:rPr>
            </w:pPr>
            <w:r>
              <w:rPr>
                <w:rFonts w:eastAsiaTheme="minorEastAsia" w:cs="Calibri"/>
                <w:color w:val="000000"/>
                <w:sz w:val="16"/>
                <w:szCs w:val="16"/>
                <w:lang w:eastAsia="en-AU"/>
              </w:rPr>
              <w:t>(148)</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lang w:eastAsia="en-AU"/>
              </w:rPr>
            </w:pPr>
            <w:r>
              <w:rPr>
                <w:rFonts w:eastAsiaTheme="minorEastAsia" w:cs="Calibri"/>
                <w:color w:val="000000"/>
                <w:sz w:val="16"/>
                <w:szCs w:val="16"/>
                <w:lang w:eastAsia="en-AU"/>
              </w:rPr>
              <w:t>(166)</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single" w:sz="6" w:space="0" w:color="000000"/>
              <w:right w:val="nil"/>
            </w:tcBorders>
          </w:tcPr>
          <w:p w:rsidR="00A46DCA" w:rsidRPr="00023820" w:rsidRDefault="00A46DCA" w:rsidP="00A26D04">
            <w:pPr>
              <w:keepLines w:val="0"/>
              <w:autoSpaceDE w:val="0"/>
              <w:autoSpaceDN w:val="0"/>
              <w:adjustRightInd w:val="0"/>
              <w:spacing w:after="0"/>
              <w:rPr>
                <w:rFonts w:eastAsiaTheme="minorEastAsia" w:cs="Calibri"/>
                <w:color w:val="000000"/>
                <w:sz w:val="16"/>
                <w:szCs w:val="16"/>
                <w:lang w:eastAsia="en-AU"/>
              </w:rPr>
            </w:pPr>
            <w:r w:rsidRPr="00023820">
              <w:rPr>
                <w:rFonts w:eastAsiaTheme="minorEastAsia" w:cs="Calibri"/>
                <w:color w:val="000000"/>
                <w:sz w:val="16"/>
                <w:szCs w:val="16"/>
                <w:lang w:eastAsia="en-AU"/>
              </w:rPr>
              <w:t>Sales of non-financial assets</w:t>
            </w:r>
          </w:p>
        </w:tc>
        <w:tc>
          <w:tcPr>
            <w:tcW w:w="850" w:type="dxa"/>
            <w:gridSpan w:val="2"/>
            <w:tcBorders>
              <w:top w:val="nil"/>
              <w:left w:val="nil"/>
              <w:bottom w:val="single" w:sz="6" w:space="0" w:color="000000"/>
              <w:right w:val="nil"/>
            </w:tcBorders>
          </w:tcPr>
          <w:p w:rsidR="00A46DCA" w:rsidRPr="00023820"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lang w:eastAsia="en-AU"/>
              </w:rPr>
            </w:pPr>
            <w:r>
              <w:rPr>
                <w:rFonts w:eastAsiaTheme="minorEastAsia" w:cs="Calibri"/>
                <w:color w:val="000000"/>
                <w:sz w:val="16"/>
                <w:szCs w:val="16"/>
                <w:lang w:eastAsia="en-AU"/>
              </w:rPr>
              <w:t>1</w:t>
            </w:r>
          </w:p>
        </w:tc>
        <w:tc>
          <w:tcPr>
            <w:tcW w:w="850" w:type="dxa"/>
            <w:tcBorders>
              <w:top w:val="nil"/>
              <w:left w:val="nil"/>
              <w:bottom w:val="single" w:sz="6" w:space="0" w:color="000000"/>
              <w:right w:val="nil"/>
            </w:tcBorders>
          </w:tcPr>
          <w:p w:rsidR="00A46DCA" w:rsidRPr="00023820"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lang w:eastAsia="en-AU"/>
              </w:rPr>
            </w:pPr>
            <w:r>
              <w:rPr>
                <w:rFonts w:eastAsiaTheme="minorEastAsia" w:cs="Calibri"/>
                <w:color w:val="000000"/>
                <w:sz w:val="16"/>
                <w:szCs w:val="16"/>
                <w:lang w:eastAsia="en-AU"/>
              </w:rPr>
              <w:t>1</w:t>
            </w:r>
          </w:p>
        </w:tc>
        <w:tc>
          <w:tcPr>
            <w:tcW w:w="850" w:type="dxa"/>
            <w:tcBorders>
              <w:top w:val="nil"/>
              <w:left w:val="nil"/>
              <w:bottom w:val="single" w:sz="6" w:space="0" w:color="000000"/>
              <w:right w:val="nil"/>
            </w:tcBorders>
          </w:tcPr>
          <w:p w:rsidR="00A46DCA" w:rsidRPr="00023820"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lang w:eastAsia="en-AU"/>
              </w:rPr>
            </w:pPr>
            <w:r>
              <w:rPr>
                <w:rFonts w:eastAsiaTheme="minorEastAsia" w:cs="Calibri"/>
                <w:color w:val="000000"/>
                <w:sz w:val="16"/>
                <w:szCs w:val="16"/>
                <w:lang w:eastAsia="en-AU"/>
              </w:rPr>
              <w:t>1</w:t>
            </w:r>
          </w:p>
        </w:tc>
        <w:tc>
          <w:tcPr>
            <w:tcW w:w="850" w:type="dxa"/>
            <w:tcBorders>
              <w:top w:val="nil"/>
              <w:left w:val="nil"/>
              <w:bottom w:val="single" w:sz="6" w:space="0" w:color="000000"/>
              <w:right w:val="nil"/>
            </w:tcBorders>
          </w:tcPr>
          <w:p w:rsidR="00A46DCA" w:rsidRPr="00023820"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lang w:eastAsia="en-AU"/>
              </w:rPr>
            </w:pPr>
            <w:r>
              <w:rPr>
                <w:rFonts w:eastAsiaTheme="minorEastAsia" w:cs="Calibri"/>
                <w:color w:val="000000"/>
                <w:sz w:val="16"/>
                <w:szCs w:val="16"/>
                <w:lang w:eastAsia="en-AU"/>
              </w:rPr>
              <w:t>1</w:t>
            </w:r>
          </w:p>
        </w:tc>
        <w:tc>
          <w:tcPr>
            <w:tcW w:w="850" w:type="dxa"/>
            <w:tcBorders>
              <w:top w:val="nil"/>
              <w:left w:val="nil"/>
              <w:bottom w:val="single" w:sz="6" w:space="0" w:color="000000"/>
              <w:right w:val="nil"/>
            </w:tcBorders>
          </w:tcPr>
          <w:p w:rsidR="00A46DCA" w:rsidRPr="00023820"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lang w:eastAsia="en-AU"/>
              </w:rPr>
            </w:pPr>
            <w:r>
              <w:rPr>
                <w:rFonts w:eastAsiaTheme="minorEastAsia" w:cs="Calibri"/>
                <w:color w:val="000000"/>
                <w:sz w:val="16"/>
                <w:szCs w:val="16"/>
                <w:lang w:eastAsia="en-AU"/>
              </w:rPr>
              <w:t>1</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3685" w:type="dxa"/>
            <w:gridSpan w:val="2"/>
            <w:tcBorders>
              <w:top w:val="nil"/>
              <w:left w:val="nil"/>
              <w:bottom w:val="nil"/>
              <w:right w:val="nil"/>
            </w:tcBorders>
          </w:tcPr>
          <w:p w:rsidR="00A46DCA" w:rsidRPr="00023820" w:rsidRDefault="00A46DCA" w:rsidP="00A26D04">
            <w:pPr>
              <w:keepLines w:val="0"/>
              <w:autoSpaceDE w:val="0"/>
              <w:autoSpaceDN w:val="0"/>
              <w:adjustRightInd w:val="0"/>
              <w:spacing w:after="0"/>
              <w:rPr>
                <w:rFonts w:eastAsiaTheme="minorEastAsia" w:cs="Calibri"/>
                <w:color w:val="000000"/>
                <w:sz w:val="16"/>
                <w:szCs w:val="16"/>
                <w:lang w:eastAsia="en-AU"/>
              </w:rPr>
            </w:pPr>
            <w:r w:rsidRPr="00023820">
              <w:rPr>
                <w:rFonts w:eastAsiaTheme="minorEastAsia" w:cs="Calibri"/>
                <w:color w:val="000000"/>
                <w:sz w:val="16"/>
                <w:szCs w:val="16"/>
                <w:lang w:eastAsia="en-AU"/>
              </w:rPr>
              <w:t>Cash flows from investments in non-financial assets</w:t>
            </w:r>
          </w:p>
        </w:tc>
        <w:tc>
          <w:tcPr>
            <w:tcW w:w="680" w:type="dxa"/>
            <w:tcBorders>
              <w:top w:val="nil"/>
              <w:left w:val="nil"/>
              <w:bottom w:val="nil"/>
              <w:right w:val="nil"/>
            </w:tcBorders>
          </w:tcPr>
          <w:p w:rsidR="00A46DCA" w:rsidRPr="00023820"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lang w:eastAsia="en-AU"/>
              </w:rPr>
            </w:pPr>
            <w:r>
              <w:rPr>
                <w:rFonts w:eastAsiaTheme="minorEastAsia" w:cs="Calibri"/>
                <w:color w:val="000000"/>
                <w:sz w:val="16"/>
                <w:szCs w:val="16"/>
                <w:lang w:eastAsia="en-AU"/>
              </w:rPr>
              <w:t>(57)</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lang w:eastAsia="en-AU"/>
              </w:rPr>
            </w:pPr>
            <w:r>
              <w:rPr>
                <w:rFonts w:eastAsiaTheme="minorEastAsia" w:cs="Calibri"/>
                <w:color w:val="000000"/>
                <w:sz w:val="16"/>
                <w:szCs w:val="16"/>
                <w:lang w:eastAsia="en-AU"/>
              </w:rPr>
              <w:t>(87)</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lang w:eastAsia="en-AU"/>
              </w:rPr>
            </w:pPr>
            <w:r>
              <w:rPr>
                <w:rFonts w:eastAsiaTheme="minorEastAsia" w:cs="Calibri"/>
                <w:color w:val="000000"/>
                <w:sz w:val="16"/>
                <w:szCs w:val="16"/>
                <w:lang w:eastAsia="en-AU"/>
              </w:rPr>
              <w:t>(123)</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lang w:eastAsia="en-AU"/>
              </w:rPr>
            </w:pPr>
            <w:r>
              <w:rPr>
                <w:rFonts w:eastAsiaTheme="minorEastAsia" w:cs="Calibri"/>
                <w:color w:val="000000"/>
                <w:sz w:val="16"/>
                <w:szCs w:val="16"/>
                <w:lang w:eastAsia="en-AU"/>
              </w:rPr>
              <w:t>(147)</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lang w:eastAsia="en-AU"/>
              </w:rPr>
            </w:pPr>
            <w:r>
              <w:rPr>
                <w:rFonts w:eastAsiaTheme="minorEastAsia" w:cs="Calibri"/>
                <w:color w:val="000000"/>
                <w:sz w:val="16"/>
                <w:szCs w:val="16"/>
                <w:lang w:eastAsia="en-AU"/>
              </w:rPr>
              <w:t>(165)</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A46DCA" w:rsidRPr="00023820" w:rsidRDefault="00A46DCA" w:rsidP="00A26D04">
            <w:pPr>
              <w:keepLines w:val="0"/>
              <w:autoSpaceDE w:val="0"/>
              <w:autoSpaceDN w:val="0"/>
              <w:adjustRightInd w:val="0"/>
              <w:spacing w:after="0"/>
              <w:rPr>
                <w:rFonts w:eastAsiaTheme="minorEastAsia" w:cs="Calibri"/>
                <w:color w:val="000000"/>
                <w:sz w:val="16"/>
                <w:szCs w:val="16"/>
                <w:lang w:eastAsia="en-AU"/>
              </w:rPr>
            </w:pPr>
            <w:r w:rsidRPr="00023820">
              <w:rPr>
                <w:rFonts w:eastAsiaTheme="minorEastAsia" w:cs="Calibri"/>
                <w:color w:val="000000"/>
                <w:sz w:val="16"/>
                <w:szCs w:val="16"/>
                <w:lang w:eastAsia="en-AU"/>
              </w:rPr>
              <w:t>Net cash flows from other investment in financial assets for policy purposes</w:t>
            </w:r>
          </w:p>
        </w:tc>
        <w:tc>
          <w:tcPr>
            <w:tcW w:w="850" w:type="dxa"/>
            <w:gridSpan w:val="2"/>
            <w:tcBorders>
              <w:top w:val="nil"/>
              <w:left w:val="nil"/>
              <w:bottom w:val="nil"/>
              <w:right w:val="nil"/>
            </w:tcBorders>
          </w:tcPr>
          <w:p w:rsidR="00A46DCA" w:rsidRPr="00023820"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lang w:eastAsia="en-AU"/>
              </w:rPr>
            </w:pPr>
            <w:r w:rsidRPr="00023820">
              <w:rPr>
                <w:rFonts w:eastAsiaTheme="minorEastAsia" w:cs="Calibri"/>
                <w:color w:val="000000"/>
                <w:sz w:val="16"/>
                <w:szCs w:val="16"/>
                <w:lang w:eastAsia="en-AU"/>
              </w:rPr>
              <w:t>..</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lang w:eastAsia="en-AU"/>
              </w:rPr>
            </w:pPr>
            <w:r>
              <w:rPr>
                <w:rFonts w:eastAsiaTheme="minorEastAsia" w:cs="Calibri"/>
                <w:color w:val="000000"/>
                <w:sz w:val="16"/>
                <w:szCs w:val="16"/>
                <w:lang w:eastAsia="en-AU"/>
              </w:rPr>
              <w:t>12</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lang w:eastAsia="en-AU"/>
              </w:rPr>
            </w:pPr>
            <w:r>
              <w:rPr>
                <w:rFonts w:eastAsiaTheme="minorEastAsia" w:cs="Calibri"/>
                <w:color w:val="000000"/>
                <w:sz w:val="16"/>
                <w:szCs w:val="16"/>
                <w:lang w:eastAsia="en-AU"/>
              </w:rPr>
              <w:t>(2)</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lang w:eastAsia="en-AU"/>
              </w:rPr>
            </w:pPr>
            <w:r>
              <w:rPr>
                <w:rFonts w:eastAsiaTheme="minorEastAsia" w:cs="Calibri"/>
                <w:color w:val="000000"/>
                <w:sz w:val="16"/>
                <w:szCs w:val="16"/>
                <w:lang w:eastAsia="en-AU"/>
              </w:rPr>
              <w:t>(2)</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lang w:eastAsia="en-AU"/>
              </w:rPr>
            </w:pPr>
            <w:r w:rsidRPr="00023820">
              <w:rPr>
                <w:rFonts w:eastAsiaTheme="minorEastAsia" w:cs="Calibri"/>
                <w:color w:val="000000"/>
                <w:sz w:val="16"/>
                <w:szCs w:val="16"/>
                <w:lang w:eastAsia="en-AU"/>
              </w:rPr>
              <w:t>..</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single" w:sz="6" w:space="0" w:color="000000"/>
              <w:right w:val="nil"/>
            </w:tcBorders>
          </w:tcPr>
          <w:p w:rsidR="00A46DCA" w:rsidRPr="00023820" w:rsidRDefault="00A46DCA" w:rsidP="00A26D04">
            <w:pPr>
              <w:keepLines w:val="0"/>
              <w:autoSpaceDE w:val="0"/>
              <w:autoSpaceDN w:val="0"/>
              <w:adjustRightInd w:val="0"/>
              <w:spacing w:after="0"/>
              <w:rPr>
                <w:rFonts w:eastAsiaTheme="minorEastAsia" w:cs="Calibri"/>
                <w:color w:val="000000"/>
                <w:sz w:val="16"/>
                <w:szCs w:val="16"/>
                <w:lang w:eastAsia="en-AU"/>
              </w:rPr>
            </w:pPr>
            <w:r w:rsidRPr="00023820">
              <w:rPr>
                <w:rFonts w:eastAsiaTheme="minorEastAsia" w:cs="Calibri"/>
                <w:color w:val="000000"/>
                <w:sz w:val="16"/>
                <w:szCs w:val="16"/>
                <w:lang w:eastAsia="en-AU"/>
              </w:rPr>
              <w:t>Net cash flows from investments in financial assets for liquidity management purposes</w:t>
            </w:r>
          </w:p>
        </w:tc>
        <w:tc>
          <w:tcPr>
            <w:tcW w:w="850" w:type="dxa"/>
            <w:gridSpan w:val="2"/>
            <w:tcBorders>
              <w:top w:val="nil"/>
              <w:left w:val="nil"/>
              <w:bottom w:val="single" w:sz="6" w:space="0" w:color="000000"/>
              <w:right w:val="nil"/>
            </w:tcBorders>
          </w:tcPr>
          <w:p w:rsidR="00A46DCA" w:rsidRPr="00023820"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lang w:eastAsia="en-AU"/>
              </w:rPr>
            </w:pPr>
            <w:r>
              <w:rPr>
                <w:rFonts w:eastAsiaTheme="minorEastAsia" w:cs="Calibri"/>
                <w:color w:val="000000"/>
                <w:sz w:val="16"/>
                <w:szCs w:val="16"/>
                <w:lang w:eastAsia="en-AU"/>
              </w:rPr>
              <w:t>(2 563)</w:t>
            </w:r>
          </w:p>
        </w:tc>
        <w:tc>
          <w:tcPr>
            <w:tcW w:w="850" w:type="dxa"/>
            <w:tcBorders>
              <w:top w:val="nil"/>
              <w:left w:val="nil"/>
              <w:bottom w:val="single" w:sz="6" w:space="0" w:color="000000"/>
              <w:right w:val="nil"/>
            </w:tcBorders>
          </w:tcPr>
          <w:p w:rsidR="00A46DCA" w:rsidRPr="00023820"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lang w:eastAsia="en-AU"/>
              </w:rPr>
            </w:pPr>
            <w:r>
              <w:rPr>
                <w:rFonts w:eastAsiaTheme="minorEastAsia" w:cs="Calibri"/>
                <w:color w:val="000000"/>
                <w:sz w:val="16"/>
                <w:szCs w:val="16"/>
                <w:lang w:eastAsia="en-AU"/>
              </w:rPr>
              <w:t>(273)</w:t>
            </w:r>
          </w:p>
        </w:tc>
        <w:tc>
          <w:tcPr>
            <w:tcW w:w="850" w:type="dxa"/>
            <w:tcBorders>
              <w:top w:val="nil"/>
              <w:left w:val="nil"/>
              <w:bottom w:val="single" w:sz="6" w:space="0" w:color="000000"/>
              <w:right w:val="nil"/>
            </w:tcBorders>
          </w:tcPr>
          <w:p w:rsidR="00A46DCA" w:rsidRPr="00023820"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lang w:eastAsia="en-AU"/>
              </w:rPr>
            </w:pPr>
            <w:r>
              <w:rPr>
                <w:rFonts w:eastAsiaTheme="minorEastAsia" w:cs="Calibri"/>
                <w:color w:val="000000"/>
                <w:sz w:val="16"/>
                <w:szCs w:val="16"/>
                <w:lang w:eastAsia="en-AU"/>
              </w:rPr>
              <w:t>(1 632)</w:t>
            </w:r>
          </w:p>
        </w:tc>
        <w:tc>
          <w:tcPr>
            <w:tcW w:w="850" w:type="dxa"/>
            <w:tcBorders>
              <w:top w:val="nil"/>
              <w:left w:val="nil"/>
              <w:bottom w:val="single" w:sz="6" w:space="0" w:color="000000"/>
              <w:right w:val="nil"/>
            </w:tcBorders>
          </w:tcPr>
          <w:p w:rsidR="00A46DCA" w:rsidRPr="00023820"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lang w:eastAsia="en-AU"/>
              </w:rPr>
            </w:pPr>
            <w:r>
              <w:rPr>
                <w:rFonts w:eastAsiaTheme="minorEastAsia" w:cs="Calibri"/>
                <w:color w:val="000000"/>
                <w:sz w:val="16"/>
                <w:szCs w:val="16"/>
                <w:lang w:eastAsia="en-AU"/>
              </w:rPr>
              <w:t>(3 219)</w:t>
            </w:r>
          </w:p>
        </w:tc>
        <w:tc>
          <w:tcPr>
            <w:tcW w:w="850" w:type="dxa"/>
            <w:tcBorders>
              <w:top w:val="nil"/>
              <w:left w:val="nil"/>
              <w:bottom w:val="single" w:sz="6" w:space="0" w:color="000000"/>
              <w:right w:val="nil"/>
            </w:tcBorders>
          </w:tcPr>
          <w:p w:rsidR="00A46DCA" w:rsidRPr="00023820"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lang w:eastAsia="en-AU"/>
              </w:rPr>
            </w:pPr>
            <w:r>
              <w:rPr>
                <w:rFonts w:eastAsiaTheme="minorEastAsia" w:cs="Calibri"/>
                <w:color w:val="000000"/>
                <w:sz w:val="16"/>
                <w:szCs w:val="16"/>
                <w:lang w:eastAsia="en-AU"/>
              </w:rPr>
              <w:t>(1 285)</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A46DCA" w:rsidRPr="00023820" w:rsidRDefault="00A46DCA" w:rsidP="00A26D04">
            <w:pPr>
              <w:keepLines w:val="0"/>
              <w:autoSpaceDE w:val="0"/>
              <w:autoSpaceDN w:val="0"/>
              <w:adjustRightInd w:val="0"/>
              <w:spacing w:after="0"/>
              <w:rPr>
                <w:rFonts w:eastAsiaTheme="minorEastAsia" w:cs="Calibri"/>
                <w:b/>
                <w:bCs/>
                <w:color w:val="000000"/>
                <w:sz w:val="16"/>
                <w:szCs w:val="16"/>
                <w:lang w:eastAsia="en-AU"/>
              </w:rPr>
            </w:pPr>
            <w:r w:rsidRPr="00023820">
              <w:rPr>
                <w:rFonts w:eastAsiaTheme="minorEastAsia" w:cs="Calibri"/>
                <w:b/>
                <w:bCs/>
                <w:color w:val="000000"/>
                <w:sz w:val="16"/>
                <w:szCs w:val="16"/>
                <w:lang w:eastAsia="en-AU"/>
              </w:rPr>
              <w:t>Net cash flows from investing activities</w:t>
            </w:r>
          </w:p>
        </w:tc>
        <w:tc>
          <w:tcPr>
            <w:tcW w:w="850" w:type="dxa"/>
            <w:gridSpan w:val="2"/>
            <w:tcBorders>
              <w:top w:val="nil"/>
              <w:left w:val="nil"/>
              <w:bottom w:val="nil"/>
              <w:right w:val="nil"/>
            </w:tcBorders>
          </w:tcPr>
          <w:p w:rsidR="00A46DCA" w:rsidRPr="00023820"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szCs w:val="16"/>
                <w:lang w:eastAsia="en-AU"/>
              </w:rPr>
            </w:pPr>
            <w:r>
              <w:rPr>
                <w:rFonts w:eastAsiaTheme="minorEastAsia" w:cs="Calibri"/>
                <w:b/>
                <w:bCs/>
                <w:color w:val="000000"/>
                <w:sz w:val="16"/>
                <w:szCs w:val="16"/>
                <w:lang w:eastAsia="en-AU"/>
              </w:rPr>
              <w:t>(2 619)</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szCs w:val="16"/>
                <w:lang w:eastAsia="en-AU"/>
              </w:rPr>
            </w:pPr>
            <w:r>
              <w:rPr>
                <w:rFonts w:eastAsiaTheme="minorEastAsia" w:cs="Calibri"/>
                <w:b/>
                <w:bCs/>
                <w:color w:val="000000"/>
                <w:sz w:val="16"/>
                <w:szCs w:val="16"/>
                <w:lang w:eastAsia="en-AU"/>
              </w:rPr>
              <w:t>(348)</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szCs w:val="16"/>
                <w:lang w:eastAsia="en-AU"/>
              </w:rPr>
            </w:pPr>
            <w:r>
              <w:rPr>
                <w:rFonts w:eastAsiaTheme="minorEastAsia" w:cs="Calibri"/>
                <w:b/>
                <w:bCs/>
                <w:color w:val="000000"/>
                <w:sz w:val="16"/>
                <w:szCs w:val="16"/>
                <w:lang w:eastAsia="en-AU"/>
              </w:rPr>
              <w:t>(1 757)</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szCs w:val="16"/>
                <w:lang w:eastAsia="en-AU"/>
              </w:rPr>
            </w:pPr>
            <w:r>
              <w:rPr>
                <w:rFonts w:eastAsiaTheme="minorEastAsia" w:cs="Calibri"/>
                <w:b/>
                <w:bCs/>
                <w:color w:val="000000"/>
                <w:sz w:val="16"/>
                <w:szCs w:val="16"/>
                <w:lang w:eastAsia="en-AU"/>
              </w:rPr>
              <w:t>(3 368)</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szCs w:val="16"/>
                <w:lang w:eastAsia="en-AU"/>
              </w:rPr>
            </w:pPr>
            <w:r>
              <w:rPr>
                <w:rFonts w:eastAsiaTheme="minorEastAsia" w:cs="Calibri"/>
                <w:b/>
                <w:bCs/>
                <w:color w:val="000000"/>
                <w:sz w:val="16"/>
                <w:szCs w:val="16"/>
                <w:lang w:eastAsia="en-AU"/>
              </w:rPr>
              <w:t>(1 451)</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A46DCA" w:rsidRPr="00023820" w:rsidRDefault="00A46DCA" w:rsidP="00A26D04">
            <w:pPr>
              <w:keepLines w:val="0"/>
              <w:autoSpaceDE w:val="0"/>
              <w:autoSpaceDN w:val="0"/>
              <w:adjustRightInd w:val="0"/>
              <w:spacing w:after="0"/>
              <w:rPr>
                <w:rFonts w:eastAsiaTheme="minorEastAsia" w:cs="Calibri"/>
                <w:b/>
                <w:bCs/>
                <w:color w:val="000000"/>
                <w:sz w:val="16"/>
                <w:szCs w:val="16"/>
                <w:lang w:eastAsia="en-AU"/>
              </w:rPr>
            </w:pPr>
            <w:r w:rsidRPr="00023820">
              <w:rPr>
                <w:rFonts w:eastAsiaTheme="minorEastAsia" w:cs="Calibri"/>
                <w:b/>
                <w:bCs/>
                <w:color w:val="000000"/>
                <w:sz w:val="16"/>
                <w:szCs w:val="16"/>
                <w:lang w:eastAsia="en-AU"/>
              </w:rPr>
              <w:t>Cash flows from financing activities</w:t>
            </w:r>
          </w:p>
        </w:tc>
        <w:tc>
          <w:tcPr>
            <w:tcW w:w="850" w:type="dxa"/>
            <w:gridSpan w:val="2"/>
            <w:tcBorders>
              <w:top w:val="nil"/>
              <w:left w:val="nil"/>
              <w:bottom w:val="nil"/>
              <w:right w:val="nil"/>
            </w:tcBorders>
          </w:tcPr>
          <w:p w:rsidR="00A46DCA" w:rsidRPr="00023820"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lang w:eastAsia="en-AU"/>
              </w:rPr>
            </w:pPr>
            <w:r w:rsidRPr="00023820">
              <w:rPr>
                <w:rFonts w:eastAsiaTheme="minorEastAsia" w:cs="Calibri"/>
                <w:b/>
                <w:bCs/>
                <w:color w:val="000000"/>
                <w:sz w:val="16"/>
                <w:lang w:eastAsia="en-AU"/>
              </w:rPr>
              <w:t xml:space="preserve"> </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lang w:eastAsia="en-AU"/>
              </w:rPr>
            </w:pPr>
            <w:r w:rsidRPr="00023820">
              <w:rPr>
                <w:rFonts w:eastAsiaTheme="minorEastAsia" w:cs="Calibri"/>
                <w:b/>
                <w:bCs/>
                <w:color w:val="000000"/>
                <w:sz w:val="16"/>
                <w:lang w:eastAsia="en-AU"/>
              </w:rPr>
              <w:t xml:space="preserve"> </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lang w:eastAsia="en-AU"/>
              </w:rPr>
            </w:pPr>
            <w:r w:rsidRPr="00023820">
              <w:rPr>
                <w:rFonts w:eastAsiaTheme="minorEastAsia" w:cs="Calibri"/>
                <w:b/>
                <w:bCs/>
                <w:color w:val="000000"/>
                <w:sz w:val="16"/>
                <w:lang w:eastAsia="en-AU"/>
              </w:rPr>
              <w:t xml:space="preserve"> </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lang w:eastAsia="en-AU"/>
              </w:rPr>
            </w:pPr>
            <w:r w:rsidRPr="00023820">
              <w:rPr>
                <w:rFonts w:eastAsiaTheme="minorEastAsia" w:cs="Calibri"/>
                <w:b/>
                <w:bCs/>
                <w:color w:val="000000"/>
                <w:sz w:val="16"/>
                <w:lang w:eastAsia="en-AU"/>
              </w:rPr>
              <w:t xml:space="preserve"> </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lang w:eastAsia="en-AU"/>
              </w:rPr>
            </w:pPr>
            <w:r w:rsidRPr="00023820">
              <w:rPr>
                <w:rFonts w:eastAsiaTheme="minorEastAsia" w:cs="Calibri"/>
                <w:b/>
                <w:bCs/>
                <w:color w:val="000000"/>
                <w:sz w:val="16"/>
                <w:lang w:eastAsia="en-AU"/>
              </w:rPr>
              <w:t xml:space="preserve"> </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A46DCA" w:rsidRPr="00023820" w:rsidRDefault="00A46DCA" w:rsidP="00A26D04">
            <w:pPr>
              <w:keepLines w:val="0"/>
              <w:autoSpaceDE w:val="0"/>
              <w:autoSpaceDN w:val="0"/>
              <w:adjustRightInd w:val="0"/>
              <w:spacing w:after="0"/>
              <w:rPr>
                <w:rFonts w:eastAsiaTheme="minorEastAsia" w:cs="Calibri"/>
                <w:color w:val="000000"/>
                <w:sz w:val="16"/>
                <w:szCs w:val="16"/>
                <w:lang w:eastAsia="en-AU"/>
              </w:rPr>
            </w:pPr>
            <w:r w:rsidRPr="00023820">
              <w:rPr>
                <w:rFonts w:eastAsiaTheme="minorEastAsia" w:cs="Calibri"/>
                <w:color w:val="000000"/>
                <w:sz w:val="16"/>
                <w:szCs w:val="16"/>
                <w:lang w:eastAsia="en-AU"/>
              </w:rPr>
              <w:t>Advances received (net)</w:t>
            </w:r>
          </w:p>
        </w:tc>
        <w:tc>
          <w:tcPr>
            <w:tcW w:w="850" w:type="dxa"/>
            <w:gridSpan w:val="2"/>
            <w:tcBorders>
              <w:top w:val="nil"/>
              <w:left w:val="nil"/>
              <w:bottom w:val="nil"/>
              <w:right w:val="nil"/>
            </w:tcBorders>
          </w:tcPr>
          <w:p w:rsidR="00A46DCA" w:rsidRPr="00023820"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lang w:eastAsia="en-AU"/>
              </w:rPr>
            </w:pPr>
            <w:r w:rsidRPr="00023820">
              <w:rPr>
                <w:rFonts w:eastAsiaTheme="minorEastAsia" w:cs="Calibri"/>
                <w:color w:val="000000"/>
                <w:sz w:val="16"/>
                <w:szCs w:val="16"/>
                <w:lang w:eastAsia="en-AU"/>
              </w:rPr>
              <w:t>..</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lang w:eastAsia="en-AU"/>
              </w:rPr>
            </w:pPr>
            <w:r>
              <w:rPr>
                <w:rFonts w:eastAsiaTheme="minorEastAsia" w:cs="Calibri"/>
                <w:color w:val="000000"/>
                <w:sz w:val="16"/>
                <w:szCs w:val="16"/>
                <w:lang w:eastAsia="en-AU"/>
              </w:rPr>
              <w:t>(29)</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lang w:eastAsia="en-AU"/>
              </w:rPr>
            </w:pPr>
            <w:r w:rsidRPr="00023820">
              <w:rPr>
                <w:rFonts w:eastAsiaTheme="minorEastAsia" w:cs="Calibri"/>
                <w:color w:val="000000"/>
                <w:sz w:val="16"/>
                <w:szCs w:val="16"/>
                <w:lang w:eastAsia="en-AU"/>
              </w:rPr>
              <w:t>..</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lang w:eastAsia="en-AU"/>
              </w:rPr>
            </w:pPr>
            <w:r w:rsidRPr="00023820">
              <w:rPr>
                <w:rFonts w:eastAsiaTheme="minorEastAsia" w:cs="Calibri"/>
                <w:color w:val="000000"/>
                <w:sz w:val="16"/>
                <w:szCs w:val="16"/>
                <w:lang w:eastAsia="en-AU"/>
              </w:rPr>
              <w:t>..</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lang w:eastAsia="en-AU"/>
              </w:rPr>
            </w:pPr>
            <w:r w:rsidRPr="00023820">
              <w:rPr>
                <w:rFonts w:eastAsiaTheme="minorEastAsia" w:cs="Calibri"/>
                <w:color w:val="000000"/>
                <w:sz w:val="16"/>
                <w:szCs w:val="16"/>
                <w:lang w:eastAsia="en-AU"/>
              </w:rPr>
              <w:t>..</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A46DCA" w:rsidRPr="00023820" w:rsidRDefault="00A46DCA" w:rsidP="00A26D04">
            <w:pPr>
              <w:keepLines w:val="0"/>
              <w:autoSpaceDE w:val="0"/>
              <w:autoSpaceDN w:val="0"/>
              <w:adjustRightInd w:val="0"/>
              <w:spacing w:after="0"/>
              <w:rPr>
                <w:rFonts w:eastAsiaTheme="minorEastAsia" w:cs="Calibri"/>
                <w:color w:val="000000"/>
                <w:sz w:val="16"/>
                <w:szCs w:val="16"/>
                <w:lang w:eastAsia="en-AU"/>
              </w:rPr>
            </w:pPr>
            <w:r w:rsidRPr="00023820">
              <w:rPr>
                <w:rFonts w:eastAsiaTheme="minorEastAsia" w:cs="Calibri"/>
                <w:color w:val="000000"/>
                <w:sz w:val="16"/>
                <w:szCs w:val="16"/>
                <w:lang w:eastAsia="en-AU"/>
              </w:rPr>
              <w:t>Net borrowings</w:t>
            </w:r>
          </w:p>
        </w:tc>
        <w:tc>
          <w:tcPr>
            <w:tcW w:w="850" w:type="dxa"/>
            <w:gridSpan w:val="2"/>
            <w:tcBorders>
              <w:top w:val="nil"/>
              <w:left w:val="nil"/>
              <w:bottom w:val="nil"/>
              <w:right w:val="nil"/>
            </w:tcBorders>
          </w:tcPr>
          <w:p w:rsidR="00A46DCA" w:rsidRPr="00023820"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lang w:eastAsia="en-AU"/>
              </w:rPr>
            </w:pPr>
            <w:r w:rsidRPr="00023820">
              <w:rPr>
                <w:rFonts w:eastAsiaTheme="minorEastAsia" w:cs="Calibri"/>
                <w:color w:val="000000"/>
                <w:sz w:val="16"/>
                <w:szCs w:val="16"/>
                <w:lang w:eastAsia="en-AU"/>
              </w:rPr>
              <w:t>3 899</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lang w:eastAsia="en-AU"/>
              </w:rPr>
            </w:pPr>
            <w:r w:rsidRPr="00023820">
              <w:rPr>
                <w:rFonts w:eastAsiaTheme="minorEastAsia" w:cs="Calibri"/>
                <w:color w:val="000000"/>
                <w:sz w:val="16"/>
                <w:szCs w:val="16"/>
                <w:lang w:eastAsia="en-AU"/>
              </w:rPr>
              <w:t>2 151</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lang w:eastAsia="en-AU"/>
              </w:rPr>
            </w:pPr>
            <w:r w:rsidRPr="00023820">
              <w:rPr>
                <w:rFonts w:eastAsiaTheme="minorEastAsia" w:cs="Calibri"/>
                <w:color w:val="000000"/>
                <w:sz w:val="16"/>
                <w:szCs w:val="16"/>
                <w:lang w:eastAsia="en-AU"/>
              </w:rPr>
              <w:t>2 204</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lang w:eastAsia="en-AU"/>
              </w:rPr>
            </w:pPr>
            <w:r w:rsidRPr="00023820">
              <w:rPr>
                <w:rFonts w:eastAsiaTheme="minorEastAsia" w:cs="Calibri"/>
                <w:color w:val="000000"/>
                <w:sz w:val="16"/>
                <w:szCs w:val="16"/>
                <w:lang w:eastAsia="en-AU"/>
              </w:rPr>
              <w:t>3 806</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lang w:eastAsia="en-AU"/>
              </w:rPr>
            </w:pPr>
            <w:r w:rsidRPr="00023820">
              <w:rPr>
                <w:rFonts w:eastAsiaTheme="minorEastAsia" w:cs="Calibri"/>
                <w:color w:val="000000"/>
                <w:sz w:val="16"/>
                <w:szCs w:val="16"/>
                <w:lang w:eastAsia="en-AU"/>
              </w:rPr>
              <w:t>2 238</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A46DCA" w:rsidRPr="00023820" w:rsidRDefault="00A46DCA" w:rsidP="00A26D04">
            <w:pPr>
              <w:keepLines w:val="0"/>
              <w:autoSpaceDE w:val="0"/>
              <w:autoSpaceDN w:val="0"/>
              <w:adjustRightInd w:val="0"/>
              <w:spacing w:after="0"/>
              <w:rPr>
                <w:rFonts w:eastAsiaTheme="minorEastAsia" w:cs="Calibri"/>
                <w:color w:val="000000"/>
                <w:sz w:val="16"/>
                <w:szCs w:val="16"/>
                <w:lang w:eastAsia="en-AU"/>
              </w:rPr>
            </w:pPr>
            <w:r w:rsidRPr="00023820">
              <w:rPr>
                <w:rFonts w:eastAsiaTheme="minorEastAsia" w:cs="Calibri"/>
                <w:color w:val="000000"/>
                <w:sz w:val="16"/>
                <w:szCs w:val="16"/>
                <w:lang w:eastAsia="en-AU"/>
              </w:rPr>
              <w:t>Deposits received (net)</w:t>
            </w:r>
          </w:p>
        </w:tc>
        <w:tc>
          <w:tcPr>
            <w:tcW w:w="850" w:type="dxa"/>
            <w:gridSpan w:val="2"/>
            <w:tcBorders>
              <w:top w:val="nil"/>
              <w:left w:val="nil"/>
              <w:bottom w:val="nil"/>
              <w:right w:val="nil"/>
            </w:tcBorders>
          </w:tcPr>
          <w:p w:rsidR="00A46DCA" w:rsidRPr="00023820"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lang w:eastAsia="en-AU"/>
              </w:rPr>
            </w:pPr>
            <w:r>
              <w:rPr>
                <w:rFonts w:eastAsiaTheme="minorEastAsia" w:cs="Calibri"/>
                <w:color w:val="000000"/>
                <w:sz w:val="16"/>
                <w:szCs w:val="16"/>
                <w:lang w:eastAsia="en-AU"/>
              </w:rPr>
              <w:t>(1 224)</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lang w:eastAsia="en-AU"/>
              </w:rPr>
            </w:pPr>
            <w:r>
              <w:rPr>
                <w:rFonts w:eastAsiaTheme="minorEastAsia" w:cs="Calibri"/>
                <w:color w:val="000000"/>
                <w:sz w:val="16"/>
                <w:szCs w:val="16"/>
                <w:lang w:eastAsia="en-AU"/>
              </w:rPr>
              <w:t>(2 169)</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lang w:eastAsia="en-AU"/>
              </w:rPr>
            </w:pPr>
            <w:r>
              <w:rPr>
                <w:rFonts w:eastAsiaTheme="minorEastAsia" w:cs="Calibri"/>
                <w:color w:val="000000"/>
                <w:sz w:val="16"/>
                <w:szCs w:val="16"/>
                <w:lang w:eastAsia="en-AU"/>
              </w:rPr>
              <w:t>(251)</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lang w:eastAsia="en-AU"/>
              </w:rPr>
            </w:pPr>
            <w:r>
              <w:rPr>
                <w:rFonts w:eastAsiaTheme="minorEastAsia" w:cs="Calibri"/>
                <w:color w:val="000000"/>
                <w:sz w:val="16"/>
                <w:szCs w:val="16"/>
                <w:lang w:eastAsia="en-AU"/>
              </w:rPr>
              <w:t>(260)</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lang w:eastAsia="en-AU"/>
              </w:rPr>
            </w:pPr>
            <w:r>
              <w:rPr>
                <w:rFonts w:eastAsiaTheme="minorEastAsia" w:cs="Calibri"/>
                <w:color w:val="000000"/>
                <w:sz w:val="16"/>
                <w:szCs w:val="16"/>
                <w:lang w:eastAsia="en-AU"/>
              </w:rPr>
              <w:t>(168)</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A46DCA" w:rsidRPr="00023820" w:rsidRDefault="00A46DCA" w:rsidP="00A26D04">
            <w:pPr>
              <w:keepLines w:val="0"/>
              <w:autoSpaceDE w:val="0"/>
              <w:autoSpaceDN w:val="0"/>
              <w:adjustRightInd w:val="0"/>
              <w:spacing w:after="0"/>
              <w:rPr>
                <w:rFonts w:eastAsiaTheme="minorEastAsia" w:cs="Calibri"/>
                <w:color w:val="000000"/>
                <w:sz w:val="16"/>
                <w:szCs w:val="16"/>
                <w:lang w:eastAsia="en-AU"/>
              </w:rPr>
            </w:pPr>
            <w:r w:rsidRPr="00023820">
              <w:rPr>
                <w:rFonts w:eastAsiaTheme="minorEastAsia" w:cs="Calibri"/>
                <w:color w:val="000000"/>
                <w:sz w:val="16"/>
                <w:szCs w:val="16"/>
                <w:lang w:eastAsia="en-AU"/>
              </w:rPr>
              <w:t>Other financing (net)</w:t>
            </w:r>
          </w:p>
        </w:tc>
        <w:tc>
          <w:tcPr>
            <w:tcW w:w="850" w:type="dxa"/>
            <w:gridSpan w:val="2"/>
            <w:tcBorders>
              <w:top w:val="nil"/>
              <w:left w:val="nil"/>
              <w:bottom w:val="nil"/>
              <w:right w:val="nil"/>
            </w:tcBorders>
          </w:tcPr>
          <w:p w:rsidR="00A46DCA" w:rsidRPr="00023820"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lang w:eastAsia="en-AU"/>
              </w:rPr>
            </w:pPr>
            <w:r>
              <w:rPr>
                <w:rFonts w:eastAsiaTheme="minorEastAsia" w:cs="Calibri"/>
                <w:color w:val="000000"/>
                <w:sz w:val="16"/>
                <w:szCs w:val="16"/>
                <w:lang w:eastAsia="en-AU"/>
              </w:rPr>
              <w:t>(475)</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lang w:eastAsia="en-AU"/>
              </w:rPr>
            </w:pPr>
            <w:r>
              <w:rPr>
                <w:rFonts w:eastAsiaTheme="minorEastAsia" w:cs="Calibri"/>
                <w:color w:val="000000"/>
                <w:sz w:val="16"/>
                <w:szCs w:val="16"/>
                <w:lang w:eastAsia="en-AU"/>
              </w:rPr>
              <w:t>(501)</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lang w:eastAsia="en-AU"/>
              </w:rPr>
            </w:pPr>
            <w:r>
              <w:rPr>
                <w:rFonts w:eastAsiaTheme="minorEastAsia" w:cs="Calibri"/>
                <w:color w:val="000000"/>
                <w:sz w:val="16"/>
                <w:szCs w:val="16"/>
                <w:lang w:eastAsia="en-AU"/>
              </w:rPr>
              <w:t>(692)</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lang w:eastAsia="en-AU"/>
              </w:rPr>
            </w:pPr>
            <w:r>
              <w:rPr>
                <w:rFonts w:eastAsiaTheme="minorEastAsia" w:cs="Calibri"/>
                <w:color w:val="000000"/>
                <w:sz w:val="16"/>
                <w:szCs w:val="16"/>
                <w:lang w:eastAsia="en-AU"/>
              </w:rPr>
              <w:t>(670)</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lang w:eastAsia="en-AU"/>
              </w:rPr>
            </w:pPr>
            <w:r>
              <w:rPr>
                <w:rFonts w:eastAsiaTheme="minorEastAsia" w:cs="Calibri"/>
                <w:color w:val="000000"/>
                <w:sz w:val="16"/>
                <w:szCs w:val="16"/>
                <w:lang w:eastAsia="en-AU"/>
              </w:rPr>
              <w:t>(1 100)</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3515" w:type="dxa"/>
            <w:tcBorders>
              <w:top w:val="single" w:sz="6" w:space="0" w:color="000000"/>
              <w:left w:val="nil"/>
              <w:bottom w:val="single" w:sz="6" w:space="0" w:color="000000"/>
              <w:right w:val="nil"/>
            </w:tcBorders>
          </w:tcPr>
          <w:p w:rsidR="00A46DCA" w:rsidRPr="00023820" w:rsidRDefault="00A46DCA" w:rsidP="00A26D04">
            <w:pPr>
              <w:keepLines w:val="0"/>
              <w:autoSpaceDE w:val="0"/>
              <w:autoSpaceDN w:val="0"/>
              <w:adjustRightInd w:val="0"/>
              <w:spacing w:after="0"/>
              <w:rPr>
                <w:rFonts w:eastAsiaTheme="minorEastAsia" w:cs="Calibri"/>
                <w:b/>
                <w:bCs/>
                <w:color w:val="000000"/>
                <w:sz w:val="16"/>
                <w:szCs w:val="16"/>
                <w:lang w:eastAsia="en-AU"/>
              </w:rPr>
            </w:pPr>
            <w:r w:rsidRPr="00023820">
              <w:rPr>
                <w:rFonts w:eastAsiaTheme="minorEastAsia" w:cs="Calibri"/>
                <w:b/>
                <w:bCs/>
                <w:color w:val="000000"/>
                <w:sz w:val="16"/>
                <w:szCs w:val="16"/>
                <w:lang w:eastAsia="en-AU"/>
              </w:rPr>
              <w:t>Net cash flows from financing activities</w:t>
            </w:r>
          </w:p>
        </w:tc>
        <w:tc>
          <w:tcPr>
            <w:tcW w:w="850" w:type="dxa"/>
            <w:gridSpan w:val="2"/>
            <w:tcBorders>
              <w:top w:val="single" w:sz="6" w:space="0" w:color="000000"/>
              <w:left w:val="nil"/>
              <w:bottom w:val="single" w:sz="6" w:space="0" w:color="000000"/>
              <w:right w:val="nil"/>
            </w:tcBorders>
          </w:tcPr>
          <w:p w:rsidR="00A46DCA" w:rsidRPr="00023820"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szCs w:val="16"/>
                <w:lang w:eastAsia="en-AU"/>
              </w:rPr>
            </w:pPr>
            <w:r w:rsidRPr="00023820">
              <w:rPr>
                <w:rFonts w:eastAsiaTheme="minorEastAsia" w:cs="Calibri"/>
                <w:b/>
                <w:bCs/>
                <w:color w:val="000000"/>
                <w:sz w:val="16"/>
                <w:szCs w:val="16"/>
                <w:lang w:eastAsia="en-AU"/>
              </w:rPr>
              <w:t>2 200</w:t>
            </w:r>
          </w:p>
        </w:tc>
        <w:tc>
          <w:tcPr>
            <w:tcW w:w="850" w:type="dxa"/>
            <w:tcBorders>
              <w:top w:val="single" w:sz="6" w:space="0" w:color="000000"/>
              <w:left w:val="nil"/>
              <w:bottom w:val="single" w:sz="6" w:space="0" w:color="000000"/>
              <w:right w:val="nil"/>
            </w:tcBorders>
          </w:tcPr>
          <w:p w:rsidR="00A46DCA" w:rsidRPr="00023820"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szCs w:val="16"/>
                <w:lang w:eastAsia="en-AU"/>
              </w:rPr>
            </w:pPr>
            <w:r>
              <w:rPr>
                <w:rFonts w:eastAsiaTheme="minorEastAsia" w:cs="Calibri"/>
                <w:b/>
                <w:bCs/>
                <w:color w:val="000000"/>
                <w:sz w:val="16"/>
                <w:szCs w:val="16"/>
                <w:lang w:eastAsia="en-AU"/>
              </w:rPr>
              <w:t>(548)</w:t>
            </w:r>
          </w:p>
        </w:tc>
        <w:tc>
          <w:tcPr>
            <w:tcW w:w="850" w:type="dxa"/>
            <w:tcBorders>
              <w:top w:val="single" w:sz="6" w:space="0" w:color="000000"/>
              <w:left w:val="nil"/>
              <w:bottom w:val="single" w:sz="6" w:space="0" w:color="000000"/>
              <w:right w:val="nil"/>
            </w:tcBorders>
          </w:tcPr>
          <w:p w:rsidR="00A46DCA" w:rsidRPr="00023820"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szCs w:val="16"/>
                <w:lang w:eastAsia="en-AU"/>
              </w:rPr>
            </w:pPr>
            <w:r w:rsidRPr="00023820">
              <w:rPr>
                <w:rFonts w:eastAsiaTheme="minorEastAsia" w:cs="Calibri"/>
                <w:b/>
                <w:bCs/>
                <w:color w:val="000000"/>
                <w:sz w:val="16"/>
                <w:szCs w:val="16"/>
                <w:lang w:eastAsia="en-AU"/>
              </w:rPr>
              <w:t>1 261</w:t>
            </w:r>
          </w:p>
        </w:tc>
        <w:tc>
          <w:tcPr>
            <w:tcW w:w="850" w:type="dxa"/>
            <w:tcBorders>
              <w:top w:val="single" w:sz="6" w:space="0" w:color="000000"/>
              <w:left w:val="nil"/>
              <w:bottom w:val="single" w:sz="6" w:space="0" w:color="000000"/>
              <w:right w:val="nil"/>
            </w:tcBorders>
          </w:tcPr>
          <w:p w:rsidR="00A46DCA" w:rsidRPr="00023820"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szCs w:val="16"/>
                <w:lang w:eastAsia="en-AU"/>
              </w:rPr>
            </w:pPr>
            <w:r w:rsidRPr="00023820">
              <w:rPr>
                <w:rFonts w:eastAsiaTheme="minorEastAsia" w:cs="Calibri"/>
                <w:b/>
                <w:bCs/>
                <w:color w:val="000000"/>
                <w:sz w:val="16"/>
                <w:szCs w:val="16"/>
                <w:lang w:eastAsia="en-AU"/>
              </w:rPr>
              <w:t>2 876</w:t>
            </w:r>
          </w:p>
        </w:tc>
        <w:tc>
          <w:tcPr>
            <w:tcW w:w="850" w:type="dxa"/>
            <w:tcBorders>
              <w:top w:val="single" w:sz="6" w:space="0" w:color="000000"/>
              <w:left w:val="nil"/>
              <w:bottom w:val="single" w:sz="6" w:space="0" w:color="000000"/>
              <w:right w:val="nil"/>
            </w:tcBorders>
          </w:tcPr>
          <w:p w:rsidR="00A46DCA" w:rsidRPr="00023820"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szCs w:val="16"/>
                <w:lang w:eastAsia="en-AU"/>
              </w:rPr>
            </w:pPr>
            <w:r>
              <w:rPr>
                <w:rFonts w:eastAsiaTheme="minorEastAsia" w:cs="Calibri"/>
                <w:b/>
                <w:bCs/>
                <w:color w:val="000000"/>
                <w:sz w:val="16"/>
                <w:szCs w:val="16"/>
                <w:lang w:eastAsia="en-AU"/>
              </w:rPr>
              <w:t>969</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A46DCA" w:rsidRPr="00023820" w:rsidRDefault="00A46DCA" w:rsidP="00A26D04">
            <w:pPr>
              <w:keepLines w:val="0"/>
              <w:autoSpaceDE w:val="0"/>
              <w:autoSpaceDN w:val="0"/>
              <w:adjustRightInd w:val="0"/>
              <w:spacing w:after="0"/>
              <w:rPr>
                <w:rFonts w:eastAsiaTheme="minorEastAsia" w:cs="Calibri"/>
                <w:b/>
                <w:bCs/>
                <w:color w:val="000000"/>
                <w:sz w:val="16"/>
                <w:szCs w:val="16"/>
                <w:lang w:eastAsia="en-AU"/>
              </w:rPr>
            </w:pPr>
            <w:r w:rsidRPr="00023820">
              <w:rPr>
                <w:rFonts w:eastAsiaTheme="minorEastAsia" w:cs="Calibri"/>
                <w:b/>
                <w:bCs/>
                <w:color w:val="000000"/>
                <w:sz w:val="16"/>
                <w:szCs w:val="16"/>
                <w:lang w:eastAsia="en-AU"/>
              </w:rPr>
              <w:t>Net increase/(decrease) in cash and cash equivalents</w:t>
            </w:r>
          </w:p>
        </w:tc>
        <w:tc>
          <w:tcPr>
            <w:tcW w:w="850" w:type="dxa"/>
            <w:gridSpan w:val="2"/>
            <w:tcBorders>
              <w:top w:val="nil"/>
              <w:left w:val="nil"/>
              <w:bottom w:val="nil"/>
              <w:right w:val="nil"/>
            </w:tcBorders>
          </w:tcPr>
          <w:p w:rsidR="00A46DCA" w:rsidRPr="00023820"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szCs w:val="16"/>
                <w:lang w:eastAsia="en-AU"/>
              </w:rPr>
            </w:pPr>
            <w:r>
              <w:rPr>
                <w:rFonts w:eastAsiaTheme="minorEastAsia" w:cs="Calibri"/>
                <w:b/>
                <w:bCs/>
                <w:color w:val="000000"/>
                <w:sz w:val="16"/>
                <w:szCs w:val="16"/>
                <w:lang w:eastAsia="en-AU"/>
              </w:rPr>
              <w:t>43</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szCs w:val="16"/>
                <w:lang w:eastAsia="en-AU"/>
              </w:rPr>
            </w:pPr>
            <w:r>
              <w:rPr>
                <w:rFonts w:eastAsiaTheme="minorEastAsia" w:cs="Calibri"/>
                <w:b/>
                <w:bCs/>
                <w:color w:val="000000"/>
                <w:sz w:val="16"/>
                <w:szCs w:val="16"/>
                <w:lang w:eastAsia="en-AU"/>
              </w:rPr>
              <w:t>(531)</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szCs w:val="16"/>
                <w:lang w:eastAsia="en-AU"/>
              </w:rPr>
            </w:pPr>
            <w:r>
              <w:rPr>
                <w:rFonts w:eastAsiaTheme="minorEastAsia" w:cs="Calibri"/>
                <w:b/>
                <w:bCs/>
                <w:color w:val="000000"/>
                <w:sz w:val="16"/>
                <w:szCs w:val="16"/>
                <w:lang w:eastAsia="en-AU"/>
              </w:rPr>
              <w:t>128</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szCs w:val="16"/>
                <w:lang w:eastAsia="en-AU"/>
              </w:rPr>
            </w:pPr>
            <w:r>
              <w:rPr>
                <w:rFonts w:eastAsiaTheme="minorEastAsia" w:cs="Calibri"/>
                <w:b/>
                <w:bCs/>
                <w:color w:val="000000"/>
                <w:sz w:val="16"/>
                <w:szCs w:val="16"/>
                <w:lang w:eastAsia="en-AU"/>
              </w:rPr>
              <w:t>227</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szCs w:val="16"/>
                <w:lang w:eastAsia="en-AU"/>
              </w:rPr>
            </w:pPr>
            <w:r>
              <w:rPr>
                <w:rFonts w:eastAsiaTheme="minorEastAsia" w:cs="Calibri"/>
                <w:b/>
                <w:bCs/>
                <w:color w:val="000000"/>
                <w:sz w:val="16"/>
                <w:szCs w:val="16"/>
                <w:lang w:eastAsia="en-AU"/>
              </w:rPr>
              <w:t>303</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A46DCA" w:rsidRPr="00023820" w:rsidRDefault="00A46DCA" w:rsidP="00A26D04">
            <w:pPr>
              <w:keepLines w:val="0"/>
              <w:autoSpaceDE w:val="0"/>
              <w:autoSpaceDN w:val="0"/>
              <w:adjustRightInd w:val="0"/>
              <w:spacing w:after="0"/>
              <w:rPr>
                <w:rFonts w:eastAsiaTheme="minorEastAsia" w:cs="Calibri"/>
                <w:color w:val="000000"/>
                <w:sz w:val="16"/>
                <w:szCs w:val="16"/>
                <w:vertAlign w:val="superscript"/>
                <w:lang w:eastAsia="en-AU"/>
              </w:rPr>
            </w:pPr>
            <w:r w:rsidRPr="00023820">
              <w:rPr>
                <w:rFonts w:eastAsiaTheme="minorEastAsia" w:cs="Calibri"/>
                <w:color w:val="000000"/>
                <w:sz w:val="16"/>
                <w:szCs w:val="16"/>
                <w:lang w:eastAsia="en-AU"/>
              </w:rPr>
              <w:t xml:space="preserve">Cash and cash equivalents at beginning of </w:t>
            </w:r>
            <w:r w:rsidR="008E5E35">
              <w:rPr>
                <w:rFonts w:eastAsiaTheme="minorEastAsia" w:cs="Calibri"/>
                <w:color w:val="000000"/>
                <w:sz w:val="16"/>
                <w:szCs w:val="16"/>
                <w:lang w:eastAsia="en-AU"/>
              </w:rPr>
              <w:br/>
            </w:r>
            <w:r w:rsidRPr="00023820">
              <w:rPr>
                <w:rFonts w:eastAsiaTheme="minorEastAsia" w:cs="Calibri"/>
                <w:color w:val="000000"/>
                <w:sz w:val="16"/>
                <w:szCs w:val="16"/>
                <w:lang w:eastAsia="en-AU"/>
              </w:rPr>
              <w:t xml:space="preserve">reporting period </w:t>
            </w:r>
            <w:r>
              <w:rPr>
                <w:rFonts w:eastAsiaTheme="minorEastAsia" w:cs="Calibri"/>
                <w:color w:val="000000"/>
                <w:sz w:val="16"/>
                <w:szCs w:val="16"/>
                <w:vertAlign w:val="superscript"/>
                <w:lang w:eastAsia="en-AU"/>
              </w:rPr>
              <w:t>(c</w:t>
            </w:r>
            <w:r w:rsidRPr="00023820">
              <w:rPr>
                <w:rFonts w:eastAsiaTheme="minorEastAsia" w:cs="Calibri"/>
                <w:color w:val="000000"/>
                <w:sz w:val="16"/>
                <w:szCs w:val="16"/>
                <w:vertAlign w:val="superscript"/>
                <w:lang w:eastAsia="en-AU"/>
              </w:rPr>
              <w:t>)</w:t>
            </w:r>
          </w:p>
        </w:tc>
        <w:tc>
          <w:tcPr>
            <w:tcW w:w="850" w:type="dxa"/>
            <w:gridSpan w:val="2"/>
            <w:tcBorders>
              <w:top w:val="nil"/>
              <w:left w:val="nil"/>
              <w:bottom w:val="nil"/>
              <w:right w:val="nil"/>
            </w:tcBorders>
          </w:tcPr>
          <w:p w:rsidR="00A46DCA" w:rsidRPr="00023820"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lang w:eastAsia="en-AU"/>
              </w:rPr>
            </w:pPr>
            <w:r w:rsidRPr="00023820">
              <w:rPr>
                <w:rFonts w:eastAsiaTheme="minorEastAsia" w:cs="Calibri"/>
                <w:color w:val="000000"/>
                <w:sz w:val="16"/>
                <w:szCs w:val="16"/>
                <w:lang w:eastAsia="en-AU"/>
              </w:rPr>
              <w:t>4 229</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lang w:eastAsia="en-AU"/>
              </w:rPr>
            </w:pPr>
            <w:r w:rsidRPr="00023820">
              <w:rPr>
                <w:rFonts w:eastAsiaTheme="minorEastAsia" w:cs="Calibri"/>
                <w:color w:val="000000"/>
                <w:sz w:val="16"/>
                <w:szCs w:val="16"/>
                <w:lang w:eastAsia="en-AU"/>
              </w:rPr>
              <w:t>4 229</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lang w:eastAsia="en-AU"/>
              </w:rPr>
            </w:pPr>
            <w:r w:rsidRPr="00023820">
              <w:rPr>
                <w:rFonts w:eastAsiaTheme="minorEastAsia" w:cs="Calibri"/>
                <w:color w:val="000000"/>
                <w:sz w:val="16"/>
                <w:szCs w:val="16"/>
                <w:lang w:eastAsia="en-AU"/>
              </w:rPr>
              <w:t>3 697</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lang w:eastAsia="en-AU"/>
              </w:rPr>
            </w:pPr>
            <w:r w:rsidRPr="00023820">
              <w:rPr>
                <w:rFonts w:eastAsiaTheme="minorEastAsia" w:cs="Calibri"/>
                <w:color w:val="000000"/>
                <w:sz w:val="16"/>
                <w:szCs w:val="16"/>
                <w:lang w:eastAsia="en-AU"/>
              </w:rPr>
              <w:t>3 826</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lang w:eastAsia="en-AU"/>
              </w:rPr>
            </w:pPr>
            <w:r w:rsidRPr="00023820">
              <w:rPr>
                <w:rFonts w:eastAsiaTheme="minorEastAsia" w:cs="Calibri"/>
                <w:color w:val="000000"/>
                <w:sz w:val="16"/>
                <w:szCs w:val="16"/>
                <w:lang w:eastAsia="en-AU"/>
              </w:rPr>
              <w:t>4 053</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3515" w:type="dxa"/>
            <w:tcBorders>
              <w:top w:val="single" w:sz="6" w:space="0" w:color="000000"/>
              <w:left w:val="nil"/>
              <w:bottom w:val="single" w:sz="12" w:space="0" w:color="000000"/>
              <w:right w:val="nil"/>
            </w:tcBorders>
          </w:tcPr>
          <w:p w:rsidR="00A46DCA" w:rsidRPr="00023820" w:rsidRDefault="00A46DCA" w:rsidP="00A26D04">
            <w:pPr>
              <w:keepLines w:val="0"/>
              <w:autoSpaceDE w:val="0"/>
              <w:autoSpaceDN w:val="0"/>
              <w:adjustRightInd w:val="0"/>
              <w:spacing w:after="0"/>
              <w:rPr>
                <w:rFonts w:eastAsiaTheme="minorEastAsia" w:cs="Calibri"/>
                <w:b/>
                <w:bCs/>
                <w:color w:val="000000"/>
                <w:sz w:val="16"/>
                <w:szCs w:val="16"/>
                <w:vertAlign w:val="superscript"/>
                <w:lang w:eastAsia="en-AU"/>
              </w:rPr>
            </w:pPr>
            <w:r w:rsidRPr="00023820">
              <w:rPr>
                <w:rFonts w:eastAsiaTheme="minorEastAsia" w:cs="Calibri"/>
                <w:b/>
                <w:bCs/>
                <w:color w:val="000000"/>
                <w:sz w:val="16"/>
                <w:szCs w:val="16"/>
                <w:lang w:eastAsia="en-AU"/>
              </w:rPr>
              <w:t xml:space="preserve">Cash and cash equivalents at end of </w:t>
            </w:r>
            <w:r w:rsidR="008E5E35">
              <w:rPr>
                <w:rFonts w:eastAsiaTheme="minorEastAsia" w:cs="Calibri"/>
                <w:b/>
                <w:bCs/>
                <w:color w:val="000000"/>
                <w:sz w:val="16"/>
                <w:szCs w:val="16"/>
                <w:lang w:eastAsia="en-AU"/>
              </w:rPr>
              <w:br/>
            </w:r>
            <w:r w:rsidRPr="00023820">
              <w:rPr>
                <w:rFonts w:eastAsiaTheme="minorEastAsia" w:cs="Calibri"/>
                <w:b/>
                <w:bCs/>
                <w:color w:val="000000"/>
                <w:sz w:val="16"/>
                <w:szCs w:val="16"/>
                <w:lang w:eastAsia="en-AU"/>
              </w:rPr>
              <w:t xml:space="preserve">reporting period </w:t>
            </w:r>
            <w:r>
              <w:rPr>
                <w:rFonts w:eastAsiaTheme="minorEastAsia" w:cs="Calibri"/>
                <w:b/>
                <w:bCs/>
                <w:color w:val="000000"/>
                <w:sz w:val="16"/>
                <w:szCs w:val="16"/>
                <w:vertAlign w:val="superscript"/>
                <w:lang w:eastAsia="en-AU"/>
              </w:rPr>
              <w:t>(c</w:t>
            </w:r>
            <w:r w:rsidRPr="00023820">
              <w:rPr>
                <w:rFonts w:eastAsiaTheme="minorEastAsia" w:cs="Calibri"/>
                <w:b/>
                <w:bCs/>
                <w:color w:val="000000"/>
                <w:sz w:val="16"/>
                <w:szCs w:val="16"/>
                <w:vertAlign w:val="superscript"/>
                <w:lang w:eastAsia="en-AU"/>
              </w:rPr>
              <w:t>)</w:t>
            </w:r>
          </w:p>
        </w:tc>
        <w:tc>
          <w:tcPr>
            <w:tcW w:w="850" w:type="dxa"/>
            <w:gridSpan w:val="2"/>
            <w:tcBorders>
              <w:top w:val="single" w:sz="6" w:space="0" w:color="000000"/>
              <w:left w:val="nil"/>
              <w:bottom w:val="single" w:sz="12" w:space="0" w:color="000000"/>
              <w:right w:val="nil"/>
            </w:tcBorders>
          </w:tcPr>
          <w:p w:rsidR="00A46DCA" w:rsidRPr="00023820"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szCs w:val="16"/>
                <w:lang w:eastAsia="en-AU"/>
              </w:rPr>
            </w:pPr>
            <w:r w:rsidRPr="00023820">
              <w:rPr>
                <w:rFonts w:eastAsiaTheme="minorEastAsia" w:cs="Calibri"/>
                <w:b/>
                <w:bCs/>
                <w:color w:val="000000"/>
                <w:sz w:val="16"/>
                <w:szCs w:val="16"/>
                <w:lang w:eastAsia="en-AU"/>
              </w:rPr>
              <w:t>4 272</w:t>
            </w:r>
          </w:p>
        </w:tc>
        <w:tc>
          <w:tcPr>
            <w:tcW w:w="850" w:type="dxa"/>
            <w:tcBorders>
              <w:top w:val="single" w:sz="6" w:space="0" w:color="000000"/>
              <w:left w:val="nil"/>
              <w:bottom w:val="single" w:sz="12" w:space="0" w:color="000000"/>
              <w:right w:val="nil"/>
            </w:tcBorders>
          </w:tcPr>
          <w:p w:rsidR="00A46DCA" w:rsidRPr="00023820"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szCs w:val="16"/>
                <w:lang w:eastAsia="en-AU"/>
              </w:rPr>
            </w:pPr>
            <w:r w:rsidRPr="00023820">
              <w:rPr>
                <w:rFonts w:eastAsiaTheme="minorEastAsia" w:cs="Calibri"/>
                <w:b/>
                <w:bCs/>
                <w:color w:val="000000"/>
                <w:sz w:val="16"/>
                <w:szCs w:val="16"/>
                <w:lang w:eastAsia="en-AU"/>
              </w:rPr>
              <w:t>3 697</w:t>
            </w:r>
          </w:p>
        </w:tc>
        <w:tc>
          <w:tcPr>
            <w:tcW w:w="850" w:type="dxa"/>
            <w:tcBorders>
              <w:top w:val="single" w:sz="6" w:space="0" w:color="000000"/>
              <w:left w:val="nil"/>
              <w:bottom w:val="single" w:sz="12" w:space="0" w:color="000000"/>
              <w:right w:val="nil"/>
            </w:tcBorders>
          </w:tcPr>
          <w:p w:rsidR="00A46DCA" w:rsidRPr="00023820"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szCs w:val="16"/>
                <w:lang w:eastAsia="en-AU"/>
              </w:rPr>
            </w:pPr>
            <w:r w:rsidRPr="00023820">
              <w:rPr>
                <w:rFonts w:eastAsiaTheme="minorEastAsia" w:cs="Calibri"/>
                <w:b/>
                <w:bCs/>
                <w:color w:val="000000"/>
                <w:sz w:val="16"/>
                <w:szCs w:val="16"/>
                <w:lang w:eastAsia="en-AU"/>
              </w:rPr>
              <w:t>3 826</w:t>
            </w:r>
          </w:p>
        </w:tc>
        <w:tc>
          <w:tcPr>
            <w:tcW w:w="850" w:type="dxa"/>
            <w:tcBorders>
              <w:top w:val="single" w:sz="6" w:space="0" w:color="000000"/>
              <w:left w:val="nil"/>
              <w:bottom w:val="single" w:sz="12" w:space="0" w:color="000000"/>
              <w:right w:val="nil"/>
            </w:tcBorders>
          </w:tcPr>
          <w:p w:rsidR="00A46DCA" w:rsidRPr="00023820"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szCs w:val="16"/>
                <w:lang w:eastAsia="en-AU"/>
              </w:rPr>
            </w:pPr>
            <w:r w:rsidRPr="00023820">
              <w:rPr>
                <w:rFonts w:eastAsiaTheme="minorEastAsia" w:cs="Calibri"/>
                <w:b/>
                <w:bCs/>
                <w:color w:val="000000"/>
                <w:sz w:val="16"/>
                <w:szCs w:val="16"/>
                <w:lang w:eastAsia="en-AU"/>
              </w:rPr>
              <w:t>4 053</w:t>
            </w:r>
          </w:p>
        </w:tc>
        <w:tc>
          <w:tcPr>
            <w:tcW w:w="850" w:type="dxa"/>
            <w:tcBorders>
              <w:top w:val="single" w:sz="6" w:space="0" w:color="000000"/>
              <w:left w:val="nil"/>
              <w:bottom w:val="single" w:sz="12" w:space="0" w:color="000000"/>
              <w:right w:val="nil"/>
            </w:tcBorders>
          </w:tcPr>
          <w:p w:rsidR="00A46DCA" w:rsidRPr="00023820"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szCs w:val="16"/>
                <w:lang w:eastAsia="en-AU"/>
              </w:rPr>
            </w:pPr>
            <w:r w:rsidRPr="00023820">
              <w:rPr>
                <w:rFonts w:eastAsiaTheme="minorEastAsia" w:cs="Calibri"/>
                <w:b/>
                <w:bCs/>
                <w:color w:val="000000"/>
                <w:sz w:val="16"/>
                <w:szCs w:val="16"/>
                <w:lang w:eastAsia="en-AU"/>
              </w:rPr>
              <w:t>4 355</w:t>
            </w:r>
          </w:p>
        </w:tc>
      </w:tr>
      <w:tr w:rsidR="00A46DCA" w:rsidRPr="00023820" w:rsidTr="00A26D04">
        <w:trPr>
          <w:trHeight w:hRule="exact" w:val="120"/>
        </w:trPr>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A46DCA" w:rsidRPr="00023820" w:rsidRDefault="00A46DCA" w:rsidP="00A26D04">
            <w:pPr>
              <w:keepLines w:val="0"/>
              <w:autoSpaceDE w:val="0"/>
              <w:autoSpaceDN w:val="0"/>
              <w:adjustRightInd w:val="0"/>
              <w:spacing w:after="0"/>
              <w:rPr>
                <w:rFonts w:eastAsiaTheme="minorEastAsia" w:cs="Calibri"/>
                <w:color w:val="000000"/>
                <w:sz w:val="16"/>
                <w:lang w:eastAsia="en-AU"/>
              </w:rPr>
            </w:pPr>
            <w:r w:rsidRPr="00023820">
              <w:rPr>
                <w:rFonts w:eastAsiaTheme="minorEastAsia" w:cs="Calibri"/>
                <w:color w:val="000000"/>
                <w:sz w:val="16"/>
                <w:lang w:eastAsia="en-AU"/>
              </w:rPr>
              <w:t xml:space="preserve"> </w:t>
            </w:r>
          </w:p>
        </w:tc>
        <w:tc>
          <w:tcPr>
            <w:tcW w:w="850" w:type="dxa"/>
            <w:gridSpan w:val="2"/>
            <w:tcBorders>
              <w:top w:val="nil"/>
              <w:left w:val="nil"/>
              <w:bottom w:val="nil"/>
              <w:right w:val="nil"/>
            </w:tcBorders>
          </w:tcPr>
          <w:p w:rsidR="00A46DCA" w:rsidRPr="00023820"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lang w:eastAsia="en-AU"/>
              </w:rPr>
            </w:pPr>
            <w:r w:rsidRPr="00023820">
              <w:rPr>
                <w:rFonts w:eastAsiaTheme="minorEastAsia" w:cs="Calibri"/>
                <w:color w:val="000000"/>
                <w:sz w:val="16"/>
                <w:lang w:eastAsia="en-AU"/>
              </w:rPr>
              <w:t xml:space="preserve"> </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lang w:eastAsia="en-AU"/>
              </w:rPr>
            </w:pPr>
            <w:r w:rsidRPr="00023820">
              <w:rPr>
                <w:rFonts w:eastAsiaTheme="minorEastAsia" w:cs="Calibri"/>
                <w:color w:val="000000"/>
                <w:sz w:val="16"/>
                <w:lang w:eastAsia="en-AU"/>
              </w:rPr>
              <w:t xml:space="preserve"> </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lang w:eastAsia="en-AU"/>
              </w:rPr>
            </w:pPr>
            <w:r w:rsidRPr="00023820">
              <w:rPr>
                <w:rFonts w:eastAsiaTheme="minorEastAsia" w:cs="Calibri"/>
                <w:color w:val="000000"/>
                <w:sz w:val="16"/>
                <w:lang w:eastAsia="en-AU"/>
              </w:rPr>
              <w:t xml:space="preserve"> </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lang w:eastAsia="en-AU"/>
              </w:rPr>
            </w:pPr>
            <w:r w:rsidRPr="00023820">
              <w:rPr>
                <w:rFonts w:eastAsiaTheme="minorEastAsia" w:cs="Calibri"/>
                <w:color w:val="000000"/>
                <w:sz w:val="16"/>
                <w:lang w:eastAsia="en-AU"/>
              </w:rPr>
              <w:t xml:space="preserve"> </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lang w:eastAsia="en-AU"/>
              </w:rPr>
            </w:pPr>
            <w:r w:rsidRPr="00023820">
              <w:rPr>
                <w:rFonts w:eastAsiaTheme="minorEastAsia" w:cs="Calibri"/>
                <w:color w:val="000000"/>
                <w:sz w:val="16"/>
                <w:lang w:eastAsia="en-AU"/>
              </w:rPr>
              <w:t xml:space="preserve"> </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A46DCA" w:rsidRPr="00023820" w:rsidRDefault="00A46DCA" w:rsidP="00A26D04">
            <w:pPr>
              <w:keepLines w:val="0"/>
              <w:autoSpaceDE w:val="0"/>
              <w:autoSpaceDN w:val="0"/>
              <w:adjustRightInd w:val="0"/>
              <w:spacing w:after="0"/>
              <w:rPr>
                <w:rFonts w:eastAsiaTheme="minorEastAsia" w:cs="Calibri"/>
                <w:b/>
                <w:bCs/>
                <w:color w:val="000000"/>
                <w:sz w:val="16"/>
                <w:szCs w:val="16"/>
                <w:lang w:eastAsia="en-AU"/>
              </w:rPr>
            </w:pPr>
            <w:r w:rsidRPr="00023820">
              <w:rPr>
                <w:rFonts w:eastAsiaTheme="minorEastAsia" w:cs="Calibri"/>
                <w:b/>
                <w:bCs/>
                <w:color w:val="000000"/>
                <w:sz w:val="16"/>
                <w:szCs w:val="16"/>
                <w:lang w:eastAsia="en-AU"/>
              </w:rPr>
              <w:t>FISCAL AGGREGATES</w:t>
            </w:r>
          </w:p>
        </w:tc>
        <w:tc>
          <w:tcPr>
            <w:tcW w:w="850" w:type="dxa"/>
            <w:gridSpan w:val="2"/>
            <w:tcBorders>
              <w:top w:val="nil"/>
              <w:left w:val="nil"/>
              <w:bottom w:val="nil"/>
              <w:right w:val="nil"/>
            </w:tcBorders>
          </w:tcPr>
          <w:p w:rsidR="00A46DCA" w:rsidRPr="00023820"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lang w:eastAsia="en-AU"/>
              </w:rPr>
            </w:pPr>
            <w:r w:rsidRPr="00023820">
              <w:rPr>
                <w:rFonts w:eastAsiaTheme="minorEastAsia" w:cs="Calibri"/>
                <w:b/>
                <w:bCs/>
                <w:color w:val="000000"/>
                <w:sz w:val="16"/>
                <w:lang w:eastAsia="en-AU"/>
              </w:rPr>
              <w:t xml:space="preserve"> </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lang w:eastAsia="en-AU"/>
              </w:rPr>
            </w:pPr>
            <w:r w:rsidRPr="00023820">
              <w:rPr>
                <w:rFonts w:eastAsiaTheme="minorEastAsia" w:cs="Calibri"/>
                <w:b/>
                <w:bCs/>
                <w:color w:val="000000"/>
                <w:sz w:val="16"/>
                <w:lang w:eastAsia="en-AU"/>
              </w:rPr>
              <w:t xml:space="preserve"> </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lang w:eastAsia="en-AU"/>
              </w:rPr>
            </w:pPr>
            <w:r w:rsidRPr="00023820">
              <w:rPr>
                <w:rFonts w:eastAsiaTheme="minorEastAsia" w:cs="Calibri"/>
                <w:b/>
                <w:bCs/>
                <w:color w:val="000000"/>
                <w:sz w:val="16"/>
                <w:lang w:eastAsia="en-AU"/>
              </w:rPr>
              <w:t xml:space="preserve"> </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lang w:eastAsia="en-AU"/>
              </w:rPr>
            </w:pPr>
            <w:r w:rsidRPr="00023820">
              <w:rPr>
                <w:rFonts w:eastAsiaTheme="minorEastAsia" w:cs="Calibri"/>
                <w:b/>
                <w:bCs/>
                <w:color w:val="000000"/>
                <w:sz w:val="16"/>
                <w:lang w:eastAsia="en-AU"/>
              </w:rPr>
              <w:t xml:space="preserve"> </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lang w:eastAsia="en-AU"/>
              </w:rPr>
            </w:pPr>
            <w:r w:rsidRPr="00023820">
              <w:rPr>
                <w:rFonts w:eastAsiaTheme="minorEastAsia" w:cs="Calibri"/>
                <w:b/>
                <w:bCs/>
                <w:color w:val="000000"/>
                <w:sz w:val="16"/>
                <w:lang w:eastAsia="en-AU"/>
              </w:rPr>
              <w:t xml:space="preserve"> </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A46DCA" w:rsidRPr="00023820" w:rsidRDefault="00A46DCA" w:rsidP="00A26D04">
            <w:pPr>
              <w:keepLines w:val="0"/>
              <w:autoSpaceDE w:val="0"/>
              <w:autoSpaceDN w:val="0"/>
              <w:adjustRightInd w:val="0"/>
              <w:spacing w:after="0"/>
              <w:rPr>
                <w:rFonts w:eastAsiaTheme="minorEastAsia" w:cs="Calibri"/>
                <w:color w:val="000000"/>
                <w:sz w:val="16"/>
                <w:szCs w:val="16"/>
                <w:lang w:eastAsia="en-AU"/>
              </w:rPr>
            </w:pPr>
            <w:r w:rsidRPr="00023820">
              <w:rPr>
                <w:rFonts w:eastAsiaTheme="minorEastAsia" w:cs="Calibri"/>
                <w:color w:val="000000"/>
                <w:sz w:val="16"/>
                <w:szCs w:val="16"/>
                <w:lang w:eastAsia="en-AU"/>
              </w:rPr>
              <w:t>Net cash flows from operating activities</w:t>
            </w:r>
          </w:p>
        </w:tc>
        <w:tc>
          <w:tcPr>
            <w:tcW w:w="850" w:type="dxa"/>
            <w:gridSpan w:val="2"/>
            <w:tcBorders>
              <w:top w:val="nil"/>
              <w:left w:val="nil"/>
              <w:bottom w:val="nil"/>
              <w:right w:val="nil"/>
            </w:tcBorders>
          </w:tcPr>
          <w:p w:rsidR="00A46DCA" w:rsidRPr="00023820"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lang w:eastAsia="en-AU"/>
              </w:rPr>
            </w:pPr>
            <w:r>
              <w:rPr>
                <w:rFonts w:eastAsiaTheme="minorEastAsia" w:cs="Calibri"/>
                <w:color w:val="000000"/>
                <w:sz w:val="16"/>
                <w:szCs w:val="16"/>
                <w:lang w:eastAsia="en-AU"/>
              </w:rPr>
              <w:t>462</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lang w:eastAsia="en-AU"/>
              </w:rPr>
            </w:pPr>
            <w:r>
              <w:rPr>
                <w:rFonts w:eastAsiaTheme="minorEastAsia" w:cs="Calibri"/>
                <w:color w:val="000000"/>
                <w:sz w:val="16"/>
                <w:szCs w:val="16"/>
                <w:lang w:eastAsia="en-AU"/>
              </w:rPr>
              <w:t>364</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lang w:eastAsia="en-AU"/>
              </w:rPr>
            </w:pPr>
            <w:r>
              <w:rPr>
                <w:rFonts w:eastAsiaTheme="minorEastAsia" w:cs="Calibri"/>
                <w:color w:val="000000"/>
                <w:sz w:val="16"/>
                <w:szCs w:val="16"/>
                <w:lang w:eastAsia="en-AU"/>
              </w:rPr>
              <w:t>624</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lang w:eastAsia="en-AU"/>
              </w:rPr>
            </w:pPr>
            <w:r>
              <w:rPr>
                <w:rFonts w:eastAsiaTheme="minorEastAsia" w:cs="Calibri"/>
                <w:color w:val="000000"/>
                <w:sz w:val="16"/>
                <w:szCs w:val="16"/>
                <w:lang w:eastAsia="en-AU"/>
              </w:rPr>
              <w:t>719</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lang w:eastAsia="en-AU"/>
              </w:rPr>
            </w:pPr>
            <w:r>
              <w:rPr>
                <w:rFonts w:eastAsiaTheme="minorEastAsia" w:cs="Calibri"/>
                <w:color w:val="000000"/>
                <w:sz w:val="16"/>
                <w:szCs w:val="16"/>
                <w:lang w:eastAsia="en-AU"/>
              </w:rPr>
              <w:t>784</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A46DCA" w:rsidRPr="00023820" w:rsidRDefault="00A46DCA" w:rsidP="00A26D04">
            <w:pPr>
              <w:keepLines w:val="0"/>
              <w:autoSpaceDE w:val="0"/>
              <w:autoSpaceDN w:val="0"/>
              <w:adjustRightInd w:val="0"/>
              <w:spacing w:after="0"/>
              <w:rPr>
                <w:rFonts w:eastAsiaTheme="minorEastAsia" w:cs="Calibri"/>
                <w:color w:val="000000"/>
                <w:sz w:val="16"/>
                <w:szCs w:val="16"/>
                <w:lang w:eastAsia="en-AU"/>
              </w:rPr>
            </w:pPr>
            <w:r w:rsidRPr="00023820">
              <w:rPr>
                <w:rFonts w:eastAsiaTheme="minorEastAsia" w:cs="Calibri"/>
                <w:color w:val="000000"/>
                <w:sz w:val="16"/>
                <w:szCs w:val="16"/>
                <w:lang w:eastAsia="en-AU"/>
              </w:rPr>
              <w:t>Dividends paid</w:t>
            </w:r>
          </w:p>
        </w:tc>
        <w:tc>
          <w:tcPr>
            <w:tcW w:w="850" w:type="dxa"/>
            <w:gridSpan w:val="2"/>
            <w:tcBorders>
              <w:top w:val="nil"/>
              <w:left w:val="nil"/>
              <w:bottom w:val="nil"/>
              <w:right w:val="nil"/>
            </w:tcBorders>
          </w:tcPr>
          <w:p w:rsidR="00A46DCA" w:rsidRPr="00023820"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lang w:eastAsia="en-AU"/>
              </w:rPr>
            </w:pPr>
            <w:r>
              <w:rPr>
                <w:rFonts w:eastAsiaTheme="minorEastAsia" w:cs="Calibri"/>
                <w:color w:val="000000"/>
                <w:sz w:val="16"/>
                <w:szCs w:val="16"/>
                <w:lang w:eastAsia="en-AU"/>
              </w:rPr>
              <w:t>(475)</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lang w:eastAsia="en-AU"/>
              </w:rPr>
            </w:pPr>
            <w:r>
              <w:rPr>
                <w:rFonts w:eastAsiaTheme="minorEastAsia" w:cs="Calibri"/>
                <w:color w:val="000000"/>
                <w:sz w:val="16"/>
                <w:szCs w:val="16"/>
                <w:lang w:eastAsia="en-AU"/>
              </w:rPr>
              <w:t>(501)</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lang w:eastAsia="en-AU"/>
              </w:rPr>
            </w:pPr>
            <w:r>
              <w:rPr>
                <w:rFonts w:eastAsiaTheme="minorEastAsia" w:cs="Calibri"/>
                <w:color w:val="000000"/>
                <w:sz w:val="16"/>
                <w:szCs w:val="16"/>
                <w:lang w:eastAsia="en-AU"/>
              </w:rPr>
              <w:t>(92)</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lang w:eastAsia="en-AU"/>
              </w:rPr>
            </w:pPr>
            <w:r>
              <w:rPr>
                <w:rFonts w:eastAsiaTheme="minorEastAsia" w:cs="Calibri"/>
                <w:color w:val="000000"/>
                <w:sz w:val="16"/>
                <w:szCs w:val="16"/>
                <w:lang w:eastAsia="en-AU"/>
              </w:rPr>
              <w:t>(70)</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lang w:eastAsia="en-AU"/>
              </w:rPr>
            </w:pPr>
            <w:r>
              <w:rPr>
                <w:rFonts w:eastAsiaTheme="minorEastAsia" w:cs="Calibri"/>
                <w:color w:val="000000"/>
                <w:sz w:val="16"/>
                <w:szCs w:val="16"/>
                <w:lang w:eastAsia="en-AU"/>
              </w:rPr>
              <w:t>(80)</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A46DCA" w:rsidRPr="00023820" w:rsidRDefault="00A46DCA" w:rsidP="00A26D04">
            <w:pPr>
              <w:keepLines w:val="0"/>
              <w:autoSpaceDE w:val="0"/>
              <w:autoSpaceDN w:val="0"/>
              <w:adjustRightInd w:val="0"/>
              <w:spacing w:after="0"/>
              <w:rPr>
                <w:rFonts w:eastAsiaTheme="minorEastAsia" w:cs="Calibri"/>
                <w:color w:val="000000"/>
                <w:sz w:val="16"/>
                <w:szCs w:val="16"/>
                <w:lang w:eastAsia="en-AU"/>
              </w:rPr>
            </w:pPr>
            <w:r w:rsidRPr="00023820">
              <w:rPr>
                <w:rFonts w:eastAsiaTheme="minorEastAsia" w:cs="Calibri"/>
                <w:color w:val="000000"/>
                <w:sz w:val="16"/>
                <w:szCs w:val="16"/>
                <w:lang w:eastAsia="en-AU"/>
              </w:rPr>
              <w:t xml:space="preserve">Net cash flows from investments in </w:t>
            </w:r>
            <w:r w:rsidR="008E5E35">
              <w:rPr>
                <w:rFonts w:eastAsiaTheme="minorEastAsia" w:cs="Calibri"/>
                <w:color w:val="000000"/>
                <w:sz w:val="16"/>
                <w:szCs w:val="16"/>
                <w:lang w:eastAsia="en-AU"/>
              </w:rPr>
              <w:br/>
            </w:r>
            <w:r w:rsidRPr="00023820">
              <w:rPr>
                <w:rFonts w:eastAsiaTheme="minorEastAsia" w:cs="Calibri"/>
                <w:color w:val="000000"/>
                <w:sz w:val="16"/>
                <w:szCs w:val="16"/>
                <w:lang w:eastAsia="en-AU"/>
              </w:rPr>
              <w:t>non-financial assets</w:t>
            </w:r>
          </w:p>
        </w:tc>
        <w:tc>
          <w:tcPr>
            <w:tcW w:w="850" w:type="dxa"/>
            <w:gridSpan w:val="2"/>
            <w:tcBorders>
              <w:top w:val="nil"/>
              <w:left w:val="nil"/>
              <w:bottom w:val="nil"/>
              <w:right w:val="nil"/>
            </w:tcBorders>
          </w:tcPr>
          <w:p w:rsidR="00A46DCA" w:rsidRPr="00023820"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lang w:eastAsia="en-AU"/>
              </w:rPr>
            </w:pPr>
            <w:r>
              <w:rPr>
                <w:rFonts w:eastAsiaTheme="minorEastAsia" w:cs="Calibri"/>
                <w:color w:val="000000"/>
                <w:sz w:val="16"/>
                <w:szCs w:val="16"/>
                <w:lang w:eastAsia="en-AU"/>
              </w:rPr>
              <w:t>(57)</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lang w:eastAsia="en-AU"/>
              </w:rPr>
            </w:pPr>
            <w:r>
              <w:rPr>
                <w:rFonts w:eastAsiaTheme="minorEastAsia" w:cs="Calibri"/>
                <w:color w:val="000000"/>
                <w:sz w:val="16"/>
                <w:szCs w:val="16"/>
                <w:lang w:eastAsia="en-AU"/>
              </w:rPr>
              <w:t>(87)</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lang w:eastAsia="en-AU"/>
              </w:rPr>
            </w:pPr>
            <w:r>
              <w:rPr>
                <w:rFonts w:eastAsiaTheme="minorEastAsia" w:cs="Calibri"/>
                <w:color w:val="000000"/>
                <w:sz w:val="16"/>
                <w:szCs w:val="16"/>
                <w:lang w:eastAsia="en-AU"/>
              </w:rPr>
              <w:t>(123)</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lang w:eastAsia="en-AU"/>
              </w:rPr>
            </w:pPr>
            <w:r>
              <w:rPr>
                <w:rFonts w:eastAsiaTheme="minorEastAsia" w:cs="Calibri"/>
                <w:color w:val="000000"/>
                <w:sz w:val="16"/>
                <w:szCs w:val="16"/>
                <w:lang w:eastAsia="en-AU"/>
              </w:rPr>
              <w:t>(147)</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lang w:eastAsia="en-AU"/>
              </w:rPr>
            </w:pPr>
            <w:r>
              <w:rPr>
                <w:rFonts w:eastAsiaTheme="minorEastAsia" w:cs="Calibri"/>
                <w:color w:val="000000"/>
                <w:sz w:val="16"/>
                <w:szCs w:val="16"/>
                <w:lang w:eastAsia="en-AU"/>
              </w:rPr>
              <w:t>(165)</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3515" w:type="dxa"/>
            <w:tcBorders>
              <w:top w:val="single" w:sz="6" w:space="0" w:color="000000"/>
              <w:left w:val="nil"/>
              <w:bottom w:val="single" w:sz="12" w:space="0" w:color="000000"/>
              <w:right w:val="nil"/>
            </w:tcBorders>
          </w:tcPr>
          <w:p w:rsidR="00A46DCA" w:rsidRPr="00023820" w:rsidRDefault="00A46DCA" w:rsidP="00A26D04">
            <w:pPr>
              <w:keepLines w:val="0"/>
              <w:autoSpaceDE w:val="0"/>
              <w:autoSpaceDN w:val="0"/>
              <w:adjustRightInd w:val="0"/>
              <w:spacing w:after="0"/>
              <w:rPr>
                <w:rFonts w:eastAsiaTheme="minorEastAsia" w:cs="Calibri"/>
                <w:b/>
                <w:bCs/>
                <w:color w:val="000000"/>
                <w:sz w:val="16"/>
                <w:szCs w:val="16"/>
                <w:lang w:eastAsia="en-AU"/>
              </w:rPr>
            </w:pPr>
            <w:r w:rsidRPr="00023820">
              <w:rPr>
                <w:rFonts w:eastAsiaTheme="minorEastAsia" w:cs="Calibri"/>
                <w:b/>
                <w:bCs/>
                <w:color w:val="000000"/>
                <w:sz w:val="16"/>
                <w:szCs w:val="16"/>
                <w:lang w:eastAsia="en-AU"/>
              </w:rPr>
              <w:t>Cash surplus/(deficit)</w:t>
            </w:r>
          </w:p>
        </w:tc>
        <w:tc>
          <w:tcPr>
            <w:tcW w:w="850" w:type="dxa"/>
            <w:gridSpan w:val="2"/>
            <w:tcBorders>
              <w:top w:val="single" w:sz="6" w:space="0" w:color="000000"/>
              <w:left w:val="nil"/>
              <w:bottom w:val="single" w:sz="12" w:space="0" w:color="000000"/>
              <w:right w:val="nil"/>
            </w:tcBorders>
          </w:tcPr>
          <w:p w:rsidR="00A46DCA" w:rsidRPr="00023820"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szCs w:val="16"/>
                <w:lang w:eastAsia="en-AU"/>
              </w:rPr>
            </w:pPr>
            <w:r>
              <w:rPr>
                <w:rFonts w:eastAsiaTheme="minorEastAsia" w:cs="Calibri"/>
                <w:b/>
                <w:bCs/>
                <w:color w:val="000000"/>
                <w:sz w:val="16"/>
                <w:szCs w:val="16"/>
                <w:lang w:eastAsia="en-AU"/>
              </w:rPr>
              <w:t>(69)</w:t>
            </w:r>
          </w:p>
        </w:tc>
        <w:tc>
          <w:tcPr>
            <w:tcW w:w="850" w:type="dxa"/>
            <w:tcBorders>
              <w:top w:val="single" w:sz="6" w:space="0" w:color="000000"/>
              <w:left w:val="nil"/>
              <w:bottom w:val="single" w:sz="12" w:space="0" w:color="000000"/>
              <w:right w:val="nil"/>
            </w:tcBorders>
          </w:tcPr>
          <w:p w:rsidR="00A46DCA" w:rsidRPr="00023820"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szCs w:val="16"/>
                <w:lang w:eastAsia="en-AU"/>
              </w:rPr>
            </w:pPr>
            <w:r>
              <w:rPr>
                <w:rFonts w:eastAsiaTheme="minorEastAsia" w:cs="Calibri"/>
                <w:b/>
                <w:bCs/>
                <w:color w:val="000000"/>
                <w:sz w:val="16"/>
                <w:szCs w:val="16"/>
                <w:lang w:eastAsia="en-AU"/>
              </w:rPr>
              <w:t>(224)</w:t>
            </w:r>
          </w:p>
        </w:tc>
        <w:tc>
          <w:tcPr>
            <w:tcW w:w="850" w:type="dxa"/>
            <w:tcBorders>
              <w:top w:val="single" w:sz="6" w:space="0" w:color="000000"/>
              <w:left w:val="nil"/>
              <w:bottom w:val="single" w:sz="12" w:space="0" w:color="000000"/>
              <w:right w:val="nil"/>
            </w:tcBorders>
          </w:tcPr>
          <w:p w:rsidR="00A46DCA" w:rsidRPr="00023820"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szCs w:val="16"/>
                <w:lang w:eastAsia="en-AU"/>
              </w:rPr>
            </w:pPr>
            <w:r>
              <w:rPr>
                <w:rFonts w:eastAsiaTheme="minorEastAsia" w:cs="Calibri"/>
                <w:b/>
                <w:bCs/>
                <w:color w:val="000000"/>
                <w:sz w:val="16"/>
                <w:szCs w:val="16"/>
                <w:lang w:eastAsia="en-AU"/>
              </w:rPr>
              <w:t>409</w:t>
            </w:r>
          </w:p>
        </w:tc>
        <w:tc>
          <w:tcPr>
            <w:tcW w:w="850" w:type="dxa"/>
            <w:tcBorders>
              <w:top w:val="single" w:sz="6" w:space="0" w:color="000000"/>
              <w:left w:val="nil"/>
              <w:bottom w:val="single" w:sz="12" w:space="0" w:color="000000"/>
              <w:right w:val="nil"/>
            </w:tcBorders>
          </w:tcPr>
          <w:p w:rsidR="00A46DCA" w:rsidRPr="00023820"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szCs w:val="16"/>
                <w:lang w:eastAsia="en-AU"/>
              </w:rPr>
            </w:pPr>
            <w:r>
              <w:rPr>
                <w:rFonts w:eastAsiaTheme="minorEastAsia" w:cs="Calibri"/>
                <w:b/>
                <w:bCs/>
                <w:color w:val="000000"/>
                <w:sz w:val="16"/>
                <w:szCs w:val="16"/>
                <w:lang w:eastAsia="en-AU"/>
              </w:rPr>
              <w:t>503</w:t>
            </w:r>
          </w:p>
        </w:tc>
        <w:tc>
          <w:tcPr>
            <w:tcW w:w="850" w:type="dxa"/>
            <w:tcBorders>
              <w:top w:val="single" w:sz="6" w:space="0" w:color="000000"/>
              <w:left w:val="nil"/>
              <w:bottom w:val="single" w:sz="12" w:space="0" w:color="000000"/>
              <w:right w:val="nil"/>
            </w:tcBorders>
          </w:tcPr>
          <w:p w:rsidR="00A46DCA" w:rsidRPr="00023820"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szCs w:val="16"/>
                <w:lang w:eastAsia="en-AU"/>
              </w:rPr>
            </w:pPr>
            <w:r>
              <w:rPr>
                <w:rFonts w:eastAsiaTheme="minorEastAsia" w:cs="Calibri"/>
                <w:b/>
                <w:bCs/>
                <w:color w:val="000000"/>
                <w:sz w:val="16"/>
                <w:szCs w:val="16"/>
                <w:lang w:eastAsia="en-AU"/>
              </w:rPr>
              <w:t>538</w:t>
            </w:r>
          </w:p>
        </w:tc>
      </w:tr>
    </w:tbl>
    <w:p w:rsidR="00A46DCA" w:rsidRPr="00203144" w:rsidRDefault="00A46DCA" w:rsidP="00A26D04">
      <w:pPr>
        <w:pStyle w:val="Source"/>
      </w:pPr>
      <w:r w:rsidRPr="00203144">
        <w:t>Source: Department of Treasury and Finance</w:t>
      </w:r>
    </w:p>
    <w:p w:rsidR="00A46DCA" w:rsidRDefault="00A46DCA" w:rsidP="00A26D04">
      <w:pPr>
        <w:pStyle w:val="Note"/>
      </w:pPr>
      <w:r>
        <w:t>Notes:</w:t>
      </w:r>
    </w:p>
    <w:p w:rsidR="00A46DCA" w:rsidRDefault="00A46DCA" w:rsidP="00A26D04">
      <w:pPr>
        <w:pStyle w:val="Note"/>
      </w:pPr>
      <w:r>
        <w:t>(a)</w:t>
      </w:r>
      <w:r>
        <w:tab/>
        <w:t>Inclusive of goods and services tax.</w:t>
      </w:r>
    </w:p>
    <w:p w:rsidR="00A46DCA" w:rsidRDefault="00A46DCA" w:rsidP="00A26D04">
      <w:pPr>
        <w:pStyle w:val="Note"/>
      </w:pPr>
      <w:r>
        <w:t>(b)</w:t>
      </w:r>
      <w:r>
        <w:tab/>
        <w:t xml:space="preserve">Certain </w:t>
      </w:r>
      <w:r>
        <w:rPr>
          <w:i w:val="0"/>
        </w:rPr>
        <w:t>2017-18 Budget</w:t>
      </w:r>
      <w:r>
        <w:t xml:space="preserve"> figures have been restated to reflect more current information.</w:t>
      </w:r>
    </w:p>
    <w:p w:rsidR="00A46DCA" w:rsidRDefault="00A46DCA" w:rsidP="00A26D04">
      <w:pPr>
        <w:pStyle w:val="Note"/>
      </w:pPr>
      <w:r>
        <w:t>(c)</w:t>
      </w:r>
      <w:r>
        <w:tab/>
      </w:r>
      <w:r w:rsidRPr="00BC01CF">
        <w:rPr>
          <w:i w:val="0"/>
        </w:rPr>
        <w:t>2017-18 Budget</w:t>
      </w:r>
      <w:r>
        <w:t xml:space="preserve"> figures have been restated to represent actual opening balances at 1 July 2017.</w:t>
      </w:r>
    </w:p>
    <w:p w:rsidR="00A46DCA" w:rsidRDefault="00A46DCA" w:rsidP="00A26D04"/>
    <w:p w:rsidR="00A46DCA" w:rsidRPr="00023820" w:rsidRDefault="00A46DCA" w:rsidP="00A26D04">
      <w:pPr>
        <w:pStyle w:val="TableHeading"/>
        <w:rPr>
          <w:bCs/>
          <w:lang w:val="en-US"/>
        </w:rPr>
      </w:pPr>
      <w:r>
        <w:lastRenderedPageBreak/>
        <w:t>Table 5.16</w:t>
      </w:r>
      <w:r w:rsidR="008E5E35">
        <w:t>:</w:t>
      </w:r>
      <w:r>
        <w:tab/>
        <w:t xml:space="preserve">Public financial corporations sector statement of changes in equity </w:t>
      </w:r>
      <w:r>
        <w:br/>
        <w:t>for the financial year ended 30 June</w:t>
      </w:r>
      <w:r>
        <w:tab/>
        <w:t>($ million)</w:t>
      </w:r>
    </w:p>
    <w:tbl>
      <w:tblPr>
        <w:tblStyle w:val="DTFTable"/>
        <w:tblW w:w="7767" w:type="dxa"/>
        <w:tblInd w:w="45" w:type="dxa"/>
        <w:tblLayout w:type="fixed"/>
        <w:tblCellMar>
          <w:left w:w="45" w:type="dxa"/>
          <w:right w:w="45" w:type="dxa"/>
        </w:tblCellMar>
        <w:tblLook w:val="06A0" w:firstRow="1" w:lastRow="0" w:firstColumn="1" w:lastColumn="0" w:noHBand="1" w:noVBand="1"/>
      </w:tblPr>
      <w:tblGrid>
        <w:gridCol w:w="4677"/>
        <w:gridCol w:w="1276"/>
        <w:gridCol w:w="1814"/>
      </w:tblGrid>
      <w:tr w:rsidR="00A46DCA" w:rsidRPr="00023820" w:rsidTr="008E5E35">
        <w:trPr>
          <w:cnfStyle w:val="100000000000" w:firstRow="1" w:lastRow="0" w:firstColumn="0" w:lastColumn="0" w:oddVBand="0" w:evenVBand="0" w:oddHBand="0" w:evenHBand="0" w:firstRowFirstColumn="0" w:firstRowLastColumn="0" w:lastRowFirstColumn="0" w:lastRowLastColumn="0"/>
          <w:trHeight w:val="70"/>
          <w:tblHeader/>
        </w:trPr>
        <w:tc>
          <w:tcPr>
            <w:cnfStyle w:val="001000000000" w:firstRow="0" w:lastRow="0" w:firstColumn="1" w:lastColumn="0" w:oddVBand="0" w:evenVBand="0" w:oddHBand="0" w:evenHBand="0" w:firstRowFirstColumn="0" w:firstRowLastColumn="0" w:lastRowFirstColumn="0" w:lastRowLastColumn="0"/>
            <w:tcW w:w="4677" w:type="dxa"/>
            <w:tcBorders>
              <w:top w:val="nil"/>
              <w:left w:val="nil"/>
              <w:bottom w:val="nil"/>
              <w:right w:val="nil"/>
            </w:tcBorders>
            <w:shd w:val="solid" w:color="000000" w:fill="auto"/>
          </w:tcPr>
          <w:p w:rsidR="00A46DCA" w:rsidRPr="00023820" w:rsidRDefault="00A46DCA" w:rsidP="00A26D04">
            <w:pPr>
              <w:autoSpaceDE w:val="0"/>
              <w:autoSpaceDN w:val="0"/>
              <w:adjustRightInd w:val="0"/>
              <w:rPr>
                <w:rFonts w:eastAsiaTheme="minorEastAsia" w:cs="Calibri"/>
                <w:iCs/>
                <w:color w:val="FFFFFF"/>
                <w:lang w:eastAsia="en-AU"/>
              </w:rPr>
            </w:pPr>
            <w:r w:rsidRPr="00023820">
              <w:rPr>
                <w:rFonts w:eastAsiaTheme="minorEastAsia" w:cs="Calibri"/>
                <w:iCs/>
                <w:color w:val="FFFFFF"/>
                <w:lang w:eastAsia="en-AU"/>
              </w:rPr>
              <w:t xml:space="preserve"> </w:t>
            </w:r>
          </w:p>
        </w:tc>
        <w:tc>
          <w:tcPr>
            <w:tcW w:w="1276" w:type="dxa"/>
            <w:tcBorders>
              <w:top w:val="nil"/>
              <w:left w:val="nil"/>
              <w:bottom w:val="nil"/>
              <w:right w:val="nil"/>
            </w:tcBorders>
            <w:shd w:val="solid" w:color="000000" w:fill="auto"/>
          </w:tcPr>
          <w:p w:rsidR="00A46DCA" w:rsidRPr="00023820" w:rsidRDefault="00A46DCA" w:rsidP="00A26D0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21"/>
                <w:lang w:eastAsia="en-AU"/>
              </w:rPr>
            </w:pPr>
            <w:r w:rsidRPr="00023820">
              <w:rPr>
                <w:rFonts w:eastAsiaTheme="minorEastAsia" w:cs="Calibri"/>
                <w:iCs/>
                <w:color w:val="FFFFFF"/>
                <w:szCs w:val="21"/>
                <w:lang w:eastAsia="en-AU"/>
              </w:rPr>
              <w:t>Accumulated surplus/(deficit)</w:t>
            </w:r>
          </w:p>
        </w:tc>
        <w:tc>
          <w:tcPr>
            <w:tcW w:w="1814" w:type="dxa"/>
            <w:tcBorders>
              <w:top w:val="nil"/>
              <w:left w:val="nil"/>
              <w:bottom w:val="nil"/>
              <w:right w:val="nil"/>
            </w:tcBorders>
            <w:shd w:val="solid" w:color="000000" w:fill="auto"/>
          </w:tcPr>
          <w:p w:rsidR="00A46DCA" w:rsidRPr="00023820" w:rsidRDefault="00A46DCA" w:rsidP="00A26D0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21"/>
                <w:lang w:eastAsia="en-AU"/>
              </w:rPr>
            </w:pPr>
            <w:r w:rsidRPr="00023820">
              <w:rPr>
                <w:rFonts w:eastAsiaTheme="minorEastAsia" w:cs="Calibri"/>
                <w:iCs/>
                <w:color w:val="FFFFFF"/>
                <w:szCs w:val="21"/>
                <w:lang w:eastAsia="en-AU"/>
              </w:rPr>
              <w:t xml:space="preserve">Contribution </w:t>
            </w:r>
            <w:r>
              <w:rPr>
                <w:rFonts w:eastAsiaTheme="minorEastAsia" w:cs="Calibri"/>
                <w:iCs/>
                <w:color w:val="FFFFFF"/>
                <w:szCs w:val="21"/>
                <w:lang w:eastAsia="en-AU"/>
              </w:rPr>
              <w:br/>
            </w:r>
            <w:r w:rsidRPr="00023820">
              <w:rPr>
                <w:rFonts w:eastAsiaTheme="minorEastAsia" w:cs="Calibri"/>
                <w:iCs/>
                <w:color w:val="FFFFFF"/>
                <w:szCs w:val="21"/>
                <w:lang w:eastAsia="en-AU"/>
              </w:rPr>
              <w:t>by owners</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4677" w:type="dxa"/>
            <w:tcBorders>
              <w:top w:val="nil"/>
              <w:left w:val="nil"/>
              <w:bottom w:val="nil"/>
              <w:right w:val="nil"/>
            </w:tcBorders>
          </w:tcPr>
          <w:p w:rsidR="00A46DCA" w:rsidRPr="00023820" w:rsidRDefault="00A46DCA" w:rsidP="00A26D04">
            <w:pPr>
              <w:keepLines w:val="0"/>
              <w:autoSpaceDE w:val="0"/>
              <w:autoSpaceDN w:val="0"/>
              <w:adjustRightInd w:val="0"/>
              <w:rPr>
                <w:rFonts w:eastAsiaTheme="minorEastAsia" w:cs="Calibri"/>
                <w:b/>
                <w:bCs/>
                <w:color w:val="000000"/>
                <w:szCs w:val="20"/>
                <w:vertAlign w:val="superscript"/>
                <w:lang w:eastAsia="en-AU"/>
              </w:rPr>
            </w:pPr>
            <w:r w:rsidRPr="00023820">
              <w:rPr>
                <w:rFonts w:eastAsiaTheme="minorEastAsia" w:cs="Calibri"/>
                <w:b/>
                <w:bCs/>
                <w:color w:val="000000"/>
                <w:szCs w:val="20"/>
                <w:lang w:eastAsia="en-AU"/>
              </w:rPr>
              <w:t xml:space="preserve">2017-18 budget </w:t>
            </w:r>
            <w:r w:rsidRPr="00023820">
              <w:rPr>
                <w:rFonts w:eastAsiaTheme="minorEastAsia" w:cs="Calibri"/>
                <w:b/>
                <w:bCs/>
                <w:color w:val="000000"/>
                <w:szCs w:val="20"/>
                <w:vertAlign w:val="superscript"/>
                <w:lang w:eastAsia="en-AU"/>
              </w:rPr>
              <w:t>(a)</w:t>
            </w:r>
          </w:p>
        </w:tc>
        <w:tc>
          <w:tcPr>
            <w:tcW w:w="1276"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1"/>
                <w:lang w:eastAsia="en-AU"/>
              </w:rPr>
            </w:pPr>
            <w:r w:rsidRPr="00023820">
              <w:rPr>
                <w:rFonts w:eastAsiaTheme="minorEastAsia" w:cs="Calibri"/>
                <w:b/>
                <w:bCs/>
                <w:color w:val="000000"/>
                <w:szCs w:val="21"/>
                <w:lang w:eastAsia="en-AU"/>
              </w:rPr>
              <w:t xml:space="preserve"> </w:t>
            </w:r>
          </w:p>
        </w:tc>
        <w:tc>
          <w:tcPr>
            <w:tcW w:w="1814"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1"/>
                <w:lang w:eastAsia="en-AU"/>
              </w:rPr>
            </w:pPr>
            <w:r w:rsidRPr="00023820">
              <w:rPr>
                <w:rFonts w:eastAsiaTheme="minorEastAsia" w:cs="Calibri"/>
                <w:b/>
                <w:bCs/>
                <w:color w:val="000000"/>
                <w:szCs w:val="21"/>
                <w:lang w:eastAsia="en-AU"/>
              </w:rPr>
              <w:t xml:space="preserve"> </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4677" w:type="dxa"/>
            <w:tcBorders>
              <w:top w:val="nil"/>
              <w:left w:val="nil"/>
              <w:bottom w:val="nil"/>
              <w:right w:val="nil"/>
            </w:tcBorders>
          </w:tcPr>
          <w:p w:rsidR="00A46DCA" w:rsidRPr="00023820" w:rsidRDefault="00A46DCA" w:rsidP="00A26D04">
            <w:pPr>
              <w:keepLines w:val="0"/>
              <w:autoSpaceDE w:val="0"/>
              <w:autoSpaceDN w:val="0"/>
              <w:adjustRightInd w:val="0"/>
              <w:rPr>
                <w:rFonts w:eastAsiaTheme="minorEastAsia" w:cs="Calibri"/>
                <w:color w:val="000000"/>
                <w:szCs w:val="21"/>
                <w:lang w:eastAsia="en-AU"/>
              </w:rPr>
            </w:pPr>
            <w:r w:rsidRPr="00023820">
              <w:rPr>
                <w:rFonts w:eastAsiaTheme="minorEastAsia" w:cs="Calibri"/>
                <w:color w:val="000000"/>
                <w:szCs w:val="21"/>
                <w:lang w:eastAsia="en-AU"/>
              </w:rPr>
              <w:t>Balance at 1 July 2017</w:t>
            </w:r>
          </w:p>
        </w:tc>
        <w:tc>
          <w:tcPr>
            <w:tcW w:w="1276"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sidRPr="00023820">
              <w:rPr>
                <w:rFonts w:eastAsiaTheme="minorEastAsia" w:cs="Calibri"/>
                <w:color w:val="000000"/>
                <w:szCs w:val="21"/>
                <w:lang w:eastAsia="en-AU"/>
              </w:rPr>
              <w:t>143</w:t>
            </w:r>
          </w:p>
        </w:tc>
        <w:tc>
          <w:tcPr>
            <w:tcW w:w="1814"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sidRPr="00023820">
              <w:rPr>
                <w:rFonts w:eastAsiaTheme="minorEastAsia" w:cs="Calibri"/>
                <w:color w:val="000000"/>
                <w:szCs w:val="21"/>
                <w:lang w:eastAsia="en-AU"/>
              </w:rPr>
              <w:t>29</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4677" w:type="dxa"/>
            <w:tcBorders>
              <w:top w:val="nil"/>
              <w:left w:val="nil"/>
              <w:bottom w:val="nil"/>
              <w:right w:val="nil"/>
            </w:tcBorders>
          </w:tcPr>
          <w:p w:rsidR="00A46DCA" w:rsidRPr="00023820" w:rsidRDefault="00A46DCA" w:rsidP="00A26D04">
            <w:pPr>
              <w:keepLines w:val="0"/>
              <w:autoSpaceDE w:val="0"/>
              <w:autoSpaceDN w:val="0"/>
              <w:adjustRightInd w:val="0"/>
              <w:rPr>
                <w:rFonts w:eastAsiaTheme="minorEastAsia" w:cs="Calibri"/>
                <w:color w:val="000000"/>
                <w:szCs w:val="20"/>
                <w:lang w:eastAsia="en-AU"/>
              </w:rPr>
            </w:pPr>
            <w:r w:rsidRPr="00023820">
              <w:rPr>
                <w:rFonts w:eastAsiaTheme="minorEastAsia" w:cs="Calibri"/>
                <w:color w:val="000000"/>
                <w:szCs w:val="21"/>
                <w:lang w:eastAsia="en-AU"/>
              </w:rPr>
              <w:t xml:space="preserve">Net result for </w:t>
            </w:r>
            <w:r w:rsidRPr="00023820">
              <w:rPr>
                <w:rFonts w:eastAsiaTheme="minorEastAsia" w:cs="Calibri"/>
                <w:color w:val="000000"/>
                <w:szCs w:val="20"/>
                <w:lang w:eastAsia="en-AU"/>
              </w:rPr>
              <w:t>the year</w:t>
            </w:r>
          </w:p>
        </w:tc>
        <w:tc>
          <w:tcPr>
            <w:tcW w:w="1276"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sidRPr="00023820">
              <w:rPr>
                <w:rFonts w:eastAsiaTheme="minorEastAsia" w:cs="Calibri"/>
                <w:color w:val="000000"/>
                <w:szCs w:val="21"/>
                <w:lang w:eastAsia="en-AU"/>
              </w:rPr>
              <w:t>134</w:t>
            </w:r>
          </w:p>
        </w:tc>
        <w:tc>
          <w:tcPr>
            <w:tcW w:w="1814"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4677" w:type="dxa"/>
            <w:tcBorders>
              <w:top w:val="nil"/>
              <w:left w:val="nil"/>
              <w:bottom w:val="nil"/>
              <w:right w:val="nil"/>
            </w:tcBorders>
          </w:tcPr>
          <w:p w:rsidR="00A46DCA" w:rsidRPr="00023820" w:rsidRDefault="00A46DCA" w:rsidP="00A26D04">
            <w:pPr>
              <w:keepLines w:val="0"/>
              <w:autoSpaceDE w:val="0"/>
              <w:autoSpaceDN w:val="0"/>
              <w:adjustRightInd w:val="0"/>
              <w:rPr>
                <w:rFonts w:eastAsiaTheme="minorEastAsia" w:cs="Calibri"/>
                <w:color w:val="000000"/>
                <w:szCs w:val="21"/>
                <w:lang w:eastAsia="en-AU"/>
              </w:rPr>
            </w:pPr>
            <w:r w:rsidRPr="00023820">
              <w:rPr>
                <w:rFonts w:eastAsiaTheme="minorEastAsia" w:cs="Calibri"/>
                <w:color w:val="000000"/>
                <w:szCs w:val="21"/>
                <w:lang w:eastAsia="en-AU"/>
              </w:rPr>
              <w:t>Other comprehensive income for the year</w:t>
            </w:r>
          </w:p>
        </w:tc>
        <w:tc>
          <w:tcPr>
            <w:tcW w:w="1276"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(1)</w:t>
            </w:r>
          </w:p>
        </w:tc>
        <w:tc>
          <w:tcPr>
            <w:tcW w:w="1814"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4677" w:type="dxa"/>
            <w:tcBorders>
              <w:top w:val="nil"/>
              <w:left w:val="nil"/>
              <w:bottom w:val="nil"/>
              <w:right w:val="nil"/>
            </w:tcBorders>
          </w:tcPr>
          <w:p w:rsidR="00A46DCA" w:rsidRPr="00023820" w:rsidRDefault="00A46DCA" w:rsidP="00A26D04">
            <w:pPr>
              <w:keepLines w:val="0"/>
              <w:autoSpaceDE w:val="0"/>
              <w:autoSpaceDN w:val="0"/>
              <w:adjustRightInd w:val="0"/>
              <w:rPr>
                <w:rFonts w:eastAsiaTheme="minorEastAsia" w:cs="Calibri"/>
                <w:color w:val="000000"/>
                <w:szCs w:val="21"/>
                <w:lang w:eastAsia="en-AU"/>
              </w:rPr>
            </w:pPr>
            <w:r w:rsidRPr="00023820">
              <w:rPr>
                <w:rFonts w:eastAsiaTheme="minorEastAsia" w:cs="Calibri"/>
                <w:color w:val="000000"/>
                <w:szCs w:val="21"/>
                <w:lang w:eastAsia="en-AU"/>
              </w:rPr>
              <w:t>Dividends paid</w:t>
            </w:r>
          </w:p>
        </w:tc>
        <w:tc>
          <w:tcPr>
            <w:tcW w:w="1276"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(475)</w:t>
            </w:r>
          </w:p>
        </w:tc>
        <w:tc>
          <w:tcPr>
            <w:tcW w:w="1814"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4677" w:type="dxa"/>
            <w:tcBorders>
              <w:top w:val="nil"/>
              <w:left w:val="nil"/>
              <w:bottom w:val="nil"/>
              <w:right w:val="nil"/>
            </w:tcBorders>
          </w:tcPr>
          <w:p w:rsidR="00A46DCA" w:rsidRPr="00023820" w:rsidRDefault="00A46DCA" w:rsidP="00A26D04">
            <w:pPr>
              <w:keepLines w:val="0"/>
              <w:autoSpaceDE w:val="0"/>
              <w:autoSpaceDN w:val="0"/>
              <w:adjustRightInd w:val="0"/>
              <w:rPr>
                <w:rFonts w:eastAsiaTheme="minorEastAsia" w:cs="Calibri"/>
                <w:color w:val="000000"/>
                <w:szCs w:val="21"/>
                <w:lang w:eastAsia="en-AU"/>
              </w:rPr>
            </w:pPr>
            <w:r w:rsidRPr="00023820">
              <w:rPr>
                <w:rFonts w:eastAsiaTheme="minorEastAsia" w:cs="Calibri"/>
                <w:color w:val="000000"/>
                <w:szCs w:val="21"/>
                <w:lang w:eastAsia="en-AU"/>
              </w:rPr>
              <w:t>Transfer to/(from) accumulated surplus</w:t>
            </w:r>
          </w:p>
        </w:tc>
        <w:tc>
          <w:tcPr>
            <w:tcW w:w="1276"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(20)</w:t>
            </w:r>
          </w:p>
        </w:tc>
        <w:tc>
          <w:tcPr>
            <w:tcW w:w="1814"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sidRPr="00023820">
              <w:rPr>
                <w:rFonts w:eastAsiaTheme="minorEastAsia" w:cs="Calibri"/>
                <w:color w:val="000000"/>
                <w:szCs w:val="21"/>
                <w:lang w:eastAsia="en-AU"/>
              </w:rPr>
              <w:t>20</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4677" w:type="dxa"/>
            <w:tcBorders>
              <w:top w:val="nil"/>
              <w:left w:val="nil"/>
              <w:bottom w:val="nil"/>
              <w:right w:val="nil"/>
            </w:tcBorders>
          </w:tcPr>
          <w:p w:rsidR="00A46DCA" w:rsidRPr="00023820" w:rsidRDefault="00A46DCA" w:rsidP="00A26D04">
            <w:pPr>
              <w:keepLines w:val="0"/>
              <w:autoSpaceDE w:val="0"/>
              <w:autoSpaceDN w:val="0"/>
              <w:adjustRightInd w:val="0"/>
              <w:rPr>
                <w:rFonts w:eastAsiaTheme="minorEastAsia" w:cs="Calibri"/>
                <w:color w:val="000000"/>
                <w:szCs w:val="21"/>
                <w:lang w:eastAsia="en-AU"/>
              </w:rPr>
            </w:pPr>
            <w:r w:rsidRPr="00023820">
              <w:rPr>
                <w:rFonts w:eastAsiaTheme="minorEastAsia" w:cs="Calibri"/>
                <w:color w:val="000000"/>
                <w:szCs w:val="21"/>
                <w:lang w:eastAsia="en-AU"/>
              </w:rPr>
              <w:t>Transactions with owners in their capacity as owners</w:t>
            </w:r>
          </w:p>
        </w:tc>
        <w:tc>
          <w:tcPr>
            <w:tcW w:w="1276"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w:t>
            </w:r>
            <w:r w:rsidRPr="00023820">
              <w:rPr>
                <w:rFonts w:eastAsiaTheme="minorEastAsia" w:cs="Calibri"/>
                <w:color w:val="000000"/>
                <w:szCs w:val="21"/>
                <w:lang w:eastAsia="en-AU"/>
              </w:rPr>
              <w:t xml:space="preserve"> </w:t>
            </w:r>
          </w:p>
        </w:tc>
        <w:tc>
          <w:tcPr>
            <w:tcW w:w="1814"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w:t>
            </w:r>
            <w:r w:rsidRPr="00023820">
              <w:rPr>
                <w:rFonts w:eastAsiaTheme="minorEastAsia" w:cs="Calibri"/>
                <w:color w:val="000000"/>
                <w:szCs w:val="21"/>
                <w:lang w:eastAsia="en-AU"/>
              </w:rPr>
              <w:t xml:space="preserve"> </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4677" w:type="dxa"/>
            <w:tcBorders>
              <w:top w:val="single" w:sz="6" w:space="0" w:color="000000"/>
              <w:left w:val="nil"/>
              <w:bottom w:val="single" w:sz="12" w:space="0" w:color="000000"/>
              <w:right w:val="nil"/>
            </w:tcBorders>
          </w:tcPr>
          <w:p w:rsidR="00A46DCA" w:rsidRPr="00023820" w:rsidRDefault="00A46DCA" w:rsidP="00A26D04">
            <w:pPr>
              <w:keepLines w:val="0"/>
              <w:autoSpaceDE w:val="0"/>
              <w:autoSpaceDN w:val="0"/>
              <w:adjustRightInd w:val="0"/>
              <w:rPr>
                <w:rFonts w:eastAsiaTheme="minorEastAsia" w:cs="Calibri"/>
                <w:b/>
                <w:bCs/>
                <w:color w:val="000000"/>
                <w:szCs w:val="21"/>
                <w:lang w:eastAsia="en-AU"/>
              </w:rPr>
            </w:pPr>
            <w:r w:rsidRPr="00023820">
              <w:rPr>
                <w:rFonts w:eastAsiaTheme="minorEastAsia" w:cs="Calibri"/>
                <w:b/>
                <w:bCs/>
                <w:color w:val="000000"/>
                <w:szCs w:val="21"/>
                <w:lang w:eastAsia="en-AU"/>
              </w:rPr>
              <w:t>Total equity as at 30 June 2018</w:t>
            </w:r>
          </w:p>
        </w:tc>
        <w:tc>
          <w:tcPr>
            <w:tcW w:w="1276" w:type="dxa"/>
            <w:tcBorders>
              <w:top w:val="single" w:sz="6" w:space="0" w:color="000000"/>
              <w:left w:val="nil"/>
              <w:bottom w:val="single" w:sz="12" w:space="0" w:color="000000"/>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1"/>
                <w:lang w:eastAsia="en-AU"/>
              </w:rPr>
            </w:pPr>
            <w:r>
              <w:rPr>
                <w:rFonts w:eastAsiaTheme="minorEastAsia" w:cs="Calibri"/>
                <w:b/>
                <w:bCs/>
                <w:color w:val="000000"/>
                <w:szCs w:val="21"/>
                <w:lang w:eastAsia="en-AU"/>
              </w:rPr>
              <w:t>(218)</w:t>
            </w:r>
          </w:p>
        </w:tc>
        <w:tc>
          <w:tcPr>
            <w:tcW w:w="1814" w:type="dxa"/>
            <w:tcBorders>
              <w:top w:val="single" w:sz="6" w:space="0" w:color="000000"/>
              <w:left w:val="nil"/>
              <w:bottom w:val="single" w:sz="12" w:space="0" w:color="000000"/>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1"/>
                <w:lang w:eastAsia="en-AU"/>
              </w:rPr>
            </w:pPr>
            <w:r w:rsidRPr="00023820">
              <w:rPr>
                <w:rFonts w:eastAsiaTheme="minorEastAsia" w:cs="Calibri"/>
                <w:b/>
                <w:bCs/>
                <w:color w:val="000000"/>
                <w:szCs w:val="21"/>
                <w:lang w:eastAsia="en-AU"/>
              </w:rPr>
              <w:t>49</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4677" w:type="dxa"/>
            <w:tcBorders>
              <w:top w:val="nil"/>
              <w:left w:val="nil"/>
              <w:bottom w:val="nil"/>
              <w:right w:val="nil"/>
            </w:tcBorders>
          </w:tcPr>
          <w:p w:rsidR="00A46DCA" w:rsidRPr="00023820" w:rsidRDefault="00A46DCA" w:rsidP="00A26D04">
            <w:pPr>
              <w:keepLines w:val="0"/>
              <w:autoSpaceDE w:val="0"/>
              <w:autoSpaceDN w:val="0"/>
              <w:adjustRightInd w:val="0"/>
              <w:rPr>
                <w:rFonts w:eastAsiaTheme="minorEastAsia" w:cs="Calibri"/>
                <w:b/>
                <w:bCs/>
                <w:color w:val="000000"/>
                <w:szCs w:val="20"/>
                <w:lang w:eastAsia="en-AU"/>
              </w:rPr>
            </w:pPr>
            <w:r w:rsidRPr="00023820">
              <w:rPr>
                <w:rFonts w:eastAsiaTheme="minorEastAsia" w:cs="Calibri"/>
                <w:b/>
                <w:bCs/>
                <w:color w:val="000000"/>
                <w:szCs w:val="20"/>
                <w:lang w:eastAsia="en-AU"/>
              </w:rPr>
              <w:t>2017-18 revised</w:t>
            </w:r>
          </w:p>
        </w:tc>
        <w:tc>
          <w:tcPr>
            <w:tcW w:w="1276"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1"/>
                <w:lang w:eastAsia="en-AU"/>
              </w:rPr>
            </w:pPr>
            <w:r w:rsidRPr="00023820">
              <w:rPr>
                <w:rFonts w:eastAsiaTheme="minorEastAsia" w:cs="Calibri"/>
                <w:b/>
                <w:bCs/>
                <w:color w:val="000000"/>
                <w:szCs w:val="21"/>
                <w:lang w:eastAsia="en-AU"/>
              </w:rPr>
              <w:t xml:space="preserve"> </w:t>
            </w:r>
          </w:p>
        </w:tc>
        <w:tc>
          <w:tcPr>
            <w:tcW w:w="1814"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1"/>
                <w:lang w:eastAsia="en-AU"/>
              </w:rPr>
            </w:pPr>
            <w:r w:rsidRPr="00023820">
              <w:rPr>
                <w:rFonts w:eastAsiaTheme="minorEastAsia" w:cs="Calibri"/>
                <w:b/>
                <w:bCs/>
                <w:color w:val="000000"/>
                <w:szCs w:val="21"/>
                <w:lang w:eastAsia="en-AU"/>
              </w:rPr>
              <w:t xml:space="preserve"> </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4677" w:type="dxa"/>
            <w:tcBorders>
              <w:top w:val="nil"/>
              <w:left w:val="nil"/>
              <w:bottom w:val="nil"/>
              <w:right w:val="nil"/>
            </w:tcBorders>
          </w:tcPr>
          <w:p w:rsidR="00A46DCA" w:rsidRPr="00023820" w:rsidRDefault="00A46DCA" w:rsidP="00A26D04">
            <w:pPr>
              <w:keepLines w:val="0"/>
              <w:autoSpaceDE w:val="0"/>
              <w:autoSpaceDN w:val="0"/>
              <w:adjustRightInd w:val="0"/>
              <w:rPr>
                <w:rFonts w:eastAsiaTheme="minorEastAsia" w:cs="Calibri"/>
                <w:color w:val="000000"/>
                <w:szCs w:val="21"/>
                <w:lang w:eastAsia="en-AU"/>
              </w:rPr>
            </w:pPr>
            <w:r w:rsidRPr="00023820">
              <w:rPr>
                <w:rFonts w:eastAsiaTheme="minorEastAsia" w:cs="Calibri"/>
                <w:color w:val="000000"/>
                <w:szCs w:val="21"/>
                <w:lang w:eastAsia="en-AU"/>
              </w:rPr>
              <w:t>Balance at 1 July 2017</w:t>
            </w:r>
          </w:p>
        </w:tc>
        <w:tc>
          <w:tcPr>
            <w:tcW w:w="1276"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sidRPr="00023820">
              <w:rPr>
                <w:rFonts w:eastAsiaTheme="minorEastAsia" w:cs="Calibri"/>
                <w:color w:val="000000"/>
                <w:szCs w:val="21"/>
                <w:lang w:eastAsia="en-AU"/>
              </w:rPr>
              <w:t>143</w:t>
            </w:r>
          </w:p>
        </w:tc>
        <w:tc>
          <w:tcPr>
            <w:tcW w:w="1814"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sidRPr="00023820">
              <w:rPr>
                <w:rFonts w:eastAsiaTheme="minorEastAsia" w:cs="Calibri"/>
                <w:color w:val="000000"/>
                <w:szCs w:val="21"/>
                <w:lang w:eastAsia="en-AU"/>
              </w:rPr>
              <w:t>29</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4677" w:type="dxa"/>
            <w:tcBorders>
              <w:top w:val="nil"/>
              <w:left w:val="nil"/>
              <w:bottom w:val="nil"/>
              <w:right w:val="nil"/>
            </w:tcBorders>
          </w:tcPr>
          <w:p w:rsidR="00A46DCA" w:rsidRPr="00023820" w:rsidRDefault="00A46DCA" w:rsidP="00A26D04">
            <w:pPr>
              <w:keepLines w:val="0"/>
              <w:autoSpaceDE w:val="0"/>
              <w:autoSpaceDN w:val="0"/>
              <w:adjustRightInd w:val="0"/>
              <w:rPr>
                <w:rFonts w:eastAsiaTheme="minorEastAsia" w:cs="Calibri"/>
                <w:color w:val="000000"/>
                <w:szCs w:val="20"/>
                <w:lang w:eastAsia="en-AU"/>
              </w:rPr>
            </w:pPr>
            <w:r w:rsidRPr="00023820">
              <w:rPr>
                <w:rFonts w:eastAsiaTheme="minorEastAsia" w:cs="Calibri"/>
                <w:color w:val="000000"/>
                <w:szCs w:val="21"/>
                <w:lang w:eastAsia="en-AU"/>
              </w:rPr>
              <w:t xml:space="preserve">Net result for </w:t>
            </w:r>
            <w:r w:rsidRPr="00023820">
              <w:rPr>
                <w:rFonts w:eastAsiaTheme="minorEastAsia" w:cs="Calibri"/>
                <w:color w:val="000000"/>
                <w:szCs w:val="20"/>
                <w:lang w:eastAsia="en-AU"/>
              </w:rPr>
              <w:t>the year</w:t>
            </w:r>
          </w:p>
        </w:tc>
        <w:tc>
          <w:tcPr>
            <w:tcW w:w="1276"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sidRPr="00023820">
              <w:rPr>
                <w:rFonts w:eastAsiaTheme="minorEastAsia" w:cs="Calibri"/>
                <w:color w:val="000000"/>
                <w:szCs w:val="21"/>
                <w:lang w:eastAsia="en-AU"/>
              </w:rPr>
              <w:t>613</w:t>
            </w:r>
          </w:p>
        </w:tc>
        <w:tc>
          <w:tcPr>
            <w:tcW w:w="1814"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4677" w:type="dxa"/>
            <w:tcBorders>
              <w:top w:val="nil"/>
              <w:left w:val="nil"/>
              <w:bottom w:val="nil"/>
              <w:right w:val="nil"/>
            </w:tcBorders>
          </w:tcPr>
          <w:p w:rsidR="00A46DCA" w:rsidRPr="00023820" w:rsidRDefault="00A46DCA" w:rsidP="00A26D04">
            <w:pPr>
              <w:keepLines w:val="0"/>
              <w:autoSpaceDE w:val="0"/>
              <w:autoSpaceDN w:val="0"/>
              <w:adjustRightInd w:val="0"/>
              <w:rPr>
                <w:rFonts w:eastAsiaTheme="minorEastAsia" w:cs="Calibri"/>
                <w:color w:val="000000"/>
                <w:szCs w:val="21"/>
                <w:lang w:eastAsia="en-AU"/>
              </w:rPr>
            </w:pPr>
            <w:r w:rsidRPr="00023820">
              <w:rPr>
                <w:rFonts w:eastAsiaTheme="minorEastAsia" w:cs="Calibri"/>
                <w:color w:val="000000"/>
                <w:szCs w:val="21"/>
                <w:lang w:eastAsia="en-AU"/>
              </w:rPr>
              <w:t>Other comprehensive income for the year</w:t>
            </w:r>
          </w:p>
        </w:tc>
        <w:tc>
          <w:tcPr>
            <w:tcW w:w="1276"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w:t>
            </w:r>
          </w:p>
        </w:tc>
        <w:tc>
          <w:tcPr>
            <w:tcW w:w="1814"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4677" w:type="dxa"/>
            <w:tcBorders>
              <w:top w:val="nil"/>
              <w:left w:val="nil"/>
              <w:bottom w:val="nil"/>
              <w:right w:val="nil"/>
            </w:tcBorders>
          </w:tcPr>
          <w:p w:rsidR="00A46DCA" w:rsidRPr="00023820" w:rsidRDefault="00A46DCA" w:rsidP="00A26D04">
            <w:pPr>
              <w:keepLines w:val="0"/>
              <w:autoSpaceDE w:val="0"/>
              <w:autoSpaceDN w:val="0"/>
              <w:adjustRightInd w:val="0"/>
              <w:rPr>
                <w:rFonts w:eastAsiaTheme="minorEastAsia" w:cs="Calibri"/>
                <w:color w:val="000000"/>
                <w:szCs w:val="21"/>
                <w:lang w:eastAsia="en-AU"/>
              </w:rPr>
            </w:pPr>
            <w:r w:rsidRPr="00023820">
              <w:rPr>
                <w:rFonts w:eastAsiaTheme="minorEastAsia" w:cs="Calibri"/>
                <w:color w:val="000000"/>
                <w:szCs w:val="21"/>
                <w:lang w:eastAsia="en-AU"/>
              </w:rPr>
              <w:t>Dividends paid</w:t>
            </w:r>
          </w:p>
        </w:tc>
        <w:tc>
          <w:tcPr>
            <w:tcW w:w="1276"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(501)</w:t>
            </w:r>
          </w:p>
        </w:tc>
        <w:tc>
          <w:tcPr>
            <w:tcW w:w="1814"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4677" w:type="dxa"/>
            <w:tcBorders>
              <w:top w:val="nil"/>
              <w:left w:val="nil"/>
              <w:bottom w:val="nil"/>
              <w:right w:val="nil"/>
            </w:tcBorders>
          </w:tcPr>
          <w:p w:rsidR="00A46DCA" w:rsidRPr="00023820" w:rsidRDefault="00A46DCA" w:rsidP="00A26D04">
            <w:pPr>
              <w:keepLines w:val="0"/>
              <w:autoSpaceDE w:val="0"/>
              <w:autoSpaceDN w:val="0"/>
              <w:adjustRightInd w:val="0"/>
              <w:rPr>
                <w:rFonts w:eastAsiaTheme="minorEastAsia" w:cs="Calibri"/>
                <w:color w:val="000000"/>
                <w:szCs w:val="21"/>
                <w:lang w:eastAsia="en-AU"/>
              </w:rPr>
            </w:pPr>
            <w:r w:rsidRPr="00023820">
              <w:rPr>
                <w:rFonts w:eastAsiaTheme="minorEastAsia" w:cs="Calibri"/>
                <w:color w:val="000000"/>
                <w:szCs w:val="21"/>
                <w:lang w:eastAsia="en-AU"/>
              </w:rPr>
              <w:t>Transfer to/(from) accumulated surplus</w:t>
            </w:r>
          </w:p>
        </w:tc>
        <w:tc>
          <w:tcPr>
            <w:tcW w:w="1276"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(20)</w:t>
            </w:r>
          </w:p>
        </w:tc>
        <w:tc>
          <w:tcPr>
            <w:tcW w:w="1814"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sidRPr="00023820">
              <w:rPr>
                <w:rFonts w:eastAsiaTheme="minorEastAsia" w:cs="Calibri"/>
                <w:color w:val="000000"/>
                <w:szCs w:val="21"/>
                <w:lang w:eastAsia="en-AU"/>
              </w:rPr>
              <w:t>20</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4677" w:type="dxa"/>
            <w:tcBorders>
              <w:top w:val="nil"/>
              <w:left w:val="nil"/>
              <w:bottom w:val="nil"/>
              <w:right w:val="nil"/>
            </w:tcBorders>
          </w:tcPr>
          <w:p w:rsidR="00A46DCA" w:rsidRPr="00023820" w:rsidRDefault="00A46DCA" w:rsidP="00A26D04">
            <w:pPr>
              <w:keepLines w:val="0"/>
              <w:autoSpaceDE w:val="0"/>
              <w:autoSpaceDN w:val="0"/>
              <w:adjustRightInd w:val="0"/>
              <w:rPr>
                <w:rFonts w:eastAsiaTheme="minorEastAsia" w:cs="Calibri"/>
                <w:color w:val="000000"/>
                <w:szCs w:val="21"/>
                <w:lang w:eastAsia="en-AU"/>
              </w:rPr>
            </w:pPr>
            <w:r w:rsidRPr="00023820">
              <w:rPr>
                <w:rFonts w:eastAsiaTheme="minorEastAsia" w:cs="Calibri"/>
                <w:color w:val="000000"/>
                <w:szCs w:val="21"/>
                <w:lang w:eastAsia="en-AU"/>
              </w:rPr>
              <w:t>Transactions with owners in their capacity as owners</w:t>
            </w:r>
          </w:p>
        </w:tc>
        <w:tc>
          <w:tcPr>
            <w:tcW w:w="1276"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w:t>
            </w:r>
            <w:r w:rsidRPr="00023820">
              <w:rPr>
                <w:rFonts w:eastAsiaTheme="minorEastAsia" w:cs="Calibri"/>
                <w:color w:val="000000"/>
                <w:szCs w:val="21"/>
                <w:lang w:eastAsia="en-AU"/>
              </w:rPr>
              <w:t xml:space="preserve"> </w:t>
            </w:r>
          </w:p>
        </w:tc>
        <w:tc>
          <w:tcPr>
            <w:tcW w:w="1814"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w:t>
            </w:r>
            <w:r w:rsidRPr="00023820">
              <w:rPr>
                <w:rFonts w:eastAsiaTheme="minorEastAsia" w:cs="Calibri"/>
                <w:color w:val="000000"/>
                <w:szCs w:val="21"/>
                <w:lang w:eastAsia="en-AU"/>
              </w:rPr>
              <w:t xml:space="preserve"> </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4677" w:type="dxa"/>
            <w:tcBorders>
              <w:top w:val="single" w:sz="6" w:space="0" w:color="000000"/>
              <w:left w:val="nil"/>
              <w:bottom w:val="single" w:sz="12" w:space="0" w:color="000000"/>
              <w:right w:val="nil"/>
            </w:tcBorders>
          </w:tcPr>
          <w:p w:rsidR="00A46DCA" w:rsidRPr="00023820" w:rsidRDefault="00A46DCA" w:rsidP="00A26D04">
            <w:pPr>
              <w:keepLines w:val="0"/>
              <w:autoSpaceDE w:val="0"/>
              <w:autoSpaceDN w:val="0"/>
              <w:adjustRightInd w:val="0"/>
              <w:rPr>
                <w:rFonts w:eastAsiaTheme="minorEastAsia" w:cs="Calibri"/>
                <w:b/>
                <w:bCs/>
                <w:color w:val="000000"/>
                <w:szCs w:val="21"/>
                <w:lang w:eastAsia="en-AU"/>
              </w:rPr>
            </w:pPr>
            <w:r w:rsidRPr="00023820">
              <w:rPr>
                <w:rFonts w:eastAsiaTheme="minorEastAsia" w:cs="Calibri"/>
                <w:b/>
                <w:bCs/>
                <w:color w:val="000000"/>
                <w:szCs w:val="21"/>
                <w:lang w:eastAsia="en-AU"/>
              </w:rPr>
              <w:t>Total equity as at 30 June 2018</w:t>
            </w:r>
          </w:p>
        </w:tc>
        <w:tc>
          <w:tcPr>
            <w:tcW w:w="1276" w:type="dxa"/>
            <w:tcBorders>
              <w:top w:val="single" w:sz="6" w:space="0" w:color="000000"/>
              <w:left w:val="nil"/>
              <w:bottom w:val="single" w:sz="12" w:space="0" w:color="000000"/>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1"/>
                <w:lang w:eastAsia="en-AU"/>
              </w:rPr>
            </w:pPr>
            <w:r w:rsidRPr="00023820">
              <w:rPr>
                <w:rFonts w:eastAsiaTheme="minorEastAsia" w:cs="Calibri"/>
                <w:b/>
                <w:bCs/>
                <w:color w:val="000000"/>
                <w:szCs w:val="21"/>
                <w:lang w:eastAsia="en-AU"/>
              </w:rPr>
              <w:t>234</w:t>
            </w:r>
          </w:p>
        </w:tc>
        <w:tc>
          <w:tcPr>
            <w:tcW w:w="1814" w:type="dxa"/>
            <w:tcBorders>
              <w:top w:val="single" w:sz="6" w:space="0" w:color="000000"/>
              <w:left w:val="nil"/>
              <w:bottom w:val="single" w:sz="12" w:space="0" w:color="000000"/>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1"/>
                <w:lang w:eastAsia="en-AU"/>
              </w:rPr>
            </w:pPr>
            <w:r w:rsidRPr="00023820">
              <w:rPr>
                <w:rFonts w:eastAsiaTheme="minorEastAsia" w:cs="Calibri"/>
                <w:b/>
                <w:bCs/>
                <w:color w:val="000000"/>
                <w:szCs w:val="21"/>
                <w:lang w:eastAsia="en-AU"/>
              </w:rPr>
              <w:t>49</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4677" w:type="dxa"/>
            <w:tcBorders>
              <w:top w:val="nil"/>
              <w:left w:val="nil"/>
              <w:bottom w:val="nil"/>
              <w:right w:val="nil"/>
            </w:tcBorders>
          </w:tcPr>
          <w:p w:rsidR="00A46DCA" w:rsidRPr="00023820" w:rsidRDefault="00A46DCA" w:rsidP="00A26D04">
            <w:pPr>
              <w:keepLines w:val="0"/>
              <w:autoSpaceDE w:val="0"/>
              <w:autoSpaceDN w:val="0"/>
              <w:adjustRightInd w:val="0"/>
              <w:rPr>
                <w:rFonts w:eastAsiaTheme="minorEastAsia" w:cs="Calibri"/>
                <w:b/>
                <w:bCs/>
                <w:color w:val="000000"/>
                <w:szCs w:val="20"/>
                <w:lang w:eastAsia="en-AU"/>
              </w:rPr>
            </w:pPr>
            <w:r w:rsidRPr="00023820">
              <w:rPr>
                <w:rFonts w:eastAsiaTheme="minorEastAsia" w:cs="Calibri"/>
                <w:b/>
                <w:bCs/>
                <w:color w:val="000000"/>
                <w:szCs w:val="20"/>
                <w:lang w:eastAsia="en-AU"/>
              </w:rPr>
              <w:t>2018-19 estimate</w:t>
            </w:r>
          </w:p>
        </w:tc>
        <w:tc>
          <w:tcPr>
            <w:tcW w:w="1276"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1"/>
                <w:lang w:eastAsia="en-AU"/>
              </w:rPr>
            </w:pPr>
            <w:r w:rsidRPr="00023820">
              <w:rPr>
                <w:rFonts w:eastAsiaTheme="minorEastAsia" w:cs="Calibri"/>
                <w:b/>
                <w:bCs/>
                <w:color w:val="000000"/>
                <w:szCs w:val="21"/>
                <w:lang w:eastAsia="en-AU"/>
              </w:rPr>
              <w:t xml:space="preserve"> </w:t>
            </w:r>
          </w:p>
        </w:tc>
        <w:tc>
          <w:tcPr>
            <w:tcW w:w="1814"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1"/>
                <w:lang w:eastAsia="en-AU"/>
              </w:rPr>
            </w:pPr>
            <w:r w:rsidRPr="00023820">
              <w:rPr>
                <w:rFonts w:eastAsiaTheme="minorEastAsia" w:cs="Calibri"/>
                <w:b/>
                <w:bCs/>
                <w:color w:val="000000"/>
                <w:szCs w:val="21"/>
                <w:lang w:eastAsia="en-AU"/>
              </w:rPr>
              <w:t xml:space="preserve"> </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4677" w:type="dxa"/>
            <w:tcBorders>
              <w:top w:val="nil"/>
              <w:left w:val="nil"/>
              <w:bottom w:val="nil"/>
              <w:right w:val="nil"/>
            </w:tcBorders>
          </w:tcPr>
          <w:p w:rsidR="00A46DCA" w:rsidRPr="00023820" w:rsidRDefault="00A46DCA" w:rsidP="00A26D04">
            <w:pPr>
              <w:keepLines w:val="0"/>
              <w:autoSpaceDE w:val="0"/>
              <w:autoSpaceDN w:val="0"/>
              <w:adjustRightInd w:val="0"/>
              <w:rPr>
                <w:rFonts w:eastAsiaTheme="minorEastAsia" w:cs="Calibri"/>
                <w:color w:val="000000"/>
                <w:szCs w:val="21"/>
                <w:lang w:eastAsia="en-AU"/>
              </w:rPr>
            </w:pPr>
            <w:r w:rsidRPr="00023820">
              <w:rPr>
                <w:rFonts w:eastAsiaTheme="minorEastAsia" w:cs="Calibri"/>
                <w:color w:val="000000"/>
                <w:szCs w:val="21"/>
                <w:lang w:eastAsia="en-AU"/>
              </w:rPr>
              <w:t>Balance at 1 July 2018</w:t>
            </w:r>
          </w:p>
        </w:tc>
        <w:tc>
          <w:tcPr>
            <w:tcW w:w="1276"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sidRPr="00023820">
              <w:rPr>
                <w:rFonts w:eastAsiaTheme="minorEastAsia" w:cs="Calibri"/>
                <w:color w:val="000000"/>
                <w:szCs w:val="21"/>
                <w:lang w:eastAsia="en-AU"/>
              </w:rPr>
              <w:t>234</w:t>
            </w:r>
          </w:p>
        </w:tc>
        <w:tc>
          <w:tcPr>
            <w:tcW w:w="1814"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sidRPr="00023820">
              <w:rPr>
                <w:rFonts w:eastAsiaTheme="minorEastAsia" w:cs="Calibri"/>
                <w:color w:val="000000"/>
                <w:szCs w:val="21"/>
                <w:lang w:eastAsia="en-AU"/>
              </w:rPr>
              <w:t>49</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4677" w:type="dxa"/>
            <w:tcBorders>
              <w:top w:val="nil"/>
              <w:left w:val="nil"/>
              <w:bottom w:val="nil"/>
              <w:right w:val="nil"/>
            </w:tcBorders>
          </w:tcPr>
          <w:p w:rsidR="00A46DCA" w:rsidRPr="00023820" w:rsidRDefault="00A46DCA" w:rsidP="00A26D04">
            <w:pPr>
              <w:keepLines w:val="0"/>
              <w:autoSpaceDE w:val="0"/>
              <w:autoSpaceDN w:val="0"/>
              <w:adjustRightInd w:val="0"/>
              <w:rPr>
                <w:rFonts w:eastAsiaTheme="minorEastAsia" w:cs="Calibri"/>
                <w:color w:val="000000"/>
                <w:szCs w:val="20"/>
                <w:lang w:eastAsia="en-AU"/>
              </w:rPr>
            </w:pPr>
            <w:r w:rsidRPr="00023820">
              <w:rPr>
                <w:rFonts w:eastAsiaTheme="minorEastAsia" w:cs="Calibri"/>
                <w:color w:val="000000"/>
                <w:szCs w:val="21"/>
                <w:lang w:eastAsia="en-AU"/>
              </w:rPr>
              <w:t xml:space="preserve">Net result for </w:t>
            </w:r>
            <w:r w:rsidRPr="00023820">
              <w:rPr>
                <w:rFonts w:eastAsiaTheme="minorEastAsia" w:cs="Calibri"/>
                <w:color w:val="000000"/>
                <w:szCs w:val="20"/>
                <w:lang w:eastAsia="en-AU"/>
              </w:rPr>
              <w:t>the year</w:t>
            </w:r>
          </w:p>
        </w:tc>
        <w:tc>
          <w:tcPr>
            <w:tcW w:w="1276"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(106)</w:t>
            </w:r>
          </w:p>
        </w:tc>
        <w:tc>
          <w:tcPr>
            <w:tcW w:w="1814"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4677" w:type="dxa"/>
            <w:tcBorders>
              <w:top w:val="nil"/>
              <w:left w:val="nil"/>
              <w:bottom w:val="nil"/>
              <w:right w:val="nil"/>
            </w:tcBorders>
          </w:tcPr>
          <w:p w:rsidR="00A46DCA" w:rsidRPr="00023820" w:rsidRDefault="00A46DCA" w:rsidP="00A26D04">
            <w:pPr>
              <w:keepLines w:val="0"/>
              <w:autoSpaceDE w:val="0"/>
              <w:autoSpaceDN w:val="0"/>
              <w:adjustRightInd w:val="0"/>
              <w:rPr>
                <w:rFonts w:eastAsiaTheme="minorEastAsia" w:cs="Calibri"/>
                <w:color w:val="000000"/>
                <w:szCs w:val="21"/>
                <w:lang w:eastAsia="en-AU"/>
              </w:rPr>
            </w:pPr>
            <w:r w:rsidRPr="00023820">
              <w:rPr>
                <w:rFonts w:eastAsiaTheme="minorEastAsia" w:cs="Calibri"/>
                <w:color w:val="000000"/>
                <w:szCs w:val="21"/>
                <w:lang w:eastAsia="en-AU"/>
              </w:rPr>
              <w:t>Other comprehensive income for the year</w:t>
            </w:r>
          </w:p>
        </w:tc>
        <w:tc>
          <w:tcPr>
            <w:tcW w:w="1276"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w:t>
            </w:r>
          </w:p>
        </w:tc>
        <w:tc>
          <w:tcPr>
            <w:tcW w:w="1814"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4677" w:type="dxa"/>
            <w:tcBorders>
              <w:top w:val="nil"/>
              <w:left w:val="nil"/>
              <w:bottom w:val="nil"/>
              <w:right w:val="nil"/>
            </w:tcBorders>
          </w:tcPr>
          <w:p w:rsidR="00A46DCA" w:rsidRPr="00023820" w:rsidRDefault="00A46DCA" w:rsidP="00A26D04">
            <w:pPr>
              <w:keepLines w:val="0"/>
              <w:autoSpaceDE w:val="0"/>
              <w:autoSpaceDN w:val="0"/>
              <w:adjustRightInd w:val="0"/>
              <w:rPr>
                <w:rFonts w:eastAsiaTheme="minorEastAsia" w:cs="Calibri"/>
                <w:color w:val="000000"/>
                <w:szCs w:val="21"/>
                <w:lang w:eastAsia="en-AU"/>
              </w:rPr>
            </w:pPr>
            <w:r w:rsidRPr="00023820">
              <w:rPr>
                <w:rFonts w:eastAsiaTheme="minorEastAsia" w:cs="Calibri"/>
                <w:color w:val="000000"/>
                <w:szCs w:val="21"/>
                <w:lang w:eastAsia="en-AU"/>
              </w:rPr>
              <w:t>Dividends paid</w:t>
            </w:r>
          </w:p>
        </w:tc>
        <w:tc>
          <w:tcPr>
            <w:tcW w:w="1276"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(92)</w:t>
            </w:r>
          </w:p>
        </w:tc>
        <w:tc>
          <w:tcPr>
            <w:tcW w:w="1814"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4677" w:type="dxa"/>
            <w:tcBorders>
              <w:top w:val="nil"/>
              <w:left w:val="nil"/>
              <w:bottom w:val="nil"/>
              <w:right w:val="nil"/>
            </w:tcBorders>
          </w:tcPr>
          <w:p w:rsidR="00A46DCA" w:rsidRPr="00023820" w:rsidRDefault="00A46DCA" w:rsidP="00A26D04">
            <w:pPr>
              <w:keepLines w:val="0"/>
              <w:autoSpaceDE w:val="0"/>
              <w:autoSpaceDN w:val="0"/>
              <w:adjustRightInd w:val="0"/>
              <w:rPr>
                <w:rFonts w:eastAsiaTheme="minorEastAsia" w:cs="Calibri"/>
                <w:color w:val="000000"/>
                <w:szCs w:val="21"/>
                <w:lang w:eastAsia="en-AU"/>
              </w:rPr>
            </w:pPr>
            <w:r w:rsidRPr="00023820">
              <w:rPr>
                <w:rFonts w:eastAsiaTheme="minorEastAsia" w:cs="Calibri"/>
                <w:color w:val="000000"/>
                <w:szCs w:val="21"/>
                <w:lang w:eastAsia="en-AU"/>
              </w:rPr>
              <w:t>Transfer to/(from) accumulated surplus</w:t>
            </w:r>
          </w:p>
        </w:tc>
        <w:tc>
          <w:tcPr>
            <w:tcW w:w="1276"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(600)</w:t>
            </w:r>
          </w:p>
        </w:tc>
        <w:tc>
          <w:tcPr>
            <w:tcW w:w="1814"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sidRPr="00023820">
              <w:rPr>
                <w:rFonts w:eastAsiaTheme="minorEastAsia" w:cs="Calibri"/>
                <w:color w:val="000000"/>
                <w:szCs w:val="21"/>
                <w:lang w:eastAsia="en-AU"/>
              </w:rPr>
              <w:t>600</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4677" w:type="dxa"/>
            <w:tcBorders>
              <w:top w:val="nil"/>
              <w:left w:val="nil"/>
              <w:bottom w:val="nil"/>
              <w:right w:val="nil"/>
            </w:tcBorders>
          </w:tcPr>
          <w:p w:rsidR="00A46DCA" w:rsidRPr="00023820" w:rsidRDefault="00A46DCA" w:rsidP="00A26D04">
            <w:pPr>
              <w:keepLines w:val="0"/>
              <w:autoSpaceDE w:val="0"/>
              <w:autoSpaceDN w:val="0"/>
              <w:adjustRightInd w:val="0"/>
              <w:rPr>
                <w:rFonts w:eastAsiaTheme="minorEastAsia" w:cs="Calibri"/>
                <w:color w:val="000000"/>
                <w:szCs w:val="21"/>
                <w:lang w:eastAsia="en-AU"/>
              </w:rPr>
            </w:pPr>
            <w:r w:rsidRPr="00023820">
              <w:rPr>
                <w:rFonts w:eastAsiaTheme="minorEastAsia" w:cs="Calibri"/>
                <w:color w:val="000000"/>
                <w:szCs w:val="21"/>
                <w:lang w:eastAsia="en-AU"/>
              </w:rPr>
              <w:t>Transactions with owners in their capacity as owners</w:t>
            </w:r>
          </w:p>
        </w:tc>
        <w:tc>
          <w:tcPr>
            <w:tcW w:w="1276"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w:t>
            </w:r>
          </w:p>
        </w:tc>
        <w:tc>
          <w:tcPr>
            <w:tcW w:w="1814"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(600)</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4677" w:type="dxa"/>
            <w:tcBorders>
              <w:top w:val="single" w:sz="6" w:space="0" w:color="000000"/>
              <w:left w:val="nil"/>
              <w:bottom w:val="single" w:sz="12" w:space="0" w:color="000000"/>
              <w:right w:val="nil"/>
            </w:tcBorders>
          </w:tcPr>
          <w:p w:rsidR="00A46DCA" w:rsidRPr="00023820" w:rsidRDefault="00A46DCA" w:rsidP="00A26D04">
            <w:pPr>
              <w:keepLines w:val="0"/>
              <w:autoSpaceDE w:val="0"/>
              <w:autoSpaceDN w:val="0"/>
              <w:adjustRightInd w:val="0"/>
              <w:rPr>
                <w:rFonts w:eastAsiaTheme="minorEastAsia" w:cs="Calibri"/>
                <w:b/>
                <w:bCs/>
                <w:color w:val="000000"/>
                <w:szCs w:val="21"/>
                <w:lang w:eastAsia="en-AU"/>
              </w:rPr>
            </w:pPr>
            <w:r w:rsidRPr="00023820">
              <w:rPr>
                <w:rFonts w:eastAsiaTheme="minorEastAsia" w:cs="Calibri"/>
                <w:b/>
                <w:bCs/>
                <w:color w:val="000000"/>
                <w:szCs w:val="21"/>
                <w:lang w:eastAsia="en-AU"/>
              </w:rPr>
              <w:t>Total equity as at 30 June 2019</w:t>
            </w:r>
          </w:p>
        </w:tc>
        <w:tc>
          <w:tcPr>
            <w:tcW w:w="1276" w:type="dxa"/>
            <w:tcBorders>
              <w:top w:val="single" w:sz="6" w:space="0" w:color="000000"/>
              <w:left w:val="nil"/>
              <w:bottom w:val="single" w:sz="12" w:space="0" w:color="000000"/>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1"/>
                <w:lang w:eastAsia="en-AU"/>
              </w:rPr>
            </w:pPr>
            <w:r>
              <w:rPr>
                <w:rFonts w:eastAsiaTheme="minorEastAsia" w:cs="Calibri"/>
                <w:b/>
                <w:bCs/>
                <w:color w:val="000000"/>
                <w:szCs w:val="21"/>
                <w:lang w:eastAsia="en-AU"/>
              </w:rPr>
              <w:t>(563)</w:t>
            </w:r>
          </w:p>
        </w:tc>
        <w:tc>
          <w:tcPr>
            <w:tcW w:w="1814" w:type="dxa"/>
            <w:tcBorders>
              <w:top w:val="single" w:sz="6" w:space="0" w:color="000000"/>
              <w:left w:val="nil"/>
              <w:bottom w:val="single" w:sz="12" w:space="0" w:color="000000"/>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1"/>
                <w:lang w:eastAsia="en-AU"/>
              </w:rPr>
            </w:pPr>
            <w:r w:rsidRPr="00023820">
              <w:rPr>
                <w:rFonts w:eastAsiaTheme="minorEastAsia" w:cs="Calibri"/>
                <w:b/>
                <w:bCs/>
                <w:color w:val="000000"/>
                <w:szCs w:val="21"/>
                <w:lang w:eastAsia="en-AU"/>
              </w:rPr>
              <w:t>49</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4677" w:type="dxa"/>
            <w:tcBorders>
              <w:top w:val="nil"/>
              <w:left w:val="nil"/>
              <w:bottom w:val="nil"/>
              <w:right w:val="nil"/>
            </w:tcBorders>
          </w:tcPr>
          <w:p w:rsidR="00A46DCA" w:rsidRPr="00023820" w:rsidRDefault="00A46DCA" w:rsidP="00A26D04">
            <w:pPr>
              <w:keepLines w:val="0"/>
              <w:autoSpaceDE w:val="0"/>
              <w:autoSpaceDN w:val="0"/>
              <w:adjustRightInd w:val="0"/>
              <w:rPr>
                <w:rFonts w:eastAsiaTheme="minorEastAsia" w:cs="Calibri"/>
                <w:b/>
                <w:bCs/>
                <w:color w:val="000000"/>
                <w:szCs w:val="20"/>
                <w:lang w:eastAsia="en-AU"/>
              </w:rPr>
            </w:pPr>
            <w:r w:rsidRPr="00023820">
              <w:rPr>
                <w:rFonts w:eastAsiaTheme="minorEastAsia" w:cs="Calibri"/>
                <w:b/>
                <w:bCs/>
                <w:color w:val="000000"/>
                <w:szCs w:val="20"/>
                <w:lang w:eastAsia="en-AU"/>
              </w:rPr>
              <w:t>2019-20 estimate</w:t>
            </w:r>
          </w:p>
        </w:tc>
        <w:tc>
          <w:tcPr>
            <w:tcW w:w="1276"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1"/>
                <w:lang w:eastAsia="en-AU"/>
              </w:rPr>
            </w:pPr>
            <w:r w:rsidRPr="00023820">
              <w:rPr>
                <w:rFonts w:eastAsiaTheme="minorEastAsia" w:cs="Calibri"/>
                <w:b/>
                <w:bCs/>
                <w:color w:val="000000"/>
                <w:szCs w:val="21"/>
                <w:lang w:eastAsia="en-AU"/>
              </w:rPr>
              <w:t xml:space="preserve"> </w:t>
            </w:r>
          </w:p>
        </w:tc>
        <w:tc>
          <w:tcPr>
            <w:tcW w:w="1814"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1"/>
                <w:lang w:eastAsia="en-AU"/>
              </w:rPr>
            </w:pPr>
            <w:r w:rsidRPr="00023820">
              <w:rPr>
                <w:rFonts w:eastAsiaTheme="minorEastAsia" w:cs="Calibri"/>
                <w:b/>
                <w:bCs/>
                <w:color w:val="000000"/>
                <w:szCs w:val="21"/>
                <w:lang w:eastAsia="en-AU"/>
              </w:rPr>
              <w:t xml:space="preserve"> </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4677" w:type="dxa"/>
            <w:tcBorders>
              <w:top w:val="nil"/>
              <w:left w:val="nil"/>
              <w:bottom w:val="nil"/>
              <w:right w:val="nil"/>
            </w:tcBorders>
          </w:tcPr>
          <w:p w:rsidR="00A46DCA" w:rsidRPr="00023820" w:rsidRDefault="00A46DCA" w:rsidP="00A26D04">
            <w:pPr>
              <w:keepLines w:val="0"/>
              <w:autoSpaceDE w:val="0"/>
              <w:autoSpaceDN w:val="0"/>
              <w:adjustRightInd w:val="0"/>
              <w:rPr>
                <w:rFonts w:eastAsiaTheme="minorEastAsia" w:cs="Calibri"/>
                <w:color w:val="000000"/>
                <w:szCs w:val="21"/>
                <w:lang w:eastAsia="en-AU"/>
              </w:rPr>
            </w:pPr>
            <w:r w:rsidRPr="00023820">
              <w:rPr>
                <w:rFonts w:eastAsiaTheme="minorEastAsia" w:cs="Calibri"/>
                <w:color w:val="000000"/>
                <w:szCs w:val="21"/>
                <w:lang w:eastAsia="en-AU"/>
              </w:rPr>
              <w:t>Balance at 1 July 2019</w:t>
            </w:r>
          </w:p>
        </w:tc>
        <w:tc>
          <w:tcPr>
            <w:tcW w:w="1276"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(563)</w:t>
            </w:r>
          </w:p>
        </w:tc>
        <w:tc>
          <w:tcPr>
            <w:tcW w:w="1814"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sidRPr="00023820">
              <w:rPr>
                <w:rFonts w:eastAsiaTheme="minorEastAsia" w:cs="Calibri"/>
                <w:color w:val="000000"/>
                <w:szCs w:val="21"/>
                <w:lang w:eastAsia="en-AU"/>
              </w:rPr>
              <w:t>49</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4677" w:type="dxa"/>
            <w:tcBorders>
              <w:top w:val="nil"/>
              <w:left w:val="nil"/>
              <w:bottom w:val="nil"/>
              <w:right w:val="nil"/>
            </w:tcBorders>
          </w:tcPr>
          <w:p w:rsidR="00A46DCA" w:rsidRPr="00023820" w:rsidRDefault="00A46DCA" w:rsidP="00A26D04">
            <w:pPr>
              <w:keepLines w:val="0"/>
              <w:autoSpaceDE w:val="0"/>
              <w:autoSpaceDN w:val="0"/>
              <w:adjustRightInd w:val="0"/>
              <w:rPr>
                <w:rFonts w:eastAsiaTheme="minorEastAsia" w:cs="Calibri"/>
                <w:color w:val="000000"/>
                <w:szCs w:val="20"/>
                <w:lang w:eastAsia="en-AU"/>
              </w:rPr>
            </w:pPr>
            <w:r w:rsidRPr="00023820">
              <w:rPr>
                <w:rFonts w:eastAsiaTheme="minorEastAsia" w:cs="Calibri"/>
                <w:color w:val="000000"/>
                <w:szCs w:val="21"/>
                <w:lang w:eastAsia="en-AU"/>
              </w:rPr>
              <w:t xml:space="preserve">Net result for </w:t>
            </w:r>
            <w:r w:rsidRPr="00023820">
              <w:rPr>
                <w:rFonts w:eastAsiaTheme="minorEastAsia" w:cs="Calibri"/>
                <w:color w:val="000000"/>
                <w:szCs w:val="20"/>
                <w:lang w:eastAsia="en-AU"/>
              </w:rPr>
              <w:t>the year</w:t>
            </w:r>
          </w:p>
        </w:tc>
        <w:tc>
          <w:tcPr>
            <w:tcW w:w="1276"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(76)</w:t>
            </w:r>
          </w:p>
        </w:tc>
        <w:tc>
          <w:tcPr>
            <w:tcW w:w="1814"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4677" w:type="dxa"/>
            <w:tcBorders>
              <w:top w:val="nil"/>
              <w:left w:val="nil"/>
              <w:bottom w:val="nil"/>
              <w:right w:val="nil"/>
            </w:tcBorders>
          </w:tcPr>
          <w:p w:rsidR="00A46DCA" w:rsidRPr="00023820" w:rsidRDefault="00A46DCA" w:rsidP="00A26D04">
            <w:pPr>
              <w:keepLines w:val="0"/>
              <w:autoSpaceDE w:val="0"/>
              <w:autoSpaceDN w:val="0"/>
              <w:adjustRightInd w:val="0"/>
              <w:rPr>
                <w:rFonts w:eastAsiaTheme="minorEastAsia" w:cs="Calibri"/>
                <w:color w:val="000000"/>
                <w:szCs w:val="21"/>
                <w:lang w:eastAsia="en-AU"/>
              </w:rPr>
            </w:pPr>
            <w:r w:rsidRPr="00023820">
              <w:rPr>
                <w:rFonts w:eastAsiaTheme="minorEastAsia" w:cs="Calibri"/>
                <w:color w:val="000000"/>
                <w:szCs w:val="21"/>
                <w:lang w:eastAsia="en-AU"/>
              </w:rPr>
              <w:t>Other comprehensive income for the year</w:t>
            </w:r>
          </w:p>
        </w:tc>
        <w:tc>
          <w:tcPr>
            <w:tcW w:w="1276"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w:t>
            </w:r>
          </w:p>
        </w:tc>
        <w:tc>
          <w:tcPr>
            <w:tcW w:w="1814"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4677" w:type="dxa"/>
            <w:tcBorders>
              <w:top w:val="nil"/>
              <w:left w:val="nil"/>
              <w:bottom w:val="nil"/>
              <w:right w:val="nil"/>
            </w:tcBorders>
          </w:tcPr>
          <w:p w:rsidR="00A46DCA" w:rsidRPr="00023820" w:rsidRDefault="00A46DCA" w:rsidP="00A26D04">
            <w:pPr>
              <w:keepLines w:val="0"/>
              <w:autoSpaceDE w:val="0"/>
              <w:autoSpaceDN w:val="0"/>
              <w:adjustRightInd w:val="0"/>
              <w:rPr>
                <w:rFonts w:eastAsiaTheme="minorEastAsia" w:cs="Calibri"/>
                <w:color w:val="000000"/>
                <w:szCs w:val="21"/>
                <w:lang w:eastAsia="en-AU"/>
              </w:rPr>
            </w:pPr>
            <w:r w:rsidRPr="00023820">
              <w:rPr>
                <w:rFonts w:eastAsiaTheme="minorEastAsia" w:cs="Calibri"/>
                <w:color w:val="000000"/>
                <w:szCs w:val="21"/>
                <w:lang w:eastAsia="en-AU"/>
              </w:rPr>
              <w:t>Dividends paid</w:t>
            </w:r>
          </w:p>
        </w:tc>
        <w:tc>
          <w:tcPr>
            <w:tcW w:w="1276"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(70)</w:t>
            </w:r>
          </w:p>
        </w:tc>
        <w:tc>
          <w:tcPr>
            <w:tcW w:w="1814"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4677" w:type="dxa"/>
            <w:tcBorders>
              <w:top w:val="nil"/>
              <w:left w:val="nil"/>
              <w:bottom w:val="nil"/>
              <w:right w:val="nil"/>
            </w:tcBorders>
          </w:tcPr>
          <w:p w:rsidR="00A46DCA" w:rsidRPr="00023820" w:rsidRDefault="00A46DCA" w:rsidP="00A26D04">
            <w:pPr>
              <w:keepLines w:val="0"/>
              <w:autoSpaceDE w:val="0"/>
              <w:autoSpaceDN w:val="0"/>
              <w:adjustRightInd w:val="0"/>
              <w:rPr>
                <w:rFonts w:eastAsiaTheme="minorEastAsia" w:cs="Calibri"/>
                <w:color w:val="000000"/>
                <w:szCs w:val="21"/>
                <w:lang w:eastAsia="en-AU"/>
              </w:rPr>
            </w:pPr>
            <w:r w:rsidRPr="00023820">
              <w:rPr>
                <w:rFonts w:eastAsiaTheme="minorEastAsia" w:cs="Calibri"/>
                <w:color w:val="000000"/>
                <w:szCs w:val="21"/>
                <w:lang w:eastAsia="en-AU"/>
              </w:rPr>
              <w:t>Transfer to/(from) accumulated surplus</w:t>
            </w:r>
          </w:p>
        </w:tc>
        <w:tc>
          <w:tcPr>
            <w:tcW w:w="1276"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(600)</w:t>
            </w:r>
          </w:p>
        </w:tc>
        <w:tc>
          <w:tcPr>
            <w:tcW w:w="1814"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sidRPr="00023820">
              <w:rPr>
                <w:rFonts w:eastAsiaTheme="minorEastAsia" w:cs="Calibri"/>
                <w:color w:val="000000"/>
                <w:szCs w:val="21"/>
                <w:lang w:eastAsia="en-AU"/>
              </w:rPr>
              <w:t>600</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4677" w:type="dxa"/>
            <w:tcBorders>
              <w:top w:val="nil"/>
              <w:left w:val="nil"/>
              <w:bottom w:val="nil"/>
              <w:right w:val="nil"/>
            </w:tcBorders>
          </w:tcPr>
          <w:p w:rsidR="00A46DCA" w:rsidRPr="00023820" w:rsidRDefault="00A46DCA" w:rsidP="00A26D04">
            <w:pPr>
              <w:keepLines w:val="0"/>
              <w:autoSpaceDE w:val="0"/>
              <w:autoSpaceDN w:val="0"/>
              <w:adjustRightInd w:val="0"/>
              <w:rPr>
                <w:rFonts w:eastAsiaTheme="minorEastAsia" w:cs="Calibri"/>
                <w:color w:val="000000"/>
                <w:szCs w:val="21"/>
                <w:lang w:eastAsia="en-AU"/>
              </w:rPr>
            </w:pPr>
            <w:r w:rsidRPr="00023820">
              <w:rPr>
                <w:rFonts w:eastAsiaTheme="minorEastAsia" w:cs="Calibri"/>
                <w:color w:val="000000"/>
                <w:szCs w:val="21"/>
                <w:lang w:eastAsia="en-AU"/>
              </w:rPr>
              <w:t>Transactions with owners in their capacity as owners</w:t>
            </w:r>
          </w:p>
        </w:tc>
        <w:tc>
          <w:tcPr>
            <w:tcW w:w="1276"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w:t>
            </w:r>
          </w:p>
        </w:tc>
        <w:tc>
          <w:tcPr>
            <w:tcW w:w="1814"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(600)</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4677" w:type="dxa"/>
            <w:tcBorders>
              <w:top w:val="single" w:sz="6" w:space="0" w:color="000000"/>
              <w:left w:val="nil"/>
              <w:bottom w:val="single" w:sz="12" w:space="0" w:color="000000"/>
              <w:right w:val="nil"/>
            </w:tcBorders>
          </w:tcPr>
          <w:p w:rsidR="00A46DCA" w:rsidRPr="00023820" w:rsidRDefault="00A46DCA" w:rsidP="00A26D04">
            <w:pPr>
              <w:keepLines w:val="0"/>
              <w:autoSpaceDE w:val="0"/>
              <w:autoSpaceDN w:val="0"/>
              <w:adjustRightInd w:val="0"/>
              <w:rPr>
                <w:rFonts w:eastAsiaTheme="minorEastAsia" w:cs="Calibri"/>
                <w:b/>
                <w:bCs/>
                <w:color w:val="000000"/>
                <w:szCs w:val="21"/>
                <w:lang w:eastAsia="en-AU"/>
              </w:rPr>
            </w:pPr>
            <w:r w:rsidRPr="00023820">
              <w:rPr>
                <w:rFonts w:eastAsiaTheme="minorEastAsia" w:cs="Calibri"/>
                <w:b/>
                <w:bCs/>
                <w:color w:val="000000"/>
                <w:szCs w:val="21"/>
                <w:lang w:eastAsia="en-AU"/>
              </w:rPr>
              <w:t>Total equity as at 30 June 2020</w:t>
            </w:r>
          </w:p>
        </w:tc>
        <w:tc>
          <w:tcPr>
            <w:tcW w:w="1276" w:type="dxa"/>
            <w:tcBorders>
              <w:top w:val="single" w:sz="6" w:space="0" w:color="000000"/>
              <w:left w:val="nil"/>
              <w:bottom w:val="single" w:sz="12" w:space="0" w:color="000000"/>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1"/>
                <w:lang w:eastAsia="en-AU"/>
              </w:rPr>
            </w:pPr>
            <w:r>
              <w:rPr>
                <w:rFonts w:eastAsiaTheme="minorEastAsia" w:cs="Calibri"/>
                <w:b/>
                <w:bCs/>
                <w:color w:val="000000"/>
                <w:szCs w:val="21"/>
                <w:lang w:eastAsia="en-AU"/>
              </w:rPr>
              <w:t>(1 309)</w:t>
            </w:r>
          </w:p>
        </w:tc>
        <w:tc>
          <w:tcPr>
            <w:tcW w:w="1814" w:type="dxa"/>
            <w:tcBorders>
              <w:top w:val="single" w:sz="6" w:space="0" w:color="000000"/>
              <w:left w:val="nil"/>
              <w:bottom w:val="single" w:sz="12" w:space="0" w:color="000000"/>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1"/>
                <w:lang w:eastAsia="en-AU"/>
              </w:rPr>
            </w:pPr>
            <w:r w:rsidRPr="00023820">
              <w:rPr>
                <w:rFonts w:eastAsiaTheme="minorEastAsia" w:cs="Calibri"/>
                <w:b/>
                <w:bCs/>
                <w:color w:val="000000"/>
                <w:szCs w:val="21"/>
                <w:lang w:eastAsia="en-AU"/>
              </w:rPr>
              <w:t>49</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4677" w:type="dxa"/>
            <w:tcBorders>
              <w:top w:val="nil"/>
              <w:left w:val="nil"/>
              <w:bottom w:val="nil"/>
              <w:right w:val="nil"/>
            </w:tcBorders>
          </w:tcPr>
          <w:p w:rsidR="00A46DCA" w:rsidRPr="00023820" w:rsidRDefault="00A46DCA" w:rsidP="00A26D04">
            <w:pPr>
              <w:keepLines w:val="0"/>
              <w:autoSpaceDE w:val="0"/>
              <w:autoSpaceDN w:val="0"/>
              <w:adjustRightInd w:val="0"/>
              <w:rPr>
                <w:rFonts w:eastAsiaTheme="minorEastAsia" w:cs="Calibri"/>
                <w:b/>
                <w:bCs/>
                <w:color w:val="000000"/>
                <w:szCs w:val="20"/>
                <w:lang w:eastAsia="en-AU"/>
              </w:rPr>
            </w:pPr>
            <w:r w:rsidRPr="00023820">
              <w:rPr>
                <w:rFonts w:eastAsiaTheme="minorEastAsia" w:cs="Calibri"/>
                <w:b/>
                <w:bCs/>
                <w:color w:val="000000"/>
                <w:szCs w:val="20"/>
                <w:lang w:eastAsia="en-AU"/>
              </w:rPr>
              <w:t>2020-21 estimate</w:t>
            </w:r>
          </w:p>
        </w:tc>
        <w:tc>
          <w:tcPr>
            <w:tcW w:w="1276"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1"/>
                <w:lang w:eastAsia="en-AU"/>
              </w:rPr>
            </w:pPr>
            <w:r w:rsidRPr="00023820">
              <w:rPr>
                <w:rFonts w:eastAsiaTheme="minorEastAsia" w:cs="Calibri"/>
                <w:b/>
                <w:bCs/>
                <w:color w:val="000000"/>
                <w:szCs w:val="21"/>
                <w:lang w:eastAsia="en-AU"/>
              </w:rPr>
              <w:t xml:space="preserve"> </w:t>
            </w:r>
          </w:p>
        </w:tc>
        <w:tc>
          <w:tcPr>
            <w:tcW w:w="1814"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1"/>
                <w:lang w:eastAsia="en-AU"/>
              </w:rPr>
            </w:pPr>
            <w:r w:rsidRPr="00023820">
              <w:rPr>
                <w:rFonts w:eastAsiaTheme="minorEastAsia" w:cs="Calibri"/>
                <w:b/>
                <w:bCs/>
                <w:color w:val="000000"/>
                <w:szCs w:val="21"/>
                <w:lang w:eastAsia="en-AU"/>
              </w:rPr>
              <w:t xml:space="preserve"> </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4677" w:type="dxa"/>
            <w:tcBorders>
              <w:top w:val="nil"/>
              <w:left w:val="nil"/>
              <w:bottom w:val="nil"/>
              <w:right w:val="nil"/>
            </w:tcBorders>
          </w:tcPr>
          <w:p w:rsidR="00A46DCA" w:rsidRPr="00023820" w:rsidRDefault="00A46DCA" w:rsidP="00A26D04">
            <w:pPr>
              <w:keepLines w:val="0"/>
              <w:autoSpaceDE w:val="0"/>
              <w:autoSpaceDN w:val="0"/>
              <w:adjustRightInd w:val="0"/>
              <w:rPr>
                <w:rFonts w:eastAsiaTheme="minorEastAsia" w:cs="Calibri"/>
                <w:color w:val="000000"/>
                <w:szCs w:val="21"/>
                <w:lang w:eastAsia="en-AU"/>
              </w:rPr>
            </w:pPr>
            <w:r w:rsidRPr="00023820">
              <w:rPr>
                <w:rFonts w:eastAsiaTheme="minorEastAsia" w:cs="Calibri"/>
                <w:color w:val="000000"/>
                <w:szCs w:val="21"/>
                <w:lang w:eastAsia="en-AU"/>
              </w:rPr>
              <w:t>Balance at 1 July 2020</w:t>
            </w:r>
          </w:p>
        </w:tc>
        <w:tc>
          <w:tcPr>
            <w:tcW w:w="1276"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(1 309)</w:t>
            </w:r>
          </w:p>
        </w:tc>
        <w:tc>
          <w:tcPr>
            <w:tcW w:w="1814"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sidRPr="00023820">
              <w:rPr>
                <w:rFonts w:eastAsiaTheme="minorEastAsia" w:cs="Calibri"/>
                <w:color w:val="000000"/>
                <w:szCs w:val="21"/>
                <w:lang w:eastAsia="en-AU"/>
              </w:rPr>
              <w:t>49</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4677" w:type="dxa"/>
            <w:tcBorders>
              <w:top w:val="nil"/>
              <w:left w:val="nil"/>
              <w:bottom w:val="nil"/>
              <w:right w:val="nil"/>
            </w:tcBorders>
          </w:tcPr>
          <w:p w:rsidR="00A46DCA" w:rsidRPr="00023820" w:rsidRDefault="00A46DCA" w:rsidP="00A26D04">
            <w:pPr>
              <w:keepLines w:val="0"/>
              <w:autoSpaceDE w:val="0"/>
              <w:autoSpaceDN w:val="0"/>
              <w:adjustRightInd w:val="0"/>
              <w:rPr>
                <w:rFonts w:eastAsiaTheme="minorEastAsia" w:cs="Calibri"/>
                <w:color w:val="000000"/>
                <w:szCs w:val="20"/>
                <w:lang w:eastAsia="en-AU"/>
              </w:rPr>
            </w:pPr>
            <w:r w:rsidRPr="00023820">
              <w:rPr>
                <w:rFonts w:eastAsiaTheme="minorEastAsia" w:cs="Calibri"/>
                <w:color w:val="000000"/>
                <w:szCs w:val="21"/>
                <w:lang w:eastAsia="en-AU"/>
              </w:rPr>
              <w:t xml:space="preserve">Net result for </w:t>
            </w:r>
            <w:r w:rsidRPr="00023820">
              <w:rPr>
                <w:rFonts w:eastAsiaTheme="minorEastAsia" w:cs="Calibri"/>
                <w:color w:val="000000"/>
                <w:szCs w:val="20"/>
                <w:lang w:eastAsia="en-AU"/>
              </w:rPr>
              <w:t>the year</w:t>
            </w:r>
          </w:p>
        </w:tc>
        <w:tc>
          <w:tcPr>
            <w:tcW w:w="1276"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sidRPr="00023820">
              <w:rPr>
                <w:rFonts w:eastAsiaTheme="minorEastAsia" w:cs="Calibri"/>
                <w:color w:val="000000"/>
                <w:szCs w:val="21"/>
                <w:lang w:eastAsia="en-AU"/>
              </w:rPr>
              <w:t>81</w:t>
            </w:r>
          </w:p>
        </w:tc>
        <w:tc>
          <w:tcPr>
            <w:tcW w:w="1814"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4677" w:type="dxa"/>
            <w:tcBorders>
              <w:top w:val="nil"/>
              <w:left w:val="nil"/>
              <w:bottom w:val="nil"/>
              <w:right w:val="nil"/>
            </w:tcBorders>
          </w:tcPr>
          <w:p w:rsidR="00A46DCA" w:rsidRPr="00023820" w:rsidRDefault="00A46DCA" w:rsidP="00A26D04">
            <w:pPr>
              <w:keepLines w:val="0"/>
              <w:autoSpaceDE w:val="0"/>
              <w:autoSpaceDN w:val="0"/>
              <w:adjustRightInd w:val="0"/>
              <w:rPr>
                <w:rFonts w:eastAsiaTheme="minorEastAsia" w:cs="Calibri"/>
                <w:color w:val="000000"/>
                <w:szCs w:val="21"/>
                <w:lang w:eastAsia="en-AU"/>
              </w:rPr>
            </w:pPr>
            <w:r w:rsidRPr="00023820">
              <w:rPr>
                <w:rFonts w:eastAsiaTheme="minorEastAsia" w:cs="Calibri"/>
                <w:color w:val="000000"/>
                <w:szCs w:val="21"/>
                <w:lang w:eastAsia="en-AU"/>
              </w:rPr>
              <w:t>Other comprehensive income for the year</w:t>
            </w:r>
          </w:p>
        </w:tc>
        <w:tc>
          <w:tcPr>
            <w:tcW w:w="1276"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w:t>
            </w:r>
          </w:p>
        </w:tc>
        <w:tc>
          <w:tcPr>
            <w:tcW w:w="1814"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4677" w:type="dxa"/>
            <w:tcBorders>
              <w:top w:val="nil"/>
              <w:left w:val="nil"/>
              <w:bottom w:val="nil"/>
              <w:right w:val="nil"/>
            </w:tcBorders>
          </w:tcPr>
          <w:p w:rsidR="00A46DCA" w:rsidRPr="00023820" w:rsidRDefault="00A46DCA" w:rsidP="00A26D04">
            <w:pPr>
              <w:keepLines w:val="0"/>
              <w:autoSpaceDE w:val="0"/>
              <w:autoSpaceDN w:val="0"/>
              <w:adjustRightInd w:val="0"/>
              <w:rPr>
                <w:rFonts w:eastAsiaTheme="minorEastAsia" w:cs="Calibri"/>
                <w:color w:val="000000"/>
                <w:szCs w:val="21"/>
                <w:lang w:eastAsia="en-AU"/>
              </w:rPr>
            </w:pPr>
            <w:r w:rsidRPr="00023820">
              <w:rPr>
                <w:rFonts w:eastAsiaTheme="minorEastAsia" w:cs="Calibri"/>
                <w:color w:val="000000"/>
                <w:szCs w:val="21"/>
                <w:lang w:eastAsia="en-AU"/>
              </w:rPr>
              <w:t>Dividends paid</w:t>
            </w:r>
          </w:p>
        </w:tc>
        <w:tc>
          <w:tcPr>
            <w:tcW w:w="1276"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(80)</w:t>
            </w:r>
          </w:p>
        </w:tc>
        <w:tc>
          <w:tcPr>
            <w:tcW w:w="1814"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4677" w:type="dxa"/>
            <w:tcBorders>
              <w:top w:val="nil"/>
              <w:left w:val="nil"/>
              <w:bottom w:val="nil"/>
              <w:right w:val="nil"/>
            </w:tcBorders>
          </w:tcPr>
          <w:p w:rsidR="00A46DCA" w:rsidRPr="00023820" w:rsidRDefault="00A46DCA" w:rsidP="00A26D04">
            <w:pPr>
              <w:keepLines w:val="0"/>
              <w:autoSpaceDE w:val="0"/>
              <w:autoSpaceDN w:val="0"/>
              <w:adjustRightInd w:val="0"/>
              <w:rPr>
                <w:rFonts w:eastAsiaTheme="minorEastAsia" w:cs="Calibri"/>
                <w:color w:val="000000"/>
                <w:szCs w:val="21"/>
                <w:lang w:eastAsia="en-AU"/>
              </w:rPr>
            </w:pPr>
            <w:r w:rsidRPr="00023820">
              <w:rPr>
                <w:rFonts w:eastAsiaTheme="minorEastAsia" w:cs="Calibri"/>
                <w:color w:val="000000"/>
                <w:szCs w:val="21"/>
                <w:lang w:eastAsia="en-AU"/>
              </w:rPr>
              <w:t>Transfer to/(from) accumulated surplus</w:t>
            </w:r>
          </w:p>
        </w:tc>
        <w:tc>
          <w:tcPr>
            <w:tcW w:w="1276"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(1 020)</w:t>
            </w:r>
          </w:p>
        </w:tc>
        <w:tc>
          <w:tcPr>
            <w:tcW w:w="1814"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1 020</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4677" w:type="dxa"/>
            <w:tcBorders>
              <w:top w:val="nil"/>
              <w:left w:val="nil"/>
              <w:bottom w:val="nil"/>
              <w:right w:val="nil"/>
            </w:tcBorders>
          </w:tcPr>
          <w:p w:rsidR="00A46DCA" w:rsidRPr="00023820" w:rsidRDefault="00A46DCA" w:rsidP="00A26D04">
            <w:pPr>
              <w:keepLines w:val="0"/>
              <w:autoSpaceDE w:val="0"/>
              <w:autoSpaceDN w:val="0"/>
              <w:adjustRightInd w:val="0"/>
              <w:rPr>
                <w:rFonts w:eastAsiaTheme="minorEastAsia" w:cs="Calibri"/>
                <w:color w:val="000000"/>
                <w:szCs w:val="21"/>
                <w:lang w:eastAsia="en-AU"/>
              </w:rPr>
            </w:pPr>
            <w:r w:rsidRPr="00023820">
              <w:rPr>
                <w:rFonts w:eastAsiaTheme="minorEastAsia" w:cs="Calibri"/>
                <w:color w:val="000000"/>
                <w:szCs w:val="21"/>
                <w:lang w:eastAsia="en-AU"/>
              </w:rPr>
              <w:t>Transactions with owners in their capacity as owners</w:t>
            </w:r>
          </w:p>
        </w:tc>
        <w:tc>
          <w:tcPr>
            <w:tcW w:w="1276"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w:t>
            </w:r>
          </w:p>
        </w:tc>
        <w:tc>
          <w:tcPr>
            <w:tcW w:w="1814"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(1 020)</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4677" w:type="dxa"/>
            <w:tcBorders>
              <w:top w:val="single" w:sz="6" w:space="0" w:color="000000"/>
              <w:left w:val="nil"/>
              <w:bottom w:val="single" w:sz="12" w:space="0" w:color="000000"/>
              <w:right w:val="nil"/>
            </w:tcBorders>
          </w:tcPr>
          <w:p w:rsidR="00A46DCA" w:rsidRPr="00023820" w:rsidRDefault="00A46DCA" w:rsidP="00A26D04">
            <w:pPr>
              <w:keepLines w:val="0"/>
              <w:autoSpaceDE w:val="0"/>
              <w:autoSpaceDN w:val="0"/>
              <w:adjustRightInd w:val="0"/>
              <w:rPr>
                <w:rFonts w:eastAsiaTheme="minorEastAsia" w:cs="Calibri"/>
                <w:b/>
                <w:bCs/>
                <w:color w:val="000000"/>
                <w:szCs w:val="21"/>
                <w:lang w:eastAsia="en-AU"/>
              </w:rPr>
            </w:pPr>
            <w:r w:rsidRPr="00023820">
              <w:rPr>
                <w:rFonts w:eastAsiaTheme="minorEastAsia" w:cs="Calibri"/>
                <w:b/>
                <w:bCs/>
                <w:color w:val="000000"/>
                <w:szCs w:val="21"/>
                <w:lang w:eastAsia="en-AU"/>
              </w:rPr>
              <w:t>Total equity as at 30 June 2021</w:t>
            </w:r>
          </w:p>
        </w:tc>
        <w:tc>
          <w:tcPr>
            <w:tcW w:w="1276" w:type="dxa"/>
            <w:tcBorders>
              <w:top w:val="single" w:sz="6" w:space="0" w:color="000000"/>
              <w:left w:val="nil"/>
              <w:bottom w:val="single" w:sz="12" w:space="0" w:color="000000"/>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1"/>
                <w:lang w:eastAsia="en-AU"/>
              </w:rPr>
            </w:pPr>
            <w:r>
              <w:rPr>
                <w:rFonts w:eastAsiaTheme="minorEastAsia" w:cs="Calibri"/>
                <w:b/>
                <w:bCs/>
                <w:color w:val="000000"/>
                <w:szCs w:val="21"/>
                <w:lang w:eastAsia="en-AU"/>
              </w:rPr>
              <w:t>(2 328)</w:t>
            </w:r>
          </w:p>
        </w:tc>
        <w:tc>
          <w:tcPr>
            <w:tcW w:w="1814" w:type="dxa"/>
            <w:tcBorders>
              <w:top w:val="single" w:sz="6" w:space="0" w:color="000000"/>
              <w:left w:val="nil"/>
              <w:bottom w:val="single" w:sz="12" w:space="0" w:color="000000"/>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1"/>
                <w:lang w:eastAsia="en-AU"/>
              </w:rPr>
            </w:pPr>
            <w:r w:rsidRPr="00023820">
              <w:rPr>
                <w:rFonts w:eastAsiaTheme="minorEastAsia" w:cs="Calibri"/>
                <w:b/>
                <w:bCs/>
                <w:color w:val="000000"/>
                <w:szCs w:val="21"/>
                <w:lang w:eastAsia="en-AU"/>
              </w:rPr>
              <w:t>49</w:t>
            </w:r>
          </w:p>
        </w:tc>
      </w:tr>
    </w:tbl>
    <w:p w:rsidR="00A46DCA" w:rsidRPr="00203144" w:rsidRDefault="00A46DCA" w:rsidP="00A26D04">
      <w:pPr>
        <w:pStyle w:val="Source"/>
      </w:pPr>
      <w:r w:rsidRPr="00203144">
        <w:t>Source: Department of Treasury and Finance</w:t>
      </w:r>
    </w:p>
    <w:p w:rsidR="00A46DCA" w:rsidRPr="00203144" w:rsidRDefault="00A46DCA" w:rsidP="00A26D04">
      <w:pPr>
        <w:pStyle w:val="Note"/>
      </w:pPr>
      <w:r>
        <w:t>Note</w:t>
      </w:r>
      <w:r w:rsidRPr="00AB0006">
        <w:t>:</w:t>
      </w:r>
    </w:p>
    <w:p w:rsidR="00A46DCA" w:rsidRPr="00A6342E" w:rsidRDefault="00A46DCA" w:rsidP="00A26D04">
      <w:pPr>
        <w:pStyle w:val="Note"/>
        <w:rPr>
          <w:rFonts w:cs="Times New Roman"/>
          <w:lang w:eastAsia="en-AU"/>
        </w:rPr>
      </w:pPr>
      <w:r w:rsidRPr="00FF76EB">
        <w:rPr>
          <w:rFonts w:cs="Times New Roman"/>
          <w:lang w:eastAsia="en-AU"/>
        </w:rPr>
        <w:t>(a)</w:t>
      </w:r>
      <w:r w:rsidRPr="00FF76EB">
        <w:rPr>
          <w:rFonts w:cs="Times New Roman"/>
          <w:lang w:eastAsia="en-AU"/>
        </w:rPr>
        <w:tab/>
      </w:r>
      <w:r w:rsidRPr="00203144">
        <w:rPr>
          <w:rFonts w:cs="Times New Roman"/>
          <w:lang w:eastAsia="en-AU"/>
        </w:rPr>
        <w:t>Balances represent actual opening balances at 1 July 2017 plus 2017-18 budgeted movements.</w:t>
      </w:r>
    </w:p>
    <w:p w:rsidR="00A46DCA" w:rsidRDefault="00A46DCA" w:rsidP="00A26D04"/>
    <w:p w:rsidR="00A46DCA" w:rsidRPr="00023820" w:rsidRDefault="00A46DCA" w:rsidP="00A26D04">
      <w:pPr>
        <w:pStyle w:val="TableHeading"/>
        <w:rPr>
          <w:bCs/>
          <w:lang w:val="en-US"/>
        </w:rPr>
      </w:pPr>
      <w:r>
        <w:lastRenderedPageBreak/>
        <w:br/>
      </w:r>
    </w:p>
    <w:tbl>
      <w:tblPr>
        <w:tblStyle w:val="DTFTable"/>
        <w:tblW w:w="7773" w:type="dxa"/>
        <w:tblInd w:w="45" w:type="dxa"/>
        <w:tblLayout w:type="fixed"/>
        <w:tblCellMar>
          <w:left w:w="45" w:type="dxa"/>
          <w:right w:w="45" w:type="dxa"/>
        </w:tblCellMar>
        <w:tblLook w:val="06A0" w:firstRow="1" w:lastRow="0" w:firstColumn="1" w:lastColumn="0" w:noHBand="1" w:noVBand="1"/>
      </w:tblPr>
      <w:tblGrid>
        <w:gridCol w:w="2591"/>
        <w:gridCol w:w="2591"/>
        <w:gridCol w:w="2591"/>
      </w:tblGrid>
      <w:tr w:rsidR="00A46DCA" w:rsidRPr="00023820" w:rsidTr="008E5E35">
        <w:trPr>
          <w:cnfStyle w:val="100000000000" w:firstRow="1" w:lastRow="0" w:firstColumn="0" w:lastColumn="0" w:oddVBand="0" w:evenVBand="0" w:oddHBand="0" w:evenHBand="0" w:firstRowFirstColumn="0" w:firstRowLastColumn="0" w:lastRowFirstColumn="0" w:lastRowLastColumn="0"/>
          <w:trHeight w:val="101"/>
          <w:tblHeader/>
        </w:trPr>
        <w:tc>
          <w:tcPr>
            <w:cnfStyle w:val="001000000000" w:firstRow="0" w:lastRow="0" w:firstColumn="1" w:lastColumn="0" w:oddVBand="0" w:evenVBand="0" w:oddHBand="0" w:evenHBand="0" w:firstRowFirstColumn="0" w:firstRowLastColumn="0" w:lastRowFirstColumn="0" w:lastRowLastColumn="0"/>
            <w:tcW w:w="2591" w:type="dxa"/>
            <w:tcBorders>
              <w:top w:val="nil"/>
              <w:left w:val="nil"/>
              <w:bottom w:val="nil"/>
              <w:right w:val="nil"/>
            </w:tcBorders>
            <w:shd w:val="solid" w:color="000000" w:fill="auto"/>
          </w:tcPr>
          <w:p w:rsidR="00A46DCA" w:rsidRPr="00023820" w:rsidRDefault="00A46DCA" w:rsidP="00A26D04">
            <w:pPr>
              <w:autoSpaceDE w:val="0"/>
              <w:autoSpaceDN w:val="0"/>
              <w:adjustRightInd w:val="0"/>
              <w:jc w:val="right"/>
              <w:rPr>
                <w:rFonts w:eastAsiaTheme="minorEastAsia" w:cs="Calibri"/>
                <w:iCs/>
                <w:color w:val="FFFFFF"/>
                <w:szCs w:val="21"/>
                <w:lang w:eastAsia="en-AU"/>
              </w:rPr>
            </w:pPr>
            <w:r w:rsidRPr="00023820">
              <w:rPr>
                <w:rFonts w:eastAsiaTheme="minorEastAsia" w:cs="Calibri"/>
                <w:iCs/>
                <w:color w:val="FFFFFF"/>
                <w:szCs w:val="21"/>
                <w:lang w:eastAsia="en-AU"/>
              </w:rPr>
              <w:t xml:space="preserve">Non-financial assets </w:t>
            </w:r>
            <w:r>
              <w:rPr>
                <w:rFonts w:eastAsiaTheme="minorEastAsia" w:cs="Calibri"/>
                <w:iCs/>
                <w:color w:val="FFFFFF"/>
                <w:szCs w:val="21"/>
                <w:lang w:eastAsia="en-AU"/>
              </w:rPr>
              <w:br/>
            </w:r>
            <w:r w:rsidRPr="00023820">
              <w:rPr>
                <w:rFonts w:eastAsiaTheme="minorEastAsia" w:cs="Calibri"/>
                <w:iCs/>
                <w:color w:val="FFFFFF"/>
                <w:szCs w:val="21"/>
                <w:lang w:eastAsia="en-AU"/>
              </w:rPr>
              <w:t>revaluation surplus</w:t>
            </w:r>
          </w:p>
        </w:tc>
        <w:tc>
          <w:tcPr>
            <w:tcW w:w="2591" w:type="dxa"/>
            <w:tcBorders>
              <w:top w:val="nil"/>
              <w:left w:val="nil"/>
              <w:bottom w:val="nil"/>
              <w:right w:val="nil"/>
            </w:tcBorders>
            <w:shd w:val="solid" w:color="000000" w:fill="auto"/>
          </w:tcPr>
          <w:p w:rsidR="00A46DCA" w:rsidRPr="00023820" w:rsidRDefault="00A46DCA" w:rsidP="00A26D0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21"/>
                <w:lang w:eastAsia="en-AU"/>
              </w:rPr>
            </w:pPr>
            <w:r w:rsidRPr="00023820">
              <w:rPr>
                <w:rFonts w:eastAsiaTheme="minorEastAsia" w:cs="Calibri"/>
                <w:iCs/>
                <w:color w:val="FFFFFF"/>
                <w:szCs w:val="21"/>
                <w:lang w:eastAsia="en-AU"/>
              </w:rPr>
              <w:t xml:space="preserve">Other </w:t>
            </w:r>
            <w:r>
              <w:rPr>
                <w:rFonts w:eastAsiaTheme="minorEastAsia" w:cs="Calibri"/>
                <w:iCs/>
                <w:color w:val="FFFFFF"/>
                <w:szCs w:val="21"/>
                <w:lang w:eastAsia="en-AU"/>
              </w:rPr>
              <w:br/>
            </w:r>
            <w:r w:rsidRPr="00023820">
              <w:rPr>
                <w:rFonts w:eastAsiaTheme="minorEastAsia" w:cs="Calibri"/>
                <w:iCs/>
                <w:color w:val="FFFFFF"/>
                <w:szCs w:val="21"/>
                <w:lang w:eastAsia="en-AU"/>
              </w:rPr>
              <w:t>reserves</w:t>
            </w:r>
          </w:p>
        </w:tc>
        <w:tc>
          <w:tcPr>
            <w:tcW w:w="2591" w:type="dxa"/>
            <w:tcBorders>
              <w:top w:val="nil"/>
              <w:left w:val="nil"/>
              <w:bottom w:val="nil"/>
              <w:right w:val="nil"/>
            </w:tcBorders>
            <w:shd w:val="solid" w:color="000000" w:fill="auto"/>
          </w:tcPr>
          <w:p w:rsidR="00A46DCA" w:rsidRPr="00023820" w:rsidRDefault="00A46DCA" w:rsidP="00A26D0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21"/>
                <w:lang w:eastAsia="en-AU"/>
              </w:rPr>
            </w:pPr>
            <w:r w:rsidRPr="00023820">
              <w:rPr>
                <w:rFonts w:eastAsiaTheme="minorEastAsia" w:cs="Calibri"/>
                <w:iCs/>
                <w:color w:val="FFFFFF"/>
                <w:szCs w:val="21"/>
                <w:lang w:eastAsia="en-AU"/>
              </w:rPr>
              <w:t>Total</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2591" w:type="dxa"/>
            <w:tcBorders>
              <w:top w:val="nil"/>
              <w:left w:val="nil"/>
              <w:bottom w:val="nil"/>
              <w:right w:val="nil"/>
            </w:tcBorders>
          </w:tcPr>
          <w:p w:rsidR="00A46DCA" w:rsidRPr="00023820" w:rsidRDefault="00A46DCA" w:rsidP="00A26D04">
            <w:pPr>
              <w:keepLines w:val="0"/>
              <w:autoSpaceDE w:val="0"/>
              <w:autoSpaceDN w:val="0"/>
              <w:adjustRightInd w:val="0"/>
              <w:jc w:val="right"/>
              <w:rPr>
                <w:rFonts w:eastAsiaTheme="minorEastAsia" w:cs="Calibri"/>
                <w:b/>
                <w:bCs/>
                <w:color w:val="000000"/>
                <w:lang w:eastAsia="en-AU"/>
              </w:rPr>
            </w:pPr>
            <w:r w:rsidRPr="00023820">
              <w:rPr>
                <w:rFonts w:eastAsiaTheme="minorEastAsia" w:cs="Calibri"/>
                <w:b/>
                <w:bCs/>
                <w:color w:val="000000"/>
                <w:lang w:eastAsia="en-AU"/>
              </w:rPr>
              <w:t xml:space="preserve"> </w:t>
            </w:r>
          </w:p>
        </w:tc>
        <w:tc>
          <w:tcPr>
            <w:tcW w:w="2591"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1"/>
                <w:lang w:eastAsia="en-AU"/>
              </w:rPr>
            </w:pPr>
            <w:r w:rsidRPr="00023820">
              <w:rPr>
                <w:rFonts w:eastAsiaTheme="minorEastAsia" w:cs="Calibri"/>
                <w:b/>
                <w:bCs/>
                <w:color w:val="000000"/>
                <w:szCs w:val="21"/>
                <w:lang w:eastAsia="en-AU"/>
              </w:rPr>
              <w:t xml:space="preserve"> </w:t>
            </w:r>
          </w:p>
        </w:tc>
        <w:tc>
          <w:tcPr>
            <w:tcW w:w="2591"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1"/>
                <w:lang w:eastAsia="en-AU"/>
              </w:rPr>
            </w:pPr>
            <w:r w:rsidRPr="00023820">
              <w:rPr>
                <w:rFonts w:eastAsiaTheme="minorEastAsia" w:cs="Calibri"/>
                <w:b/>
                <w:bCs/>
                <w:color w:val="000000"/>
                <w:szCs w:val="21"/>
                <w:lang w:eastAsia="en-AU"/>
              </w:rPr>
              <w:t xml:space="preserve"> </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2591" w:type="dxa"/>
            <w:tcBorders>
              <w:top w:val="nil"/>
              <w:left w:val="nil"/>
              <w:bottom w:val="nil"/>
              <w:right w:val="nil"/>
            </w:tcBorders>
          </w:tcPr>
          <w:p w:rsidR="00A46DCA" w:rsidRPr="00023820" w:rsidRDefault="00A46DCA" w:rsidP="00A26D04">
            <w:pPr>
              <w:keepLines w:val="0"/>
              <w:autoSpaceDE w:val="0"/>
              <w:autoSpaceDN w:val="0"/>
              <w:adjustRightInd w:val="0"/>
              <w:jc w:val="right"/>
              <w:rPr>
                <w:rFonts w:eastAsiaTheme="minorEastAsia" w:cs="Calibri"/>
                <w:color w:val="000000"/>
                <w:szCs w:val="21"/>
                <w:lang w:eastAsia="en-AU"/>
              </w:rPr>
            </w:pPr>
            <w:r w:rsidRPr="00023820">
              <w:rPr>
                <w:rFonts w:eastAsiaTheme="minorEastAsia" w:cs="Calibri"/>
                <w:color w:val="000000"/>
                <w:szCs w:val="21"/>
                <w:lang w:eastAsia="en-AU"/>
              </w:rPr>
              <w:t>2</w:t>
            </w:r>
          </w:p>
        </w:tc>
        <w:tc>
          <w:tcPr>
            <w:tcW w:w="2591"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sidRPr="00023820">
              <w:rPr>
                <w:rFonts w:eastAsiaTheme="minorEastAsia" w:cs="Calibri"/>
                <w:color w:val="000000"/>
                <w:szCs w:val="21"/>
                <w:lang w:eastAsia="en-AU"/>
              </w:rPr>
              <w:t>39</w:t>
            </w:r>
          </w:p>
        </w:tc>
        <w:tc>
          <w:tcPr>
            <w:tcW w:w="2591"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sidRPr="00023820">
              <w:rPr>
                <w:rFonts w:eastAsiaTheme="minorEastAsia" w:cs="Calibri"/>
                <w:color w:val="000000"/>
                <w:szCs w:val="21"/>
                <w:lang w:eastAsia="en-AU"/>
              </w:rPr>
              <w:t>213</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2591" w:type="dxa"/>
            <w:tcBorders>
              <w:top w:val="nil"/>
              <w:left w:val="nil"/>
              <w:bottom w:val="nil"/>
              <w:right w:val="nil"/>
            </w:tcBorders>
          </w:tcPr>
          <w:p w:rsidR="00A46DCA" w:rsidRPr="00023820" w:rsidRDefault="00A46DCA" w:rsidP="00A26D04">
            <w:pPr>
              <w:keepLines w:val="0"/>
              <w:autoSpaceDE w:val="0"/>
              <w:autoSpaceDN w:val="0"/>
              <w:adjustRightInd w:val="0"/>
              <w:jc w:val="right"/>
              <w:rPr>
                <w:rFonts w:eastAsiaTheme="minorEastAsia" w:cs="Calibri"/>
                <w:color w:val="000000"/>
                <w:szCs w:val="21"/>
                <w:lang w:eastAsia="en-AU"/>
              </w:rPr>
            </w:pPr>
            <w:r>
              <w:rPr>
                <w:rFonts w:eastAsiaTheme="minorEastAsia" w:cs="Calibri"/>
                <w:color w:val="000000"/>
                <w:szCs w:val="21"/>
                <w:lang w:eastAsia="en-AU"/>
              </w:rPr>
              <w:t>..</w:t>
            </w:r>
          </w:p>
        </w:tc>
        <w:tc>
          <w:tcPr>
            <w:tcW w:w="2591"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w:t>
            </w:r>
          </w:p>
        </w:tc>
        <w:tc>
          <w:tcPr>
            <w:tcW w:w="2591"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sidRPr="00023820">
              <w:rPr>
                <w:rFonts w:eastAsiaTheme="minorEastAsia" w:cs="Calibri"/>
                <w:color w:val="000000"/>
                <w:szCs w:val="21"/>
                <w:lang w:eastAsia="en-AU"/>
              </w:rPr>
              <w:t>134</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2591" w:type="dxa"/>
            <w:tcBorders>
              <w:top w:val="nil"/>
              <w:left w:val="nil"/>
              <w:bottom w:val="nil"/>
              <w:right w:val="nil"/>
            </w:tcBorders>
          </w:tcPr>
          <w:p w:rsidR="00A46DCA" w:rsidRPr="00023820" w:rsidRDefault="00A46DCA" w:rsidP="00A26D04">
            <w:pPr>
              <w:keepLines w:val="0"/>
              <w:autoSpaceDE w:val="0"/>
              <w:autoSpaceDN w:val="0"/>
              <w:adjustRightInd w:val="0"/>
              <w:jc w:val="right"/>
              <w:rPr>
                <w:rFonts w:eastAsiaTheme="minorEastAsia" w:cs="Calibri"/>
                <w:color w:val="000000"/>
                <w:szCs w:val="21"/>
                <w:lang w:eastAsia="en-AU"/>
              </w:rPr>
            </w:pPr>
            <w:r>
              <w:rPr>
                <w:rFonts w:eastAsiaTheme="minorEastAsia" w:cs="Calibri"/>
                <w:color w:val="000000"/>
                <w:szCs w:val="21"/>
                <w:lang w:eastAsia="en-AU"/>
              </w:rPr>
              <w:t>..</w:t>
            </w:r>
          </w:p>
        </w:tc>
        <w:tc>
          <w:tcPr>
            <w:tcW w:w="2591"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sidRPr="00023820">
              <w:rPr>
                <w:rFonts w:eastAsiaTheme="minorEastAsia" w:cs="Calibri"/>
                <w:color w:val="000000"/>
                <w:szCs w:val="21"/>
                <w:lang w:eastAsia="en-AU"/>
              </w:rPr>
              <w:t>3</w:t>
            </w:r>
          </w:p>
        </w:tc>
        <w:tc>
          <w:tcPr>
            <w:tcW w:w="2591"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sidRPr="00023820">
              <w:rPr>
                <w:rFonts w:eastAsiaTheme="minorEastAsia" w:cs="Calibri"/>
                <w:color w:val="000000"/>
                <w:szCs w:val="21"/>
                <w:lang w:eastAsia="en-AU"/>
              </w:rPr>
              <w:t>2</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2591" w:type="dxa"/>
            <w:tcBorders>
              <w:top w:val="nil"/>
              <w:left w:val="nil"/>
              <w:bottom w:val="nil"/>
              <w:right w:val="nil"/>
            </w:tcBorders>
          </w:tcPr>
          <w:p w:rsidR="00A46DCA" w:rsidRPr="00023820" w:rsidRDefault="00A46DCA" w:rsidP="00A26D04">
            <w:pPr>
              <w:keepLines w:val="0"/>
              <w:autoSpaceDE w:val="0"/>
              <w:autoSpaceDN w:val="0"/>
              <w:adjustRightInd w:val="0"/>
              <w:jc w:val="right"/>
              <w:rPr>
                <w:rFonts w:eastAsiaTheme="minorEastAsia" w:cs="Calibri"/>
                <w:color w:val="000000"/>
                <w:szCs w:val="21"/>
                <w:lang w:eastAsia="en-AU"/>
              </w:rPr>
            </w:pPr>
            <w:r>
              <w:rPr>
                <w:rFonts w:eastAsiaTheme="minorEastAsia" w:cs="Calibri"/>
                <w:color w:val="000000"/>
                <w:szCs w:val="21"/>
                <w:lang w:eastAsia="en-AU"/>
              </w:rPr>
              <w:t>..</w:t>
            </w:r>
          </w:p>
        </w:tc>
        <w:tc>
          <w:tcPr>
            <w:tcW w:w="2591"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w:t>
            </w:r>
          </w:p>
        </w:tc>
        <w:tc>
          <w:tcPr>
            <w:tcW w:w="2591"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(475)</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2591" w:type="dxa"/>
            <w:tcBorders>
              <w:top w:val="nil"/>
              <w:left w:val="nil"/>
              <w:bottom w:val="nil"/>
              <w:right w:val="nil"/>
            </w:tcBorders>
          </w:tcPr>
          <w:p w:rsidR="00A46DCA" w:rsidRPr="00023820" w:rsidRDefault="00A46DCA" w:rsidP="00A26D04">
            <w:pPr>
              <w:keepLines w:val="0"/>
              <w:autoSpaceDE w:val="0"/>
              <w:autoSpaceDN w:val="0"/>
              <w:adjustRightInd w:val="0"/>
              <w:jc w:val="right"/>
              <w:rPr>
                <w:rFonts w:eastAsiaTheme="minorEastAsia" w:cs="Calibri"/>
                <w:color w:val="000000"/>
                <w:szCs w:val="21"/>
                <w:lang w:eastAsia="en-AU"/>
              </w:rPr>
            </w:pPr>
            <w:r>
              <w:rPr>
                <w:rFonts w:eastAsiaTheme="minorEastAsia" w:cs="Calibri"/>
                <w:color w:val="000000"/>
                <w:szCs w:val="21"/>
                <w:lang w:eastAsia="en-AU"/>
              </w:rPr>
              <w:t>..</w:t>
            </w:r>
          </w:p>
        </w:tc>
        <w:tc>
          <w:tcPr>
            <w:tcW w:w="2591"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w:t>
            </w:r>
          </w:p>
        </w:tc>
        <w:tc>
          <w:tcPr>
            <w:tcW w:w="2591"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2591" w:type="dxa"/>
            <w:tcBorders>
              <w:top w:val="nil"/>
              <w:left w:val="nil"/>
              <w:bottom w:val="nil"/>
              <w:right w:val="nil"/>
            </w:tcBorders>
          </w:tcPr>
          <w:p w:rsidR="00A46DCA" w:rsidRPr="00023820" w:rsidRDefault="00A46DCA" w:rsidP="00A26D04">
            <w:pPr>
              <w:keepLines w:val="0"/>
              <w:autoSpaceDE w:val="0"/>
              <w:autoSpaceDN w:val="0"/>
              <w:adjustRightInd w:val="0"/>
              <w:jc w:val="right"/>
              <w:rPr>
                <w:rFonts w:eastAsiaTheme="minorEastAsia" w:cs="Calibri"/>
                <w:color w:val="000000"/>
                <w:szCs w:val="21"/>
                <w:lang w:eastAsia="en-AU"/>
              </w:rPr>
            </w:pPr>
            <w:r>
              <w:rPr>
                <w:rFonts w:eastAsiaTheme="minorEastAsia" w:cs="Calibri"/>
                <w:color w:val="000000"/>
                <w:szCs w:val="21"/>
                <w:lang w:eastAsia="en-AU"/>
              </w:rPr>
              <w:t>..</w:t>
            </w:r>
            <w:r w:rsidRPr="00023820">
              <w:rPr>
                <w:rFonts w:eastAsiaTheme="minorEastAsia" w:cs="Calibri"/>
                <w:color w:val="000000"/>
                <w:szCs w:val="21"/>
                <w:lang w:eastAsia="en-AU"/>
              </w:rPr>
              <w:t xml:space="preserve"> </w:t>
            </w:r>
          </w:p>
        </w:tc>
        <w:tc>
          <w:tcPr>
            <w:tcW w:w="2591"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w:t>
            </w:r>
            <w:r w:rsidRPr="00023820">
              <w:rPr>
                <w:rFonts w:eastAsiaTheme="minorEastAsia" w:cs="Calibri"/>
                <w:color w:val="000000"/>
                <w:szCs w:val="21"/>
                <w:lang w:eastAsia="en-AU"/>
              </w:rPr>
              <w:t xml:space="preserve"> </w:t>
            </w:r>
          </w:p>
        </w:tc>
        <w:tc>
          <w:tcPr>
            <w:tcW w:w="2591"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w:t>
            </w:r>
            <w:r w:rsidRPr="00023820">
              <w:rPr>
                <w:rFonts w:eastAsiaTheme="minorEastAsia" w:cs="Calibri"/>
                <w:color w:val="000000"/>
                <w:szCs w:val="21"/>
                <w:lang w:eastAsia="en-AU"/>
              </w:rPr>
              <w:t xml:space="preserve"> </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2591" w:type="dxa"/>
            <w:tcBorders>
              <w:top w:val="single" w:sz="6" w:space="0" w:color="000000"/>
              <w:left w:val="nil"/>
              <w:bottom w:val="single" w:sz="12" w:space="0" w:color="000000"/>
              <w:right w:val="nil"/>
            </w:tcBorders>
          </w:tcPr>
          <w:p w:rsidR="00A46DCA" w:rsidRPr="00023820" w:rsidRDefault="00A46DCA" w:rsidP="00A26D04">
            <w:pPr>
              <w:keepLines w:val="0"/>
              <w:autoSpaceDE w:val="0"/>
              <w:autoSpaceDN w:val="0"/>
              <w:adjustRightInd w:val="0"/>
              <w:jc w:val="right"/>
              <w:rPr>
                <w:rFonts w:eastAsiaTheme="minorEastAsia" w:cs="Calibri"/>
                <w:b/>
                <w:bCs/>
                <w:color w:val="000000"/>
                <w:szCs w:val="21"/>
                <w:lang w:eastAsia="en-AU"/>
              </w:rPr>
            </w:pPr>
            <w:r w:rsidRPr="00023820">
              <w:rPr>
                <w:rFonts w:eastAsiaTheme="minorEastAsia" w:cs="Calibri"/>
                <w:b/>
                <w:bCs/>
                <w:color w:val="000000"/>
                <w:szCs w:val="21"/>
                <w:lang w:eastAsia="en-AU"/>
              </w:rPr>
              <w:t>2</w:t>
            </w:r>
          </w:p>
        </w:tc>
        <w:tc>
          <w:tcPr>
            <w:tcW w:w="2591" w:type="dxa"/>
            <w:tcBorders>
              <w:top w:val="single" w:sz="6" w:space="0" w:color="000000"/>
              <w:left w:val="nil"/>
              <w:bottom w:val="single" w:sz="12" w:space="0" w:color="000000"/>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1"/>
                <w:lang w:eastAsia="en-AU"/>
              </w:rPr>
            </w:pPr>
            <w:r w:rsidRPr="00023820">
              <w:rPr>
                <w:rFonts w:eastAsiaTheme="minorEastAsia" w:cs="Calibri"/>
                <w:b/>
                <w:bCs/>
                <w:color w:val="000000"/>
                <w:szCs w:val="21"/>
                <w:lang w:eastAsia="en-AU"/>
              </w:rPr>
              <w:t>41</w:t>
            </w:r>
          </w:p>
        </w:tc>
        <w:tc>
          <w:tcPr>
            <w:tcW w:w="2591" w:type="dxa"/>
            <w:tcBorders>
              <w:top w:val="single" w:sz="6" w:space="0" w:color="000000"/>
              <w:left w:val="nil"/>
              <w:bottom w:val="single" w:sz="12" w:space="0" w:color="000000"/>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1"/>
                <w:lang w:eastAsia="en-AU"/>
              </w:rPr>
            </w:pPr>
            <w:r>
              <w:rPr>
                <w:rFonts w:eastAsiaTheme="minorEastAsia" w:cs="Calibri"/>
                <w:b/>
                <w:bCs/>
                <w:color w:val="000000"/>
                <w:szCs w:val="21"/>
                <w:lang w:eastAsia="en-AU"/>
              </w:rPr>
              <w:t>(126)</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2591" w:type="dxa"/>
            <w:tcBorders>
              <w:top w:val="nil"/>
              <w:left w:val="nil"/>
              <w:bottom w:val="nil"/>
              <w:right w:val="nil"/>
            </w:tcBorders>
          </w:tcPr>
          <w:p w:rsidR="00A46DCA" w:rsidRPr="00023820" w:rsidRDefault="00A46DCA" w:rsidP="00A26D04">
            <w:pPr>
              <w:keepLines w:val="0"/>
              <w:autoSpaceDE w:val="0"/>
              <w:autoSpaceDN w:val="0"/>
              <w:adjustRightInd w:val="0"/>
              <w:jc w:val="right"/>
              <w:rPr>
                <w:rFonts w:eastAsiaTheme="minorEastAsia" w:cs="Calibri"/>
                <w:b/>
                <w:bCs/>
                <w:color w:val="000000"/>
                <w:lang w:eastAsia="en-AU"/>
              </w:rPr>
            </w:pPr>
            <w:r w:rsidRPr="00023820">
              <w:rPr>
                <w:rFonts w:eastAsiaTheme="minorEastAsia" w:cs="Calibri"/>
                <w:b/>
                <w:bCs/>
                <w:color w:val="000000"/>
                <w:lang w:eastAsia="en-AU"/>
              </w:rPr>
              <w:t xml:space="preserve"> </w:t>
            </w:r>
          </w:p>
        </w:tc>
        <w:tc>
          <w:tcPr>
            <w:tcW w:w="2591"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1"/>
                <w:lang w:eastAsia="en-AU"/>
              </w:rPr>
            </w:pPr>
            <w:r w:rsidRPr="00023820">
              <w:rPr>
                <w:rFonts w:eastAsiaTheme="minorEastAsia" w:cs="Calibri"/>
                <w:b/>
                <w:bCs/>
                <w:color w:val="000000"/>
                <w:szCs w:val="21"/>
                <w:lang w:eastAsia="en-AU"/>
              </w:rPr>
              <w:t xml:space="preserve"> </w:t>
            </w:r>
          </w:p>
        </w:tc>
        <w:tc>
          <w:tcPr>
            <w:tcW w:w="2591"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1"/>
                <w:lang w:eastAsia="en-AU"/>
              </w:rPr>
            </w:pPr>
            <w:r w:rsidRPr="00023820">
              <w:rPr>
                <w:rFonts w:eastAsiaTheme="minorEastAsia" w:cs="Calibri"/>
                <w:b/>
                <w:bCs/>
                <w:color w:val="000000"/>
                <w:szCs w:val="21"/>
                <w:lang w:eastAsia="en-AU"/>
              </w:rPr>
              <w:t xml:space="preserve"> </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2591" w:type="dxa"/>
            <w:tcBorders>
              <w:top w:val="nil"/>
              <w:left w:val="nil"/>
              <w:bottom w:val="nil"/>
              <w:right w:val="nil"/>
            </w:tcBorders>
          </w:tcPr>
          <w:p w:rsidR="00A46DCA" w:rsidRPr="00023820" w:rsidRDefault="00A46DCA" w:rsidP="00A26D04">
            <w:pPr>
              <w:keepLines w:val="0"/>
              <w:autoSpaceDE w:val="0"/>
              <w:autoSpaceDN w:val="0"/>
              <w:adjustRightInd w:val="0"/>
              <w:jc w:val="right"/>
              <w:rPr>
                <w:rFonts w:eastAsiaTheme="minorEastAsia" w:cs="Calibri"/>
                <w:color w:val="000000"/>
                <w:szCs w:val="21"/>
                <w:lang w:eastAsia="en-AU"/>
              </w:rPr>
            </w:pPr>
            <w:r w:rsidRPr="00023820">
              <w:rPr>
                <w:rFonts w:eastAsiaTheme="minorEastAsia" w:cs="Calibri"/>
                <w:color w:val="000000"/>
                <w:szCs w:val="21"/>
                <w:lang w:eastAsia="en-AU"/>
              </w:rPr>
              <w:t>2</w:t>
            </w:r>
          </w:p>
        </w:tc>
        <w:tc>
          <w:tcPr>
            <w:tcW w:w="2591"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sidRPr="00023820">
              <w:rPr>
                <w:rFonts w:eastAsiaTheme="minorEastAsia" w:cs="Calibri"/>
                <w:color w:val="000000"/>
                <w:szCs w:val="21"/>
                <w:lang w:eastAsia="en-AU"/>
              </w:rPr>
              <w:t>39</w:t>
            </w:r>
          </w:p>
        </w:tc>
        <w:tc>
          <w:tcPr>
            <w:tcW w:w="2591"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sidRPr="00023820">
              <w:rPr>
                <w:rFonts w:eastAsiaTheme="minorEastAsia" w:cs="Calibri"/>
                <w:color w:val="000000"/>
                <w:szCs w:val="21"/>
                <w:lang w:eastAsia="en-AU"/>
              </w:rPr>
              <w:t>213</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2591" w:type="dxa"/>
            <w:tcBorders>
              <w:top w:val="nil"/>
              <w:left w:val="nil"/>
              <w:bottom w:val="nil"/>
              <w:right w:val="nil"/>
            </w:tcBorders>
          </w:tcPr>
          <w:p w:rsidR="00A46DCA" w:rsidRPr="00023820" w:rsidRDefault="00A46DCA" w:rsidP="00A26D04">
            <w:pPr>
              <w:keepLines w:val="0"/>
              <w:autoSpaceDE w:val="0"/>
              <w:autoSpaceDN w:val="0"/>
              <w:adjustRightInd w:val="0"/>
              <w:jc w:val="right"/>
              <w:rPr>
                <w:rFonts w:eastAsiaTheme="minorEastAsia" w:cs="Calibri"/>
                <w:color w:val="000000"/>
                <w:szCs w:val="21"/>
                <w:lang w:eastAsia="en-AU"/>
              </w:rPr>
            </w:pPr>
            <w:r>
              <w:rPr>
                <w:rFonts w:eastAsiaTheme="minorEastAsia" w:cs="Calibri"/>
                <w:color w:val="000000"/>
                <w:szCs w:val="21"/>
                <w:lang w:eastAsia="en-AU"/>
              </w:rPr>
              <w:t>..</w:t>
            </w:r>
          </w:p>
        </w:tc>
        <w:tc>
          <w:tcPr>
            <w:tcW w:w="2591"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w:t>
            </w:r>
          </w:p>
        </w:tc>
        <w:tc>
          <w:tcPr>
            <w:tcW w:w="2591"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sidRPr="00023820">
              <w:rPr>
                <w:rFonts w:eastAsiaTheme="minorEastAsia" w:cs="Calibri"/>
                <w:color w:val="000000"/>
                <w:szCs w:val="21"/>
                <w:lang w:eastAsia="en-AU"/>
              </w:rPr>
              <w:t>613</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2591" w:type="dxa"/>
            <w:tcBorders>
              <w:top w:val="nil"/>
              <w:left w:val="nil"/>
              <w:bottom w:val="nil"/>
              <w:right w:val="nil"/>
            </w:tcBorders>
          </w:tcPr>
          <w:p w:rsidR="00A46DCA" w:rsidRPr="00023820" w:rsidRDefault="00A46DCA" w:rsidP="00A26D04">
            <w:pPr>
              <w:keepLines w:val="0"/>
              <w:autoSpaceDE w:val="0"/>
              <w:autoSpaceDN w:val="0"/>
              <w:adjustRightInd w:val="0"/>
              <w:jc w:val="right"/>
              <w:rPr>
                <w:rFonts w:eastAsiaTheme="minorEastAsia" w:cs="Calibri"/>
                <w:color w:val="000000"/>
                <w:szCs w:val="21"/>
                <w:lang w:eastAsia="en-AU"/>
              </w:rPr>
            </w:pPr>
            <w:r>
              <w:rPr>
                <w:rFonts w:eastAsiaTheme="minorEastAsia" w:cs="Calibri"/>
                <w:color w:val="000000"/>
                <w:szCs w:val="21"/>
                <w:lang w:eastAsia="en-AU"/>
              </w:rPr>
              <w:t>..</w:t>
            </w:r>
          </w:p>
        </w:tc>
        <w:tc>
          <w:tcPr>
            <w:tcW w:w="2591"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sidRPr="00023820">
              <w:rPr>
                <w:rFonts w:eastAsiaTheme="minorEastAsia" w:cs="Calibri"/>
                <w:color w:val="000000"/>
                <w:szCs w:val="21"/>
                <w:lang w:eastAsia="en-AU"/>
              </w:rPr>
              <w:t>2</w:t>
            </w:r>
          </w:p>
        </w:tc>
        <w:tc>
          <w:tcPr>
            <w:tcW w:w="2591"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sidRPr="00023820">
              <w:rPr>
                <w:rFonts w:eastAsiaTheme="minorEastAsia" w:cs="Calibri"/>
                <w:color w:val="000000"/>
                <w:szCs w:val="21"/>
                <w:lang w:eastAsia="en-AU"/>
              </w:rPr>
              <w:t>2</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2591" w:type="dxa"/>
            <w:tcBorders>
              <w:top w:val="nil"/>
              <w:left w:val="nil"/>
              <w:bottom w:val="nil"/>
              <w:right w:val="nil"/>
            </w:tcBorders>
          </w:tcPr>
          <w:p w:rsidR="00A46DCA" w:rsidRPr="00023820" w:rsidRDefault="00A46DCA" w:rsidP="00A26D04">
            <w:pPr>
              <w:keepLines w:val="0"/>
              <w:autoSpaceDE w:val="0"/>
              <w:autoSpaceDN w:val="0"/>
              <w:adjustRightInd w:val="0"/>
              <w:jc w:val="right"/>
              <w:rPr>
                <w:rFonts w:eastAsiaTheme="minorEastAsia" w:cs="Calibri"/>
                <w:color w:val="000000"/>
                <w:szCs w:val="21"/>
                <w:lang w:eastAsia="en-AU"/>
              </w:rPr>
            </w:pPr>
            <w:r>
              <w:rPr>
                <w:rFonts w:eastAsiaTheme="minorEastAsia" w:cs="Calibri"/>
                <w:color w:val="000000"/>
                <w:szCs w:val="21"/>
                <w:lang w:eastAsia="en-AU"/>
              </w:rPr>
              <w:t>..</w:t>
            </w:r>
          </w:p>
        </w:tc>
        <w:tc>
          <w:tcPr>
            <w:tcW w:w="2591"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w:t>
            </w:r>
          </w:p>
        </w:tc>
        <w:tc>
          <w:tcPr>
            <w:tcW w:w="2591"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(501)</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2591" w:type="dxa"/>
            <w:tcBorders>
              <w:top w:val="nil"/>
              <w:left w:val="nil"/>
              <w:bottom w:val="nil"/>
              <w:right w:val="nil"/>
            </w:tcBorders>
          </w:tcPr>
          <w:p w:rsidR="00A46DCA" w:rsidRPr="00023820" w:rsidRDefault="00A46DCA" w:rsidP="00A26D04">
            <w:pPr>
              <w:keepLines w:val="0"/>
              <w:autoSpaceDE w:val="0"/>
              <w:autoSpaceDN w:val="0"/>
              <w:adjustRightInd w:val="0"/>
              <w:jc w:val="right"/>
              <w:rPr>
                <w:rFonts w:eastAsiaTheme="minorEastAsia" w:cs="Calibri"/>
                <w:color w:val="000000"/>
                <w:szCs w:val="21"/>
                <w:lang w:eastAsia="en-AU"/>
              </w:rPr>
            </w:pPr>
            <w:r>
              <w:rPr>
                <w:rFonts w:eastAsiaTheme="minorEastAsia" w:cs="Calibri"/>
                <w:color w:val="000000"/>
                <w:szCs w:val="21"/>
                <w:lang w:eastAsia="en-AU"/>
              </w:rPr>
              <w:t>..</w:t>
            </w:r>
          </w:p>
        </w:tc>
        <w:tc>
          <w:tcPr>
            <w:tcW w:w="2591"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w:t>
            </w:r>
          </w:p>
        </w:tc>
        <w:tc>
          <w:tcPr>
            <w:tcW w:w="2591"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2591" w:type="dxa"/>
            <w:tcBorders>
              <w:top w:val="nil"/>
              <w:left w:val="nil"/>
              <w:bottom w:val="nil"/>
              <w:right w:val="nil"/>
            </w:tcBorders>
          </w:tcPr>
          <w:p w:rsidR="00A46DCA" w:rsidRPr="00023820" w:rsidRDefault="00A46DCA" w:rsidP="00A26D04">
            <w:pPr>
              <w:keepLines w:val="0"/>
              <w:autoSpaceDE w:val="0"/>
              <w:autoSpaceDN w:val="0"/>
              <w:adjustRightInd w:val="0"/>
              <w:jc w:val="right"/>
              <w:rPr>
                <w:rFonts w:eastAsiaTheme="minorEastAsia" w:cs="Calibri"/>
                <w:color w:val="000000"/>
                <w:szCs w:val="21"/>
                <w:lang w:eastAsia="en-AU"/>
              </w:rPr>
            </w:pPr>
            <w:r w:rsidRPr="00023820">
              <w:rPr>
                <w:rFonts w:eastAsiaTheme="minorEastAsia" w:cs="Calibri"/>
                <w:color w:val="000000"/>
                <w:szCs w:val="21"/>
                <w:lang w:eastAsia="en-AU"/>
              </w:rPr>
              <w:t xml:space="preserve"> </w:t>
            </w:r>
            <w:r>
              <w:rPr>
                <w:rFonts w:eastAsiaTheme="minorEastAsia" w:cs="Calibri"/>
                <w:color w:val="000000"/>
                <w:szCs w:val="21"/>
                <w:lang w:eastAsia="en-AU"/>
              </w:rPr>
              <w:t>..</w:t>
            </w:r>
          </w:p>
        </w:tc>
        <w:tc>
          <w:tcPr>
            <w:tcW w:w="2591"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sidRPr="00023820">
              <w:rPr>
                <w:rFonts w:eastAsiaTheme="minorEastAsia" w:cs="Calibri"/>
                <w:color w:val="000000"/>
                <w:szCs w:val="21"/>
                <w:lang w:eastAsia="en-AU"/>
              </w:rPr>
              <w:t xml:space="preserve"> </w:t>
            </w:r>
            <w:r>
              <w:rPr>
                <w:rFonts w:eastAsiaTheme="minorEastAsia" w:cs="Calibri"/>
                <w:color w:val="000000"/>
                <w:szCs w:val="21"/>
                <w:lang w:eastAsia="en-AU"/>
              </w:rPr>
              <w:t>..</w:t>
            </w:r>
          </w:p>
        </w:tc>
        <w:tc>
          <w:tcPr>
            <w:tcW w:w="2591"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w:t>
            </w:r>
            <w:r w:rsidRPr="00023820">
              <w:rPr>
                <w:rFonts w:eastAsiaTheme="minorEastAsia" w:cs="Calibri"/>
                <w:color w:val="000000"/>
                <w:szCs w:val="21"/>
                <w:lang w:eastAsia="en-AU"/>
              </w:rPr>
              <w:t xml:space="preserve"> </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2591" w:type="dxa"/>
            <w:tcBorders>
              <w:top w:val="single" w:sz="6" w:space="0" w:color="000000"/>
              <w:left w:val="nil"/>
              <w:bottom w:val="single" w:sz="12" w:space="0" w:color="000000"/>
              <w:right w:val="nil"/>
            </w:tcBorders>
          </w:tcPr>
          <w:p w:rsidR="00A46DCA" w:rsidRPr="00023820" w:rsidRDefault="00A46DCA" w:rsidP="00A26D04">
            <w:pPr>
              <w:keepLines w:val="0"/>
              <w:autoSpaceDE w:val="0"/>
              <w:autoSpaceDN w:val="0"/>
              <w:adjustRightInd w:val="0"/>
              <w:jc w:val="right"/>
              <w:rPr>
                <w:rFonts w:eastAsiaTheme="minorEastAsia" w:cs="Calibri"/>
                <w:b/>
                <w:bCs/>
                <w:color w:val="000000"/>
                <w:szCs w:val="21"/>
                <w:lang w:eastAsia="en-AU"/>
              </w:rPr>
            </w:pPr>
            <w:r w:rsidRPr="00023820">
              <w:rPr>
                <w:rFonts w:eastAsiaTheme="minorEastAsia" w:cs="Calibri"/>
                <w:b/>
                <w:bCs/>
                <w:color w:val="000000"/>
                <w:szCs w:val="21"/>
                <w:lang w:eastAsia="en-AU"/>
              </w:rPr>
              <w:t>2</w:t>
            </w:r>
          </w:p>
        </w:tc>
        <w:tc>
          <w:tcPr>
            <w:tcW w:w="2591" w:type="dxa"/>
            <w:tcBorders>
              <w:top w:val="single" w:sz="6" w:space="0" w:color="000000"/>
              <w:left w:val="nil"/>
              <w:bottom w:val="single" w:sz="12" w:space="0" w:color="000000"/>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1"/>
                <w:lang w:eastAsia="en-AU"/>
              </w:rPr>
            </w:pPr>
            <w:r w:rsidRPr="00023820">
              <w:rPr>
                <w:rFonts w:eastAsiaTheme="minorEastAsia" w:cs="Calibri"/>
                <w:b/>
                <w:bCs/>
                <w:color w:val="000000"/>
                <w:szCs w:val="21"/>
                <w:lang w:eastAsia="en-AU"/>
              </w:rPr>
              <w:t>41</w:t>
            </w:r>
          </w:p>
        </w:tc>
        <w:tc>
          <w:tcPr>
            <w:tcW w:w="2591" w:type="dxa"/>
            <w:tcBorders>
              <w:top w:val="single" w:sz="6" w:space="0" w:color="000000"/>
              <w:left w:val="nil"/>
              <w:bottom w:val="single" w:sz="12" w:space="0" w:color="000000"/>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1"/>
                <w:lang w:eastAsia="en-AU"/>
              </w:rPr>
            </w:pPr>
            <w:r w:rsidRPr="00023820">
              <w:rPr>
                <w:rFonts w:eastAsiaTheme="minorEastAsia" w:cs="Calibri"/>
                <w:b/>
                <w:bCs/>
                <w:color w:val="000000"/>
                <w:szCs w:val="21"/>
                <w:lang w:eastAsia="en-AU"/>
              </w:rPr>
              <w:t>327</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2591" w:type="dxa"/>
            <w:tcBorders>
              <w:top w:val="nil"/>
              <w:left w:val="nil"/>
              <w:bottom w:val="nil"/>
              <w:right w:val="nil"/>
            </w:tcBorders>
          </w:tcPr>
          <w:p w:rsidR="00A46DCA" w:rsidRPr="00023820" w:rsidRDefault="00A46DCA" w:rsidP="00A26D04">
            <w:pPr>
              <w:keepLines w:val="0"/>
              <w:autoSpaceDE w:val="0"/>
              <w:autoSpaceDN w:val="0"/>
              <w:adjustRightInd w:val="0"/>
              <w:jc w:val="right"/>
              <w:rPr>
                <w:rFonts w:eastAsiaTheme="minorEastAsia" w:cs="Calibri"/>
                <w:b/>
                <w:bCs/>
                <w:color w:val="000000"/>
                <w:lang w:eastAsia="en-AU"/>
              </w:rPr>
            </w:pPr>
            <w:r w:rsidRPr="00023820">
              <w:rPr>
                <w:rFonts w:eastAsiaTheme="minorEastAsia" w:cs="Calibri"/>
                <w:b/>
                <w:bCs/>
                <w:color w:val="000000"/>
                <w:lang w:eastAsia="en-AU"/>
              </w:rPr>
              <w:t xml:space="preserve"> </w:t>
            </w:r>
          </w:p>
        </w:tc>
        <w:tc>
          <w:tcPr>
            <w:tcW w:w="2591"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1"/>
                <w:lang w:eastAsia="en-AU"/>
              </w:rPr>
            </w:pPr>
            <w:r w:rsidRPr="00023820">
              <w:rPr>
                <w:rFonts w:eastAsiaTheme="minorEastAsia" w:cs="Calibri"/>
                <w:b/>
                <w:bCs/>
                <w:color w:val="000000"/>
                <w:szCs w:val="21"/>
                <w:lang w:eastAsia="en-AU"/>
              </w:rPr>
              <w:t xml:space="preserve"> </w:t>
            </w:r>
          </w:p>
        </w:tc>
        <w:tc>
          <w:tcPr>
            <w:tcW w:w="2591"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1"/>
                <w:lang w:eastAsia="en-AU"/>
              </w:rPr>
            </w:pPr>
            <w:r w:rsidRPr="00023820">
              <w:rPr>
                <w:rFonts w:eastAsiaTheme="minorEastAsia" w:cs="Calibri"/>
                <w:b/>
                <w:bCs/>
                <w:color w:val="000000"/>
                <w:szCs w:val="21"/>
                <w:lang w:eastAsia="en-AU"/>
              </w:rPr>
              <w:t xml:space="preserve"> </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2591" w:type="dxa"/>
            <w:tcBorders>
              <w:top w:val="nil"/>
              <w:left w:val="nil"/>
              <w:bottom w:val="nil"/>
              <w:right w:val="nil"/>
            </w:tcBorders>
          </w:tcPr>
          <w:p w:rsidR="00A46DCA" w:rsidRPr="00023820" w:rsidRDefault="00A46DCA" w:rsidP="00A26D04">
            <w:pPr>
              <w:keepLines w:val="0"/>
              <w:autoSpaceDE w:val="0"/>
              <w:autoSpaceDN w:val="0"/>
              <w:adjustRightInd w:val="0"/>
              <w:jc w:val="right"/>
              <w:rPr>
                <w:rFonts w:eastAsiaTheme="minorEastAsia" w:cs="Calibri"/>
                <w:color w:val="000000"/>
                <w:szCs w:val="21"/>
                <w:lang w:eastAsia="en-AU"/>
              </w:rPr>
            </w:pPr>
            <w:r w:rsidRPr="00023820">
              <w:rPr>
                <w:rFonts w:eastAsiaTheme="minorEastAsia" w:cs="Calibri"/>
                <w:color w:val="000000"/>
                <w:szCs w:val="21"/>
                <w:lang w:eastAsia="en-AU"/>
              </w:rPr>
              <w:t>2</w:t>
            </w:r>
          </w:p>
        </w:tc>
        <w:tc>
          <w:tcPr>
            <w:tcW w:w="2591"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sidRPr="00023820">
              <w:rPr>
                <w:rFonts w:eastAsiaTheme="minorEastAsia" w:cs="Calibri"/>
                <w:color w:val="000000"/>
                <w:szCs w:val="21"/>
                <w:lang w:eastAsia="en-AU"/>
              </w:rPr>
              <w:t>41</w:t>
            </w:r>
          </w:p>
        </w:tc>
        <w:tc>
          <w:tcPr>
            <w:tcW w:w="2591"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sidRPr="00023820">
              <w:rPr>
                <w:rFonts w:eastAsiaTheme="minorEastAsia" w:cs="Calibri"/>
                <w:color w:val="000000"/>
                <w:szCs w:val="21"/>
                <w:lang w:eastAsia="en-AU"/>
              </w:rPr>
              <w:t>327</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2591" w:type="dxa"/>
            <w:tcBorders>
              <w:top w:val="nil"/>
              <w:left w:val="nil"/>
              <w:bottom w:val="nil"/>
              <w:right w:val="nil"/>
            </w:tcBorders>
          </w:tcPr>
          <w:p w:rsidR="00A46DCA" w:rsidRPr="00023820" w:rsidRDefault="00A46DCA" w:rsidP="00A26D04">
            <w:pPr>
              <w:keepLines w:val="0"/>
              <w:autoSpaceDE w:val="0"/>
              <w:autoSpaceDN w:val="0"/>
              <w:adjustRightInd w:val="0"/>
              <w:jc w:val="right"/>
              <w:rPr>
                <w:rFonts w:eastAsiaTheme="minorEastAsia" w:cs="Calibri"/>
                <w:color w:val="000000"/>
                <w:szCs w:val="21"/>
                <w:lang w:eastAsia="en-AU"/>
              </w:rPr>
            </w:pPr>
            <w:r>
              <w:rPr>
                <w:rFonts w:eastAsiaTheme="minorEastAsia" w:cs="Calibri"/>
                <w:color w:val="000000"/>
                <w:szCs w:val="21"/>
                <w:lang w:eastAsia="en-AU"/>
              </w:rPr>
              <w:t>..</w:t>
            </w:r>
          </w:p>
        </w:tc>
        <w:tc>
          <w:tcPr>
            <w:tcW w:w="2591"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w:t>
            </w:r>
          </w:p>
        </w:tc>
        <w:tc>
          <w:tcPr>
            <w:tcW w:w="2591"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(106)</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2591" w:type="dxa"/>
            <w:tcBorders>
              <w:top w:val="nil"/>
              <w:left w:val="nil"/>
              <w:bottom w:val="nil"/>
              <w:right w:val="nil"/>
            </w:tcBorders>
          </w:tcPr>
          <w:p w:rsidR="00A46DCA" w:rsidRPr="00023820" w:rsidRDefault="00A46DCA" w:rsidP="00A26D04">
            <w:pPr>
              <w:keepLines w:val="0"/>
              <w:autoSpaceDE w:val="0"/>
              <w:autoSpaceDN w:val="0"/>
              <w:adjustRightInd w:val="0"/>
              <w:jc w:val="right"/>
              <w:rPr>
                <w:rFonts w:eastAsiaTheme="minorEastAsia" w:cs="Calibri"/>
                <w:color w:val="000000"/>
                <w:szCs w:val="21"/>
                <w:lang w:eastAsia="en-AU"/>
              </w:rPr>
            </w:pPr>
            <w:r>
              <w:rPr>
                <w:rFonts w:eastAsiaTheme="minorEastAsia" w:cs="Calibri"/>
                <w:color w:val="000000"/>
                <w:szCs w:val="21"/>
                <w:lang w:eastAsia="en-AU"/>
              </w:rPr>
              <w:t>..</w:t>
            </w:r>
          </w:p>
        </w:tc>
        <w:tc>
          <w:tcPr>
            <w:tcW w:w="2591"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sidRPr="00023820">
              <w:rPr>
                <w:rFonts w:eastAsiaTheme="minorEastAsia" w:cs="Calibri"/>
                <w:color w:val="000000"/>
                <w:szCs w:val="21"/>
                <w:lang w:eastAsia="en-AU"/>
              </w:rPr>
              <w:t>3</w:t>
            </w:r>
          </w:p>
        </w:tc>
        <w:tc>
          <w:tcPr>
            <w:tcW w:w="2591"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sidRPr="00023820">
              <w:rPr>
                <w:rFonts w:eastAsiaTheme="minorEastAsia" w:cs="Calibri"/>
                <w:color w:val="000000"/>
                <w:szCs w:val="21"/>
                <w:lang w:eastAsia="en-AU"/>
              </w:rPr>
              <w:t>3</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2591" w:type="dxa"/>
            <w:tcBorders>
              <w:top w:val="nil"/>
              <w:left w:val="nil"/>
              <w:bottom w:val="nil"/>
              <w:right w:val="nil"/>
            </w:tcBorders>
          </w:tcPr>
          <w:p w:rsidR="00A46DCA" w:rsidRPr="00023820" w:rsidRDefault="00A46DCA" w:rsidP="00A26D04">
            <w:pPr>
              <w:keepLines w:val="0"/>
              <w:autoSpaceDE w:val="0"/>
              <w:autoSpaceDN w:val="0"/>
              <w:adjustRightInd w:val="0"/>
              <w:jc w:val="right"/>
              <w:rPr>
                <w:rFonts w:eastAsiaTheme="minorEastAsia" w:cs="Calibri"/>
                <w:color w:val="000000"/>
                <w:szCs w:val="21"/>
                <w:lang w:eastAsia="en-AU"/>
              </w:rPr>
            </w:pPr>
            <w:r>
              <w:rPr>
                <w:rFonts w:eastAsiaTheme="minorEastAsia" w:cs="Calibri"/>
                <w:color w:val="000000"/>
                <w:szCs w:val="21"/>
                <w:lang w:eastAsia="en-AU"/>
              </w:rPr>
              <w:t>..</w:t>
            </w:r>
          </w:p>
        </w:tc>
        <w:tc>
          <w:tcPr>
            <w:tcW w:w="2591"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w:t>
            </w:r>
          </w:p>
        </w:tc>
        <w:tc>
          <w:tcPr>
            <w:tcW w:w="2591"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(92)</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2591" w:type="dxa"/>
            <w:tcBorders>
              <w:top w:val="nil"/>
              <w:left w:val="nil"/>
              <w:bottom w:val="nil"/>
              <w:right w:val="nil"/>
            </w:tcBorders>
          </w:tcPr>
          <w:p w:rsidR="00A46DCA" w:rsidRPr="00023820" w:rsidRDefault="00A46DCA" w:rsidP="00A26D04">
            <w:pPr>
              <w:keepLines w:val="0"/>
              <w:autoSpaceDE w:val="0"/>
              <w:autoSpaceDN w:val="0"/>
              <w:adjustRightInd w:val="0"/>
              <w:jc w:val="right"/>
              <w:rPr>
                <w:rFonts w:eastAsiaTheme="minorEastAsia" w:cs="Calibri"/>
                <w:color w:val="000000"/>
                <w:szCs w:val="21"/>
                <w:lang w:eastAsia="en-AU"/>
              </w:rPr>
            </w:pPr>
            <w:r>
              <w:rPr>
                <w:rFonts w:eastAsiaTheme="minorEastAsia" w:cs="Calibri"/>
                <w:color w:val="000000"/>
                <w:szCs w:val="21"/>
                <w:lang w:eastAsia="en-AU"/>
              </w:rPr>
              <w:t>..</w:t>
            </w:r>
          </w:p>
        </w:tc>
        <w:tc>
          <w:tcPr>
            <w:tcW w:w="2591"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w:t>
            </w:r>
          </w:p>
        </w:tc>
        <w:tc>
          <w:tcPr>
            <w:tcW w:w="2591"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2591" w:type="dxa"/>
            <w:tcBorders>
              <w:top w:val="nil"/>
              <w:left w:val="nil"/>
              <w:bottom w:val="nil"/>
              <w:right w:val="nil"/>
            </w:tcBorders>
          </w:tcPr>
          <w:p w:rsidR="00A46DCA" w:rsidRPr="00023820" w:rsidRDefault="00A46DCA" w:rsidP="00A26D04">
            <w:pPr>
              <w:keepLines w:val="0"/>
              <w:autoSpaceDE w:val="0"/>
              <w:autoSpaceDN w:val="0"/>
              <w:adjustRightInd w:val="0"/>
              <w:jc w:val="right"/>
              <w:rPr>
                <w:rFonts w:eastAsiaTheme="minorEastAsia" w:cs="Calibri"/>
                <w:color w:val="000000"/>
                <w:szCs w:val="21"/>
                <w:lang w:eastAsia="en-AU"/>
              </w:rPr>
            </w:pPr>
            <w:r>
              <w:rPr>
                <w:rFonts w:eastAsiaTheme="minorEastAsia" w:cs="Calibri"/>
                <w:color w:val="000000"/>
                <w:szCs w:val="21"/>
                <w:lang w:eastAsia="en-AU"/>
              </w:rPr>
              <w:t>..</w:t>
            </w:r>
          </w:p>
        </w:tc>
        <w:tc>
          <w:tcPr>
            <w:tcW w:w="2591"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w:t>
            </w:r>
          </w:p>
        </w:tc>
        <w:tc>
          <w:tcPr>
            <w:tcW w:w="2591"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(600)</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2591" w:type="dxa"/>
            <w:tcBorders>
              <w:top w:val="single" w:sz="6" w:space="0" w:color="000000"/>
              <w:left w:val="nil"/>
              <w:bottom w:val="single" w:sz="12" w:space="0" w:color="000000"/>
              <w:right w:val="nil"/>
            </w:tcBorders>
          </w:tcPr>
          <w:p w:rsidR="00A46DCA" w:rsidRPr="00023820" w:rsidRDefault="00A46DCA" w:rsidP="00A26D04">
            <w:pPr>
              <w:keepLines w:val="0"/>
              <w:autoSpaceDE w:val="0"/>
              <w:autoSpaceDN w:val="0"/>
              <w:adjustRightInd w:val="0"/>
              <w:jc w:val="right"/>
              <w:rPr>
                <w:rFonts w:eastAsiaTheme="minorEastAsia" w:cs="Calibri"/>
                <w:b/>
                <w:bCs/>
                <w:color w:val="000000"/>
                <w:szCs w:val="21"/>
                <w:lang w:eastAsia="en-AU"/>
              </w:rPr>
            </w:pPr>
            <w:r w:rsidRPr="00023820">
              <w:rPr>
                <w:rFonts w:eastAsiaTheme="minorEastAsia" w:cs="Calibri"/>
                <w:b/>
                <w:bCs/>
                <w:color w:val="000000"/>
                <w:szCs w:val="21"/>
                <w:lang w:eastAsia="en-AU"/>
              </w:rPr>
              <w:t>2</w:t>
            </w:r>
          </w:p>
        </w:tc>
        <w:tc>
          <w:tcPr>
            <w:tcW w:w="2591" w:type="dxa"/>
            <w:tcBorders>
              <w:top w:val="single" w:sz="6" w:space="0" w:color="000000"/>
              <w:left w:val="nil"/>
              <w:bottom w:val="single" w:sz="12" w:space="0" w:color="000000"/>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1"/>
                <w:lang w:eastAsia="en-AU"/>
              </w:rPr>
            </w:pPr>
            <w:r w:rsidRPr="00023820">
              <w:rPr>
                <w:rFonts w:eastAsiaTheme="minorEastAsia" w:cs="Calibri"/>
                <w:b/>
                <w:bCs/>
                <w:color w:val="000000"/>
                <w:szCs w:val="21"/>
                <w:lang w:eastAsia="en-AU"/>
              </w:rPr>
              <w:t>44</w:t>
            </w:r>
          </w:p>
        </w:tc>
        <w:tc>
          <w:tcPr>
            <w:tcW w:w="2591" w:type="dxa"/>
            <w:tcBorders>
              <w:top w:val="single" w:sz="6" w:space="0" w:color="000000"/>
              <w:left w:val="nil"/>
              <w:bottom w:val="single" w:sz="12" w:space="0" w:color="000000"/>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1"/>
                <w:lang w:eastAsia="en-AU"/>
              </w:rPr>
            </w:pPr>
            <w:r>
              <w:rPr>
                <w:rFonts w:eastAsiaTheme="minorEastAsia" w:cs="Calibri"/>
                <w:b/>
                <w:bCs/>
                <w:color w:val="000000"/>
                <w:szCs w:val="21"/>
                <w:lang w:eastAsia="en-AU"/>
              </w:rPr>
              <w:t>(468)</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2591" w:type="dxa"/>
            <w:tcBorders>
              <w:top w:val="nil"/>
              <w:left w:val="nil"/>
              <w:bottom w:val="nil"/>
              <w:right w:val="nil"/>
            </w:tcBorders>
          </w:tcPr>
          <w:p w:rsidR="00A46DCA" w:rsidRPr="00023820" w:rsidRDefault="00A46DCA" w:rsidP="00A26D04">
            <w:pPr>
              <w:keepLines w:val="0"/>
              <w:autoSpaceDE w:val="0"/>
              <w:autoSpaceDN w:val="0"/>
              <w:adjustRightInd w:val="0"/>
              <w:jc w:val="right"/>
              <w:rPr>
                <w:rFonts w:eastAsiaTheme="minorEastAsia" w:cs="Calibri"/>
                <w:b/>
                <w:bCs/>
                <w:color w:val="000000"/>
                <w:lang w:eastAsia="en-AU"/>
              </w:rPr>
            </w:pPr>
            <w:r w:rsidRPr="00023820">
              <w:rPr>
                <w:rFonts w:eastAsiaTheme="minorEastAsia" w:cs="Calibri"/>
                <w:b/>
                <w:bCs/>
                <w:color w:val="000000"/>
                <w:lang w:eastAsia="en-AU"/>
              </w:rPr>
              <w:t xml:space="preserve"> </w:t>
            </w:r>
          </w:p>
        </w:tc>
        <w:tc>
          <w:tcPr>
            <w:tcW w:w="2591"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1"/>
                <w:lang w:eastAsia="en-AU"/>
              </w:rPr>
            </w:pPr>
            <w:r w:rsidRPr="00023820">
              <w:rPr>
                <w:rFonts w:eastAsiaTheme="minorEastAsia" w:cs="Calibri"/>
                <w:b/>
                <w:bCs/>
                <w:color w:val="000000"/>
                <w:szCs w:val="21"/>
                <w:lang w:eastAsia="en-AU"/>
              </w:rPr>
              <w:t xml:space="preserve"> </w:t>
            </w:r>
          </w:p>
        </w:tc>
        <w:tc>
          <w:tcPr>
            <w:tcW w:w="2591"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1"/>
                <w:lang w:eastAsia="en-AU"/>
              </w:rPr>
            </w:pPr>
            <w:r w:rsidRPr="00023820">
              <w:rPr>
                <w:rFonts w:eastAsiaTheme="minorEastAsia" w:cs="Calibri"/>
                <w:b/>
                <w:bCs/>
                <w:color w:val="000000"/>
                <w:szCs w:val="21"/>
                <w:lang w:eastAsia="en-AU"/>
              </w:rPr>
              <w:t xml:space="preserve"> </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2591" w:type="dxa"/>
            <w:tcBorders>
              <w:top w:val="nil"/>
              <w:left w:val="nil"/>
              <w:bottom w:val="nil"/>
              <w:right w:val="nil"/>
            </w:tcBorders>
          </w:tcPr>
          <w:p w:rsidR="00A46DCA" w:rsidRPr="00023820" w:rsidRDefault="00A46DCA" w:rsidP="00A26D04">
            <w:pPr>
              <w:keepLines w:val="0"/>
              <w:autoSpaceDE w:val="0"/>
              <w:autoSpaceDN w:val="0"/>
              <w:adjustRightInd w:val="0"/>
              <w:jc w:val="right"/>
              <w:rPr>
                <w:rFonts w:eastAsiaTheme="minorEastAsia" w:cs="Calibri"/>
                <w:color w:val="000000"/>
                <w:szCs w:val="21"/>
                <w:lang w:eastAsia="en-AU"/>
              </w:rPr>
            </w:pPr>
            <w:r w:rsidRPr="00023820">
              <w:rPr>
                <w:rFonts w:eastAsiaTheme="minorEastAsia" w:cs="Calibri"/>
                <w:color w:val="000000"/>
                <w:szCs w:val="21"/>
                <w:lang w:eastAsia="en-AU"/>
              </w:rPr>
              <w:t>2</w:t>
            </w:r>
          </w:p>
        </w:tc>
        <w:tc>
          <w:tcPr>
            <w:tcW w:w="2591"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sidRPr="00023820">
              <w:rPr>
                <w:rFonts w:eastAsiaTheme="minorEastAsia" w:cs="Calibri"/>
                <w:color w:val="000000"/>
                <w:szCs w:val="21"/>
                <w:lang w:eastAsia="en-AU"/>
              </w:rPr>
              <w:t>44</w:t>
            </w:r>
          </w:p>
        </w:tc>
        <w:tc>
          <w:tcPr>
            <w:tcW w:w="2591"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(468)</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2591" w:type="dxa"/>
            <w:tcBorders>
              <w:top w:val="nil"/>
              <w:left w:val="nil"/>
              <w:bottom w:val="nil"/>
              <w:right w:val="nil"/>
            </w:tcBorders>
          </w:tcPr>
          <w:p w:rsidR="00A46DCA" w:rsidRPr="00023820" w:rsidRDefault="00A46DCA" w:rsidP="00A26D04">
            <w:pPr>
              <w:keepLines w:val="0"/>
              <w:autoSpaceDE w:val="0"/>
              <w:autoSpaceDN w:val="0"/>
              <w:adjustRightInd w:val="0"/>
              <w:jc w:val="right"/>
              <w:rPr>
                <w:rFonts w:eastAsiaTheme="minorEastAsia" w:cs="Calibri"/>
                <w:color w:val="000000"/>
                <w:szCs w:val="21"/>
                <w:lang w:eastAsia="en-AU"/>
              </w:rPr>
            </w:pPr>
            <w:r>
              <w:rPr>
                <w:rFonts w:eastAsiaTheme="minorEastAsia" w:cs="Calibri"/>
                <w:color w:val="000000"/>
                <w:szCs w:val="21"/>
                <w:lang w:eastAsia="en-AU"/>
              </w:rPr>
              <w:t>..</w:t>
            </w:r>
          </w:p>
        </w:tc>
        <w:tc>
          <w:tcPr>
            <w:tcW w:w="2591"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w:t>
            </w:r>
          </w:p>
        </w:tc>
        <w:tc>
          <w:tcPr>
            <w:tcW w:w="2591"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(76)</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2591" w:type="dxa"/>
            <w:tcBorders>
              <w:top w:val="nil"/>
              <w:left w:val="nil"/>
              <w:bottom w:val="nil"/>
              <w:right w:val="nil"/>
            </w:tcBorders>
          </w:tcPr>
          <w:p w:rsidR="00A46DCA" w:rsidRPr="00023820" w:rsidRDefault="00A46DCA" w:rsidP="00A26D04">
            <w:pPr>
              <w:keepLines w:val="0"/>
              <w:autoSpaceDE w:val="0"/>
              <w:autoSpaceDN w:val="0"/>
              <w:adjustRightInd w:val="0"/>
              <w:jc w:val="right"/>
              <w:rPr>
                <w:rFonts w:eastAsiaTheme="minorEastAsia" w:cs="Calibri"/>
                <w:color w:val="000000"/>
                <w:szCs w:val="21"/>
                <w:lang w:eastAsia="en-AU"/>
              </w:rPr>
            </w:pPr>
            <w:r>
              <w:rPr>
                <w:rFonts w:eastAsiaTheme="minorEastAsia" w:cs="Calibri"/>
                <w:color w:val="000000"/>
                <w:szCs w:val="21"/>
                <w:lang w:eastAsia="en-AU"/>
              </w:rPr>
              <w:t>..</w:t>
            </w:r>
          </w:p>
        </w:tc>
        <w:tc>
          <w:tcPr>
            <w:tcW w:w="2591"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sidRPr="00023820">
              <w:rPr>
                <w:rFonts w:eastAsiaTheme="minorEastAsia" w:cs="Calibri"/>
                <w:color w:val="000000"/>
                <w:szCs w:val="21"/>
                <w:lang w:eastAsia="en-AU"/>
              </w:rPr>
              <w:t>3</w:t>
            </w:r>
          </w:p>
        </w:tc>
        <w:tc>
          <w:tcPr>
            <w:tcW w:w="2591"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sidRPr="00023820">
              <w:rPr>
                <w:rFonts w:eastAsiaTheme="minorEastAsia" w:cs="Calibri"/>
                <w:color w:val="000000"/>
                <w:szCs w:val="21"/>
                <w:lang w:eastAsia="en-AU"/>
              </w:rPr>
              <w:t>3</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2591" w:type="dxa"/>
            <w:tcBorders>
              <w:top w:val="nil"/>
              <w:left w:val="nil"/>
              <w:bottom w:val="nil"/>
              <w:right w:val="nil"/>
            </w:tcBorders>
          </w:tcPr>
          <w:p w:rsidR="00A46DCA" w:rsidRPr="00023820" w:rsidRDefault="00A46DCA" w:rsidP="00A26D04">
            <w:pPr>
              <w:keepLines w:val="0"/>
              <w:autoSpaceDE w:val="0"/>
              <w:autoSpaceDN w:val="0"/>
              <w:adjustRightInd w:val="0"/>
              <w:jc w:val="right"/>
              <w:rPr>
                <w:rFonts w:eastAsiaTheme="minorEastAsia" w:cs="Calibri"/>
                <w:color w:val="000000"/>
                <w:szCs w:val="21"/>
                <w:lang w:eastAsia="en-AU"/>
              </w:rPr>
            </w:pPr>
            <w:r>
              <w:rPr>
                <w:rFonts w:eastAsiaTheme="minorEastAsia" w:cs="Calibri"/>
                <w:color w:val="000000"/>
                <w:szCs w:val="21"/>
                <w:lang w:eastAsia="en-AU"/>
              </w:rPr>
              <w:t>..</w:t>
            </w:r>
          </w:p>
        </w:tc>
        <w:tc>
          <w:tcPr>
            <w:tcW w:w="2591"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w:t>
            </w:r>
          </w:p>
        </w:tc>
        <w:tc>
          <w:tcPr>
            <w:tcW w:w="2591"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(70)</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2591" w:type="dxa"/>
            <w:tcBorders>
              <w:top w:val="nil"/>
              <w:left w:val="nil"/>
              <w:bottom w:val="nil"/>
              <w:right w:val="nil"/>
            </w:tcBorders>
          </w:tcPr>
          <w:p w:rsidR="00A46DCA" w:rsidRPr="00023820" w:rsidRDefault="00A46DCA" w:rsidP="00A26D04">
            <w:pPr>
              <w:keepLines w:val="0"/>
              <w:autoSpaceDE w:val="0"/>
              <w:autoSpaceDN w:val="0"/>
              <w:adjustRightInd w:val="0"/>
              <w:jc w:val="right"/>
              <w:rPr>
                <w:rFonts w:eastAsiaTheme="minorEastAsia" w:cs="Calibri"/>
                <w:color w:val="000000"/>
                <w:szCs w:val="21"/>
                <w:lang w:eastAsia="en-AU"/>
              </w:rPr>
            </w:pPr>
            <w:r>
              <w:rPr>
                <w:rFonts w:eastAsiaTheme="minorEastAsia" w:cs="Calibri"/>
                <w:color w:val="000000"/>
                <w:szCs w:val="21"/>
                <w:lang w:eastAsia="en-AU"/>
              </w:rPr>
              <w:t>..</w:t>
            </w:r>
          </w:p>
        </w:tc>
        <w:tc>
          <w:tcPr>
            <w:tcW w:w="2591"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w:t>
            </w:r>
          </w:p>
        </w:tc>
        <w:tc>
          <w:tcPr>
            <w:tcW w:w="2591"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2591" w:type="dxa"/>
            <w:tcBorders>
              <w:top w:val="nil"/>
              <w:left w:val="nil"/>
              <w:bottom w:val="nil"/>
              <w:right w:val="nil"/>
            </w:tcBorders>
          </w:tcPr>
          <w:p w:rsidR="00A46DCA" w:rsidRPr="00023820" w:rsidRDefault="00A46DCA" w:rsidP="00A26D04">
            <w:pPr>
              <w:keepLines w:val="0"/>
              <w:autoSpaceDE w:val="0"/>
              <w:autoSpaceDN w:val="0"/>
              <w:adjustRightInd w:val="0"/>
              <w:jc w:val="right"/>
              <w:rPr>
                <w:rFonts w:eastAsiaTheme="minorEastAsia" w:cs="Calibri"/>
                <w:color w:val="000000"/>
                <w:szCs w:val="21"/>
                <w:lang w:eastAsia="en-AU"/>
              </w:rPr>
            </w:pPr>
            <w:r>
              <w:rPr>
                <w:rFonts w:eastAsiaTheme="minorEastAsia" w:cs="Calibri"/>
                <w:color w:val="000000"/>
                <w:szCs w:val="21"/>
                <w:lang w:eastAsia="en-AU"/>
              </w:rPr>
              <w:t>..</w:t>
            </w:r>
          </w:p>
        </w:tc>
        <w:tc>
          <w:tcPr>
            <w:tcW w:w="2591"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w:t>
            </w:r>
          </w:p>
        </w:tc>
        <w:tc>
          <w:tcPr>
            <w:tcW w:w="2591"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(600)</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2591" w:type="dxa"/>
            <w:tcBorders>
              <w:top w:val="single" w:sz="6" w:space="0" w:color="000000"/>
              <w:left w:val="nil"/>
              <w:bottom w:val="single" w:sz="12" w:space="0" w:color="000000"/>
              <w:right w:val="nil"/>
            </w:tcBorders>
          </w:tcPr>
          <w:p w:rsidR="00A46DCA" w:rsidRPr="00023820" w:rsidRDefault="00A46DCA" w:rsidP="00A26D04">
            <w:pPr>
              <w:keepLines w:val="0"/>
              <w:autoSpaceDE w:val="0"/>
              <w:autoSpaceDN w:val="0"/>
              <w:adjustRightInd w:val="0"/>
              <w:jc w:val="right"/>
              <w:rPr>
                <w:rFonts w:eastAsiaTheme="minorEastAsia" w:cs="Calibri"/>
                <w:b/>
                <w:bCs/>
                <w:color w:val="000000"/>
                <w:szCs w:val="21"/>
                <w:lang w:eastAsia="en-AU"/>
              </w:rPr>
            </w:pPr>
            <w:r w:rsidRPr="00023820">
              <w:rPr>
                <w:rFonts w:eastAsiaTheme="minorEastAsia" w:cs="Calibri"/>
                <w:b/>
                <w:bCs/>
                <w:color w:val="000000"/>
                <w:szCs w:val="21"/>
                <w:lang w:eastAsia="en-AU"/>
              </w:rPr>
              <w:t>2</w:t>
            </w:r>
          </w:p>
        </w:tc>
        <w:tc>
          <w:tcPr>
            <w:tcW w:w="2591" w:type="dxa"/>
            <w:tcBorders>
              <w:top w:val="single" w:sz="6" w:space="0" w:color="000000"/>
              <w:left w:val="nil"/>
              <w:bottom w:val="single" w:sz="12" w:space="0" w:color="000000"/>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1"/>
                <w:lang w:eastAsia="en-AU"/>
              </w:rPr>
            </w:pPr>
            <w:r w:rsidRPr="00023820">
              <w:rPr>
                <w:rFonts w:eastAsiaTheme="minorEastAsia" w:cs="Calibri"/>
                <w:b/>
                <w:bCs/>
                <w:color w:val="000000"/>
                <w:szCs w:val="21"/>
                <w:lang w:eastAsia="en-AU"/>
              </w:rPr>
              <w:t>47</w:t>
            </w:r>
          </w:p>
        </w:tc>
        <w:tc>
          <w:tcPr>
            <w:tcW w:w="2591" w:type="dxa"/>
            <w:tcBorders>
              <w:top w:val="single" w:sz="6" w:space="0" w:color="000000"/>
              <w:left w:val="nil"/>
              <w:bottom w:val="single" w:sz="12" w:space="0" w:color="000000"/>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1"/>
                <w:lang w:eastAsia="en-AU"/>
              </w:rPr>
            </w:pPr>
            <w:r>
              <w:rPr>
                <w:rFonts w:eastAsiaTheme="minorEastAsia" w:cs="Calibri"/>
                <w:b/>
                <w:bCs/>
                <w:color w:val="000000"/>
                <w:szCs w:val="21"/>
                <w:lang w:eastAsia="en-AU"/>
              </w:rPr>
              <w:t>(1 211)</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2591" w:type="dxa"/>
            <w:tcBorders>
              <w:top w:val="nil"/>
              <w:left w:val="nil"/>
              <w:bottom w:val="nil"/>
              <w:right w:val="nil"/>
            </w:tcBorders>
          </w:tcPr>
          <w:p w:rsidR="00A46DCA" w:rsidRPr="00023820" w:rsidRDefault="00A46DCA" w:rsidP="00A26D04">
            <w:pPr>
              <w:keepLines w:val="0"/>
              <w:autoSpaceDE w:val="0"/>
              <w:autoSpaceDN w:val="0"/>
              <w:adjustRightInd w:val="0"/>
              <w:jc w:val="right"/>
              <w:rPr>
                <w:rFonts w:eastAsiaTheme="minorEastAsia" w:cs="Calibri"/>
                <w:b/>
                <w:bCs/>
                <w:color w:val="000000"/>
                <w:lang w:eastAsia="en-AU"/>
              </w:rPr>
            </w:pPr>
            <w:r w:rsidRPr="00023820">
              <w:rPr>
                <w:rFonts w:eastAsiaTheme="minorEastAsia" w:cs="Calibri"/>
                <w:b/>
                <w:bCs/>
                <w:color w:val="000000"/>
                <w:lang w:eastAsia="en-AU"/>
              </w:rPr>
              <w:t xml:space="preserve"> </w:t>
            </w:r>
          </w:p>
        </w:tc>
        <w:tc>
          <w:tcPr>
            <w:tcW w:w="2591"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1"/>
                <w:lang w:eastAsia="en-AU"/>
              </w:rPr>
            </w:pPr>
            <w:r w:rsidRPr="00023820">
              <w:rPr>
                <w:rFonts w:eastAsiaTheme="minorEastAsia" w:cs="Calibri"/>
                <w:b/>
                <w:bCs/>
                <w:color w:val="000000"/>
                <w:szCs w:val="21"/>
                <w:lang w:eastAsia="en-AU"/>
              </w:rPr>
              <w:t xml:space="preserve"> </w:t>
            </w:r>
          </w:p>
        </w:tc>
        <w:tc>
          <w:tcPr>
            <w:tcW w:w="2591"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1"/>
                <w:lang w:eastAsia="en-AU"/>
              </w:rPr>
            </w:pPr>
            <w:r w:rsidRPr="00023820">
              <w:rPr>
                <w:rFonts w:eastAsiaTheme="minorEastAsia" w:cs="Calibri"/>
                <w:b/>
                <w:bCs/>
                <w:color w:val="000000"/>
                <w:szCs w:val="21"/>
                <w:lang w:eastAsia="en-AU"/>
              </w:rPr>
              <w:t xml:space="preserve"> </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2591" w:type="dxa"/>
            <w:tcBorders>
              <w:top w:val="nil"/>
              <w:left w:val="nil"/>
              <w:bottom w:val="nil"/>
              <w:right w:val="nil"/>
            </w:tcBorders>
          </w:tcPr>
          <w:p w:rsidR="00A46DCA" w:rsidRPr="00023820" w:rsidRDefault="00A46DCA" w:rsidP="00A26D04">
            <w:pPr>
              <w:keepLines w:val="0"/>
              <w:autoSpaceDE w:val="0"/>
              <w:autoSpaceDN w:val="0"/>
              <w:adjustRightInd w:val="0"/>
              <w:jc w:val="right"/>
              <w:rPr>
                <w:rFonts w:eastAsiaTheme="minorEastAsia" w:cs="Calibri"/>
                <w:color w:val="000000"/>
                <w:szCs w:val="21"/>
                <w:lang w:eastAsia="en-AU"/>
              </w:rPr>
            </w:pPr>
            <w:r w:rsidRPr="00023820">
              <w:rPr>
                <w:rFonts w:eastAsiaTheme="minorEastAsia" w:cs="Calibri"/>
                <w:color w:val="000000"/>
                <w:szCs w:val="21"/>
                <w:lang w:eastAsia="en-AU"/>
              </w:rPr>
              <w:t>2</w:t>
            </w:r>
          </w:p>
        </w:tc>
        <w:tc>
          <w:tcPr>
            <w:tcW w:w="2591"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sidRPr="00023820">
              <w:rPr>
                <w:rFonts w:eastAsiaTheme="minorEastAsia" w:cs="Calibri"/>
                <w:color w:val="000000"/>
                <w:szCs w:val="21"/>
                <w:lang w:eastAsia="en-AU"/>
              </w:rPr>
              <w:t>47</w:t>
            </w:r>
          </w:p>
        </w:tc>
        <w:tc>
          <w:tcPr>
            <w:tcW w:w="2591"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(1 211)</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2591" w:type="dxa"/>
            <w:tcBorders>
              <w:top w:val="nil"/>
              <w:left w:val="nil"/>
              <w:bottom w:val="nil"/>
              <w:right w:val="nil"/>
            </w:tcBorders>
          </w:tcPr>
          <w:p w:rsidR="00A46DCA" w:rsidRPr="00023820" w:rsidRDefault="00A46DCA" w:rsidP="00A26D04">
            <w:pPr>
              <w:keepLines w:val="0"/>
              <w:autoSpaceDE w:val="0"/>
              <w:autoSpaceDN w:val="0"/>
              <w:adjustRightInd w:val="0"/>
              <w:jc w:val="right"/>
              <w:rPr>
                <w:rFonts w:eastAsiaTheme="minorEastAsia" w:cs="Calibri"/>
                <w:color w:val="000000"/>
                <w:szCs w:val="21"/>
                <w:lang w:eastAsia="en-AU"/>
              </w:rPr>
            </w:pPr>
            <w:r>
              <w:rPr>
                <w:rFonts w:eastAsiaTheme="minorEastAsia" w:cs="Calibri"/>
                <w:color w:val="000000"/>
                <w:szCs w:val="21"/>
                <w:lang w:eastAsia="en-AU"/>
              </w:rPr>
              <w:t>..</w:t>
            </w:r>
          </w:p>
        </w:tc>
        <w:tc>
          <w:tcPr>
            <w:tcW w:w="2591"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w:t>
            </w:r>
          </w:p>
        </w:tc>
        <w:tc>
          <w:tcPr>
            <w:tcW w:w="2591"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sidRPr="00023820">
              <w:rPr>
                <w:rFonts w:eastAsiaTheme="minorEastAsia" w:cs="Calibri"/>
                <w:color w:val="000000"/>
                <w:szCs w:val="21"/>
                <w:lang w:eastAsia="en-AU"/>
              </w:rPr>
              <w:t>81</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2591" w:type="dxa"/>
            <w:tcBorders>
              <w:top w:val="nil"/>
              <w:left w:val="nil"/>
              <w:bottom w:val="nil"/>
              <w:right w:val="nil"/>
            </w:tcBorders>
          </w:tcPr>
          <w:p w:rsidR="00A46DCA" w:rsidRPr="00023820" w:rsidRDefault="00A46DCA" w:rsidP="00A26D04">
            <w:pPr>
              <w:keepLines w:val="0"/>
              <w:autoSpaceDE w:val="0"/>
              <w:autoSpaceDN w:val="0"/>
              <w:adjustRightInd w:val="0"/>
              <w:jc w:val="right"/>
              <w:rPr>
                <w:rFonts w:eastAsiaTheme="minorEastAsia" w:cs="Calibri"/>
                <w:color w:val="000000"/>
                <w:szCs w:val="21"/>
                <w:lang w:eastAsia="en-AU"/>
              </w:rPr>
            </w:pPr>
            <w:r>
              <w:rPr>
                <w:rFonts w:eastAsiaTheme="minorEastAsia" w:cs="Calibri"/>
                <w:color w:val="000000"/>
                <w:szCs w:val="21"/>
                <w:lang w:eastAsia="en-AU"/>
              </w:rPr>
              <w:t>..</w:t>
            </w:r>
          </w:p>
        </w:tc>
        <w:tc>
          <w:tcPr>
            <w:tcW w:w="2591"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sidRPr="00023820">
              <w:rPr>
                <w:rFonts w:eastAsiaTheme="minorEastAsia" w:cs="Calibri"/>
                <w:color w:val="000000"/>
                <w:szCs w:val="21"/>
                <w:lang w:eastAsia="en-AU"/>
              </w:rPr>
              <w:t>3</w:t>
            </w:r>
          </w:p>
        </w:tc>
        <w:tc>
          <w:tcPr>
            <w:tcW w:w="2591"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sidRPr="00023820">
              <w:rPr>
                <w:rFonts w:eastAsiaTheme="minorEastAsia" w:cs="Calibri"/>
                <w:color w:val="000000"/>
                <w:szCs w:val="21"/>
                <w:lang w:eastAsia="en-AU"/>
              </w:rPr>
              <w:t>3</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2591" w:type="dxa"/>
            <w:tcBorders>
              <w:top w:val="nil"/>
              <w:left w:val="nil"/>
              <w:bottom w:val="nil"/>
              <w:right w:val="nil"/>
            </w:tcBorders>
          </w:tcPr>
          <w:p w:rsidR="00A46DCA" w:rsidRPr="00023820" w:rsidRDefault="00A46DCA" w:rsidP="00A26D04">
            <w:pPr>
              <w:keepLines w:val="0"/>
              <w:autoSpaceDE w:val="0"/>
              <w:autoSpaceDN w:val="0"/>
              <w:adjustRightInd w:val="0"/>
              <w:jc w:val="right"/>
              <w:rPr>
                <w:rFonts w:eastAsiaTheme="minorEastAsia" w:cs="Calibri"/>
                <w:color w:val="000000"/>
                <w:szCs w:val="21"/>
                <w:lang w:eastAsia="en-AU"/>
              </w:rPr>
            </w:pPr>
            <w:r>
              <w:rPr>
                <w:rFonts w:eastAsiaTheme="minorEastAsia" w:cs="Calibri"/>
                <w:color w:val="000000"/>
                <w:szCs w:val="21"/>
                <w:lang w:eastAsia="en-AU"/>
              </w:rPr>
              <w:t>..</w:t>
            </w:r>
          </w:p>
        </w:tc>
        <w:tc>
          <w:tcPr>
            <w:tcW w:w="2591"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w:t>
            </w:r>
          </w:p>
        </w:tc>
        <w:tc>
          <w:tcPr>
            <w:tcW w:w="2591"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(80)</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2591" w:type="dxa"/>
            <w:tcBorders>
              <w:top w:val="nil"/>
              <w:left w:val="nil"/>
              <w:bottom w:val="nil"/>
              <w:right w:val="nil"/>
            </w:tcBorders>
          </w:tcPr>
          <w:p w:rsidR="00A46DCA" w:rsidRPr="00023820" w:rsidRDefault="00A46DCA" w:rsidP="00A26D04">
            <w:pPr>
              <w:keepLines w:val="0"/>
              <w:autoSpaceDE w:val="0"/>
              <w:autoSpaceDN w:val="0"/>
              <w:adjustRightInd w:val="0"/>
              <w:jc w:val="right"/>
              <w:rPr>
                <w:rFonts w:eastAsiaTheme="minorEastAsia" w:cs="Calibri"/>
                <w:color w:val="000000"/>
                <w:szCs w:val="21"/>
                <w:lang w:eastAsia="en-AU"/>
              </w:rPr>
            </w:pPr>
            <w:r>
              <w:rPr>
                <w:rFonts w:eastAsiaTheme="minorEastAsia" w:cs="Calibri"/>
                <w:color w:val="000000"/>
                <w:szCs w:val="21"/>
                <w:lang w:eastAsia="en-AU"/>
              </w:rPr>
              <w:t>..</w:t>
            </w:r>
          </w:p>
        </w:tc>
        <w:tc>
          <w:tcPr>
            <w:tcW w:w="2591"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w:t>
            </w:r>
          </w:p>
        </w:tc>
        <w:tc>
          <w:tcPr>
            <w:tcW w:w="2591"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2591" w:type="dxa"/>
            <w:tcBorders>
              <w:top w:val="nil"/>
              <w:left w:val="nil"/>
              <w:bottom w:val="nil"/>
              <w:right w:val="nil"/>
            </w:tcBorders>
          </w:tcPr>
          <w:p w:rsidR="00A46DCA" w:rsidRPr="00023820" w:rsidRDefault="00A46DCA" w:rsidP="00A26D04">
            <w:pPr>
              <w:keepLines w:val="0"/>
              <w:autoSpaceDE w:val="0"/>
              <w:autoSpaceDN w:val="0"/>
              <w:adjustRightInd w:val="0"/>
              <w:jc w:val="right"/>
              <w:rPr>
                <w:rFonts w:eastAsiaTheme="minorEastAsia" w:cs="Calibri"/>
                <w:color w:val="000000"/>
                <w:szCs w:val="21"/>
                <w:lang w:eastAsia="en-AU"/>
              </w:rPr>
            </w:pPr>
            <w:r>
              <w:rPr>
                <w:rFonts w:eastAsiaTheme="minorEastAsia" w:cs="Calibri"/>
                <w:color w:val="000000"/>
                <w:szCs w:val="21"/>
                <w:lang w:eastAsia="en-AU"/>
              </w:rPr>
              <w:t>..</w:t>
            </w:r>
          </w:p>
        </w:tc>
        <w:tc>
          <w:tcPr>
            <w:tcW w:w="2591"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w:t>
            </w:r>
          </w:p>
        </w:tc>
        <w:tc>
          <w:tcPr>
            <w:tcW w:w="2591"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(1 020)</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2591" w:type="dxa"/>
            <w:tcBorders>
              <w:top w:val="single" w:sz="6" w:space="0" w:color="000000"/>
              <w:left w:val="nil"/>
              <w:bottom w:val="single" w:sz="12" w:space="0" w:color="000000"/>
              <w:right w:val="nil"/>
            </w:tcBorders>
          </w:tcPr>
          <w:p w:rsidR="00A46DCA" w:rsidRPr="00023820" w:rsidRDefault="00A46DCA" w:rsidP="00A26D04">
            <w:pPr>
              <w:keepLines w:val="0"/>
              <w:autoSpaceDE w:val="0"/>
              <w:autoSpaceDN w:val="0"/>
              <w:adjustRightInd w:val="0"/>
              <w:jc w:val="right"/>
              <w:rPr>
                <w:rFonts w:eastAsiaTheme="minorEastAsia" w:cs="Calibri"/>
                <w:b/>
                <w:bCs/>
                <w:color w:val="000000"/>
                <w:szCs w:val="21"/>
                <w:lang w:eastAsia="en-AU"/>
              </w:rPr>
            </w:pPr>
            <w:r w:rsidRPr="00023820">
              <w:rPr>
                <w:rFonts w:eastAsiaTheme="minorEastAsia" w:cs="Calibri"/>
                <w:b/>
                <w:bCs/>
                <w:color w:val="000000"/>
                <w:szCs w:val="21"/>
                <w:lang w:eastAsia="en-AU"/>
              </w:rPr>
              <w:t>2</w:t>
            </w:r>
          </w:p>
        </w:tc>
        <w:tc>
          <w:tcPr>
            <w:tcW w:w="2591" w:type="dxa"/>
            <w:tcBorders>
              <w:top w:val="single" w:sz="6" w:space="0" w:color="000000"/>
              <w:left w:val="nil"/>
              <w:bottom w:val="single" w:sz="12" w:space="0" w:color="000000"/>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1"/>
                <w:lang w:eastAsia="en-AU"/>
              </w:rPr>
            </w:pPr>
            <w:r w:rsidRPr="00023820">
              <w:rPr>
                <w:rFonts w:eastAsiaTheme="minorEastAsia" w:cs="Calibri"/>
                <w:b/>
                <w:bCs/>
                <w:color w:val="000000"/>
                <w:szCs w:val="21"/>
                <w:lang w:eastAsia="en-AU"/>
              </w:rPr>
              <w:t>49</w:t>
            </w:r>
          </w:p>
        </w:tc>
        <w:tc>
          <w:tcPr>
            <w:tcW w:w="2591" w:type="dxa"/>
            <w:tcBorders>
              <w:top w:val="single" w:sz="6" w:space="0" w:color="000000"/>
              <w:left w:val="nil"/>
              <w:bottom w:val="single" w:sz="12" w:space="0" w:color="000000"/>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1"/>
                <w:lang w:eastAsia="en-AU"/>
              </w:rPr>
            </w:pPr>
            <w:r>
              <w:rPr>
                <w:rFonts w:eastAsiaTheme="minorEastAsia" w:cs="Calibri"/>
                <w:b/>
                <w:bCs/>
                <w:color w:val="000000"/>
                <w:szCs w:val="21"/>
                <w:lang w:eastAsia="en-AU"/>
              </w:rPr>
              <w:t>(2 228)</w:t>
            </w:r>
          </w:p>
        </w:tc>
      </w:tr>
    </w:tbl>
    <w:p w:rsidR="00A46DCA" w:rsidRDefault="00A46DCA" w:rsidP="00A26D04"/>
    <w:p w:rsidR="00A46DCA" w:rsidRPr="00023820" w:rsidRDefault="00A46DCA" w:rsidP="006A017C">
      <w:pPr>
        <w:pStyle w:val="TableHeading"/>
        <w:rPr>
          <w:bCs/>
          <w:lang w:val="en-US"/>
        </w:rPr>
      </w:pPr>
      <w:r>
        <w:lastRenderedPageBreak/>
        <w:t>Table 5.17</w:t>
      </w:r>
      <w:r w:rsidR="008E5E35">
        <w:t>:</w:t>
      </w:r>
      <w:r>
        <w:tab/>
        <w:t xml:space="preserve">Derivation of public financial corporations sector </w:t>
      </w:r>
      <w:r w:rsidR="006A017C">
        <w:br/>
      </w:r>
      <w:r>
        <w:t>GFS cash surplus/(deficit)</w:t>
      </w:r>
      <w:r w:rsidR="006A017C">
        <w:tab/>
      </w:r>
      <w:r>
        <w:t>($ million)</w:t>
      </w:r>
    </w:p>
    <w:tbl>
      <w:tblPr>
        <w:tblStyle w:val="DTFTable"/>
        <w:tblW w:w="7765" w:type="dxa"/>
        <w:tblInd w:w="45" w:type="dxa"/>
        <w:tblLayout w:type="fixed"/>
        <w:tblCellMar>
          <w:left w:w="45" w:type="dxa"/>
          <w:right w:w="45" w:type="dxa"/>
        </w:tblCellMar>
        <w:tblLook w:val="06E0" w:firstRow="1" w:lastRow="1" w:firstColumn="1" w:lastColumn="0" w:noHBand="1" w:noVBand="1"/>
      </w:tblPr>
      <w:tblGrid>
        <w:gridCol w:w="3515"/>
        <w:gridCol w:w="850"/>
        <w:gridCol w:w="850"/>
        <w:gridCol w:w="850"/>
        <w:gridCol w:w="850"/>
        <w:gridCol w:w="850"/>
      </w:tblGrid>
      <w:tr w:rsidR="00A26D04" w:rsidRPr="00023820" w:rsidTr="008E5E35">
        <w:trPr>
          <w:cnfStyle w:val="100000000000" w:firstRow="1" w:lastRow="0" w:firstColumn="0" w:lastColumn="0" w:oddVBand="0" w:evenVBand="0" w:oddHBand="0" w:evenHBand="0" w:firstRowFirstColumn="0" w:firstRowLastColumn="0" w:lastRowFirstColumn="0" w:lastRowLastColumn="0"/>
          <w:trHeight w:val="70"/>
          <w:tblHeader/>
        </w:trPr>
        <w:tc>
          <w:tcPr>
            <w:cnfStyle w:val="001000000000" w:firstRow="0" w:lastRow="0" w:firstColumn="1" w:lastColumn="0" w:oddVBand="0" w:evenVBand="0" w:oddHBand="0" w:evenHBand="0" w:firstRowFirstColumn="0" w:firstRowLastColumn="0" w:lastRowFirstColumn="0" w:lastRowLastColumn="0"/>
            <w:tcW w:w="3515" w:type="dxa"/>
            <w:tcBorders>
              <w:top w:val="nil"/>
              <w:left w:val="nil"/>
              <w:right w:val="nil"/>
            </w:tcBorders>
            <w:shd w:val="solid" w:color="000000" w:fill="auto"/>
          </w:tcPr>
          <w:p w:rsidR="00A26D04" w:rsidRPr="00023820" w:rsidRDefault="00A26D04" w:rsidP="00A26D04">
            <w:pPr>
              <w:autoSpaceDE w:val="0"/>
              <w:autoSpaceDN w:val="0"/>
              <w:adjustRightInd w:val="0"/>
              <w:rPr>
                <w:rFonts w:eastAsiaTheme="minorEastAsia" w:cs="Calibri"/>
                <w:iCs/>
                <w:color w:val="FFFFFF"/>
                <w:lang w:eastAsia="en-AU"/>
              </w:rPr>
            </w:pPr>
            <w:r w:rsidRPr="00023820">
              <w:rPr>
                <w:rFonts w:eastAsiaTheme="minorEastAsia" w:cs="Calibri"/>
                <w:iCs/>
                <w:color w:val="FFFFFF"/>
                <w:lang w:eastAsia="en-AU"/>
              </w:rPr>
              <w:t xml:space="preserve">  </w:t>
            </w:r>
          </w:p>
        </w:tc>
        <w:tc>
          <w:tcPr>
            <w:tcW w:w="850" w:type="dxa"/>
            <w:tcBorders>
              <w:top w:val="nil"/>
              <w:left w:val="nil"/>
              <w:right w:val="nil"/>
            </w:tcBorders>
            <w:shd w:val="solid" w:color="000000" w:fill="auto"/>
          </w:tcPr>
          <w:p w:rsidR="00A26D04" w:rsidRPr="00023820" w:rsidRDefault="00A26D04" w:rsidP="00A26D0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023820">
              <w:rPr>
                <w:rFonts w:eastAsiaTheme="minorEastAsia" w:cs="Calibri"/>
                <w:iCs/>
                <w:color w:val="FFFFFF"/>
                <w:szCs w:val="16"/>
                <w:lang w:eastAsia="en-AU"/>
              </w:rPr>
              <w:t>2017-18</w:t>
            </w:r>
            <w:r>
              <w:rPr>
                <w:rFonts w:eastAsiaTheme="minorEastAsia" w:cs="Calibri"/>
                <w:iCs/>
                <w:color w:val="FFFFFF"/>
                <w:szCs w:val="16"/>
                <w:lang w:eastAsia="en-AU"/>
              </w:rPr>
              <w:br/>
            </w:r>
            <w:r w:rsidRPr="00023820">
              <w:rPr>
                <w:rFonts w:eastAsiaTheme="minorEastAsia" w:cs="Calibri"/>
                <w:iCs/>
                <w:color w:val="FFFFFF"/>
                <w:szCs w:val="16"/>
                <w:lang w:eastAsia="en-AU"/>
              </w:rPr>
              <w:t>budget</w:t>
            </w:r>
          </w:p>
        </w:tc>
        <w:tc>
          <w:tcPr>
            <w:tcW w:w="850" w:type="dxa"/>
            <w:tcBorders>
              <w:top w:val="nil"/>
              <w:left w:val="nil"/>
              <w:right w:val="nil"/>
            </w:tcBorders>
            <w:shd w:val="solid" w:color="000000" w:fill="auto"/>
          </w:tcPr>
          <w:p w:rsidR="00A26D04" w:rsidRPr="00023820" w:rsidRDefault="00A26D04" w:rsidP="00A26D0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023820">
              <w:rPr>
                <w:rFonts w:eastAsiaTheme="minorEastAsia" w:cs="Calibri"/>
                <w:iCs/>
                <w:color w:val="FFFFFF"/>
                <w:szCs w:val="16"/>
                <w:lang w:eastAsia="en-AU"/>
              </w:rPr>
              <w:t>2017-18</w:t>
            </w:r>
            <w:r>
              <w:rPr>
                <w:rFonts w:eastAsiaTheme="minorEastAsia" w:cs="Calibri"/>
                <w:iCs/>
                <w:color w:val="FFFFFF"/>
                <w:szCs w:val="16"/>
                <w:lang w:eastAsia="en-AU"/>
              </w:rPr>
              <w:br/>
            </w:r>
            <w:r w:rsidRPr="00023820">
              <w:rPr>
                <w:rFonts w:eastAsiaTheme="minorEastAsia" w:cs="Calibri"/>
                <w:iCs/>
                <w:color w:val="FFFFFF"/>
                <w:szCs w:val="16"/>
                <w:lang w:eastAsia="en-AU"/>
              </w:rPr>
              <w:t>revised</w:t>
            </w:r>
          </w:p>
        </w:tc>
        <w:tc>
          <w:tcPr>
            <w:tcW w:w="850" w:type="dxa"/>
            <w:tcBorders>
              <w:top w:val="nil"/>
              <w:left w:val="nil"/>
              <w:right w:val="nil"/>
            </w:tcBorders>
            <w:shd w:val="solid" w:color="000000" w:fill="auto"/>
          </w:tcPr>
          <w:p w:rsidR="00A26D04" w:rsidRPr="00023820" w:rsidRDefault="00A26D04" w:rsidP="00A26D0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023820">
              <w:rPr>
                <w:rFonts w:eastAsiaTheme="minorEastAsia" w:cs="Calibri"/>
                <w:iCs/>
                <w:color w:val="FFFFFF"/>
                <w:szCs w:val="16"/>
                <w:lang w:eastAsia="en-AU"/>
              </w:rPr>
              <w:t>2018-19</w:t>
            </w:r>
            <w:r>
              <w:rPr>
                <w:rFonts w:eastAsiaTheme="minorEastAsia" w:cs="Calibri"/>
                <w:iCs/>
                <w:color w:val="FFFFFF"/>
                <w:szCs w:val="16"/>
                <w:lang w:eastAsia="en-AU"/>
              </w:rPr>
              <w:br/>
            </w:r>
            <w:r w:rsidRPr="00023820">
              <w:rPr>
                <w:rFonts w:eastAsiaTheme="minorEastAsia" w:cs="Calibri"/>
                <w:iCs/>
                <w:color w:val="FFFFFF"/>
                <w:szCs w:val="16"/>
                <w:lang w:eastAsia="en-AU"/>
              </w:rPr>
              <w:t>estimate</w:t>
            </w:r>
          </w:p>
        </w:tc>
        <w:tc>
          <w:tcPr>
            <w:tcW w:w="850" w:type="dxa"/>
            <w:tcBorders>
              <w:top w:val="nil"/>
              <w:left w:val="nil"/>
              <w:right w:val="nil"/>
            </w:tcBorders>
            <w:shd w:val="solid" w:color="000000" w:fill="auto"/>
          </w:tcPr>
          <w:p w:rsidR="00A26D04" w:rsidRPr="00023820" w:rsidRDefault="00A26D04" w:rsidP="00A26D0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023820">
              <w:rPr>
                <w:rFonts w:eastAsiaTheme="minorEastAsia" w:cs="Calibri"/>
                <w:iCs/>
                <w:color w:val="FFFFFF"/>
                <w:szCs w:val="16"/>
                <w:lang w:eastAsia="en-AU"/>
              </w:rPr>
              <w:t>2019-20</w:t>
            </w:r>
            <w:r>
              <w:rPr>
                <w:rFonts w:eastAsiaTheme="minorEastAsia" w:cs="Calibri"/>
                <w:iCs/>
                <w:color w:val="FFFFFF"/>
                <w:szCs w:val="16"/>
                <w:lang w:eastAsia="en-AU"/>
              </w:rPr>
              <w:br/>
            </w:r>
            <w:r w:rsidRPr="00023820">
              <w:rPr>
                <w:rFonts w:eastAsiaTheme="minorEastAsia" w:cs="Calibri"/>
                <w:iCs/>
                <w:color w:val="FFFFFF"/>
                <w:szCs w:val="16"/>
                <w:lang w:eastAsia="en-AU"/>
              </w:rPr>
              <w:t>estimate</w:t>
            </w:r>
          </w:p>
        </w:tc>
        <w:tc>
          <w:tcPr>
            <w:tcW w:w="850" w:type="dxa"/>
            <w:tcBorders>
              <w:top w:val="nil"/>
              <w:left w:val="nil"/>
              <w:right w:val="nil"/>
            </w:tcBorders>
            <w:shd w:val="solid" w:color="000000" w:fill="auto"/>
          </w:tcPr>
          <w:p w:rsidR="00A26D04" w:rsidRPr="00023820" w:rsidRDefault="00A26D04" w:rsidP="00A26D0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023820">
              <w:rPr>
                <w:rFonts w:eastAsiaTheme="minorEastAsia" w:cs="Calibri"/>
                <w:iCs/>
                <w:color w:val="FFFFFF"/>
                <w:szCs w:val="16"/>
                <w:lang w:eastAsia="en-AU"/>
              </w:rPr>
              <w:t>2020-21</w:t>
            </w:r>
            <w:r>
              <w:rPr>
                <w:rFonts w:eastAsiaTheme="minorEastAsia" w:cs="Calibri"/>
                <w:iCs/>
                <w:color w:val="FFFFFF"/>
                <w:szCs w:val="16"/>
                <w:lang w:eastAsia="en-AU"/>
              </w:rPr>
              <w:br/>
            </w:r>
            <w:r w:rsidRPr="00023820">
              <w:rPr>
                <w:rFonts w:eastAsiaTheme="minorEastAsia" w:cs="Calibri"/>
                <w:iCs/>
                <w:color w:val="FFFFFF"/>
                <w:szCs w:val="16"/>
                <w:lang w:eastAsia="en-AU"/>
              </w:rPr>
              <w:t>estimate</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A46DCA" w:rsidRPr="00023820" w:rsidRDefault="00A46DCA" w:rsidP="00A26D04">
            <w:pPr>
              <w:keepLines w:val="0"/>
              <w:autoSpaceDE w:val="0"/>
              <w:autoSpaceDN w:val="0"/>
              <w:adjustRightInd w:val="0"/>
              <w:rPr>
                <w:rFonts w:eastAsiaTheme="minorEastAsia" w:cs="Calibri"/>
                <w:b/>
                <w:bCs/>
                <w:color w:val="000000"/>
                <w:szCs w:val="16"/>
                <w:lang w:eastAsia="en-AU"/>
              </w:rPr>
            </w:pPr>
            <w:r w:rsidRPr="00023820">
              <w:rPr>
                <w:rFonts w:eastAsiaTheme="minorEastAsia" w:cs="Calibri"/>
                <w:b/>
                <w:bCs/>
                <w:color w:val="000000"/>
                <w:szCs w:val="16"/>
                <w:lang w:eastAsia="en-AU"/>
              </w:rPr>
              <w:t>Cash surplus/(deficit)</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Pr>
                <w:rFonts w:eastAsiaTheme="minorEastAsia" w:cs="Calibri"/>
                <w:b/>
                <w:bCs/>
                <w:color w:val="000000"/>
                <w:szCs w:val="16"/>
                <w:lang w:eastAsia="en-AU"/>
              </w:rPr>
              <w:t>(69)</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Pr>
                <w:rFonts w:eastAsiaTheme="minorEastAsia" w:cs="Calibri"/>
                <w:b/>
                <w:bCs/>
                <w:color w:val="000000"/>
                <w:szCs w:val="16"/>
                <w:lang w:eastAsia="en-AU"/>
              </w:rPr>
              <w:t>(224)</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Pr>
                <w:rFonts w:eastAsiaTheme="minorEastAsia" w:cs="Calibri"/>
                <w:b/>
                <w:bCs/>
                <w:color w:val="000000"/>
                <w:szCs w:val="16"/>
                <w:lang w:eastAsia="en-AU"/>
              </w:rPr>
              <w:t>409</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Pr>
                <w:rFonts w:eastAsiaTheme="minorEastAsia" w:cs="Calibri"/>
                <w:b/>
                <w:bCs/>
                <w:color w:val="000000"/>
                <w:szCs w:val="16"/>
                <w:lang w:eastAsia="en-AU"/>
              </w:rPr>
              <w:t>503</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Pr>
                <w:rFonts w:eastAsiaTheme="minorEastAsia" w:cs="Calibri"/>
                <w:b/>
                <w:bCs/>
                <w:color w:val="000000"/>
                <w:szCs w:val="16"/>
                <w:lang w:eastAsia="en-AU"/>
              </w:rPr>
              <w:t>538</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A46DCA" w:rsidRPr="00023820" w:rsidRDefault="00A46DCA" w:rsidP="00A26D04">
            <w:pPr>
              <w:keepLines w:val="0"/>
              <w:autoSpaceDE w:val="0"/>
              <w:autoSpaceDN w:val="0"/>
              <w:adjustRightInd w:val="0"/>
              <w:rPr>
                <w:rFonts w:eastAsiaTheme="minorEastAsia" w:cs="Calibri"/>
                <w:color w:val="000000"/>
                <w:szCs w:val="16"/>
                <w:lang w:eastAsia="en-AU"/>
              </w:rPr>
            </w:pPr>
            <w:r w:rsidRPr="00023820">
              <w:rPr>
                <w:rFonts w:eastAsiaTheme="minorEastAsia" w:cs="Calibri"/>
                <w:color w:val="000000"/>
                <w:szCs w:val="16"/>
                <w:lang w:eastAsia="en-AU"/>
              </w:rPr>
              <w:t>Convergence differences:</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023820">
              <w:rPr>
                <w:rFonts w:eastAsiaTheme="minorEastAsia" w:cs="Calibri"/>
                <w:color w:val="000000"/>
                <w:lang w:eastAsia="en-AU"/>
              </w:rPr>
              <w:t xml:space="preserve"> </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023820">
              <w:rPr>
                <w:rFonts w:eastAsiaTheme="minorEastAsia" w:cs="Calibri"/>
                <w:color w:val="000000"/>
                <w:lang w:eastAsia="en-AU"/>
              </w:rPr>
              <w:t xml:space="preserve"> </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023820">
              <w:rPr>
                <w:rFonts w:eastAsiaTheme="minorEastAsia" w:cs="Calibri"/>
                <w:color w:val="000000"/>
                <w:lang w:eastAsia="en-AU"/>
              </w:rPr>
              <w:t xml:space="preserve"> </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023820">
              <w:rPr>
                <w:rFonts w:eastAsiaTheme="minorEastAsia" w:cs="Calibri"/>
                <w:color w:val="000000"/>
                <w:lang w:eastAsia="en-AU"/>
              </w:rPr>
              <w:t xml:space="preserve"> </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023820">
              <w:rPr>
                <w:rFonts w:eastAsiaTheme="minorEastAsia" w:cs="Calibri"/>
                <w:color w:val="000000"/>
                <w:lang w:eastAsia="en-AU"/>
              </w:rPr>
              <w:t xml:space="preserve"> </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A46DCA" w:rsidRPr="00023820" w:rsidRDefault="00A46DCA" w:rsidP="00A26D04">
            <w:pPr>
              <w:keepLines w:val="0"/>
              <w:autoSpaceDE w:val="0"/>
              <w:autoSpaceDN w:val="0"/>
              <w:adjustRightInd w:val="0"/>
              <w:rPr>
                <w:rFonts w:eastAsiaTheme="minorEastAsia" w:cs="Calibri"/>
                <w:color w:val="000000"/>
                <w:szCs w:val="16"/>
                <w:lang w:eastAsia="en-AU"/>
              </w:rPr>
            </w:pPr>
            <w:r w:rsidRPr="00023820">
              <w:rPr>
                <w:rFonts w:eastAsiaTheme="minorEastAsia" w:cs="Calibri"/>
                <w:color w:val="000000"/>
                <w:szCs w:val="16"/>
                <w:lang w:eastAsia="en-AU"/>
              </w:rPr>
              <w:t xml:space="preserve">Acquisitions under finance leases and </w:t>
            </w:r>
            <w:r>
              <w:rPr>
                <w:rFonts w:eastAsiaTheme="minorEastAsia" w:cs="Calibri"/>
                <w:color w:val="000000"/>
                <w:szCs w:val="16"/>
                <w:lang w:eastAsia="en-AU"/>
              </w:rPr>
              <w:br/>
            </w:r>
            <w:r w:rsidRPr="00023820">
              <w:rPr>
                <w:rFonts w:eastAsiaTheme="minorEastAsia" w:cs="Calibri"/>
                <w:color w:val="000000"/>
                <w:szCs w:val="16"/>
                <w:lang w:eastAsia="en-AU"/>
              </w:rPr>
              <w:t>similar arrangements</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023820">
              <w:rPr>
                <w:rFonts w:eastAsiaTheme="minorEastAsia" w:cs="Calibri"/>
                <w:color w:val="000000"/>
                <w:szCs w:val="16"/>
                <w:lang w:eastAsia="en-AU"/>
              </w:rPr>
              <w:t>..</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023820">
              <w:rPr>
                <w:rFonts w:eastAsiaTheme="minorEastAsia" w:cs="Calibri"/>
                <w:color w:val="000000"/>
                <w:szCs w:val="16"/>
                <w:lang w:eastAsia="en-AU"/>
              </w:rPr>
              <w:t>..</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023820">
              <w:rPr>
                <w:rFonts w:eastAsiaTheme="minorEastAsia" w:cs="Calibri"/>
                <w:color w:val="000000"/>
                <w:szCs w:val="16"/>
                <w:lang w:eastAsia="en-AU"/>
              </w:rPr>
              <w:t>..</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023820">
              <w:rPr>
                <w:rFonts w:eastAsiaTheme="minorEastAsia" w:cs="Calibri"/>
                <w:color w:val="000000"/>
                <w:szCs w:val="16"/>
                <w:lang w:eastAsia="en-AU"/>
              </w:rPr>
              <w:t>..</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023820">
              <w:rPr>
                <w:rFonts w:eastAsiaTheme="minorEastAsia" w:cs="Calibri"/>
                <w:color w:val="000000"/>
                <w:szCs w:val="16"/>
                <w:lang w:eastAsia="en-AU"/>
              </w:rPr>
              <w:t>..</w:t>
            </w:r>
          </w:p>
        </w:tc>
      </w:tr>
      <w:tr w:rsidR="00A46DCA" w:rsidRPr="00023820" w:rsidTr="00A26D04">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5" w:type="dxa"/>
            <w:tcBorders>
              <w:top w:val="single" w:sz="6" w:space="0" w:color="000000"/>
              <w:bottom w:val="single" w:sz="12" w:space="0" w:color="000000"/>
            </w:tcBorders>
          </w:tcPr>
          <w:p w:rsidR="00A46DCA" w:rsidRPr="00023820" w:rsidRDefault="00A46DCA" w:rsidP="00A26D04">
            <w:pPr>
              <w:keepLines w:val="0"/>
              <w:autoSpaceDE w:val="0"/>
              <w:autoSpaceDN w:val="0"/>
              <w:adjustRightInd w:val="0"/>
              <w:rPr>
                <w:rFonts w:eastAsiaTheme="minorEastAsia" w:cs="Calibri"/>
                <w:bCs/>
                <w:color w:val="000000"/>
                <w:szCs w:val="16"/>
                <w:vertAlign w:val="superscript"/>
                <w:lang w:eastAsia="en-AU"/>
              </w:rPr>
            </w:pPr>
            <w:r w:rsidRPr="00023820">
              <w:rPr>
                <w:rFonts w:eastAsiaTheme="minorEastAsia" w:cs="Calibri"/>
                <w:bCs/>
                <w:color w:val="000000"/>
                <w:szCs w:val="16"/>
                <w:lang w:eastAsia="en-AU"/>
              </w:rPr>
              <w:t xml:space="preserve">GFS cash surplus/(deficit) </w:t>
            </w:r>
            <w:r w:rsidRPr="00023820">
              <w:rPr>
                <w:rFonts w:eastAsiaTheme="minorEastAsia" w:cs="Calibri"/>
                <w:bCs/>
                <w:color w:val="000000"/>
                <w:szCs w:val="16"/>
                <w:vertAlign w:val="superscript"/>
                <w:lang w:eastAsia="en-AU"/>
              </w:rPr>
              <w:t>(a)</w:t>
            </w:r>
          </w:p>
        </w:tc>
        <w:tc>
          <w:tcPr>
            <w:tcW w:w="850" w:type="dxa"/>
            <w:tcBorders>
              <w:top w:val="single" w:sz="6" w:space="0" w:color="000000"/>
              <w:bottom w:val="single" w:sz="12" w:space="0" w:color="000000"/>
            </w:tcBorders>
          </w:tcPr>
          <w:p w:rsidR="00A46DCA" w:rsidRPr="00023820" w:rsidRDefault="00A46DCA" w:rsidP="00A26D0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6"/>
                <w:lang w:eastAsia="en-AU"/>
              </w:rPr>
            </w:pPr>
            <w:r>
              <w:rPr>
                <w:rFonts w:eastAsiaTheme="minorEastAsia" w:cs="Calibri"/>
                <w:bCs/>
                <w:color w:val="000000"/>
                <w:szCs w:val="16"/>
                <w:lang w:eastAsia="en-AU"/>
              </w:rPr>
              <w:t>(69)</w:t>
            </w:r>
          </w:p>
        </w:tc>
        <w:tc>
          <w:tcPr>
            <w:tcW w:w="850" w:type="dxa"/>
            <w:tcBorders>
              <w:top w:val="single" w:sz="6" w:space="0" w:color="000000"/>
              <w:bottom w:val="single" w:sz="12" w:space="0" w:color="000000"/>
            </w:tcBorders>
          </w:tcPr>
          <w:p w:rsidR="00A46DCA" w:rsidRPr="00023820" w:rsidRDefault="00A46DCA" w:rsidP="00A26D0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6"/>
                <w:lang w:eastAsia="en-AU"/>
              </w:rPr>
            </w:pPr>
            <w:r>
              <w:rPr>
                <w:rFonts w:eastAsiaTheme="minorEastAsia" w:cs="Calibri"/>
                <w:bCs/>
                <w:color w:val="000000"/>
                <w:szCs w:val="16"/>
                <w:lang w:eastAsia="en-AU"/>
              </w:rPr>
              <w:t>(224)</w:t>
            </w:r>
          </w:p>
        </w:tc>
        <w:tc>
          <w:tcPr>
            <w:tcW w:w="850" w:type="dxa"/>
            <w:tcBorders>
              <w:top w:val="single" w:sz="6" w:space="0" w:color="000000"/>
              <w:bottom w:val="single" w:sz="12" w:space="0" w:color="000000"/>
            </w:tcBorders>
          </w:tcPr>
          <w:p w:rsidR="00A46DCA" w:rsidRPr="00023820" w:rsidRDefault="00A46DCA" w:rsidP="00A26D0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6"/>
                <w:lang w:eastAsia="en-AU"/>
              </w:rPr>
            </w:pPr>
            <w:r>
              <w:rPr>
                <w:rFonts w:eastAsiaTheme="minorEastAsia" w:cs="Calibri"/>
                <w:bCs/>
                <w:color w:val="000000"/>
                <w:szCs w:val="16"/>
                <w:lang w:eastAsia="en-AU"/>
              </w:rPr>
              <w:t>409</w:t>
            </w:r>
          </w:p>
        </w:tc>
        <w:tc>
          <w:tcPr>
            <w:tcW w:w="850" w:type="dxa"/>
            <w:tcBorders>
              <w:top w:val="single" w:sz="6" w:space="0" w:color="000000"/>
              <w:bottom w:val="single" w:sz="12" w:space="0" w:color="000000"/>
            </w:tcBorders>
          </w:tcPr>
          <w:p w:rsidR="00A46DCA" w:rsidRPr="00023820" w:rsidRDefault="00A46DCA" w:rsidP="00A26D0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6"/>
                <w:lang w:eastAsia="en-AU"/>
              </w:rPr>
            </w:pPr>
            <w:r>
              <w:rPr>
                <w:rFonts w:eastAsiaTheme="minorEastAsia" w:cs="Calibri"/>
                <w:bCs/>
                <w:color w:val="000000"/>
                <w:szCs w:val="16"/>
                <w:lang w:eastAsia="en-AU"/>
              </w:rPr>
              <w:t>503</w:t>
            </w:r>
          </w:p>
        </w:tc>
        <w:tc>
          <w:tcPr>
            <w:tcW w:w="850" w:type="dxa"/>
            <w:tcBorders>
              <w:top w:val="single" w:sz="6" w:space="0" w:color="000000"/>
              <w:bottom w:val="single" w:sz="12" w:space="0" w:color="000000"/>
            </w:tcBorders>
          </w:tcPr>
          <w:p w:rsidR="00A46DCA" w:rsidRPr="00023820" w:rsidRDefault="00A46DCA" w:rsidP="00A26D0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6"/>
                <w:lang w:eastAsia="en-AU"/>
              </w:rPr>
            </w:pPr>
            <w:r>
              <w:rPr>
                <w:rFonts w:eastAsiaTheme="minorEastAsia" w:cs="Calibri"/>
                <w:bCs/>
                <w:color w:val="000000"/>
                <w:szCs w:val="16"/>
                <w:lang w:eastAsia="en-AU"/>
              </w:rPr>
              <w:t>538</w:t>
            </w:r>
          </w:p>
        </w:tc>
      </w:tr>
    </w:tbl>
    <w:p w:rsidR="00A46DCA" w:rsidRPr="00203144" w:rsidRDefault="00A46DCA" w:rsidP="00A26D04">
      <w:pPr>
        <w:pStyle w:val="Source"/>
      </w:pPr>
      <w:r w:rsidRPr="00203144">
        <w:t>Source: Department of Treasury and Finance</w:t>
      </w:r>
    </w:p>
    <w:p w:rsidR="00A46DCA" w:rsidRPr="00203144" w:rsidRDefault="00A46DCA" w:rsidP="00A26D04">
      <w:pPr>
        <w:pStyle w:val="Note"/>
      </w:pPr>
      <w:r w:rsidRPr="00AB0006">
        <w:t>Note:</w:t>
      </w:r>
    </w:p>
    <w:p w:rsidR="00A46DCA" w:rsidRPr="0027459D" w:rsidRDefault="00A46DCA" w:rsidP="00A26D04">
      <w:pPr>
        <w:pStyle w:val="Note"/>
      </w:pPr>
      <w:r w:rsidRPr="0027459D">
        <w:t>(a)</w:t>
      </w:r>
      <w:r w:rsidRPr="0027459D">
        <w:tab/>
        <w:t>Determined in accordance with the ABS GFS manual.</w:t>
      </w:r>
    </w:p>
    <w:p w:rsidR="00A46DCA" w:rsidRDefault="00A46DCA" w:rsidP="00A26D04"/>
    <w:p w:rsidR="00A46DCA" w:rsidRDefault="00A46DCA" w:rsidP="00A26D04"/>
    <w:p w:rsidR="00A46DCA" w:rsidRPr="00023820" w:rsidRDefault="00A46DCA" w:rsidP="00A26D04">
      <w:pPr>
        <w:pStyle w:val="TableHeading"/>
        <w:rPr>
          <w:bCs/>
          <w:lang w:val="en-US"/>
        </w:rPr>
      </w:pPr>
      <w:r>
        <w:t>Table 5.18</w:t>
      </w:r>
      <w:r w:rsidR="008E5E35">
        <w:t>:</w:t>
      </w:r>
      <w:r>
        <w:tab/>
        <w:t xml:space="preserve">Net acquisition of non-financial assets – </w:t>
      </w:r>
      <w:r w:rsidR="006A017C">
        <w:br/>
      </w:r>
      <w:r>
        <w:t>public financial corporations sector</w:t>
      </w:r>
      <w:r>
        <w:tab/>
        <w:t>($ million)</w:t>
      </w:r>
    </w:p>
    <w:tbl>
      <w:tblPr>
        <w:tblStyle w:val="DTFTable"/>
        <w:tblW w:w="7765" w:type="dxa"/>
        <w:tblInd w:w="45" w:type="dxa"/>
        <w:tblLayout w:type="fixed"/>
        <w:tblCellMar>
          <w:left w:w="45" w:type="dxa"/>
          <w:right w:w="45" w:type="dxa"/>
        </w:tblCellMar>
        <w:tblLook w:val="06E0" w:firstRow="1" w:lastRow="1" w:firstColumn="1" w:lastColumn="0" w:noHBand="1" w:noVBand="1"/>
      </w:tblPr>
      <w:tblGrid>
        <w:gridCol w:w="3515"/>
        <w:gridCol w:w="850"/>
        <w:gridCol w:w="850"/>
        <w:gridCol w:w="850"/>
        <w:gridCol w:w="850"/>
        <w:gridCol w:w="850"/>
      </w:tblGrid>
      <w:tr w:rsidR="00A26D04" w:rsidRPr="00023820" w:rsidTr="008E5E35">
        <w:trPr>
          <w:cnfStyle w:val="100000000000" w:firstRow="1" w:lastRow="0" w:firstColumn="0" w:lastColumn="0" w:oddVBand="0" w:evenVBand="0" w:oddHBand="0" w:evenHBand="0" w:firstRowFirstColumn="0" w:firstRowLastColumn="0" w:lastRowFirstColumn="0" w:lastRowLastColumn="0"/>
          <w:trHeight w:val="70"/>
          <w:tblHeader/>
        </w:trPr>
        <w:tc>
          <w:tcPr>
            <w:cnfStyle w:val="001000000000" w:firstRow="0" w:lastRow="0" w:firstColumn="1" w:lastColumn="0" w:oddVBand="0" w:evenVBand="0" w:oddHBand="0" w:evenHBand="0" w:firstRowFirstColumn="0" w:firstRowLastColumn="0" w:lastRowFirstColumn="0" w:lastRowLastColumn="0"/>
            <w:tcW w:w="3515" w:type="dxa"/>
            <w:tcBorders>
              <w:top w:val="nil"/>
              <w:left w:val="nil"/>
              <w:right w:val="nil"/>
            </w:tcBorders>
            <w:shd w:val="solid" w:color="000000" w:fill="auto"/>
          </w:tcPr>
          <w:p w:rsidR="00A26D04" w:rsidRPr="00023820" w:rsidRDefault="00A26D04" w:rsidP="00A26D04">
            <w:pPr>
              <w:autoSpaceDE w:val="0"/>
              <w:autoSpaceDN w:val="0"/>
              <w:adjustRightInd w:val="0"/>
              <w:rPr>
                <w:rFonts w:eastAsiaTheme="minorEastAsia" w:cs="Calibri"/>
                <w:iCs/>
                <w:color w:val="FFFFFF"/>
                <w:lang w:eastAsia="en-AU"/>
              </w:rPr>
            </w:pPr>
            <w:r w:rsidRPr="00023820">
              <w:rPr>
                <w:rFonts w:eastAsiaTheme="minorEastAsia" w:cs="Calibri"/>
                <w:iCs/>
                <w:color w:val="FFFFFF"/>
                <w:lang w:eastAsia="en-AU"/>
              </w:rPr>
              <w:t xml:space="preserve">  </w:t>
            </w:r>
          </w:p>
        </w:tc>
        <w:tc>
          <w:tcPr>
            <w:tcW w:w="850" w:type="dxa"/>
            <w:tcBorders>
              <w:top w:val="nil"/>
              <w:left w:val="nil"/>
              <w:right w:val="nil"/>
            </w:tcBorders>
            <w:shd w:val="solid" w:color="000000" w:fill="auto"/>
          </w:tcPr>
          <w:p w:rsidR="00A26D04" w:rsidRPr="00023820" w:rsidRDefault="00A26D04" w:rsidP="00A26D0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023820">
              <w:rPr>
                <w:rFonts w:eastAsiaTheme="minorEastAsia" w:cs="Calibri"/>
                <w:iCs/>
                <w:color w:val="FFFFFF"/>
                <w:szCs w:val="16"/>
                <w:lang w:eastAsia="en-AU"/>
              </w:rPr>
              <w:t>2017-18</w:t>
            </w:r>
            <w:r>
              <w:rPr>
                <w:rFonts w:eastAsiaTheme="minorEastAsia" w:cs="Calibri"/>
                <w:iCs/>
                <w:color w:val="FFFFFF"/>
                <w:szCs w:val="16"/>
                <w:lang w:eastAsia="en-AU"/>
              </w:rPr>
              <w:br/>
            </w:r>
            <w:r w:rsidRPr="00023820">
              <w:rPr>
                <w:rFonts w:eastAsiaTheme="minorEastAsia" w:cs="Calibri"/>
                <w:iCs/>
                <w:color w:val="FFFFFF"/>
                <w:szCs w:val="16"/>
                <w:lang w:eastAsia="en-AU"/>
              </w:rPr>
              <w:t>budget</w:t>
            </w:r>
          </w:p>
        </w:tc>
        <w:tc>
          <w:tcPr>
            <w:tcW w:w="850" w:type="dxa"/>
            <w:tcBorders>
              <w:top w:val="nil"/>
              <w:left w:val="nil"/>
              <w:right w:val="nil"/>
            </w:tcBorders>
            <w:shd w:val="solid" w:color="000000" w:fill="auto"/>
          </w:tcPr>
          <w:p w:rsidR="00A26D04" w:rsidRPr="00023820" w:rsidRDefault="00A26D04" w:rsidP="00A26D0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023820">
              <w:rPr>
                <w:rFonts w:eastAsiaTheme="minorEastAsia" w:cs="Calibri"/>
                <w:iCs/>
                <w:color w:val="FFFFFF"/>
                <w:szCs w:val="16"/>
                <w:lang w:eastAsia="en-AU"/>
              </w:rPr>
              <w:t>2017-18</w:t>
            </w:r>
            <w:r>
              <w:rPr>
                <w:rFonts w:eastAsiaTheme="minorEastAsia" w:cs="Calibri"/>
                <w:iCs/>
                <w:color w:val="FFFFFF"/>
                <w:szCs w:val="16"/>
                <w:lang w:eastAsia="en-AU"/>
              </w:rPr>
              <w:br/>
            </w:r>
            <w:r w:rsidRPr="00023820">
              <w:rPr>
                <w:rFonts w:eastAsiaTheme="minorEastAsia" w:cs="Calibri"/>
                <w:iCs/>
                <w:color w:val="FFFFFF"/>
                <w:szCs w:val="16"/>
                <w:lang w:eastAsia="en-AU"/>
              </w:rPr>
              <w:t>revised</w:t>
            </w:r>
          </w:p>
        </w:tc>
        <w:tc>
          <w:tcPr>
            <w:tcW w:w="850" w:type="dxa"/>
            <w:tcBorders>
              <w:top w:val="nil"/>
              <w:left w:val="nil"/>
              <w:right w:val="nil"/>
            </w:tcBorders>
            <w:shd w:val="solid" w:color="000000" w:fill="auto"/>
          </w:tcPr>
          <w:p w:rsidR="00A26D04" w:rsidRPr="00023820" w:rsidRDefault="00A26D04" w:rsidP="00A26D0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023820">
              <w:rPr>
                <w:rFonts w:eastAsiaTheme="minorEastAsia" w:cs="Calibri"/>
                <w:iCs/>
                <w:color w:val="FFFFFF"/>
                <w:szCs w:val="16"/>
                <w:lang w:eastAsia="en-AU"/>
              </w:rPr>
              <w:t>2018-19</w:t>
            </w:r>
            <w:r>
              <w:rPr>
                <w:rFonts w:eastAsiaTheme="minorEastAsia" w:cs="Calibri"/>
                <w:iCs/>
                <w:color w:val="FFFFFF"/>
                <w:szCs w:val="16"/>
                <w:lang w:eastAsia="en-AU"/>
              </w:rPr>
              <w:br/>
            </w:r>
            <w:r w:rsidRPr="00023820">
              <w:rPr>
                <w:rFonts w:eastAsiaTheme="minorEastAsia" w:cs="Calibri"/>
                <w:iCs/>
                <w:color w:val="FFFFFF"/>
                <w:szCs w:val="16"/>
                <w:lang w:eastAsia="en-AU"/>
              </w:rPr>
              <w:t>estimate</w:t>
            </w:r>
          </w:p>
        </w:tc>
        <w:tc>
          <w:tcPr>
            <w:tcW w:w="850" w:type="dxa"/>
            <w:tcBorders>
              <w:top w:val="nil"/>
              <w:left w:val="nil"/>
              <w:right w:val="nil"/>
            </w:tcBorders>
            <w:shd w:val="solid" w:color="000000" w:fill="auto"/>
          </w:tcPr>
          <w:p w:rsidR="00A26D04" w:rsidRPr="00023820" w:rsidRDefault="00A26D04" w:rsidP="00A26D0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023820">
              <w:rPr>
                <w:rFonts w:eastAsiaTheme="minorEastAsia" w:cs="Calibri"/>
                <w:iCs/>
                <w:color w:val="FFFFFF"/>
                <w:szCs w:val="16"/>
                <w:lang w:eastAsia="en-AU"/>
              </w:rPr>
              <w:t>2019-20</w:t>
            </w:r>
            <w:r>
              <w:rPr>
                <w:rFonts w:eastAsiaTheme="minorEastAsia" w:cs="Calibri"/>
                <w:iCs/>
                <w:color w:val="FFFFFF"/>
                <w:szCs w:val="16"/>
                <w:lang w:eastAsia="en-AU"/>
              </w:rPr>
              <w:br/>
            </w:r>
            <w:r w:rsidRPr="00023820">
              <w:rPr>
                <w:rFonts w:eastAsiaTheme="minorEastAsia" w:cs="Calibri"/>
                <w:iCs/>
                <w:color w:val="FFFFFF"/>
                <w:szCs w:val="16"/>
                <w:lang w:eastAsia="en-AU"/>
              </w:rPr>
              <w:t>estimate</w:t>
            </w:r>
          </w:p>
        </w:tc>
        <w:tc>
          <w:tcPr>
            <w:tcW w:w="850" w:type="dxa"/>
            <w:tcBorders>
              <w:top w:val="nil"/>
              <w:left w:val="nil"/>
              <w:right w:val="nil"/>
            </w:tcBorders>
            <w:shd w:val="solid" w:color="000000" w:fill="auto"/>
          </w:tcPr>
          <w:p w:rsidR="00A26D04" w:rsidRPr="00023820" w:rsidRDefault="00A26D04" w:rsidP="00A26D0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023820">
              <w:rPr>
                <w:rFonts w:eastAsiaTheme="minorEastAsia" w:cs="Calibri"/>
                <w:iCs/>
                <w:color w:val="FFFFFF"/>
                <w:szCs w:val="16"/>
                <w:lang w:eastAsia="en-AU"/>
              </w:rPr>
              <w:t>2020-21</w:t>
            </w:r>
            <w:r>
              <w:rPr>
                <w:rFonts w:eastAsiaTheme="minorEastAsia" w:cs="Calibri"/>
                <w:iCs/>
                <w:color w:val="FFFFFF"/>
                <w:szCs w:val="16"/>
                <w:lang w:eastAsia="en-AU"/>
              </w:rPr>
              <w:br/>
            </w:r>
            <w:r w:rsidRPr="00023820">
              <w:rPr>
                <w:rFonts w:eastAsiaTheme="minorEastAsia" w:cs="Calibri"/>
                <w:iCs/>
                <w:color w:val="FFFFFF"/>
                <w:szCs w:val="16"/>
                <w:lang w:eastAsia="en-AU"/>
              </w:rPr>
              <w:t>estimate</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A46DCA" w:rsidRPr="00023820" w:rsidRDefault="00A46DCA" w:rsidP="00A26D04">
            <w:pPr>
              <w:keepLines w:val="0"/>
              <w:autoSpaceDE w:val="0"/>
              <w:autoSpaceDN w:val="0"/>
              <w:adjustRightInd w:val="0"/>
              <w:rPr>
                <w:rFonts w:eastAsiaTheme="minorEastAsia" w:cs="Calibri"/>
                <w:color w:val="000000"/>
                <w:szCs w:val="16"/>
                <w:lang w:eastAsia="en-AU"/>
              </w:rPr>
            </w:pPr>
            <w:r w:rsidRPr="00023820">
              <w:rPr>
                <w:rFonts w:eastAsiaTheme="minorEastAsia" w:cs="Calibri"/>
                <w:color w:val="000000"/>
                <w:szCs w:val="16"/>
                <w:lang w:eastAsia="en-AU"/>
              </w:rPr>
              <w:t>Purchases of non-financial assets less sales of non-financial assets (including change in inventories)</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57</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87</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123</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147</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165</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A46DCA" w:rsidRPr="00023820" w:rsidRDefault="00A46DCA" w:rsidP="00A26D04">
            <w:pPr>
              <w:keepLines w:val="0"/>
              <w:autoSpaceDE w:val="0"/>
              <w:autoSpaceDN w:val="0"/>
              <w:adjustRightInd w:val="0"/>
              <w:rPr>
                <w:rFonts w:eastAsiaTheme="minorEastAsia" w:cs="Calibri"/>
                <w:color w:val="000000"/>
                <w:szCs w:val="16"/>
                <w:lang w:eastAsia="en-AU"/>
              </w:rPr>
            </w:pPr>
            <w:r w:rsidRPr="00023820">
              <w:rPr>
                <w:rFonts w:eastAsiaTheme="minorEastAsia" w:cs="Calibri"/>
                <w:color w:val="000000"/>
                <w:szCs w:val="16"/>
                <w:lang w:eastAsia="en-AU"/>
              </w:rPr>
              <w:t>Less: Depreciation</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(49)</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(47)</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(47)</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(55)</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(64)</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A46DCA" w:rsidRPr="00023820" w:rsidRDefault="00A46DCA" w:rsidP="00A26D04">
            <w:pPr>
              <w:keepLines w:val="0"/>
              <w:autoSpaceDE w:val="0"/>
              <w:autoSpaceDN w:val="0"/>
              <w:adjustRightInd w:val="0"/>
              <w:rPr>
                <w:rFonts w:eastAsiaTheme="minorEastAsia" w:cs="Calibri"/>
                <w:color w:val="000000"/>
                <w:szCs w:val="16"/>
                <w:lang w:eastAsia="en-AU"/>
              </w:rPr>
            </w:pPr>
            <w:r w:rsidRPr="00023820">
              <w:rPr>
                <w:rFonts w:eastAsiaTheme="minorEastAsia" w:cs="Calibri"/>
                <w:color w:val="000000"/>
                <w:szCs w:val="16"/>
                <w:lang w:eastAsia="en-AU"/>
              </w:rPr>
              <w:t>Plus: Other movements in non-financial assets</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w:t>
            </w:r>
            <w:r w:rsidRPr="00023820">
              <w:rPr>
                <w:rFonts w:eastAsiaTheme="minorEastAsia" w:cs="Calibri"/>
                <w:color w:val="000000"/>
                <w:szCs w:val="16"/>
                <w:lang w:eastAsia="en-AU"/>
              </w:rPr>
              <w:t xml:space="preserve"> </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w:t>
            </w:r>
            <w:r w:rsidRPr="00023820">
              <w:rPr>
                <w:rFonts w:eastAsiaTheme="minorEastAsia" w:cs="Calibri"/>
                <w:color w:val="000000"/>
                <w:szCs w:val="16"/>
                <w:lang w:eastAsia="en-AU"/>
              </w:rPr>
              <w:t xml:space="preserve"> </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w:t>
            </w:r>
            <w:r w:rsidRPr="00023820">
              <w:rPr>
                <w:rFonts w:eastAsiaTheme="minorEastAsia" w:cs="Calibri"/>
                <w:color w:val="000000"/>
                <w:szCs w:val="16"/>
                <w:lang w:eastAsia="en-AU"/>
              </w:rPr>
              <w:t xml:space="preserve"> </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w:t>
            </w:r>
            <w:r w:rsidRPr="00023820">
              <w:rPr>
                <w:rFonts w:eastAsiaTheme="minorEastAsia" w:cs="Calibri"/>
                <w:color w:val="000000"/>
                <w:szCs w:val="16"/>
                <w:lang w:eastAsia="en-AU"/>
              </w:rPr>
              <w:t xml:space="preserve"> </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w:t>
            </w:r>
            <w:r w:rsidRPr="00023820">
              <w:rPr>
                <w:rFonts w:eastAsiaTheme="minorEastAsia" w:cs="Calibri"/>
                <w:color w:val="000000"/>
                <w:szCs w:val="16"/>
                <w:lang w:eastAsia="en-AU"/>
              </w:rPr>
              <w:t xml:space="preserve"> </w:t>
            </w:r>
          </w:p>
        </w:tc>
      </w:tr>
      <w:tr w:rsidR="00A46DCA" w:rsidRPr="00023820" w:rsidTr="00A26D04">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5" w:type="dxa"/>
            <w:tcBorders>
              <w:top w:val="single" w:sz="6" w:space="0" w:color="000000"/>
              <w:bottom w:val="single" w:sz="12" w:space="0" w:color="000000"/>
            </w:tcBorders>
          </w:tcPr>
          <w:p w:rsidR="00A46DCA" w:rsidRPr="00023820" w:rsidRDefault="00A46DCA" w:rsidP="00A26D04">
            <w:pPr>
              <w:keepLines w:val="0"/>
              <w:autoSpaceDE w:val="0"/>
              <w:autoSpaceDN w:val="0"/>
              <w:adjustRightInd w:val="0"/>
              <w:rPr>
                <w:rFonts w:eastAsiaTheme="minorEastAsia" w:cs="Calibri"/>
                <w:bCs/>
                <w:color w:val="000000"/>
                <w:szCs w:val="16"/>
                <w:lang w:eastAsia="en-AU"/>
              </w:rPr>
            </w:pPr>
            <w:r w:rsidRPr="00023820">
              <w:rPr>
                <w:rFonts w:eastAsiaTheme="minorEastAsia" w:cs="Calibri"/>
                <w:bCs/>
                <w:color w:val="000000"/>
                <w:szCs w:val="16"/>
                <w:lang w:eastAsia="en-AU"/>
              </w:rPr>
              <w:t>Total net acquisition of non-financial assets</w:t>
            </w:r>
          </w:p>
        </w:tc>
        <w:tc>
          <w:tcPr>
            <w:tcW w:w="850" w:type="dxa"/>
            <w:tcBorders>
              <w:top w:val="single" w:sz="6" w:space="0" w:color="000000"/>
              <w:bottom w:val="single" w:sz="12" w:space="0" w:color="000000"/>
            </w:tcBorders>
          </w:tcPr>
          <w:p w:rsidR="00A46DCA" w:rsidRPr="00023820" w:rsidRDefault="00A46DCA" w:rsidP="00A26D0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6"/>
                <w:lang w:eastAsia="en-AU"/>
              </w:rPr>
            </w:pPr>
            <w:r>
              <w:rPr>
                <w:rFonts w:eastAsiaTheme="minorEastAsia" w:cs="Calibri"/>
                <w:bCs/>
                <w:color w:val="000000"/>
                <w:szCs w:val="16"/>
                <w:lang w:eastAsia="en-AU"/>
              </w:rPr>
              <w:t>7</w:t>
            </w:r>
          </w:p>
        </w:tc>
        <w:tc>
          <w:tcPr>
            <w:tcW w:w="850" w:type="dxa"/>
            <w:tcBorders>
              <w:top w:val="single" w:sz="6" w:space="0" w:color="000000"/>
              <w:bottom w:val="single" w:sz="12" w:space="0" w:color="000000"/>
            </w:tcBorders>
          </w:tcPr>
          <w:p w:rsidR="00A46DCA" w:rsidRPr="00023820" w:rsidRDefault="00A46DCA" w:rsidP="00A26D0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6"/>
                <w:lang w:eastAsia="en-AU"/>
              </w:rPr>
            </w:pPr>
            <w:r>
              <w:rPr>
                <w:rFonts w:eastAsiaTheme="minorEastAsia" w:cs="Calibri"/>
                <w:bCs/>
                <w:color w:val="000000"/>
                <w:szCs w:val="16"/>
                <w:lang w:eastAsia="en-AU"/>
              </w:rPr>
              <w:t>39</w:t>
            </w:r>
          </w:p>
        </w:tc>
        <w:tc>
          <w:tcPr>
            <w:tcW w:w="850" w:type="dxa"/>
            <w:tcBorders>
              <w:top w:val="single" w:sz="6" w:space="0" w:color="000000"/>
              <w:bottom w:val="single" w:sz="12" w:space="0" w:color="000000"/>
            </w:tcBorders>
          </w:tcPr>
          <w:p w:rsidR="00A46DCA" w:rsidRPr="00023820" w:rsidRDefault="00A46DCA" w:rsidP="00A26D0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6"/>
                <w:lang w:eastAsia="en-AU"/>
              </w:rPr>
            </w:pPr>
            <w:r>
              <w:rPr>
                <w:rFonts w:eastAsiaTheme="minorEastAsia" w:cs="Calibri"/>
                <w:bCs/>
                <w:color w:val="000000"/>
                <w:szCs w:val="16"/>
                <w:lang w:eastAsia="en-AU"/>
              </w:rPr>
              <w:t>76</w:t>
            </w:r>
          </w:p>
        </w:tc>
        <w:tc>
          <w:tcPr>
            <w:tcW w:w="850" w:type="dxa"/>
            <w:tcBorders>
              <w:top w:val="single" w:sz="6" w:space="0" w:color="000000"/>
              <w:bottom w:val="single" w:sz="12" w:space="0" w:color="000000"/>
            </w:tcBorders>
          </w:tcPr>
          <w:p w:rsidR="00A46DCA" w:rsidRPr="00023820" w:rsidRDefault="00A46DCA" w:rsidP="00A26D0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6"/>
                <w:lang w:eastAsia="en-AU"/>
              </w:rPr>
            </w:pPr>
            <w:r>
              <w:rPr>
                <w:rFonts w:eastAsiaTheme="minorEastAsia" w:cs="Calibri"/>
                <w:bCs/>
                <w:color w:val="000000"/>
                <w:szCs w:val="16"/>
                <w:lang w:eastAsia="en-AU"/>
              </w:rPr>
              <w:t>92</w:t>
            </w:r>
          </w:p>
        </w:tc>
        <w:tc>
          <w:tcPr>
            <w:tcW w:w="850" w:type="dxa"/>
            <w:tcBorders>
              <w:top w:val="single" w:sz="6" w:space="0" w:color="000000"/>
              <w:bottom w:val="single" w:sz="12" w:space="0" w:color="000000"/>
            </w:tcBorders>
          </w:tcPr>
          <w:p w:rsidR="00A46DCA" w:rsidRPr="00023820" w:rsidRDefault="00A46DCA" w:rsidP="00A26D0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6"/>
                <w:lang w:eastAsia="en-AU"/>
              </w:rPr>
            </w:pPr>
            <w:r>
              <w:rPr>
                <w:rFonts w:eastAsiaTheme="minorEastAsia" w:cs="Calibri"/>
                <w:bCs/>
                <w:color w:val="000000"/>
                <w:szCs w:val="16"/>
                <w:lang w:eastAsia="en-AU"/>
              </w:rPr>
              <w:t>102</w:t>
            </w:r>
          </w:p>
        </w:tc>
      </w:tr>
    </w:tbl>
    <w:p w:rsidR="00A46DCA" w:rsidRPr="004C4397" w:rsidRDefault="00A46DCA" w:rsidP="00A26D04">
      <w:pPr>
        <w:pStyle w:val="Source"/>
      </w:pPr>
      <w:r w:rsidRPr="004C4397">
        <w:t>Source: Department of Treasury and Finance</w:t>
      </w:r>
    </w:p>
    <w:p w:rsidR="00A46DCA" w:rsidRDefault="00A46DCA" w:rsidP="00A26D04">
      <w:pPr>
        <w:pStyle w:val="Heading10"/>
      </w:pPr>
      <w:r>
        <w:br w:type="page"/>
      </w:r>
    </w:p>
    <w:p w:rsidR="00A46DCA" w:rsidRPr="00023820" w:rsidRDefault="00A46DCA" w:rsidP="006A017C">
      <w:pPr>
        <w:pStyle w:val="TableHeading"/>
        <w:rPr>
          <w:bCs/>
          <w:lang w:val="en-US"/>
        </w:rPr>
      </w:pPr>
      <w:r>
        <w:lastRenderedPageBreak/>
        <w:t xml:space="preserve">Table </w:t>
      </w:r>
      <w:r w:rsidRPr="009E7C4B">
        <w:t>5.19</w:t>
      </w:r>
      <w:r w:rsidR="008E5E35">
        <w:t>:</w:t>
      </w:r>
      <w:r w:rsidRPr="009E7C4B">
        <w:tab/>
        <w:t xml:space="preserve">State of Victoria operating statement </w:t>
      </w:r>
      <w:r w:rsidR="006A017C">
        <w:br/>
      </w:r>
      <w:r w:rsidRPr="009E7C4B">
        <w:t xml:space="preserve">for the financial year ended 30 June </w:t>
      </w:r>
      <w:r w:rsidRPr="009E7C4B">
        <w:rPr>
          <w:vertAlign w:val="superscript"/>
        </w:rPr>
        <w:t>(a)</w:t>
      </w:r>
      <w:r w:rsidR="006A017C">
        <w:rPr>
          <w:vertAlign w:val="superscript"/>
        </w:rPr>
        <w:tab/>
      </w:r>
      <w:r>
        <w:t xml:space="preserve">($ </w:t>
      </w:r>
      <w:r w:rsidRPr="009E7C4B">
        <w:t>million</w:t>
      </w:r>
      <w:r>
        <w:t>)</w:t>
      </w:r>
    </w:p>
    <w:tbl>
      <w:tblPr>
        <w:tblStyle w:val="DTFTable"/>
        <w:tblW w:w="7767" w:type="dxa"/>
        <w:tblInd w:w="45" w:type="dxa"/>
        <w:tblLayout w:type="fixed"/>
        <w:tblCellMar>
          <w:left w:w="45" w:type="dxa"/>
          <w:right w:w="45" w:type="dxa"/>
        </w:tblCellMar>
        <w:tblLook w:val="06E0" w:firstRow="1" w:lastRow="1" w:firstColumn="1" w:lastColumn="0" w:noHBand="1" w:noVBand="1"/>
      </w:tblPr>
      <w:tblGrid>
        <w:gridCol w:w="3685"/>
        <w:gridCol w:w="142"/>
        <w:gridCol w:w="675"/>
        <w:gridCol w:w="816"/>
        <w:gridCol w:w="816"/>
        <w:gridCol w:w="816"/>
        <w:gridCol w:w="817"/>
      </w:tblGrid>
      <w:tr w:rsidR="00A26D04" w:rsidRPr="00023820" w:rsidTr="008E5E35">
        <w:trPr>
          <w:cnfStyle w:val="100000000000" w:firstRow="1" w:lastRow="0" w:firstColumn="0" w:lastColumn="0" w:oddVBand="0" w:evenVBand="0" w:oddHBand="0" w:evenHBand="0" w:firstRowFirstColumn="0" w:firstRowLastColumn="0" w:lastRowFirstColumn="0" w:lastRowLastColumn="0"/>
          <w:trHeight w:val="70"/>
          <w:tblHeader/>
        </w:trPr>
        <w:tc>
          <w:tcPr>
            <w:cnfStyle w:val="001000000000" w:firstRow="0" w:lastRow="0" w:firstColumn="1" w:lastColumn="0" w:oddVBand="0" w:evenVBand="0" w:oddHBand="0" w:evenHBand="0" w:firstRowFirstColumn="0" w:firstRowLastColumn="0" w:lastRowFirstColumn="0" w:lastRowLastColumn="0"/>
            <w:tcW w:w="3685" w:type="dxa"/>
            <w:tcBorders>
              <w:top w:val="nil"/>
              <w:left w:val="nil"/>
              <w:right w:val="nil"/>
            </w:tcBorders>
            <w:shd w:val="solid" w:color="000000" w:fill="auto"/>
          </w:tcPr>
          <w:p w:rsidR="00A26D04" w:rsidRPr="00023820" w:rsidRDefault="00A26D04" w:rsidP="00A26D04">
            <w:pPr>
              <w:autoSpaceDE w:val="0"/>
              <w:autoSpaceDN w:val="0"/>
              <w:adjustRightInd w:val="0"/>
              <w:rPr>
                <w:rFonts w:eastAsiaTheme="minorEastAsia" w:cs="Calibri"/>
                <w:iCs/>
                <w:color w:val="FFFFFF"/>
                <w:lang w:eastAsia="en-AU"/>
              </w:rPr>
            </w:pPr>
            <w:r w:rsidRPr="00023820">
              <w:rPr>
                <w:rFonts w:eastAsiaTheme="minorEastAsia" w:cs="Calibri"/>
                <w:iCs/>
                <w:color w:val="FFFFFF"/>
                <w:lang w:eastAsia="en-AU"/>
              </w:rPr>
              <w:t xml:space="preserve">  </w:t>
            </w:r>
          </w:p>
        </w:tc>
        <w:tc>
          <w:tcPr>
            <w:tcW w:w="817" w:type="dxa"/>
            <w:gridSpan w:val="2"/>
            <w:tcBorders>
              <w:top w:val="nil"/>
              <w:left w:val="nil"/>
              <w:right w:val="nil"/>
            </w:tcBorders>
            <w:shd w:val="solid" w:color="000000" w:fill="auto"/>
          </w:tcPr>
          <w:p w:rsidR="00A26D04" w:rsidRPr="00023820" w:rsidRDefault="00A26D04" w:rsidP="00A26D0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023820">
              <w:rPr>
                <w:rFonts w:eastAsiaTheme="minorEastAsia" w:cs="Calibri"/>
                <w:iCs/>
                <w:color w:val="FFFFFF"/>
                <w:szCs w:val="16"/>
                <w:lang w:eastAsia="en-AU"/>
              </w:rPr>
              <w:t>2017-18</w:t>
            </w:r>
            <w:r>
              <w:rPr>
                <w:rFonts w:eastAsiaTheme="minorEastAsia" w:cs="Calibri"/>
                <w:iCs/>
                <w:color w:val="FFFFFF"/>
                <w:szCs w:val="16"/>
                <w:lang w:eastAsia="en-AU"/>
              </w:rPr>
              <w:br/>
            </w:r>
            <w:r w:rsidRPr="00023820">
              <w:rPr>
                <w:rFonts w:eastAsiaTheme="minorEastAsia" w:cs="Calibri"/>
                <w:iCs/>
                <w:color w:val="FFFFFF"/>
                <w:szCs w:val="16"/>
                <w:lang w:eastAsia="en-AU"/>
              </w:rPr>
              <w:t>budget</w:t>
            </w:r>
          </w:p>
        </w:tc>
        <w:tc>
          <w:tcPr>
            <w:tcW w:w="816" w:type="dxa"/>
            <w:tcBorders>
              <w:top w:val="nil"/>
              <w:left w:val="nil"/>
              <w:right w:val="nil"/>
            </w:tcBorders>
            <w:shd w:val="solid" w:color="000000" w:fill="auto"/>
          </w:tcPr>
          <w:p w:rsidR="00A26D04" w:rsidRPr="00023820" w:rsidRDefault="00A26D04" w:rsidP="00A26D0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023820">
              <w:rPr>
                <w:rFonts w:eastAsiaTheme="minorEastAsia" w:cs="Calibri"/>
                <w:iCs/>
                <w:color w:val="FFFFFF"/>
                <w:szCs w:val="16"/>
                <w:lang w:eastAsia="en-AU"/>
              </w:rPr>
              <w:t>2017-18</w:t>
            </w:r>
            <w:r>
              <w:rPr>
                <w:rFonts w:eastAsiaTheme="minorEastAsia" w:cs="Calibri"/>
                <w:iCs/>
                <w:color w:val="FFFFFF"/>
                <w:szCs w:val="16"/>
                <w:lang w:eastAsia="en-AU"/>
              </w:rPr>
              <w:br/>
            </w:r>
            <w:r w:rsidRPr="00023820">
              <w:rPr>
                <w:rFonts w:eastAsiaTheme="minorEastAsia" w:cs="Calibri"/>
                <w:iCs/>
                <w:color w:val="FFFFFF"/>
                <w:szCs w:val="16"/>
                <w:lang w:eastAsia="en-AU"/>
              </w:rPr>
              <w:t>revised</w:t>
            </w:r>
          </w:p>
        </w:tc>
        <w:tc>
          <w:tcPr>
            <w:tcW w:w="816" w:type="dxa"/>
            <w:tcBorders>
              <w:top w:val="nil"/>
              <w:left w:val="nil"/>
              <w:right w:val="nil"/>
            </w:tcBorders>
            <w:shd w:val="solid" w:color="000000" w:fill="auto"/>
          </w:tcPr>
          <w:p w:rsidR="00A26D04" w:rsidRPr="00023820" w:rsidRDefault="00A26D04" w:rsidP="00A26D0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023820">
              <w:rPr>
                <w:rFonts w:eastAsiaTheme="minorEastAsia" w:cs="Calibri"/>
                <w:iCs/>
                <w:color w:val="FFFFFF"/>
                <w:szCs w:val="16"/>
                <w:lang w:eastAsia="en-AU"/>
              </w:rPr>
              <w:t>2018-19</w:t>
            </w:r>
            <w:r>
              <w:rPr>
                <w:rFonts w:eastAsiaTheme="minorEastAsia" w:cs="Calibri"/>
                <w:iCs/>
                <w:color w:val="FFFFFF"/>
                <w:szCs w:val="16"/>
                <w:lang w:eastAsia="en-AU"/>
              </w:rPr>
              <w:br/>
            </w:r>
            <w:r w:rsidRPr="00023820">
              <w:rPr>
                <w:rFonts w:eastAsiaTheme="minorEastAsia" w:cs="Calibri"/>
                <w:iCs/>
                <w:color w:val="FFFFFF"/>
                <w:szCs w:val="16"/>
                <w:lang w:eastAsia="en-AU"/>
              </w:rPr>
              <w:t>estimate</w:t>
            </w:r>
          </w:p>
        </w:tc>
        <w:tc>
          <w:tcPr>
            <w:tcW w:w="816" w:type="dxa"/>
            <w:tcBorders>
              <w:top w:val="nil"/>
              <w:left w:val="nil"/>
              <w:right w:val="nil"/>
            </w:tcBorders>
            <w:shd w:val="solid" w:color="000000" w:fill="auto"/>
          </w:tcPr>
          <w:p w:rsidR="00A26D04" w:rsidRPr="00023820" w:rsidRDefault="00A26D04" w:rsidP="00A26D0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023820">
              <w:rPr>
                <w:rFonts w:eastAsiaTheme="minorEastAsia" w:cs="Calibri"/>
                <w:iCs/>
                <w:color w:val="FFFFFF"/>
                <w:szCs w:val="16"/>
                <w:lang w:eastAsia="en-AU"/>
              </w:rPr>
              <w:t>2019-20</w:t>
            </w:r>
            <w:r>
              <w:rPr>
                <w:rFonts w:eastAsiaTheme="minorEastAsia" w:cs="Calibri"/>
                <w:iCs/>
                <w:color w:val="FFFFFF"/>
                <w:szCs w:val="16"/>
                <w:lang w:eastAsia="en-AU"/>
              </w:rPr>
              <w:br/>
            </w:r>
            <w:r w:rsidRPr="00023820">
              <w:rPr>
                <w:rFonts w:eastAsiaTheme="minorEastAsia" w:cs="Calibri"/>
                <w:iCs/>
                <w:color w:val="FFFFFF"/>
                <w:szCs w:val="16"/>
                <w:lang w:eastAsia="en-AU"/>
              </w:rPr>
              <w:t>estimate</w:t>
            </w:r>
          </w:p>
        </w:tc>
        <w:tc>
          <w:tcPr>
            <w:tcW w:w="817" w:type="dxa"/>
            <w:tcBorders>
              <w:top w:val="nil"/>
              <w:left w:val="nil"/>
              <w:right w:val="nil"/>
            </w:tcBorders>
            <w:shd w:val="solid" w:color="000000" w:fill="auto"/>
          </w:tcPr>
          <w:p w:rsidR="00A26D04" w:rsidRPr="00023820" w:rsidRDefault="00A26D04" w:rsidP="00A26D0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023820">
              <w:rPr>
                <w:rFonts w:eastAsiaTheme="minorEastAsia" w:cs="Calibri"/>
                <w:iCs/>
                <w:color w:val="FFFFFF"/>
                <w:szCs w:val="16"/>
                <w:lang w:eastAsia="en-AU"/>
              </w:rPr>
              <w:t>2020-21</w:t>
            </w:r>
            <w:r>
              <w:rPr>
                <w:rFonts w:eastAsiaTheme="minorEastAsia" w:cs="Calibri"/>
                <w:iCs/>
                <w:color w:val="FFFFFF"/>
                <w:szCs w:val="16"/>
                <w:lang w:eastAsia="en-AU"/>
              </w:rPr>
              <w:br/>
            </w:r>
            <w:r w:rsidRPr="00023820">
              <w:rPr>
                <w:rFonts w:eastAsiaTheme="minorEastAsia" w:cs="Calibri"/>
                <w:iCs/>
                <w:color w:val="FFFFFF"/>
                <w:szCs w:val="16"/>
                <w:lang w:eastAsia="en-AU"/>
              </w:rPr>
              <w:t>estimate</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3685" w:type="dxa"/>
            <w:tcBorders>
              <w:top w:val="nil"/>
              <w:left w:val="nil"/>
              <w:bottom w:val="nil"/>
              <w:right w:val="nil"/>
            </w:tcBorders>
          </w:tcPr>
          <w:p w:rsidR="00A46DCA" w:rsidRPr="00023820" w:rsidRDefault="00A46DCA" w:rsidP="00A26D04">
            <w:pPr>
              <w:keepLines w:val="0"/>
              <w:autoSpaceDE w:val="0"/>
              <w:autoSpaceDN w:val="0"/>
              <w:adjustRightInd w:val="0"/>
              <w:rPr>
                <w:rFonts w:eastAsiaTheme="minorEastAsia" w:cs="Calibri"/>
                <w:b/>
                <w:bCs/>
                <w:color w:val="000000"/>
                <w:szCs w:val="16"/>
                <w:lang w:eastAsia="en-AU"/>
              </w:rPr>
            </w:pPr>
            <w:r w:rsidRPr="00023820">
              <w:rPr>
                <w:rFonts w:eastAsiaTheme="minorEastAsia" w:cs="Calibri"/>
                <w:b/>
                <w:bCs/>
                <w:color w:val="000000"/>
                <w:szCs w:val="16"/>
                <w:lang w:eastAsia="en-AU"/>
              </w:rPr>
              <w:t>Revenue from transactions</w:t>
            </w:r>
          </w:p>
        </w:tc>
        <w:tc>
          <w:tcPr>
            <w:tcW w:w="817" w:type="dxa"/>
            <w:gridSpan w:val="2"/>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023820">
              <w:rPr>
                <w:rFonts w:eastAsiaTheme="minorEastAsia" w:cs="Calibri"/>
                <w:b/>
                <w:bCs/>
                <w:color w:val="000000"/>
                <w:lang w:eastAsia="en-AU"/>
              </w:rPr>
              <w:t xml:space="preserve"> </w:t>
            </w:r>
          </w:p>
        </w:tc>
        <w:tc>
          <w:tcPr>
            <w:tcW w:w="816"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023820">
              <w:rPr>
                <w:rFonts w:eastAsiaTheme="minorEastAsia" w:cs="Calibri"/>
                <w:b/>
                <w:bCs/>
                <w:color w:val="000000"/>
                <w:lang w:eastAsia="en-AU"/>
              </w:rPr>
              <w:t xml:space="preserve"> </w:t>
            </w:r>
          </w:p>
        </w:tc>
        <w:tc>
          <w:tcPr>
            <w:tcW w:w="816"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023820">
              <w:rPr>
                <w:rFonts w:eastAsiaTheme="minorEastAsia" w:cs="Calibri"/>
                <w:b/>
                <w:bCs/>
                <w:color w:val="000000"/>
                <w:lang w:eastAsia="en-AU"/>
              </w:rPr>
              <w:t xml:space="preserve"> </w:t>
            </w:r>
          </w:p>
        </w:tc>
        <w:tc>
          <w:tcPr>
            <w:tcW w:w="816"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023820">
              <w:rPr>
                <w:rFonts w:eastAsiaTheme="minorEastAsia" w:cs="Calibri"/>
                <w:b/>
                <w:bCs/>
                <w:color w:val="000000"/>
                <w:lang w:eastAsia="en-AU"/>
              </w:rPr>
              <w:t xml:space="preserve"> </w:t>
            </w:r>
          </w:p>
        </w:tc>
        <w:tc>
          <w:tcPr>
            <w:tcW w:w="817"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023820">
              <w:rPr>
                <w:rFonts w:eastAsiaTheme="minorEastAsia" w:cs="Calibri"/>
                <w:b/>
                <w:bCs/>
                <w:color w:val="000000"/>
                <w:lang w:eastAsia="en-AU"/>
              </w:rPr>
              <w:t xml:space="preserve"> </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3685" w:type="dxa"/>
            <w:tcBorders>
              <w:top w:val="nil"/>
              <w:left w:val="nil"/>
              <w:bottom w:val="nil"/>
              <w:right w:val="nil"/>
            </w:tcBorders>
          </w:tcPr>
          <w:p w:rsidR="00A46DCA" w:rsidRPr="00023820" w:rsidRDefault="00A46DCA" w:rsidP="00A26D04">
            <w:pPr>
              <w:keepLines w:val="0"/>
              <w:autoSpaceDE w:val="0"/>
              <w:autoSpaceDN w:val="0"/>
              <w:adjustRightInd w:val="0"/>
              <w:rPr>
                <w:rFonts w:eastAsiaTheme="minorEastAsia" w:cs="Calibri"/>
                <w:color w:val="000000"/>
                <w:szCs w:val="16"/>
                <w:lang w:eastAsia="en-AU"/>
              </w:rPr>
            </w:pPr>
            <w:r w:rsidRPr="00023820">
              <w:rPr>
                <w:rFonts w:eastAsiaTheme="minorEastAsia" w:cs="Calibri"/>
                <w:color w:val="000000"/>
                <w:szCs w:val="16"/>
                <w:lang w:eastAsia="en-AU"/>
              </w:rPr>
              <w:t>Taxation revenue</w:t>
            </w:r>
          </w:p>
        </w:tc>
        <w:tc>
          <w:tcPr>
            <w:tcW w:w="817" w:type="dxa"/>
            <w:gridSpan w:val="2"/>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023820">
              <w:rPr>
                <w:rFonts w:eastAsiaTheme="minorEastAsia" w:cs="Arial"/>
                <w:color w:val="000000"/>
                <w:szCs w:val="18"/>
                <w:lang w:eastAsia="en-AU"/>
              </w:rPr>
              <w:t>21 453</w:t>
            </w:r>
          </w:p>
        </w:tc>
        <w:tc>
          <w:tcPr>
            <w:tcW w:w="816"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023820">
              <w:rPr>
                <w:rFonts w:eastAsiaTheme="minorEastAsia" w:cs="Arial"/>
                <w:color w:val="000000"/>
                <w:szCs w:val="18"/>
                <w:lang w:eastAsia="en-AU"/>
              </w:rPr>
              <w:t>21 794</w:t>
            </w:r>
          </w:p>
        </w:tc>
        <w:tc>
          <w:tcPr>
            <w:tcW w:w="816"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023820">
              <w:rPr>
                <w:rFonts w:eastAsiaTheme="minorEastAsia" w:cs="Arial"/>
                <w:color w:val="000000"/>
                <w:szCs w:val="18"/>
                <w:lang w:eastAsia="en-AU"/>
              </w:rPr>
              <w:t>23 349</w:t>
            </w:r>
          </w:p>
        </w:tc>
        <w:tc>
          <w:tcPr>
            <w:tcW w:w="816"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023820">
              <w:rPr>
                <w:rFonts w:eastAsiaTheme="minorEastAsia" w:cs="Arial"/>
                <w:color w:val="000000"/>
                <w:szCs w:val="18"/>
                <w:lang w:eastAsia="en-AU"/>
              </w:rPr>
              <w:t>24 459</w:t>
            </w:r>
          </w:p>
        </w:tc>
        <w:tc>
          <w:tcPr>
            <w:tcW w:w="817"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023820">
              <w:rPr>
                <w:rFonts w:eastAsiaTheme="minorEastAsia" w:cs="Arial"/>
                <w:color w:val="000000"/>
                <w:szCs w:val="18"/>
                <w:lang w:eastAsia="en-AU"/>
              </w:rPr>
              <w:t>25 448</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3685" w:type="dxa"/>
            <w:tcBorders>
              <w:top w:val="nil"/>
              <w:left w:val="nil"/>
              <w:bottom w:val="nil"/>
              <w:right w:val="nil"/>
            </w:tcBorders>
          </w:tcPr>
          <w:p w:rsidR="00A46DCA" w:rsidRPr="00023820" w:rsidRDefault="00A46DCA" w:rsidP="00A26D04">
            <w:pPr>
              <w:keepLines w:val="0"/>
              <w:autoSpaceDE w:val="0"/>
              <w:autoSpaceDN w:val="0"/>
              <w:adjustRightInd w:val="0"/>
              <w:rPr>
                <w:rFonts w:eastAsiaTheme="minorEastAsia" w:cs="Calibri"/>
                <w:color w:val="000000"/>
                <w:szCs w:val="16"/>
                <w:lang w:eastAsia="en-AU"/>
              </w:rPr>
            </w:pPr>
            <w:r w:rsidRPr="00023820">
              <w:rPr>
                <w:rFonts w:eastAsiaTheme="minorEastAsia" w:cs="Calibri"/>
                <w:color w:val="000000"/>
                <w:szCs w:val="16"/>
                <w:lang w:eastAsia="en-AU"/>
              </w:rPr>
              <w:t>Interest revenue</w:t>
            </w:r>
          </w:p>
        </w:tc>
        <w:tc>
          <w:tcPr>
            <w:tcW w:w="817" w:type="dxa"/>
            <w:gridSpan w:val="2"/>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743</w:t>
            </w:r>
          </w:p>
        </w:tc>
        <w:tc>
          <w:tcPr>
            <w:tcW w:w="816"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797</w:t>
            </w:r>
          </w:p>
        </w:tc>
        <w:tc>
          <w:tcPr>
            <w:tcW w:w="816"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792</w:t>
            </w:r>
          </w:p>
        </w:tc>
        <w:tc>
          <w:tcPr>
            <w:tcW w:w="816"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862</w:t>
            </w:r>
          </w:p>
        </w:tc>
        <w:tc>
          <w:tcPr>
            <w:tcW w:w="817"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886</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3685" w:type="dxa"/>
            <w:tcBorders>
              <w:top w:val="nil"/>
              <w:left w:val="nil"/>
              <w:bottom w:val="nil"/>
              <w:right w:val="nil"/>
            </w:tcBorders>
          </w:tcPr>
          <w:p w:rsidR="00A46DCA" w:rsidRPr="00023820" w:rsidRDefault="00A46DCA" w:rsidP="00A26D04">
            <w:pPr>
              <w:keepLines w:val="0"/>
              <w:autoSpaceDE w:val="0"/>
              <w:autoSpaceDN w:val="0"/>
              <w:adjustRightInd w:val="0"/>
              <w:rPr>
                <w:rFonts w:eastAsiaTheme="minorEastAsia" w:cs="Calibri"/>
                <w:color w:val="000000"/>
                <w:szCs w:val="16"/>
                <w:lang w:eastAsia="en-AU"/>
              </w:rPr>
            </w:pPr>
            <w:r w:rsidRPr="00023820">
              <w:rPr>
                <w:rFonts w:eastAsiaTheme="minorEastAsia" w:cs="Calibri"/>
                <w:color w:val="000000"/>
                <w:szCs w:val="16"/>
                <w:lang w:eastAsia="en-AU"/>
              </w:rPr>
              <w:t>Dividends revenue</w:t>
            </w:r>
          </w:p>
        </w:tc>
        <w:tc>
          <w:tcPr>
            <w:tcW w:w="817" w:type="dxa"/>
            <w:gridSpan w:val="2"/>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023820">
              <w:rPr>
                <w:rFonts w:eastAsiaTheme="minorEastAsia" w:cs="Arial"/>
                <w:color w:val="000000"/>
                <w:szCs w:val="18"/>
                <w:lang w:eastAsia="en-AU"/>
              </w:rPr>
              <w:t>1 148</w:t>
            </w:r>
          </w:p>
        </w:tc>
        <w:tc>
          <w:tcPr>
            <w:tcW w:w="816"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023820">
              <w:rPr>
                <w:rFonts w:eastAsiaTheme="minorEastAsia" w:cs="Arial"/>
                <w:color w:val="000000"/>
                <w:szCs w:val="18"/>
                <w:lang w:eastAsia="en-AU"/>
              </w:rPr>
              <w:t>1 217</w:t>
            </w:r>
          </w:p>
        </w:tc>
        <w:tc>
          <w:tcPr>
            <w:tcW w:w="816"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023820">
              <w:rPr>
                <w:rFonts w:eastAsiaTheme="minorEastAsia" w:cs="Arial"/>
                <w:color w:val="000000"/>
                <w:szCs w:val="18"/>
                <w:lang w:eastAsia="en-AU"/>
              </w:rPr>
              <w:t>1 222</w:t>
            </w:r>
          </w:p>
        </w:tc>
        <w:tc>
          <w:tcPr>
            <w:tcW w:w="816"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023820">
              <w:rPr>
                <w:rFonts w:eastAsiaTheme="minorEastAsia" w:cs="Arial"/>
                <w:color w:val="000000"/>
                <w:szCs w:val="18"/>
                <w:lang w:eastAsia="en-AU"/>
              </w:rPr>
              <w:t>1 315</w:t>
            </w:r>
          </w:p>
        </w:tc>
        <w:tc>
          <w:tcPr>
            <w:tcW w:w="817"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023820">
              <w:rPr>
                <w:rFonts w:eastAsiaTheme="minorEastAsia" w:cs="Arial"/>
                <w:color w:val="000000"/>
                <w:szCs w:val="18"/>
                <w:lang w:eastAsia="en-AU"/>
              </w:rPr>
              <w:t>1 364</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3685" w:type="dxa"/>
            <w:tcBorders>
              <w:top w:val="nil"/>
              <w:left w:val="nil"/>
              <w:bottom w:val="nil"/>
              <w:right w:val="nil"/>
            </w:tcBorders>
          </w:tcPr>
          <w:p w:rsidR="00A46DCA" w:rsidRPr="00023820" w:rsidRDefault="00A46DCA" w:rsidP="00A26D04">
            <w:pPr>
              <w:keepLines w:val="0"/>
              <w:autoSpaceDE w:val="0"/>
              <w:autoSpaceDN w:val="0"/>
              <w:adjustRightInd w:val="0"/>
              <w:rPr>
                <w:rFonts w:eastAsiaTheme="minorEastAsia" w:cs="Calibri"/>
                <w:color w:val="000000"/>
                <w:szCs w:val="16"/>
                <w:lang w:eastAsia="en-AU"/>
              </w:rPr>
            </w:pPr>
            <w:r w:rsidRPr="00023820">
              <w:rPr>
                <w:rFonts w:eastAsiaTheme="minorEastAsia" w:cs="Calibri"/>
                <w:color w:val="000000"/>
                <w:szCs w:val="16"/>
                <w:lang w:eastAsia="en-AU"/>
              </w:rPr>
              <w:t>Sales of goods and services</w:t>
            </w:r>
          </w:p>
        </w:tc>
        <w:tc>
          <w:tcPr>
            <w:tcW w:w="817" w:type="dxa"/>
            <w:gridSpan w:val="2"/>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023820">
              <w:rPr>
                <w:rFonts w:eastAsiaTheme="minorEastAsia" w:cs="Arial"/>
                <w:color w:val="000000"/>
                <w:szCs w:val="18"/>
                <w:lang w:eastAsia="en-AU"/>
              </w:rPr>
              <w:t>14 998</w:t>
            </w:r>
          </w:p>
        </w:tc>
        <w:tc>
          <w:tcPr>
            <w:tcW w:w="816"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023820">
              <w:rPr>
                <w:rFonts w:eastAsiaTheme="minorEastAsia" w:cs="Arial"/>
                <w:color w:val="000000"/>
                <w:szCs w:val="18"/>
                <w:lang w:eastAsia="en-AU"/>
              </w:rPr>
              <w:t>15 151</w:t>
            </w:r>
          </w:p>
        </w:tc>
        <w:tc>
          <w:tcPr>
            <w:tcW w:w="816"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023820">
              <w:rPr>
                <w:rFonts w:eastAsiaTheme="minorEastAsia" w:cs="Arial"/>
                <w:color w:val="000000"/>
                <w:szCs w:val="18"/>
                <w:lang w:eastAsia="en-AU"/>
              </w:rPr>
              <w:t>15 486</w:t>
            </w:r>
          </w:p>
        </w:tc>
        <w:tc>
          <w:tcPr>
            <w:tcW w:w="816"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023820">
              <w:rPr>
                <w:rFonts w:eastAsiaTheme="minorEastAsia" w:cs="Arial"/>
                <w:color w:val="000000"/>
                <w:szCs w:val="18"/>
                <w:lang w:eastAsia="en-AU"/>
              </w:rPr>
              <w:t>16 150</w:t>
            </w:r>
          </w:p>
        </w:tc>
        <w:tc>
          <w:tcPr>
            <w:tcW w:w="817"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023820">
              <w:rPr>
                <w:rFonts w:eastAsiaTheme="minorEastAsia" w:cs="Arial"/>
                <w:color w:val="000000"/>
                <w:szCs w:val="18"/>
                <w:lang w:eastAsia="en-AU"/>
              </w:rPr>
              <w:t>17 175</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3685" w:type="dxa"/>
            <w:tcBorders>
              <w:top w:val="nil"/>
              <w:left w:val="nil"/>
              <w:bottom w:val="nil"/>
              <w:right w:val="nil"/>
            </w:tcBorders>
          </w:tcPr>
          <w:p w:rsidR="00A46DCA" w:rsidRPr="00023820" w:rsidRDefault="00A46DCA" w:rsidP="00A26D04">
            <w:pPr>
              <w:keepLines w:val="0"/>
              <w:autoSpaceDE w:val="0"/>
              <w:autoSpaceDN w:val="0"/>
              <w:adjustRightInd w:val="0"/>
              <w:rPr>
                <w:rFonts w:eastAsiaTheme="minorEastAsia" w:cs="Calibri"/>
                <w:color w:val="000000"/>
                <w:szCs w:val="16"/>
                <w:lang w:eastAsia="en-AU"/>
              </w:rPr>
            </w:pPr>
            <w:r w:rsidRPr="00023820">
              <w:rPr>
                <w:rFonts w:eastAsiaTheme="minorEastAsia" w:cs="Calibri"/>
                <w:color w:val="000000"/>
                <w:szCs w:val="16"/>
                <w:lang w:eastAsia="en-AU"/>
              </w:rPr>
              <w:t>Grant revenue</w:t>
            </w:r>
          </w:p>
        </w:tc>
        <w:tc>
          <w:tcPr>
            <w:tcW w:w="817" w:type="dxa"/>
            <w:gridSpan w:val="2"/>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023820">
              <w:rPr>
                <w:rFonts w:eastAsiaTheme="minorEastAsia" w:cs="Arial"/>
                <w:color w:val="000000"/>
                <w:szCs w:val="18"/>
                <w:lang w:eastAsia="en-AU"/>
              </w:rPr>
              <w:t>29 334</w:t>
            </w:r>
          </w:p>
        </w:tc>
        <w:tc>
          <w:tcPr>
            <w:tcW w:w="816"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023820">
              <w:rPr>
                <w:rFonts w:eastAsiaTheme="minorEastAsia" w:cs="Arial"/>
                <w:color w:val="000000"/>
                <w:szCs w:val="18"/>
                <w:lang w:eastAsia="en-AU"/>
              </w:rPr>
              <w:t>29 429</w:t>
            </w:r>
          </w:p>
        </w:tc>
        <w:tc>
          <w:tcPr>
            <w:tcW w:w="816"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023820">
              <w:rPr>
                <w:rFonts w:eastAsiaTheme="minorEastAsia" w:cs="Arial"/>
                <w:color w:val="000000"/>
                <w:szCs w:val="18"/>
                <w:lang w:eastAsia="en-AU"/>
              </w:rPr>
              <w:t>31 536</w:t>
            </w:r>
          </w:p>
        </w:tc>
        <w:tc>
          <w:tcPr>
            <w:tcW w:w="816"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023820">
              <w:rPr>
                <w:rFonts w:eastAsiaTheme="minorEastAsia" w:cs="Arial"/>
                <w:color w:val="000000"/>
                <w:szCs w:val="18"/>
                <w:lang w:eastAsia="en-AU"/>
              </w:rPr>
              <w:t>31 466</w:t>
            </w:r>
          </w:p>
        </w:tc>
        <w:tc>
          <w:tcPr>
            <w:tcW w:w="817"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023820">
              <w:rPr>
                <w:rFonts w:eastAsiaTheme="minorEastAsia" w:cs="Arial"/>
                <w:color w:val="000000"/>
                <w:szCs w:val="18"/>
                <w:lang w:eastAsia="en-AU"/>
              </w:rPr>
              <w:t>32 736</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3685" w:type="dxa"/>
            <w:tcBorders>
              <w:top w:val="nil"/>
              <w:left w:val="nil"/>
              <w:bottom w:val="single" w:sz="6" w:space="0" w:color="000000"/>
              <w:right w:val="nil"/>
            </w:tcBorders>
          </w:tcPr>
          <w:p w:rsidR="00A46DCA" w:rsidRPr="00023820" w:rsidRDefault="00A46DCA" w:rsidP="00A26D04">
            <w:pPr>
              <w:keepLines w:val="0"/>
              <w:autoSpaceDE w:val="0"/>
              <w:autoSpaceDN w:val="0"/>
              <w:adjustRightInd w:val="0"/>
              <w:rPr>
                <w:rFonts w:eastAsiaTheme="minorEastAsia" w:cs="Calibri"/>
                <w:color w:val="000000"/>
                <w:szCs w:val="16"/>
                <w:lang w:eastAsia="en-AU"/>
              </w:rPr>
            </w:pPr>
            <w:r w:rsidRPr="00023820">
              <w:rPr>
                <w:rFonts w:eastAsiaTheme="minorEastAsia" w:cs="Calibri"/>
                <w:color w:val="000000"/>
                <w:szCs w:val="16"/>
                <w:lang w:eastAsia="en-AU"/>
              </w:rPr>
              <w:t>Other revenue</w:t>
            </w:r>
          </w:p>
        </w:tc>
        <w:tc>
          <w:tcPr>
            <w:tcW w:w="817" w:type="dxa"/>
            <w:gridSpan w:val="2"/>
            <w:tcBorders>
              <w:top w:val="nil"/>
              <w:left w:val="nil"/>
              <w:bottom w:val="single" w:sz="6" w:space="0" w:color="000000"/>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023820">
              <w:rPr>
                <w:rFonts w:eastAsiaTheme="minorEastAsia" w:cs="Arial"/>
                <w:color w:val="000000"/>
                <w:szCs w:val="18"/>
                <w:lang w:eastAsia="en-AU"/>
              </w:rPr>
              <w:t>3 116</w:t>
            </w:r>
          </w:p>
        </w:tc>
        <w:tc>
          <w:tcPr>
            <w:tcW w:w="816" w:type="dxa"/>
            <w:tcBorders>
              <w:top w:val="nil"/>
              <w:left w:val="nil"/>
              <w:bottom w:val="single" w:sz="6" w:space="0" w:color="000000"/>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023820">
              <w:rPr>
                <w:rFonts w:eastAsiaTheme="minorEastAsia" w:cs="Arial"/>
                <w:color w:val="000000"/>
                <w:szCs w:val="18"/>
                <w:lang w:eastAsia="en-AU"/>
              </w:rPr>
              <w:t>3 206</w:t>
            </w:r>
          </w:p>
        </w:tc>
        <w:tc>
          <w:tcPr>
            <w:tcW w:w="816" w:type="dxa"/>
            <w:tcBorders>
              <w:top w:val="nil"/>
              <w:left w:val="nil"/>
              <w:bottom w:val="single" w:sz="6" w:space="0" w:color="000000"/>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023820">
              <w:rPr>
                <w:rFonts w:eastAsiaTheme="minorEastAsia" w:cs="Arial"/>
                <w:color w:val="000000"/>
                <w:szCs w:val="18"/>
                <w:lang w:eastAsia="en-AU"/>
              </w:rPr>
              <w:t>3 291</w:t>
            </w:r>
          </w:p>
        </w:tc>
        <w:tc>
          <w:tcPr>
            <w:tcW w:w="816" w:type="dxa"/>
            <w:tcBorders>
              <w:top w:val="nil"/>
              <w:left w:val="nil"/>
              <w:bottom w:val="single" w:sz="6" w:space="0" w:color="000000"/>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023820">
              <w:rPr>
                <w:rFonts w:eastAsiaTheme="minorEastAsia" w:cs="Arial"/>
                <w:color w:val="000000"/>
                <w:szCs w:val="18"/>
                <w:lang w:eastAsia="en-AU"/>
              </w:rPr>
              <w:t>3 240</w:t>
            </w:r>
          </w:p>
        </w:tc>
        <w:tc>
          <w:tcPr>
            <w:tcW w:w="817" w:type="dxa"/>
            <w:tcBorders>
              <w:top w:val="nil"/>
              <w:left w:val="nil"/>
              <w:bottom w:val="single" w:sz="6" w:space="0" w:color="000000"/>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023820">
              <w:rPr>
                <w:rFonts w:eastAsiaTheme="minorEastAsia" w:cs="Arial"/>
                <w:color w:val="000000"/>
                <w:szCs w:val="18"/>
                <w:lang w:eastAsia="en-AU"/>
              </w:rPr>
              <w:t>3 302</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3685" w:type="dxa"/>
            <w:tcBorders>
              <w:top w:val="nil"/>
              <w:left w:val="nil"/>
              <w:bottom w:val="nil"/>
              <w:right w:val="nil"/>
            </w:tcBorders>
          </w:tcPr>
          <w:p w:rsidR="00A46DCA" w:rsidRPr="00023820" w:rsidRDefault="00A46DCA" w:rsidP="00A26D04">
            <w:pPr>
              <w:keepLines w:val="0"/>
              <w:autoSpaceDE w:val="0"/>
              <w:autoSpaceDN w:val="0"/>
              <w:adjustRightInd w:val="0"/>
              <w:rPr>
                <w:rFonts w:eastAsiaTheme="minorEastAsia" w:cs="Calibri"/>
                <w:b/>
                <w:bCs/>
                <w:color w:val="000000"/>
                <w:szCs w:val="16"/>
                <w:lang w:eastAsia="en-AU"/>
              </w:rPr>
            </w:pPr>
            <w:r w:rsidRPr="00023820">
              <w:rPr>
                <w:rFonts w:eastAsiaTheme="minorEastAsia" w:cs="Calibri"/>
                <w:b/>
                <w:bCs/>
                <w:color w:val="000000"/>
                <w:szCs w:val="16"/>
                <w:lang w:eastAsia="en-AU"/>
              </w:rPr>
              <w:t>Total revenue from transactions</w:t>
            </w:r>
          </w:p>
        </w:tc>
        <w:tc>
          <w:tcPr>
            <w:tcW w:w="817" w:type="dxa"/>
            <w:gridSpan w:val="2"/>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sidRPr="00023820">
              <w:rPr>
                <w:rFonts w:eastAsiaTheme="minorEastAsia" w:cs="Arial"/>
                <w:b/>
                <w:bCs/>
                <w:color w:val="000000"/>
                <w:szCs w:val="18"/>
                <w:lang w:eastAsia="en-AU"/>
              </w:rPr>
              <w:t>70 791</w:t>
            </w:r>
          </w:p>
        </w:tc>
        <w:tc>
          <w:tcPr>
            <w:tcW w:w="816"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sidRPr="00023820">
              <w:rPr>
                <w:rFonts w:eastAsiaTheme="minorEastAsia" w:cs="Arial"/>
                <w:b/>
                <w:bCs/>
                <w:color w:val="000000"/>
                <w:szCs w:val="18"/>
                <w:lang w:eastAsia="en-AU"/>
              </w:rPr>
              <w:t>71 594</w:t>
            </w:r>
          </w:p>
        </w:tc>
        <w:tc>
          <w:tcPr>
            <w:tcW w:w="816"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sidRPr="00023820">
              <w:rPr>
                <w:rFonts w:eastAsiaTheme="minorEastAsia" w:cs="Arial"/>
                <w:b/>
                <w:bCs/>
                <w:color w:val="000000"/>
                <w:szCs w:val="18"/>
                <w:lang w:eastAsia="en-AU"/>
              </w:rPr>
              <w:t>75 676</w:t>
            </w:r>
          </w:p>
        </w:tc>
        <w:tc>
          <w:tcPr>
            <w:tcW w:w="816"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sidRPr="00023820">
              <w:rPr>
                <w:rFonts w:eastAsiaTheme="minorEastAsia" w:cs="Arial"/>
                <w:b/>
                <w:bCs/>
                <w:color w:val="000000"/>
                <w:szCs w:val="18"/>
                <w:lang w:eastAsia="en-AU"/>
              </w:rPr>
              <w:t>77 494</w:t>
            </w:r>
          </w:p>
        </w:tc>
        <w:tc>
          <w:tcPr>
            <w:tcW w:w="817"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sidRPr="00023820">
              <w:rPr>
                <w:rFonts w:eastAsiaTheme="minorEastAsia" w:cs="Arial"/>
                <w:b/>
                <w:bCs/>
                <w:color w:val="000000"/>
                <w:szCs w:val="18"/>
                <w:lang w:eastAsia="en-AU"/>
              </w:rPr>
              <w:t>80 911</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3685" w:type="dxa"/>
            <w:tcBorders>
              <w:top w:val="nil"/>
              <w:left w:val="nil"/>
              <w:bottom w:val="nil"/>
              <w:right w:val="nil"/>
            </w:tcBorders>
          </w:tcPr>
          <w:p w:rsidR="00A46DCA" w:rsidRPr="00023820" w:rsidRDefault="00A46DCA" w:rsidP="00A26D04">
            <w:pPr>
              <w:keepLines w:val="0"/>
              <w:autoSpaceDE w:val="0"/>
              <w:autoSpaceDN w:val="0"/>
              <w:adjustRightInd w:val="0"/>
              <w:rPr>
                <w:rFonts w:eastAsiaTheme="minorEastAsia" w:cs="Calibri"/>
                <w:b/>
                <w:bCs/>
                <w:color w:val="000000"/>
                <w:szCs w:val="16"/>
                <w:lang w:eastAsia="en-AU"/>
              </w:rPr>
            </w:pPr>
            <w:r w:rsidRPr="00023820">
              <w:rPr>
                <w:rFonts w:eastAsiaTheme="minorEastAsia" w:cs="Calibri"/>
                <w:b/>
                <w:bCs/>
                <w:color w:val="000000"/>
                <w:szCs w:val="16"/>
                <w:lang w:eastAsia="en-AU"/>
              </w:rPr>
              <w:t>Expenses from transactions</w:t>
            </w:r>
          </w:p>
        </w:tc>
        <w:tc>
          <w:tcPr>
            <w:tcW w:w="817" w:type="dxa"/>
            <w:gridSpan w:val="2"/>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023820">
              <w:rPr>
                <w:rFonts w:eastAsiaTheme="minorEastAsia" w:cs="Calibri"/>
                <w:b/>
                <w:bCs/>
                <w:color w:val="000000"/>
                <w:lang w:eastAsia="en-AU"/>
              </w:rPr>
              <w:t xml:space="preserve"> </w:t>
            </w:r>
          </w:p>
        </w:tc>
        <w:tc>
          <w:tcPr>
            <w:tcW w:w="816"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023820">
              <w:rPr>
                <w:rFonts w:eastAsiaTheme="minorEastAsia" w:cs="Calibri"/>
                <w:b/>
                <w:bCs/>
                <w:color w:val="000000"/>
                <w:lang w:eastAsia="en-AU"/>
              </w:rPr>
              <w:t xml:space="preserve"> </w:t>
            </w:r>
          </w:p>
        </w:tc>
        <w:tc>
          <w:tcPr>
            <w:tcW w:w="816"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023820">
              <w:rPr>
                <w:rFonts w:eastAsiaTheme="minorEastAsia" w:cs="Calibri"/>
                <w:b/>
                <w:bCs/>
                <w:color w:val="000000"/>
                <w:lang w:eastAsia="en-AU"/>
              </w:rPr>
              <w:t xml:space="preserve"> </w:t>
            </w:r>
          </w:p>
        </w:tc>
        <w:tc>
          <w:tcPr>
            <w:tcW w:w="816"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023820">
              <w:rPr>
                <w:rFonts w:eastAsiaTheme="minorEastAsia" w:cs="Calibri"/>
                <w:b/>
                <w:bCs/>
                <w:color w:val="000000"/>
                <w:lang w:eastAsia="en-AU"/>
              </w:rPr>
              <w:t xml:space="preserve"> </w:t>
            </w:r>
          </w:p>
        </w:tc>
        <w:tc>
          <w:tcPr>
            <w:tcW w:w="817"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023820">
              <w:rPr>
                <w:rFonts w:eastAsiaTheme="minorEastAsia" w:cs="Calibri"/>
                <w:b/>
                <w:bCs/>
                <w:color w:val="000000"/>
                <w:lang w:eastAsia="en-AU"/>
              </w:rPr>
              <w:t xml:space="preserve"> </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3685" w:type="dxa"/>
            <w:tcBorders>
              <w:top w:val="nil"/>
              <w:left w:val="nil"/>
              <w:bottom w:val="nil"/>
              <w:right w:val="nil"/>
            </w:tcBorders>
          </w:tcPr>
          <w:p w:rsidR="00A46DCA" w:rsidRPr="00023820" w:rsidRDefault="00A46DCA" w:rsidP="00A26D04">
            <w:pPr>
              <w:keepLines w:val="0"/>
              <w:autoSpaceDE w:val="0"/>
              <w:autoSpaceDN w:val="0"/>
              <w:adjustRightInd w:val="0"/>
              <w:rPr>
                <w:rFonts w:eastAsiaTheme="minorEastAsia" w:cs="Calibri"/>
                <w:color w:val="000000"/>
                <w:szCs w:val="16"/>
                <w:lang w:eastAsia="en-AU"/>
              </w:rPr>
            </w:pPr>
            <w:r w:rsidRPr="00023820">
              <w:rPr>
                <w:rFonts w:eastAsiaTheme="minorEastAsia" w:cs="Calibri"/>
                <w:color w:val="000000"/>
                <w:szCs w:val="16"/>
                <w:lang w:eastAsia="en-AU"/>
              </w:rPr>
              <w:t>Employee expenses</w:t>
            </w:r>
          </w:p>
        </w:tc>
        <w:tc>
          <w:tcPr>
            <w:tcW w:w="817" w:type="dxa"/>
            <w:gridSpan w:val="2"/>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023820">
              <w:rPr>
                <w:rFonts w:eastAsiaTheme="minorEastAsia" w:cs="Arial"/>
                <w:color w:val="000000"/>
                <w:szCs w:val="18"/>
                <w:lang w:eastAsia="en-AU"/>
              </w:rPr>
              <w:t>24 173</w:t>
            </w:r>
          </w:p>
        </w:tc>
        <w:tc>
          <w:tcPr>
            <w:tcW w:w="816"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023820">
              <w:rPr>
                <w:rFonts w:eastAsiaTheme="minorEastAsia" w:cs="Arial"/>
                <w:color w:val="000000"/>
                <w:szCs w:val="18"/>
                <w:lang w:eastAsia="en-AU"/>
              </w:rPr>
              <w:t>24 272</w:t>
            </w:r>
          </w:p>
        </w:tc>
        <w:tc>
          <w:tcPr>
            <w:tcW w:w="816"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023820">
              <w:rPr>
                <w:rFonts w:eastAsiaTheme="minorEastAsia" w:cs="Arial"/>
                <w:color w:val="000000"/>
                <w:szCs w:val="18"/>
                <w:lang w:eastAsia="en-AU"/>
              </w:rPr>
              <w:t>25 795</w:t>
            </w:r>
          </w:p>
        </w:tc>
        <w:tc>
          <w:tcPr>
            <w:tcW w:w="816"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023820">
              <w:rPr>
                <w:rFonts w:eastAsiaTheme="minorEastAsia" w:cs="Arial"/>
                <w:color w:val="000000"/>
                <w:szCs w:val="18"/>
                <w:lang w:eastAsia="en-AU"/>
              </w:rPr>
              <w:t>26 328</w:t>
            </w:r>
          </w:p>
        </w:tc>
        <w:tc>
          <w:tcPr>
            <w:tcW w:w="817"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023820">
              <w:rPr>
                <w:rFonts w:eastAsiaTheme="minorEastAsia" w:cs="Arial"/>
                <w:color w:val="000000"/>
                <w:szCs w:val="18"/>
                <w:lang w:eastAsia="en-AU"/>
              </w:rPr>
              <w:t>27 154</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3685" w:type="dxa"/>
            <w:tcBorders>
              <w:top w:val="nil"/>
              <w:left w:val="nil"/>
              <w:bottom w:val="nil"/>
              <w:right w:val="nil"/>
            </w:tcBorders>
          </w:tcPr>
          <w:p w:rsidR="00A46DCA" w:rsidRPr="00023820" w:rsidRDefault="00A46DCA" w:rsidP="00A26D04">
            <w:pPr>
              <w:keepLines w:val="0"/>
              <w:autoSpaceDE w:val="0"/>
              <w:autoSpaceDN w:val="0"/>
              <w:adjustRightInd w:val="0"/>
              <w:rPr>
                <w:rFonts w:eastAsiaTheme="minorEastAsia" w:cs="Calibri"/>
                <w:color w:val="000000"/>
                <w:szCs w:val="16"/>
                <w:lang w:eastAsia="en-AU"/>
              </w:rPr>
            </w:pPr>
            <w:r w:rsidRPr="00023820">
              <w:rPr>
                <w:rFonts w:eastAsiaTheme="minorEastAsia" w:cs="Calibri"/>
                <w:color w:val="000000"/>
                <w:szCs w:val="16"/>
                <w:lang w:eastAsia="en-AU"/>
              </w:rPr>
              <w:t>Net superannuation interest expense</w:t>
            </w:r>
          </w:p>
        </w:tc>
        <w:tc>
          <w:tcPr>
            <w:tcW w:w="817" w:type="dxa"/>
            <w:gridSpan w:val="2"/>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761</w:t>
            </w:r>
          </w:p>
        </w:tc>
        <w:tc>
          <w:tcPr>
            <w:tcW w:w="816"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714</w:t>
            </w:r>
          </w:p>
        </w:tc>
        <w:tc>
          <w:tcPr>
            <w:tcW w:w="816"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699</w:t>
            </w:r>
          </w:p>
        </w:tc>
        <w:tc>
          <w:tcPr>
            <w:tcW w:w="816"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670</w:t>
            </w:r>
          </w:p>
        </w:tc>
        <w:tc>
          <w:tcPr>
            <w:tcW w:w="817"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639</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3685" w:type="dxa"/>
            <w:tcBorders>
              <w:top w:val="nil"/>
              <w:left w:val="nil"/>
              <w:bottom w:val="nil"/>
              <w:right w:val="nil"/>
            </w:tcBorders>
          </w:tcPr>
          <w:p w:rsidR="00A46DCA" w:rsidRPr="00023820" w:rsidRDefault="00A46DCA" w:rsidP="00A26D04">
            <w:pPr>
              <w:keepLines w:val="0"/>
              <w:autoSpaceDE w:val="0"/>
              <w:autoSpaceDN w:val="0"/>
              <w:adjustRightInd w:val="0"/>
              <w:rPr>
                <w:rFonts w:eastAsiaTheme="minorEastAsia" w:cs="Calibri"/>
                <w:color w:val="000000"/>
                <w:szCs w:val="16"/>
                <w:lang w:eastAsia="en-AU"/>
              </w:rPr>
            </w:pPr>
            <w:r w:rsidRPr="00023820">
              <w:rPr>
                <w:rFonts w:eastAsiaTheme="minorEastAsia" w:cs="Calibri"/>
                <w:color w:val="000000"/>
                <w:szCs w:val="16"/>
                <w:lang w:eastAsia="en-AU"/>
              </w:rPr>
              <w:t>Other superannuation</w:t>
            </w:r>
          </w:p>
        </w:tc>
        <w:tc>
          <w:tcPr>
            <w:tcW w:w="817" w:type="dxa"/>
            <w:gridSpan w:val="2"/>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023820">
              <w:rPr>
                <w:rFonts w:eastAsiaTheme="minorEastAsia" w:cs="Arial"/>
                <w:color w:val="000000"/>
                <w:szCs w:val="18"/>
                <w:lang w:eastAsia="en-AU"/>
              </w:rPr>
              <w:t>2 484</w:t>
            </w:r>
          </w:p>
        </w:tc>
        <w:tc>
          <w:tcPr>
            <w:tcW w:w="816"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023820">
              <w:rPr>
                <w:rFonts w:eastAsiaTheme="minorEastAsia" w:cs="Arial"/>
                <w:color w:val="000000"/>
                <w:szCs w:val="18"/>
                <w:lang w:eastAsia="en-AU"/>
              </w:rPr>
              <w:t>2 641</w:t>
            </w:r>
          </w:p>
        </w:tc>
        <w:tc>
          <w:tcPr>
            <w:tcW w:w="816"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023820">
              <w:rPr>
                <w:rFonts w:eastAsiaTheme="minorEastAsia" w:cs="Arial"/>
                <w:color w:val="000000"/>
                <w:szCs w:val="18"/>
                <w:lang w:eastAsia="en-AU"/>
              </w:rPr>
              <w:t>2 650</w:t>
            </w:r>
          </w:p>
        </w:tc>
        <w:tc>
          <w:tcPr>
            <w:tcW w:w="816"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023820">
              <w:rPr>
                <w:rFonts w:eastAsiaTheme="minorEastAsia" w:cs="Arial"/>
                <w:color w:val="000000"/>
                <w:szCs w:val="18"/>
                <w:lang w:eastAsia="en-AU"/>
              </w:rPr>
              <w:t>2 716</w:t>
            </w:r>
          </w:p>
        </w:tc>
        <w:tc>
          <w:tcPr>
            <w:tcW w:w="817"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023820">
              <w:rPr>
                <w:rFonts w:eastAsiaTheme="minorEastAsia" w:cs="Arial"/>
                <w:color w:val="000000"/>
                <w:szCs w:val="18"/>
                <w:lang w:eastAsia="en-AU"/>
              </w:rPr>
              <w:t>2 766</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3685" w:type="dxa"/>
            <w:tcBorders>
              <w:top w:val="nil"/>
              <w:left w:val="nil"/>
              <w:bottom w:val="nil"/>
              <w:right w:val="nil"/>
            </w:tcBorders>
          </w:tcPr>
          <w:p w:rsidR="00A46DCA" w:rsidRPr="00023820" w:rsidRDefault="00A46DCA" w:rsidP="00A26D04">
            <w:pPr>
              <w:keepLines w:val="0"/>
              <w:autoSpaceDE w:val="0"/>
              <w:autoSpaceDN w:val="0"/>
              <w:adjustRightInd w:val="0"/>
              <w:rPr>
                <w:rFonts w:eastAsiaTheme="minorEastAsia" w:cs="Calibri"/>
                <w:color w:val="000000"/>
                <w:szCs w:val="16"/>
                <w:lang w:eastAsia="en-AU"/>
              </w:rPr>
            </w:pPr>
            <w:r w:rsidRPr="00023820">
              <w:rPr>
                <w:rFonts w:eastAsiaTheme="minorEastAsia" w:cs="Calibri"/>
                <w:color w:val="000000"/>
                <w:szCs w:val="16"/>
                <w:lang w:eastAsia="en-AU"/>
              </w:rPr>
              <w:t>Depreciation</w:t>
            </w:r>
          </w:p>
        </w:tc>
        <w:tc>
          <w:tcPr>
            <w:tcW w:w="817" w:type="dxa"/>
            <w:gridSpan w:val="2"/>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023820">
              <w:rPr>
                <w:rFonts w:eastAsiaTheme="minorEastAsia" w:cs="Arial"/>
                <w:color w:val="000000"/>
                <w:szCs w:val="18"/>
                <w:lang w:eastAsia="en-AU"/>
              </w:rPr>
              <w:t>5 247</w:t>
            </w:r>
          </w:p>
        </w:tc>
        <w:tc>
          <w:tcPr>
            <w:tcW w:w="816"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023820">
              <w:rPr>
                <w:rFonts w:eastAsiaTheme="minorEastAsia" w:cs="Arial"/>
                <w:color w:val="000000"/>
                <w:szCs w:val="18"/>
                <w:lang w:eastAsia="en-AU"/>
              </w:rPr>
              <w:t>5 056</w:t>
            </w:r>
          </w:p>
        </w:tc>
        <w:tc>
          <w:tcPr>
            <w:tcW w:w="816"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023820">
              <w:rPr>
                <w:rFonts w:eastAsiaTheme="minorEastAsia" w:cs="Arial"/>
                <w:color w:val="000000"/>
                <w:szCs w:val="18"/>
                <w:lang w:eastAsia="en-AU"/>
              </w:rPr>
              <w:t>5 331</w:t>
            </w:r>
          </w:p>
        </w:tc>
        <w:tc>
          <w:tcPr>
            <w:tcW w:w="816"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023820">
              <w:rPr>
                <w:rFonts w:eastAsiaTheme="minorEastAsia" w:cs="Arial"/>
                <w:color w:val="000000"/>
                <w:szCs w:val="18"/>
                <w:lang w:eastAsia="en-AU"/>
              </w:rPr>
              <w:t>5 689</w:t>
            </w:r>
          </w:p>
        </w:tc>
        <w:tc>
          <w:tcPr>
            <w:tcW w:w="817"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023820">
              <w:rPr>
                <w:rFonts w:eastAsiaTheme="minorEastAsia" w:cs="Arial"/>
                <w:color w:val="000000"/>
                <w:szCs w:val="18"/>
                <w:lang w:eastAsia="en-AU"/>
              </w:rPr>
              <w:t>6 142</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3685" w:type="dxa"/>
            <w:tcBorders>
              <w:top w:val="nil"/>
              <w:left w:val="nil"/>
              <w:bottom w:val="nil"/>
              <w:right w:val="nil"/>
            </w:tcBorders>
          </w:tcPr>
          <w:p w:rsidR="00A46DCA" w:rsidRPr="00023820" w:rsidRDefault="00A46DCA" w:rsidP="00A26D04">
            <w:pPr>
              <w:keepLines w:val="0"/>
              <w:autoSpaceDE w:val="0"/>
              <w:autoSpaceDN w:val="0"/>
              <w:adjustRightInd w:val="0"/>
              <w:rPr>
                <w:rFonts w:eastAsiaTheme="minorEastAsia" w:cs="Calibri"/>
                <w:color w:val="000000"/>
                <w:szCs w:val="16"/>
                <w:lang w:eastAsia="en-AU"/>
              </w:rPr>
            </w:pPr>
            <w:r w:rsidRPr="00023820">
              <w:rPr>
                <w:rFonts w:eastAsiaTheme="minorEastAsia" w:cs="Calibri"/>
                <w:color w:val="000000"/>
                <w:szCs w:val="16"/>
                <w:lang w:eastAsia="en-AU"/>
              </w:rPr>
              <w:t>Interest expense</w:t>
            </w:r>
          </w:p>
        </w:tc>
        <w:tc>
          <w:tcPr>
            <w:tcW w:w="817" w:type="dxa"/>
            <w:gridSpan w:val="2"/>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023820">
              <w:rPr>
                <w:rFonts w:eastAsiaTheme="minorEastAsia" w:cs="Arial"/>
                <w:color w:val="000000"/>
                <w:szCs w:val="18"/>
                <w:lang w:eastAsia="en-AU"/>
              </w:rPr>
              <w:t>2 825</w:t>
            </w:r>
          </w:p>
        </w:tc>
        <w:tc>
          <w:tcPr>
            <w:tcW w:w="816"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023820">
              <w:rPr>
                <w:rFonts w:eastAsiaTheme="minorEastAsia" w:cs="Arial"/>
                <w:color w:val="000000"/>
                <w:szCs w:val="18"/>
                <w:lang w:eastAsia="en-AU"/>
              </w:rPr>
              <w:t>2 722</w:t>
            </w:r>
          </w:p>
        </w:tc>
        <w:tc>
          <w:tcPr>
            <w:tcW w:w="816"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023820">
              <w:rPr>
                <w:rFonts w:eastAsiaTheme="minorEastAsia" w:cs="Arial"/>
                <w:color w:val="000000"/>
                <w:szCs w:val="18"/>
                <w:lang w:eastAsia="en-AU"/>
              </w:rPr>
              <w:t>2 754</w:t>
            </w:r>
          </w:p>
        </w:tc>
        <w:tc>
          <w:tcPr>
            <w:tcW w:w="816"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023820">
              <w:rPr>
                <w:rFonts w:eastAsiaTheme="minorEastAsia" w:cs="Arial"/>
                <w:color w:val="000000"/>
                <w:szCs w:val="18"/>
                <w:lang w:eastAsia="en-AU"/>
              </w:rPr>
              <w:t>2 813</w:t>
            </w:r>
          </w:p>
        </w:tc>
        <w:tc>
          <w:tcPr>
            <w:tcW w:w="817"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023820">
              <w:rPr>
                <w:rFonts w:eastAsiaTheme="minorEastAsia" w:cs="Arial"/>
                <w:color w:val="000000"/>
                <w:szCs w:val="18"/>
                <w:lang w:eastAsia="en-AU"/>
              </w:rPr>
              <w:t>2 942</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3685" w:type="dxa"/>
            <w:tcBorders>
              <w:top w:val="nil"/>
              <w:left w:val="nil"/>
              <w:bottom w:val="nil"/>
              <w:right w:val="nil"/>
            </w:tcBorders>
          </w:tcPr>
          <w:p w:rsidR="00A46DCA" w:rsidRPr="00023820" w:rsidRDefault="00A46DCA" w:rsidP="00A26D04">
            <w:pPr>
              <w:keepLines w:val="0"/>
              <w:autoSpaceDE w:val="0"/>
              <w:autoSpaceDN w:val="0"/>
              <w:adjustRightInd w:val="0"/>
              <w:rPr>
                <w:rFonts w:eastAsiaTheme="minorEastAsia" w:cs="Calibri"/>
                <w:color w:val="000000"/>
                <w:szCs w:val="16"/>
                <w:lang w:eastAsia="en-AU"/>
              </w:rPr>
            </w:pPr>
            <w:r w:rsidRPr="00023820">
              <w:rPr>
                <w:rFonts w:eastAsiaTheme="minorEastAsia" w:cs="Calibri"/>
                <w:color w:val="000000"/>
                <w:szCs w:val="16"/>
                <w:lang w:eastAsia="en-AU"/>
              </w:rPr>
              <w:t>Grant expense</w:t>
            </w:r>
          </w:p>
        </w:tc>
        <w:tc>
          <w:tcPr>
            <w:tcW w:w="817" w:type="dxa"/>
            <w:gridSpan w:val="2"/>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023820">
              <w:rPr>
                <w:rFonts w:eastAsiaTheme="minorEastAsia" w:cs="Arial"/>
                <w:color w:val="000000"/>
                <w:szCs w:val="18"/>
                <w:lang w:eastAsia="en-AU"/>
              </w:rPr>
              <w:t>8 147</w:t>
            </w:r>
          </w:p>
        </w:tc>
        <w:tc>
          <w:tcPr>
            <w:tcW w:w="816"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023820">
              <w:rPr>
                <w:rFonts w:eastAsiaTheme="minorEastAsia" w:cs="Arial"/>
                <w:color w:val="000000"/>
                <w:szCs w:val="18"/>
                <w:lang w:eastAsia="en-AU"/>
              </w:rPr>
              <w:t>7 505</w:t>
            </w:r>
          </w:p>
        </w:tc>
        <w:tc>
          <w:tcPr>
            <w:tcW w:w="816"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023820">
              <w:rPr>
                <w:rFonts w:eastAsiaTheme="minorEastAsia" w:cs="Arial"/>
                <w:color w:val="000000"/>
                <w:szCs w:val="18"/>
                <w:lang w:eastAsia="en-AU"/>
              </w:rPr>
              <w:t>9 064</w:t>
            </w:r>
          </w:p>
        </w:tc>
        <w:tc>
          <w:tcPr>
            <w:tcW w:w="816"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023820">
              <w:rPr>
                <w:rFonts w:eastAsiaTheme="minorEastAsia" w:cs="Arial"/>
                <w:color w:val="000000"/>
                <w:szCs w:val="18"/>
                <w:lang w:eastAsia="en-AU"/>
              </w:rPr>
              <w:t>10 151</w:t>
            </w:r>
          </w:p>
        </w:tc>
        <w:tc>
          <w:tcPr>
            <w:tcW w:w="817"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023820">
              <w:rPr>
                <w:rFonts w:eastAsiaTheme="minorEastAsia" w:cs="Arial"/>
                <w:color w:val="000000"/>
                <w:szCs w:val="18"/>
                <w:lang w:eastAsia="en-AU"/>
              </w:rPr>
              <w:t>10 084</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3685" w:type="dxa"/>
            <w:tcBorders>
              <w:top w:val="nil"/>
              <w:left w:val="nil"/>
              <w:bottom w:val="nil"/>
              <w:right w:val="nil"/>
            </w:tcBorders>
          </w:tcPr>
          <w:p w:rsidR="00A46DCA" w:rsidRPr="00023820" w:rsidRDefault="00A46DCA" w:rsidP="00A26D04">
            <w:pPr>
              <w:keepLines w:val="0"/>
              <w:autoSpaceDE w:val="0"/>
              <w:autoSpaceDN w:val="0"/>
              <w:adjustRightInd w:val="0"/>
              <w:rPr>
                <w:rFonts w:eastAsiaTheme="minorEastAsia" w:cs="Calibri"/>
                <w:color w:val="000000"/>
                <w:szCs w:val="16"/>
                <w:lang w:eastAsia="en-AU"/>
              </w:rPr>
            </w:pPr>
            <w:r w:rsidRPr="00023820">
              <w:rPr>
                <w:rFonts w:eastAsiaTheme="minorEastAsia" w:cs="Calibri"/>
                <w:color w:val="000000"/>
                <w:szCs w:val="16"/>
                <w:lang w:eastAsia="en-AU"/>
              </w:rPr>
              <w:t>Other operating expenses</w:t>
            </w:r>
          </w:p>
        </w:tc>
        <w:tc>
          <w:tcPr>
            <w:tcW w:w="817" w:type="dxa"/>
            <w:gridSpan w:val="2"/>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023820">
              <w:rPr>
                <w:rFonts w:eastAsiaTheme="minorEastAsia" w:cs="Arial"/>
                <w:color w:val="000000"/>
                <w:szCs w:val="18"/>
                <w:lang w:eastAsia="en-AU"/>
              </w:rPr>
              <w:t>29 263</w:t>
            </w:r>
          </w:p>
        </w:tc>
        <w:tc>
          <w:tcPr>
            <w:tcW w:w="816"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023820">
              <w:rPr>
                <w:rFonts w:eastAsiaTheme="minorEastAsia" w:cs="Arial"/>
                <w:color w:val="000000"/>
                <w:szCs w:val="18"/>
                <w:lang w:eastAsia="en-AU"/>
              </w:rPr>
              <w:t>30 203</w:t>
            </w:r>
          </w:p>
        </w:tc>
        <w:tc>
          <w:tcPr>
            <w:tcW w:w="816"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023820">
              <w:rPr>
                <w:rFonts w:eastAsiaTheme="minorEastAsia" w:cs="Arial"/>
                <w:color w:val="000000"/>
                <w:szCs w:val="18"/>
                <w:lang w:eastAsia="en-AU"/>
              </w:rPr>
              <w:t>29 859</w:t>
            </w:r>
          </w:p>
        </w:tc>
        <w:tc>
          <w:tcPr>
            <w:tcW w:w="816"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023820">
              <w:rPr>
                <w:rFonts w:eastAsiaTheme="minorEastAsia" w:cs="Arial"/>
                <w:color w:val="000000"/>
                <w:szCs w:val="18"/>
                <w:lang w:eastAsia="en-AU"/>
              </w:rPr>
              <w:t>29 587</w:t>
            </w:r>
          </w:p>
        </w:tc>
        <w:tc>
          <w:tcPr>
            <w:tcW w:w="817"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023820">
              <w:rPr>
                <w:rFonts w:eastAsiaTheme="minorEastAsia" w:cs="Arial"/>
                <w:color w:val="000000"/>
                <w:szCs w:val="18"/>
                <w:lang w:eastAsia="en-AU"/>
              </w:rPr>
              <w:t>31 198</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3685" w:type="dxa"/>
            <w:tcBorders>
              <w:top w:val="single" w:sz="6" w:space="0" w:color="000000"/>
              <w:left w:val="nil"/>
              <w:bottom w:val="nil"/>
              <w:right w:val="nil"/>
            </w:tcBorders>
          </w:tcPr>
          <w:p w:rsidR="00A46DCA" w:rsidRPr="00023820" w:rsidRDefault="00A46DCA" w:rsidP="00A26D04">
            <w:pPr>
              <w:keepLines w:val="0"/>
              <w:autoSpaceDE w:val="0"/>
              <w:autoSpaceDN w:val="0"/>
              <w:adjustRightInd w:val="0"/>
              <w:rPr>
                <w:rFonts w:eastAsiaTheme="minorEastAsia" w:cs="Calibri"/>
                <w:b/>
                <w:bCs/>
                <w:color w:val="000000"/>
                <w:szCs w:val="16"/>
                <w:lang w:eastAsia="en-AU"/>
              </w:rPr>
            </w:pPr>
            <w:r w:rsidRPr="00023820">
              <w:rPr>
                <w:rFonts w:eastAsiaTheme="minorEastAsia" w:cs="Calibri"/>
                <w:b/>
                <w:bCs/>
                <w:color w:val="000000"/>
                <w:szCs w:val="16"/>
                <w:lang w:eastAsia="en-AU"/>
              </w:rPr>
              <w:t>Total expenses from transactions</w:t>
            </w:r>
          </w:p>
        </w:tc>
        <w:tc>
          <w:tcPr>
            <w:tcW w:w="817" w:type="dxa"/>
            <w:gridSpan w:val="2"/>
            <w:tcBorders>
              <w:top w:val="single" w:sz="6" w:space="0" w:color="000000"/>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sidRPr="00023820">
              <w:rPr>
                <w:rFonts w:eastAsiaTheme="minorEastAsia" w:cs="Arial"/>
                <w:b/>
                <w:bCs/>
                <w:color w:val="000000"/>
                <w:szCs w:val="18"/>
                <w:lang w:eastAsia="en-AU"/>
              </w:rPr>
              <w:t>72 901</w:t>
            </w:r>
          </w:p>
        </w:tc>
        <w:tc>
          <w:tcPr>
            <w:tcW w:w="816" w:type="dxa"/>
            <w:tcBorders>
              <w:top w:val="single" w:sz="6" w:space="0" w:color="000000"/>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sidRPr="00023820">
              <w:rPr>
                <w:rFonts w:eastAsiaTheme="minorEastAsia" w:cs="Arial"/>
                <w:b/>
                <w:bCs/>
                <w:color w:val="000000"/>
                <w:szCs w:val="18"/>
                <w:lang w:eastAsia="en-AU"/>
              </w:rPr>
              <w:t>73 112</w:t>
            </w:r>
          </w:p>
        </w:tc>
        <w:tc>
          <w:tcPr>
            <w:tcW w:w="816" w:type="dxa"/>
            <w:tcBorders>
              <w:top w:val="single" w:sz="6" w:space="0" w:color="000000"/>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sidRPr="00023820">
              <w:rPr>
                <w:rFonts w:eastAsiaTheme="minorEastAsia" w:cs="Arial"/>
                <w:b/>
                <w:bCs/>
                <w:color w:val="000000"/>
                <w:szCs w:val="18"/>
                <w:lang w:eastAsia="en-AU"/>
              </w:rPr>
              <w:t>76 152</w:t>
            </w:r>
          </w:p>
        </w:tc>
        <w:tc>
          <w:tcPr>
            <w:tcW w:w="816" w:type="dxa"/>
            <w:tcBorders>
              <w:top w:val="single" w:sz="6" w:space="0" w:color="000000"/>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sidRPr="00023820">
              <w:rPr>
                <w:rFonts w:eastAsiaTheme="minorEastAsia" w:cs="Arial"/>
                <w:b/>
                <w:bCs/>
                <w:color w:val="000000"/>
                <w:szCs w:val="18"/>
                <w:lang w:eastAsia="en-AU"/>
              </w:rPr>
              <w:t>77 955</w:t>
            </w:r>
          </w:p>
        </w:tc>
        <w:tc>
          <w:tcPr>
            <w:tcW w:w="817" w:type="dxa"/>
            <w:tcBorders>
              <w:top w:val="single" w:sz="6" w:space="0" w:color="000000"/>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sidRPr="00023820">
              <w:rPr>
                <w:rFonts w:eastAsiaTheme="minorEastAsia" w:cs="Arial"/>
                <w:b/>
                <w:bCs/>
                <w:color w:val="000000"/>
                <w:szCs w:val="18"/>
                <w:lang w:eastAsia="en-AU"/>
              </w:rPr>
              <w:t>80 924</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3685" w:type="dxa"/>
            <w:tcBorders>
              <w:top w:val="single" w:sz="6" w:space="0" w:color="000000"/>
              <w:left w:val="nil"/>
              <w:bottom w:val="nil"/>
              <w:right w:val="nil"/>
            </w:tcBorders>
          </w:tcPr>
          <w:p w:rsidR="00A46DCA" w:rsidRPr="00023820" w:rsidRDefault="00A46DCA" w:rsidP="00A26D04">
            <w:pPr>
              <w:keepLines w:val="0"/>
              <w:autoSpaceDE w:val="0"/>
              <w:autoSpaceDN w:val="0"/>
              <w:adjustRightInd w:val="0"/>
              <w:rPr>
                <w:rFonts w:eastAsiaTheme="minorEastAsia" w:cs="Calibri"/>
                <w:b/>
                <w:bCs/>
                <w:color w:val="000000"/>
                <w:szCs w:val="16"/>
                <w:lang w:eastAsia="en-AU"/>
              </w:rPr>
            </w:pPr>
            <w:r w:rsidRPr="00023820">
              <w:rPr>
                <w:rFonts w:eastAsiaTheme="minorEastAsia" w:cs="Calibri"/>
                <w:b/>
                <w:bCs/>
                <w:color w:val="000000"/>
                <w:szCs w:val="16"/>
                <w:lang w:eastAsia="en-AU"/>
              </w:rPr>
              <w:t xml:space="preserve">Net result from transactions – </w:t>
            </w:r>
            <w:r>
              <w:rPr>
                <w:rFonts w:eastAsiaTheme="minorEastAsia" w:cs="Calibri"/>
                <w:b/>
                <w:bCs/>
                <w:color w:val="000000"/>
                <w:szCs w:val="16"/>
                <w:lang w:eastAsia="en-AU"/>
              </w:rPr>
              <w:br/>
            </w:r>
            <w:r w:rsidRPr="00023820">
              <w:rPr>
                <w:rFonts w:eastAsiaTheme="minorEastAsia" w:cs="Calibri"/>
                <w:b/>
                <w:bCs/>
                <w:color w:val="000000"/>
                <w:szCs w:val="16"/>
                <w:lang w:eastAsia="en-AU"/>
              </w:rPr>
              <w:t>net operating balance</w:t>
            </w:r>
          </w:p>
        </w:tc>
        <w:tc>
          <w:tcPr>
            <w:tcW w:w="817" w:type="dxa"/>
            <w:gridSpan w:val="2"/>
            <w:tcBorders>
              <w:top w:val="single" w:sz="6" w:space="0" w:color="000000"/>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Pr>
                <w:rFonts w:eastAsiaTheme="minorEastAsia" w:cs="Arial"/>
                <w:b/>
                <w:bCs/>
                <w:color w:val="000000"/>
                <w:szCs w:val="18"/>
                <w:lang w:eastAsia="en-AU"/>
              </w:rPr>
              <w:t>(2 110)</w:t>
            </w:r>
          </w:p>
        </w:tc>
        <w:tc>
          <w:tcPr>
            <w:tcW w:w="816" w:type="dxa"/>
            <w:tcBorders>
              <w:top w:val="single" w:sz="6" w:space="0" w:color="000000"/>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Pr>
                <w:rFonts w:eastAsiaTheme="minorEastAsia" w:cs="Arial"/>
                <w:b/>
                <w:bCs/>
                <w:color w:val="000000"/>
                <w:szCs w:val="18"/>
                <w:lang w:eastAsia="en-AU"/>
              </w:rPr>
              <w:t>(1 518)</w:t>
            </w:r>
          </w:p>
        </w:tc>
        <w:tc>
          <w:tcPr>
            <w:tcW w:w="816" w:type="dxa"/>
            <w:tcBorders>
              <w:top w:val="single" w:sz="6" w:space="0" w:color="000000"/>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Pr>
                <w:rFonts w:eastAsiaTheme="minorEastAsia" w:cs="Arial"/>
                <w:b/>
                <w:bCs/>
                <w:color w:val="000000"/>
                <w:szCs w:val="18"/>
                <w:lang w:eastAsia="en-AU"/>
              </w:rPr>
              <w:t>(476)</w:t>
            </w:r>
          </w:p>
        </w:tc>
        <w:tc>
          <w:tcPr>
            <w:tcW w:w="816" w:type="dxa"/>
            <w:tcBorders>
              <w:top w:val="single" w:sz="6" w:space="0" w:color="000000"/>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Pr>
                <w:rFonts w:eastAsiaTheme="minorEastAsia" w:cs="Arial"/>
                <w:b/>
                <w:bCs/>
                <w:color w:val="000000"/>
                <w:szCs w:val="18"/>
                <w:lang w:eastAsia="en-AU"/>
              </w:rPr>
              <w:t>(461)</w:t>
            </w:r>
          </w:p>
        </w:tc>
        <w:tc>
          <w:tcPr>
            <w:tcW w:w="817" w:type="dxa"/>
            <w:tcBorders>
              <w:top w:val="single" w:sz="6" w:space="0" w:color="000000"/>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Pr>
                <w:rFonts w:eastAsiaTheme="minorEastAsia" w:cs="Arial"/>
                <w:b/>
                <w:bCs/>
                <w:color w:val="000000"/>
                <w:szCs w:val="18"/>
                <w:lang w:eastAsia="en-AU"/>
              </w:rPr>
              <w:t>(14)</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3827" w:type="dxa"/>
            <w:gridSpan w:val="2"/>
            <w:tcBorders>
              <w:top w:val="single" w:sz="12" w:space="0" w:color="000000"/>
              <w:left w:val="nil"/>
              <w:bottom w:val="nil"/>
              <w:right w:val="nil"/>
            </w:tcBorders>
          </w:tcPr>
          <w:p w:rsidR="00A46DCA" w:rsidRPr="00023820" w:rsidRDefault="00A46DCA" w:rsidP="00A26D04">
            <w:pPr>
              <w:keepLines w:val="0"/>
              <w:autoSpaceDE w:val="0"/>
              <w:autoSpaceDN w:val="0"/>
              <w:adjustRightInd w:val="0"/>
              <w:rPr>
                <w:rFonts w:eastAsiaTheme="minorEastAsia" w:cs="Calibri"/>
                <w:b/>
                <w:bCs/>
                <w:color w:val="000000"/>
                <w:szCs w:val="16"/>
                <w:lang w:eastAsia="en-AU"/>
              </w:rPr>
            </w:pPr>
            <w:r w:rsidRPr="00023820">
              <w:rPr>
                <w:rFonts w:eastAsiaTheme="minorEastAsia" w:cs="Calibri"/>
                <w:b/>
                <w:bCs/>
                <w:color w:val="000000"/>
                <w:szCs w:val="16"/>
                <w:lang w:eastAsia="en-AU"/>
              </w:rPr>
              <w:t>Total other economic flows included in net result</w:t>
            </w:r>
          </w:p>
        </w:tc>
        <w:tc>
          <w:tcPr>
            <w:tcW w:w="675" w:type="dxa"/>
            <w:tcBorders>
              <w:top w:val="single" w:sz="12" w:space="0" w:color="000000"/>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sidRPr="00023820">
              <w:rPr>
                <w:rFonts w:eastAsiaTheme="minorEastAsia" w:cs="Arial"/>
                <w:b/>
                <w:bCs/>
                <w:color w:val="000000"/>
                <w:szCs w:val="18"/>
                <w:lang w:eastAsia="en-AU"/>
              </w:rPr>
              <w:t>1 655</w:t>
            </w:r>
          </w:p>
        </w:tc>
        <w:tc>
          <w:tcPr>
            <w:tcW w:w="816" w:type="dxa"/>
            <w:tcBorders>
              <w:top w:val="single" w:sz="12" w:space="0" w:color="000000"/>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sidRPr="00023820">
              <w:rPr>
                <w:rFonts w:eastAsiaTheme="minorEastAsia" w:cs="Arial"/>
                <w:b/>
                <w:bCs/>
                <w:color w:val="000000"/>
                <w:szCs w:val="18"/>
                <w:lang w:eastAsia="en-AU"/>
              </w:rPr>
              <w:t>2 373</w:t>
            </w:r>
          </w:p>
        </w:tc>
        <w:tc>
          <w:tcPr>
            <w:tcW w:w="816" w:type="dxa"/>
            <w:tcBorders>
              <w:top w:val="single" w:sz="12" w:space="0" w:color="000000"/>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sidRPr="00023820">
              <w:rPr>
                <w:rFonts w:eastAsiaTheme="minorEastAsia" w:cs="Arial"/>
                <w:b/>
                <w:bCs/>
                <w:color w:val="000000"/>
                <w:szCs w:val="18"/>
                <w:lang w:eastAsia="en-AU"/>
              </w:rPr>
              <w:t>1 595</w:t>
            </w:r>
          </w:p>
        </w:tc>
        <w:tc>
          <w:tcPr>
            <w:tcW w:w="816" w:type="dxa"/>
            <w:tcBorders>
              <w:top w:val="single" w:sz="12" w:space="0" w:color="000000"/>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sidRPr="00023820">
              <w:rPr>
                <w:rFonts w:eastAsiaTheme="minorEastAsia" w:cs="Arial"/>
                <w:b/>
                <w:bCs/>
                <w:color w:val="000000"/>
                <w:szCs w:val="18"/>
                <w:lang w:eastAsia="en-AU"/>
              </w:rPr>
              <w:t>1 552</w:t>
            </w:r>
          </w:p>
        </w:tc>
        <w:tc>
          <w:tcPr>
            <w:tcW w:w="817" w:type="dxa"/>
            <w:tcBorders>
              <w:top w:val="single" w:sz="12" w:space="0" w:color="000000"/>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sidRPr="00023820">
              <w:rPr>
                <w:rFonts w:eastAsiaTheme="minorEastAsia" w:cs="Arial"/>
                <w:b/>
                <w:bCs/>
                <w:color w:val="000000"/>
                <w:szCs w:val="18"/>
                <w:lang w:eastAsia="en-AU"/>
              </w:rPr>
              <w:t>1 348</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3685" w:type="dxa"/>
            <w:tcBorders>
              <w:top w:val="single" w:sz="6" w:space="0" w:color="000000"/>
              <w:left w:val="nil"/>
              <w:bottom w:val="single" w:sz="12" w:space="0" w:color="000000"/>
              <w:right w:val="nil"/>
            </w:tcBorders>
          </w:tcPr>
          <w:p w:rsidR="00A46DCA" w:rsidRPr="00023820" w:rsidRDefault="00A46DCA" w:rsidP="00A26D04">
            <w:pPr>
              <w:keepLines w:val="0"/>
              <w:autoSpaceDE w:val="0"/>
              <w:autoSpaceDN w:val="0"/>
              <w:adjustRightInd w:val="0"/>
              <w:rPr>
                <w:rFonts w:eastAsiaTheme="minorEastAsia" w:cs="Calibri"/>
                <w:b/>
                <w:bCs/>
                <w:color w:val="000000"/>
                <w:szCs w:val="16"/>
                <w:lang w:eastAsia="en-AU"/>
              </w:rPr>
            </w:pPr>
            <w:r w:rsidRPr="00023820">
              <w:rPr>
                <w:rFonts w:eastAsiaTheme="minorEastAsia" w:cs="Calibri"/>
                <w:b/>
                <w:bCs/>
                <w:color w:val="000000"/>
                <w:szCs w:val="16"/>
                <w:lang w:eastAsia="en-AU"/>
              </w:rPr>
              <w:t>Net result</w:t>
            </w:r>
          </w:p>
        </w:tc>
        <w:tc>
          <w:tcPr>
            <w:tcW w:w="817" w:type="dxa"/>
            <w:gridSpan w:val="2"/>
            <w:tcBorders>
              <w:top w:val="single" w:sz="6" w:space="0" w:color="000000"/>
              <w:left w:val="nil"/>
              <w:bottom w:val="single" w:sz="12" w:space="0" w:color="000000"/>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Pr>
                <w:rFonts w:eastAsiaTheme="minorEastAsia" w:cs="Arial"/>
                <w:b/>
                <w:bCs/>
                <w:color w:val="000000"/>
                <w:szCs w:val="18"/>
                <w:lang w:eastAsia="en-AU"/>
              </w:rPr>
              <w:t>(455)</w:t>
            </w:r>
          </w:p>
        </w:tc>
        <w:tc>
          <w:tcPr>
            <w:tcW w:w="816" w:type="dxa"/>
            <w:tcBorders>
              <w:top w:val="single" w:sz="6" w:space="0" w:color="000000"/>
              <w:left w:val="nil"/>
              <w:bottom w:val="single" w:sz="12" w:space="0" w:color="000000"/>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Pr>
                <w:rFonts w:eastAsiaTheme="minorEastAsia" w:cs="Arial"/>
                <w:b/>
                <w:bCs/>
                <w:color w:val="000000"/>
                <w:szCs w:val="18"/>
                <w:lang w:eastAsia="en-AU"/>
              </w:rPr>
              <w:t>854</w:t>
            </w:r>
          </w:p>
        </w:tc>
        <w:tc>
          <w:tcPr>
            <w:tcW w:w="816" w:type="dxa"/>
            <w:tcBorders>
              <w:top w:val="single" w:sz="6" w:space="0" w:color="000000"/>
              <w:left w:val="nil"/>
              <w:bottom w:val="single" w:sz="12" w:space="0" w:color="000000"/>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sidRPr="00023820">
              <w:rPr>
                <w:rFonts w:eastAsiaTheme="minorEastAsia" w:cs="Arial"/>
                <w:b/>
                <w:bCs/>
                <w:color w:val="000000"/>
                <w:szCs w:val="18"/>
                <w:lang w:eastAsia="en-AU"/>
              </w:rPr>
              <w:t>1 119</w:t>
            </w:r>
          </w:p>
        </w:tc>
        <w:tc>
          <w:tcPr>
            <w:tcW w:w="816" w:type="dxa"/>
            <w:tcBorders>
              <w:top w:val="single" w:sz="6" w:space="0" w:color="000000"/>
              <w:left w:val="nil"/>
              <w:bottom w:val="single" w:sz="12" w:space="0" w:color="000000"/>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sidRPr="00023820">
              <w:rPr>
                <w:rFonts w:eastAsiaTheme="minorEastAsia" w:cs="Arial"/>
                <w:b/>
                <w:bCs/>
                <w:color w:val="000000"/>
                <w:szCs w:val="18"/>
                <w:lang w:eastAsia="en-AU"/>
              </w:rPr>
              <w:t>1 091</w:t>
            </w:r>
          </w:p>
        </w:tc>
        <w:tc>
          <w:tcPr>
            <w:tcW w:w="817" w:type="dxa"/>
            <w:tcBorders>
              <w:top w:val="single" w:sz="6" w:space="0" w:color="000000"/>
              <w:left w:val="nil"/>
              <w:bottom w:val="single" w:sz="12" w:space="0" w:color="000000"/>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sidRPr="00023820">
              <w:rPr>
                <w:rFonts w:eastAsiaTheme="minorEastAsia" w:cs="Arial"/>
                <w:b/>
                <w:bCs/>
                <w:color w:val="000000"/>
                <w:szCs w:val="18"/>
                <w:lang w:eastAsia="en-AU"/>
              </w:rPr>
              <w:t>1 334</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7767" w:type="dxa"/>
            <w:gridSpan w:val="7"/>
            <w:tcBorders>
              <w:top w:val="nil"/>
              <w:left w:val="nil"/>
              <w:bottom w:val="nil"/>
              <w:right w:val="nil"/>
            </w:tcBorders>
          </w:tcPr>
          <w:p w:rsidR="00A46DCA" w:rsidRPr="00023820" w:rsidRDefault="00A46DCA" w:rsidP="00A26D04">
            <w:pPr>
              <w:keepLines w:val="0"/>
              <w:autoSpaceDE w:val="0"/>
              <w:autoSpaceDN w:val="0"/>
              <w:adjustRightInd w:val="0"/>
              <w:rPr>
                <w:rFonts w:eastAsiaTheme="minorEastAsia" w:cs="Calibri"/>
                <w:b/>
                <w:bCs/>
                <w:color w:val="000000"/>
                <w:lang w:eastAsia="en-AU"/>
              </w:rPr>
            </w:pPr>
            <w:r w:rsidRPr="00023820">
              <w:rPr>
                <w:rFonts w:eastAsiaTheme="minorEastAsia" w:cs="Calibri"/>
                <w:b/>
                <w:bCs/>
                <w:color w:val="000000"/>
                <w:szCs w:val="16"/>
                <w:lang w:eastAsia="en-AU"/>
              </w:rPr>
              <w:t>Other economic flows – other comprehensive income</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3685" w:type="dxa"/>
            <w:tcBorders>
              <w:top w:val="nil"/>
              <w:left w:val="nil"/>
              <w:bottom w:val="nil"/>
              <w:right w:val="nil"/>
            </w:tcBorders>
          </w:tcPr>
          <w:p w:rsidR="00A46DCA" w:rsidRPr="00023820" w:rsidRDefault="00A46DCA" w:rsidP="00A26D04">
            <w:pPr>
              <w:keepLines w:val="0"/>
              <w:autoSpaceDE w:val="0"/>
              <w:autoSpaceDN w:val="0"/>
              <w:adjustRightInd w:val="0"/>
              <w:rPr>
                <w:rFonts w:eastAsiaTheme="minorEastAsia" w:cs="Calibri"/>
                <w:b/>
                <w:bCs/>
                <w:color w:val="000000"/>
                <w:szCs w:val="16"/>
                <w:lang w:eastAsia="en-AU"/>
              </w:rPr>
            </w:pPr>
            <w:r w:rsidRPr="00023820">
              <w:rPr>
                <w:rFonts w:eastAsiaTheme="minorEastAsia" w:cs="Calibri"/>
                <w:b/>
                <w:bCs/>
                <w:color w:val="000000"/>
                <w:szCs w:val="16"/>
                <w:lang w:eastAsia="en-AU"/>
              </w:rPr>
              <w:t>Items that will not be reclassified to net result</w:t>
            </w:r>
          </w:p>
        </w:tc>
        <w:tc>
          <w:tcPr>
            <w:tcW w:w="817" w:type="dxa"/>
            <w:gridSpan w:val="2"/>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023820">
              <w:rPr>
                <w:rFonts w:eastAsiaTheme="minorEastAsia" w:cs="Calibri"/>
                <w:b/>
                <w:bCs/>
                <w:color w:val="000000"/>
                <w:lang w:eastAsia="en-AU"/>
              </w:rPr>
              <w:t xml:space="preserve"> </w:t>
            </w:r>
          </w:p>
        </w:tc>
        <w:tc>
          <w:tcPr>
            <w:tcW w:w="816"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023820">
              <w:rPr>
                <w:rFonts w:eastAsiaTheme="minorEastAsia" w:cs="Calibri"/>
                <w:b/>
                <w:bCs/>
                <w:color w:val="000000"/>
                <w:lang w:eastAsia="en-AU"/>
              </w:rPr>
              <w:t xml:space="preserve"> </w:t>
            </w:r>
          </w:p>
        </w:tc>
        <w:tc>
          <w:tcPr>
            <w:tcW w:w="816"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023820">
              <w:rPr>
                <w:rFonts w:eastAsiaTheme="minorEastAsia" w:cs="Calibri"/>
                <w:b/>
                <w:bCs/>
                <w:color w:val="000000"/>
                <w:lang w:eastAsia="en-AU"/>
              </w:rPr>
              <w:t xml:space="preserve"> </w:t>
            </w:r>
          </w:p>
        </w:tc>
        <w:tc>
          <w:tcPr>
            <w:tcW w:w="816"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023820">
              <w:rPr>
                <w:rFonts w:eastAsiaTheme="minorEastAsia" w:cs="Calibri"/>
                <w:b/>
                <w:bCs/>
                <w:color w:val="000000"/>
                <w:lang w:eastAsia="en-AU"/>
              </w:rPr>
              <w:t xml:space="preserve"> </w:t>
            </w:r>
          </w:p>
        </w:tc>
        <w:tc>
          <w:tcPr>
            <w:tcW w:w="817"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023820">
              <w:rPr>
                <w:rFonts w:eastAsiaTheme="minorEastAsia" w:cs="Calibri"/>
                <w:b/>
                <w:bCs/>
                <w:color w:val="000000"/>
                <w:lang w:eastAsia="en-AU"/>
              </w:rPr>
              <w:t xml:space="preserve"> </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3827" w:type="dxa"/>
            <w:gridSpan w:val="2"/>
            <w:tcBorders>
              <w:top w:val="nil"/>
              <w:left w:val="nil"/>
              <w:bottom w:val="nil"/>
              <w:right w:val="nil"/>
            </w:tcBorders>
          </w:tcPr>
          <w:p w:rsidR="00A46DCA" w:rsidRPr="00023820" w:rsidRDefault="00A46DCA" w:rsidP="00A26D04">
            <w:pPr>
              <w:keepLines w:val="0"/>
              <w:autoSpaceDE w:val="0"/>
              <w:autoSpaceDN w:val="0"/>
              <w:adjustRightInd w:val="0"/>
              <w:rPr>
                <w:rFonts w:eastAsiaTheme="minorEastAsia" w:cs="Calibri"/>
                <w:color w:val="000000"/>
                <w:szCs w:val="16"/>
                <w:lang w:eastAsia="en-AU"/>
              </w:rPr>
            </w:pPr>
            <w:r w:rsidRPr="00023820">
              <w:rPr>
                <w:rFonts w:eastAsiaTheme="minorEastAsia" w:cs="Calibri"/>
                <w:color w:val="000000"/>
                <w:szCs w:val="16"/>
                <w:lang w:eastAsia="en-AU"/>
              </w:rPr>
              <w:t>Changes in non-financial assets revaluation surplus</w:t>
            </w:r>
          </w:p>
        </w:tc>
        <w:tc>
          <w:tcPr>
            <w:tcW w:w="675"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023820">
              <w:rPr>
                <w:rFonts w:eastAsiaTheme="minorEastAsia" w:cs="Arial"/>
                <w:color w:val="000000"/>
                <w:szCs w:val="18"/>
                <w:lang w:eastAsia="en-AU"/>
              </w:rPr>
              <w:t>3 661</w:t>
            </w:r>
          </w:p>
        </w:tc>
        <w:tc>
          <w:tcPr>
            <w:tcW w:w="816"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023820">
              <w:rPr>
                <w:rFonts w:eastAsiaTheme="minorEastAsia" w:cs="Arial"/>
                <w:color w:val="000000"/>
                <w:szCs w:val="18"/>
                <w:lang w:eastAsia="en-AU"/>
              </w:rPr>
              <w:t>3 633</w:t>
            </w:r>
          </w:p>
        </w:tc>
        <w:tc>
          <w:tcPr>
            <w:tcW w:w="816"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023820">
              <w:rPr>
                <w:rFonts w:eastAsiaTheme="minorEastAsia" w:cs="Arial"/>
                <w:color w:val="000000"/>
                <w:szCs w:val="18"/>
                <w:lang w:eastAsia="en-AU"/>
              </w:rPr>
              <w:t>1 791</w:t>
            </w:r>
          </w:p>
        </w:tc>
        <w:tc>
          <w:tcPr>
            <w:tcW w:w="816"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023820">
              <w:rPr>
                <w:rFonts w:eastAsiaTheme="minorEastAsia" w:cs="Arial"/>
                <w:color w:val="000000"/>
                <w:szCs w:val="18"/>
                <w:lang w:eastAsia="en-AU"/>
              </w:rPr>
              <w:t>9 454</w:t>
            </w:r>
          </w:p>
        </w:tc>
        <w:tc>
          <w:tcPr>
            <w:tcW w:w="817"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023820">
              <w:rPr>
                <w:rFonts w:eastAsiaTheme="minorEastAsia" w:cs="Arial"/>
                <w:color w:val="000000"/>
                <w:szCs w:val="18"/>
                <w:lang w:eastAsia="en-AU"/>
              </w:rPr>
              <w:t>2 943</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3685" w:type="dxa"/>
            <w:tcBorders>
              <w:top w:val="nil"/>
              <w:left w:val="nil"/>
              <w:bottom w:val="nil"/>
              <w:right w:val="nil"/>
            </w:tcBorders>
          </w:tcPr>
          <w:p w:rsidR="00A46DCA" w:rsidRPr="00023820" w:rsidRDefault="00A46DCA" w:rsidP="00A26D04">
            <w:pPr>
              <w:keepLines w:val="0"/>
              <w:autoSpaceDE w:val="0"/>
              <w:autoSpaceDN w:val="0"/>
              <w:adjustRightInd w:val="0"/>
              <w:rPr>
                <w:rFonts w:eastAsiaTheme="minorEastAsia" w:cs="Calibri"/>
                <w:color w:val="000000"/>
                <w:szCs w:val="16"/>
                <w:lang w:eastAsia="en-AU"/>
              </w:rPr>
            </w:pPr>
            <w:proofErr w:type="spellStart"/>
            <w:r w:rsidRPr="00023820">
              <w:rPr>
                <w:rFonts w:eastAsiaTheme="minorEastAsia" w:cs="Calibri"/>
                <w:color w:val="000000"/>
                <w:szCs w:val="16"/>
                <w:lang w:eastAsia="en-AU"/>
              </w:rPr>
              <w:t>Remeasurement</w:t>
            </w:r>
            <w:proofErr w:type="spellEnd"/>
            <w:r w:rsidRPr="00023820">
              <w:rPr>
                <w:rFonts w:eastAsiaTheme="minorEastAsia" w:cs="Calibri"/>
                <w:color w:val="000000"/>
                <w:szCs w:val="16"/>
                <w:lang w:eastAsia="en-AU"/>
              </w:rPr>
              <w:t xml:space="preserve"> of superannuation defined benefits plans</w:t>
            </w:r>
          </w:p>
        </w:tc>
        <w:tc>
          <w:tcPr>
            <w:tcW w:w="817" w:type="dxa"/>
            <w:gridSpan w:val="2"/>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911</w:t>
            </w:r>
          </w:p>
        </w:tc>
        <w:tc>
          <w:tcPr>
            <w:tcW w:w="816"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023820">
              <w:rPr>
                <w:rFonts w:eastAsiaTheme="minorEastAsia" w:cs="Arial"/>
                <w:color w:val="000000"/>
                <w:szCs w:val="18"/>
                <w:lang w:eastAsia="en-AU"/>
              </w:rPr>
              <w:t>1 977</w:t>
            </w:r>
          </w:p>
        </w:tc>
        <w:tc>
          <w:tcPr>
            <w:tcW w:w="816"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917</w:t>
            </w:r>
          </w:p>
        </w:tc>
        <w:tc>
          <w:tcPr>
            <w:tcW w:w="816"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931</w:t>
            </w:r>
          </w:p>
        </w:tc>
        <w:tc>
          <w:tcPr>
            <w:tcW w:w="817"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944</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3685" w:type="dxa"/>
            <w:tcBorders>
              <w:top w:val="nil"/>
              <w:left w:val="nil"/>
              <w:bottom w:val="nil"/>
              <w:right w:val="nil"/>
            </w:tcBorders>
          </w:tcPr>
          <w:p w:rsidR="00A46DCA" w:rsidRPr="00023820" w:rsidRDefault="00A46DCA" w:rsidP="00A26D04">
            <w:pPr>
              <w:keepLines w:val="0"/>
              <w:autoSpaceDE w:val="0"/>
              <w:autoSpaceDN w:val="0"/>
              <w:adjustRightInd w:val="0"/>
              <w:rPr>
                <w:rFonts w:eastAsiaTheme="minorEastAsia" w:cs="Calibri"/>
                <w:color w:val="000000"/>
                <w:szCs w:val="16"/>
                <w:lang w:eastAsia="en-AU"/>
              </w:rPr>
            </w:pPr>
            <w:r w:rsidRPr="00023820">
              <w:rPr>
                <w:rFonts w:eastAsiaTheme="minorEastAsia" w:cs="Calibri"/>
                <w:color w:val="000000"/>
                <w:szCs w:val="16"/>
                <w:lang w:eastAsia="en-AU"/>
              </w:rPr>
              <w:t>Other movements in equity</w:t>
            </w:r>
          </w:p>
        </w:tc>
        <w:tc>
          <w:tcPr>
            <w:tcW w:w="817" w:type="dxa"/>
            <w:gridSpan w:val="2"/>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(14)</w:t>
            </w:r>
          </w:p>
        </w:tc>
        <w:tc>
          <w:tcPr>
            <w:tcW w:w="816"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8</w:t>
            </w:r>
          </w:p>
        </w:tc>
        <w:tc>
          <w:tcPr>
            <w:tcW w:w="816"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13</w:t>
            </w:r>
          </w:p>
        </w:tc>
        <w:tc>
          <w:tcPr>
            <w:tcW w:w="816"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(23)</w:t>
            </w:r>
          </w:p>
        </w:tc>
        <w:tc>
          <w:tcPr>
            <w:tcW w:w="817"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(2)</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7767" w:type="dxa"/>
            <w:gridSpan w:val="7"/>
            <w:tcBorders>
              <w:top w:val="nil"/>
              <w:left w:val="nil"/>
              <w:bottom w:val="nil"/>
              <w:right w:val="nil"/>
            </w:tcBorders>
          </w:tcPr>
          <w:p w:rsidR="00A46DCA" w:rsidRPr="00023820" w:rsidRDefault="00A46DCA" w:rsidP="00A26D04">
            <w:pPr>
              <w:keepLines w:val="0"/>
              <w:autoSpaceDE w:val="0"/>
              <w:autoSpaceDN w:val="0"/>
              <w:adjustRightInd w:val="0"/>
              <w:rPr>
                <w:rFonts w:eastAsiaTheme="minorEastAsia" w:cs="Calibri"/>
                <w:b/>
                <w:bCs/>
                <w:color w:val="000000"/>
                <w:lang w:eastAsia="en-AU"/>
              </w:rPr>
            </w:pPr>
            <w:r w:rsidRPr="00023820">
              <w:rPr>
                <w:rFonts w:eastAsiaTheme="minorEastAsia" w:cs="Calibri"/>
                <w:b/>
                <w:bCs/>
                <w:color w:val="000000"/>
                <w:szCs w:val="16"/>
                <w:lang w:eastAsia="en-AU"/>
              </w:rPr>
              <w:t>Items that may be reclassified subsequently to net result</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3685" w:type="dxa"/>
            <w:tcBorders>
              <w:top w:val="nil"/>
              <w:left w:val="nil"/>
              <w:bottom w:val="nil"/>
              <w:right w:val="nil"/>
            </w:tcBorders>
          </w:tcPr>
          <w:p w:rsidR="00A46DCA" w:rsidRPr="00023820" w:rsidRDefault="00A46DCA" w:rsidP="00A26D04">
            <w:pPr>
              <w:keepLines w:val="0"/>
              <w:autoSpaceDE w:val="0"/>
              <w:autoSpaceDN w:val="0"/>
              <w:adjustRightInd w:val="0"/>
              <w:rPr>
                <w:rFonts w:eastAsiaTheme="minorEastAsia" w:cs="Calibri"/>
                <w:color w:val="000000"/>
                <w:szCs w:val="16"/>
                <w:lang w:eastAsia="en-AU"/>
              </w:rPr>
            </w:pPr>
            <w:r w:rsidRPr="00023820">
              <w:rPr>
                <w:rFonts w:eastAsiaTheme="minorEastAsia" w:cs="Calibri"/>
                <w:color w:val="000000"/>
                <w:szCs w:val="16"/>
                <w:lang w:eastAsia="en-AU"/>
              </w:rPr>
              <w:t>Net gain/(loss) on financial assets at fair value</w:t>
            </w:r>
          </w:p>
        </w:tc>
        <w:tc>
          <w:tcPr>
            <w:tcW w:w="817" w:type="dxa"/>
            <w:gridSpan w:val="2"/>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4</w:t>
            </w:r>
          </w:p>
        </w:tc>
        <w:tc>
          <w:tcPr>
            <w:tcW w:w="816"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36</w:t>
            </w:r>
          </w:p>
        </w:tc>
        <w:tc>
          <w:tcPr>
            <w:tcW w:w="816"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(4)</w:t>
            </w:r>
          </w:p>
        </w:tc>
        <w:tc>
          <w:tcPr>
            <w:tcW w:w="816"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6</w:t>
            </w:r>
          </w:p>
        </w:tc>
        <w:tc>
          <w:tcPr>
            <w:tcW w:w="817"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(10)</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3685" w:type="dxa"/>
            <w:tcBorders>
              <w:top w:val="single" w:sz="6" w:space="0" w:color="000000"/>
              <w:left w:val="nil"/>
              <w:bottom w:val="nil"/>
              <w:right w:val="nil"/>
            </w:tcBorders>
          </w:tcPr>
          <w:p w:rsidR="00A46DCA" w:rsidRPr="00023820" w:rsidRDefault="00A46DCA" w:rsidP="00A26D04">
            <w:pPr>
              <w:keepLines w:val="0"/>
              <w:autoSpaceDE w:val="0"/>
              <w:autoSpaceDN w:val="0"/>
              <w:adjustRightInd w:val="0"/>
              <w:rPr>
                <w:rFonts w:eastAsiaTheme="minorEastAsia" w:cs="Calibri"/>
                <w:b/>
                <w:bCs/>
                <w:color w:val="000000"/>
                <w:szCs w:val="16"/>
                <w:lang w:eastAsia="en-AU"/>
              </w:rPr>
            </w:pPr>
            <w:r w:rsidRPr="00023820">
              <w:rPr>
                <w:rFonts w:eastAsiaTheme="minorEastAsia" w:cs="Calibri"/>
                <w:b/>
                <w:bCs/>
                <w:color w:val="000000"/>
                <w:szCs w:val="16"/>
                <w:lang w:eastAsia="en-AU"/>
              </w:rPr>
              <w:t xml:space="preserve">Total other economic flows – </w:t>
            </w:r>
            <w:r>
              <w:rPr>
                <w:rFonts w:eastAsiaTheme="minorEastAsia" w:cs="Calibri"/>
                <w:b/>
                <w:bCs/>
                <w:color w:val="000000"/>
                <w:szCs w:val="16"/>
                <w:lang w:eastAsia="en-AU"/>
              </w:rPr>
              <w:br/>
            </w:r>
            <w:r w:rsidRPr="00023820">
              <w:rPr>
                <w:rFonts w:eastAsiaTheme="minorEastAsia" w:cs="Calibri"/>
                <w:b/>
                <w:bCs/>
                <w:color w:val="000000"/>
                <w:szCs w:val="16"/>
                <w:lang w:eastAsia="en-AU"/>
              </w:rPr>
              <w:t>other comprehensive income</w:t>
            </w:r>
          </w:p>
        </w:tc>
        <w:tc>
          <w:tcPr>
            <w:tcW w:w="817" w:type="dxa"/>
            <w:gridSpan w:val="2"/>
            <w:tcBorders>
              <w:top w:val="single" w:sz="6" w:space="0" w:color="000000"/>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sidRPr="00023820">
              <w:rPr>
                <w:rFonts w:eastAsiaTheme="minorEastAsia" w:cs="Arial"/>
                <w:b/>
                <w:bCs/>
                <w:color w:val="000000"/>
                <w:szCs w:val="18"/>
                <w:lang w:eastAsia="en-AU"/>
              </w:rPr>
              <w:t>4 562</w:t>
            </w:r>
          </w:p>
        </w:tc>
        <w:tc>
          <w:tcPr>
            <w:tcW w:w="816" w:type="dxa"/>
            <w:tcBorders>
              <w:top w:val="single" w:sz="6" w:space="0" w:color="000000"/>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sidRPr="00023820">
              <w:rPr>
                <w:rFonts w:eastAsiaTheme="minorEastAsia" w:cs="Arial"/>
                <w:b/>
                <w:bCs/>
                <w:color w:val="000000"/>
                <w:szCs w:val="18"/>
                <w:lang w:eastAsia="en-AU"/>
              </w:rPr>
              <w:t>5 654</w:t>
            </w:r>
          </w:p>
        </w:tc>
        <w:tc>
          <w:tcPr>
            <w:tcW w:w="816" w:type="dxa"/>
            <w:tcBorders>
              <w:top w:val="single" w:sz="6" w:space="0" w:color="000000"/>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sidRPr="00023820">
              <w:rPr>
                <w:rFonts w:eastAsiaTheme="minorEastAsia" w:cs="Arial"/>
                <w:b/>
                <w:bCs/>
                <w:color w:val="000000"/>
                <w:szCs w:val="18"/>
                <w:lang w:eastAsia="en-AU"/>
              </w:rPr>
              <w:t>2 717</w:t>
            </w:r>
          </w:p>
        </w:tc>
        <w:tc>
          <w:tcPr>
            <w:tcW w:w="816" w:type="dxa"/>
            <w:tcBorders>
              <w:top w:val="single" w:sz="6" w:space="0" w:color="000000"/>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sidRPr="00023820">
              <w:rPr>
                <w:rFonts w:eastAsiaTheme="minorEastAsia" w:cs="Arial"/>
                <w:b/>
                <w:bCs/>
                <w:color w:val="000000"/>
                <w:szCs w:val="18"/>
                <w:lang w:eastAsia="en-AU"/>
              </w:rPr>
              <w:t>10 368</w:t>
            </w:r>
          </w:p>
        </w:tc>
        <w:tc>
          <w:tcPr>
            <w:tcW w:w="817" w:type="dxa"/>
            <w:tcBorders>
              <w:top w:val="single" w:sz="6" w:space="0" w:color="000000"/>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sidRPr="00023820">
              <w:rPr>
                <w:rFonts w:eastAsiaTheme="minorEastAsia" w:cs="Arial"/>
                <w:b/>
                <w:bCs/>
                <w:color w:val="000000"/>
                <w:szCs w:val="18"/>
                <w:lang w:eastAsia="en-AU"/>
              </w:rPr>
              <w:t>3 875</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3827" w:type="dxa"/>
            <w:gridSpan w:val="2"/>
            <w:tcBorders>
              <w:top w:val="single" w:sz="6" w:space="0" w:color="000000"/>
              <w:left w:val="nil"/>
              <w:bottom w:val="single" w:sz="12" w:space="0" w:color="000000"/>
              <w:right w:val="nil"/>
            </w:tcBorders>
          </w:tcPr>
          <w:p w:rsidR="00A46DCA" w:rsidRPr="00023820" w:rsidRDefault="00A46DCA" w:rsidP="00A26D04">
            <w:pPr>
              <w:keepLines w:val="0"/>
              <w:autoSpaceDE w:val="0"/>
              <w:autoSpaceDN w:val="0"/>
              <w:adjustRightInd w:val="0"/>
              <w:rPr>
                <w:rFonts w:eastAsiaTheme="minorEastAsia" w:cs="Calibri"/>
                <w:b/>
                <w:bCs/>
                <w:color w:val="000000"/>
                <w:szCs w:val="16"/>
                <w:lang w:eastAsia="en-AU"/>
              </w:rPr>
            </w:pPr>
            <w:r w:rsidRPr="00023820">
              <w:rPr>
                <w:rFonts w:eastAsiaTheme="minorEastAsia" w:cs="Calibri"/>
                <w:b/>
                <w:bCs/>
                <w:color w:val="000000"/>
                <w:szCs w:val="16"/>
                <w:lang w:eastAsia="en-AU"/>
              </w:rPr>
              <w:t>Comprehensive result – total change in net worth</w:t>
            </w:r>
          </w:p>
        </w:tc>
        <w:tc>
          <w:tcPr>
            <w:tcW w:w="675" w:type="dxa"/>
            <w:tcBorders>
              <w:top w:val="single" w:sz="6" w:space="0" w:color="000000"/>
              <w:left w:val="nil"/>
              <w:bottom w:val="single" w:sz="12" w:space="0" w:color="000000"/>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sidRPr="00023820">
              <w:rPr>
                <w:rFonts w:eastAsiaTheme="minorEastAsia" w:cs="Arial"/>
                <w:b/>
                <w:bCs/>
                <w:color w:val="000000"/>
                <w:szCs w:val="18"/>
                <w:lang w:eastAsia="en-AU"/>
              </w:rPr>
              <w:t>4 107</w:t>
            </w:r>
          </w:p>
        </w:tc>
        <w:tc>
          <w:tcPr>
            <w:tcW w:w="816" w:type="dxa"/>
            <w:tcBorders>
              <w:top w:val="single" w:sz="6" w:space="0" w:color="000000"/>
              <w:left w:val="nil"/>
              <w:bottom w:val="single" w:sz="12" w:space="0" w:color="000000"/>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sidRPr="00023820">
              <w:rPr>
                <w:rFonts w:eastAsiaTheme="minorEastAsia" w:cs="Arial"/>
                <w:b/>
                <w:bCs/>
                <w:color w:val="000000"/>
                <w:szCs w:val="18"/>
                <w:lang w:eastAsia="en-AU"/>
              </w:rPr>
              <w:t>6 508</w:t>
            </w:r>
          </w:p>
        </w:tc>
        <w:tc>
          <w:tcPr>
            <w:tcW w:w="816" w:type="dxa"/>
            <w:tcBorders>
              <w:top w:val="single" w:sz="6" w:space="0" w:color="000000"/>
              <w:left w:val="nil"/>
              <w:bottom w:val="single" w:sz="12" w:space="0" w:color="000000"/>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sidRPr="00023820">
              <w:rPr>
                <w:rFonts w:eastAsiaTheme="minorEastAsia" w:cs="Arial"/>
                <w:b/>
                <w:bCs/>
                <w:color w:val="000000"/>
                <w:szCs w:val="18"/>
                <w:lang w:eastAsia="en-AU"/>
              </w:rPr>
              <w:t>3 836</w:t>
            </w:r>
          </w:p>
        </w:tc>
        <w:tc>
          <w:tcPr>
            <w:tcW w:w="816" w:type="dxa"/>
            <w:tcBorders>
              <w:top w:val="single" w:sz="6" w:space="0" w:color="000000"/>
              <w:left w:val="nil"/>
              <w:bottom w:val="single" w:sz="12" w:space="0" w:color="000000"/>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sidRPr="00023820">
              <w:rPr>
                <w:rFonts w:eastAsiaTheme="minorEastAsia" w:cs="Arial"/>
                <w:b/>
                <w:bCs/>
                <w:color w:val="000000"/>
                <w:szCs w:val="18"/>
                <w:lang w:eastAsia="en-AU"/>
              </w:rPr>
              <w:t>11 459</w:t>
            </w:r>
          </w:p>
        </w:tc>
        <w:tc>
          <w:tcPr>
            <w:tcW w:w="817" w:type="dxa"/>
            <w:tcBorders>
              <w:top w:val="single" w:sz="6" w:space="0" w:color="000000"/>
              <w:left w:val="nil"/>
              <w:bottom w:val="single" w:sz="12" w:space="0" w:color="000000"/>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sidRPr="00023820">
              <w:rPr>
                <w:rFonts w:eastAsiaTheme="minorEastAsia" w:cs="Arial"/>
                <w:b/>
                <w:bCs/>
                <w:color w:val="000000"/>
                <w:szCs w:val="18"/>
                <w:lang w:eastAsia="en-AU"/>
              </w:rPr>
              <w:t>5 209</w:t>
            </w:r>
          </w:p>
        </w:tc>
      </w:tr>
      <w:tr w:rsidR="00A46DCA" w:rsidRPr="00023820" w:rsidTr="00A26D04">
        <w:trPr>
          <w:trHeight w:hRule="exact" w:val="120"/>
        </w:trPr>
        <w:tc>
          <w:tcPr>
            <w:cnfStyle w:val="001000000000" w:firstRow="0" w:lastRow="0" w:firstColumn="1" w:lastColumn="0" w:oddVBand="0" w:evenVBand="0" w:oddHBand="0" w:evenHBand="0" w:firstRowFirstColumn="0" w:firstRowLastColumn="0" w:lastRowFirstColumn="0" w:lastRowLastColumn="0"/>
            <w:tcW w:w="3685" w:type="dxa"/>
            <w:tcBorders>
              <w:top w:val="nil"/>
              <w:left w:val="nil"/>
              <w:bottom w:val="nil"/>
              <w:right w:val="nil"/>
            </w:tcBorders>
          </w:tcPr>
          <w:p w:rsidR="00A46DCA" w:rsidRPr="00023820" w:rsidRDefault="00A46DCA" w:rsidP="00A26D04">
            <w:pPr>
              <w:keepLines w:val="0"/>
              <w:autoSpaceDE w:val="0"/>
              <w:autoSpaceDN w:val="0"/>
              <w:adjustRightInd w:val="0"/>
              <w:rPr>
                <w:rFonts w:eastAsiaTheme="minorEastAsia" w:cs="Calibri"/>
                <w:color w:val="000000"/>
                <w:lang w:eastAsia="en-AU"/>
              </w:rPr>
            </w:pPr>
            <w:r w:rsidRPr="00023820">
              <w:rPr>
                <w:rFonts w:eastAsiaTheme="minorEastAsia" w:cs="Calibri"/>
                <w:color w:val="000000"/>
                <w:lang w:eastAsia="en-AU"/>
              </w:rPr>
              <w:t xml:space="preserve"> </w:t>
            </w:r>
          </w:p>
        </w:tc>
        <w:tc>
          <w:tcPr>
            <w:tcW w:w="817" w:type="dxa"/>
            <w:gridSpan w:val="2"/>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023820">
              <w:rPr>
                <w:rFonts w:eastAsiaTheme="minorEastAsia" w:cs="Calibri"/>
                <w:color w:val="000000"/>
                <w:lang w:eastAsia="en-AU"/>
              </w:rPr>
              <w:t xml:space="preserve"> </w:t>
            </w:r>
          </w:p>
        </w:tc>
        <w:tc>
          <w:tcPr>
            <w:tcW w:w="816"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023820">
              <w:rPr>
                <w:rFonts w:eastAsiaTheme="minorEastAsia" w:cs="Calibri"/>
                <w:color w:val="000000"/>
                <w:lang w:eastAsia="en-AU"/>
              </w:rPr>
              <w:t xml:space="preserve"> </w:t>
            </w:r>
          </w:p>
        </w:tc>
        <w:tc>
          <w:tcPr>
            <w:tcW w:w="816"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023820">
              <w:rPr>
                <w:rFonts w:eastAsiaTheme="minorEastAsia" w:cs="Calibri"/>
                <w:color w:val="000000"/>
                <w:lang w:eastAsia="en-AU"/>
              </w:rPr>
              <w:t xml:space="preserve"> </w:t>
            </w:r>
          </w:p>
        </w:tc>
        <w:tc>
          <w:tcPr>
            <w:tcW w:w="816"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023820">
              <w:rPr>
                <w:rFonts w:eastAsiaTheme="minorEastAsia" w:cs="Calibri"/>
                <w:color w:val="000000"/>
                <w:lang w:eastAsia="en-AU"/>
              </w:rPr>
              <w:t xml:space="preserve"> </w:t>
            </w:r>
          </w:p>
        </w:tc>
        <w:tc>
          <w:tcPr>
            <w:tcW w:w="817"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023820">
              <w:rPr>
                <w:rFonts w:eastAsiaTheme="minorEastAsia" w:cs="Calibri"/>
                <w:color w:val="000000"/>
                <w:lang w:eastAsia="en-AU"/>
              </w:rPr>
              <w:t xml:space="preserve"> </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3685" w:type="dxa"/>
            <w:tcBorders>
              <w:top w:val="nil"/>
              <w:left w:val="nil"/>
              <w:bottom w:val="nil"/>
              <w:right w:val="nil"/>
            </w:tcBorders>
          </w:tcPr>
          <w:p w:rsidR="00A46DCA" w:rsidRPr="00023820" w:rsidRDefault="00A46DCA" w:rsidP="00A26D04">
            <w:pPr>
              <w:keepLines w:val="0"/>
              <w:autoSpaceDE w:val="0"/>
              <w:autoSpaceDN w:val="0"/>
              <w:adjustRightInd w:val="0"/>
              <w:rPr>
                <w:rFonts w:eastAsiaTheme="minorEastAsia" w:cs="Calibri"/>
                <w:b/>
                <w:bCs/>
                <w:color w:val="000000"/>
                <w:szCs w:val="16"/>
                <w:lang w:eastAsia="en-AU"/>
              </w:rPr>
            </w:pPr>
            <w:r w:rsidRPr="00023820">
              <w:rPr>
                <w:rFonts w:eastAsiaTheme="minorEastAsia" w:cs="Calibri"/>
                <w:b/>
                <w:bCs/>
                <w:color w:val="000000"/>
                <w:szCs w:val="16"/>
                <w:lang w:eastAsia="en-AU"/>
              </w:rPr>
              <w:t>KEY FISCAL AGGREGATES</w:t>
            </w:r>
          </w:p>
        </w:tc>
        <w:tc>
          <w:tcPr>
            <w:tcW w:w="817" w:type="dxa"/>
            <w:gridSpan w:val="2"/>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023820">
              <w:rPr>
                <w:rFonts w:eastAsiaTheme="minorEastAsia" w:cs="Calibri"/>
                <w:b/>
                <w:bCs/>
                <w:color w:val="000000"/>
                <w:lang w:eastAsia="en-AU"/>
              </w:rPr>
              <w:t xml:space="preserve"> </w:t>
            </w:r>
          </w:p>
        </w:tc>
        <w:tc>
          <w:tcPr>
            <w:tcW w:w="816"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023820">
              <w:rPr>
                <w:rFonts w:eastAsiaTheme="minorEastAsia" w:cs="Calibri"/>
                <w:b/>
                <w:bCs/>
                <w:color w:val="000000"/>
                <w:lang w:eastAsia="en-AU"/>
              </w:rPr>
              <w:t xml:space="preserve"> </w:t>
            </w:r>
          </w:p>
        </w:tc>
        <w:tc>
          <w:tcPr>
            <w:tcW w:w="816"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023820">
              <w:rPr>
                <w:rFonts w:eastAsiaTheme="minorEastAsia" w:cs="Calibri"/>
                <w:b/>
                <w:bCs/>
                <w:color w:val="000000"/>
                <w:lang w:eastAsia="en-AU"/>
              </w:rPr>
              <w:t xml:space="preserve"> </w:t>
            </w:r>
          </w:p>
        </w:tc>
        <w:tc>
          <w:tcPr>
            <w:tcW w:w="816"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023820">
              <w:rPr>
                <w:rFonts w:eastAsiaTheme="minorEastAsia" w:cs="Calibri"/>
                <w:b/>
                <w:bCs/>
                <w:color w:val="000000"/>
                <w:lang w:eastAsia="en-AU"/>
              </w:rPr>
              <w:t xml:space="preserve"> </w:t>
            </w:r>
          </w:p>
        </w:tc>
        <w:tc>
          <w:tcPr>
            <w:tcW w:w="817"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023820">
              <w:rPr>
                <w:rFonts w:eastAsiaTheme="minorEastAsia" w:cs="Calibri"/>
                <w:b/>
                <w:bCs/>
                <w:color w:val="000000"/>
                <w:lang w:eastAsia="en-AU"/>
              </w:rPr>
              <w:t xml:space="preserve"> </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3685" w:type="dxa"/>
            <w:tcBorders>
              <w:top w:val="nil"/>
              <w:left w:val="nil"/>
              <w:bottom w:val="nil"/>
              <w:right w:val="nil"/>
            </w:tcBorders>
          </w:tcPr>
          <w:p w:rsidR="00A46DCA" w:rsidRPr="00023820" w:rsidRDefault="00A46DCA" w:rsidP="00A26D04">
            <w:pPr>
              <w:keepLines w:val="0"/>
              <w:autoSpaceDE w:val="0"/>
              <w:autoSpaceDN w:val="0"/>
              <w:adjustRightInd w:val="0"/>
              <w:rPr>
                <w:rFonts w:eastAsiaTheme="minorEastAsia" w:cs="Calibri"/>
                <w:b/>
                <w:bCs/>
                <w:color w:val="000000"/>
                <w:szCs w:val="16"/>
                <w:lang w:eastAsia="en-AU"/>
              </w:rPr>
            </w:pPr>
            <w:r w:rsidRPr="00023820">
              <w:rPr>
                <w:rFonts w:eastAsiaTheme="minorEastAsia" w:cs="Calibri"/>
                <w:b/>
                <w:bCs/>
                <w:color w:val="000000"/>
                <w:szCs w:val="16"/>
                <w:lang w:eastAsia="en-AU"/>
              </w:rPr>
              <w:t>Net operating balance</w:t>
            </w:r>
          </w:p>
        </w:tc>
        <w:tc>
          <w:tcPr>
            <w:tcW w:w="817" w:type="dxa"/>
            <w:gridSpan w:val="2"/>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Pr>
                <w:rFonts w:eastAsiaTheme="minorEastAsia" w:cs="Calibri"/>
                <w:b/>
                <w:bCs/>
                <w:color w:val="000000"/>
                <w:szCs w:val="16"/>
                <w:lang w:eastAsia="en-AU"/>
              </w:rPr>
              <w:t>(2 110)</w:t>
            </w:r>
          </w:p>
        </w:tc>
        <w:tc>
          <w:tcPr>
            <w:tcW w:w="816"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Pr>
                <w:rFonts w:eastAsiaTheme="minorEastAsia" w:cs="Calibri"/>
                <w:b/>
                <w:bCs/>
                <w:color w:val="000000"/>
                <w:szCs w:val="16"/>
                <w:lang w:eastAsia="en-AU"/>
              </w:rPr>
              <w:t>(1 518)</w:t>
            </w:r>
          </w:p>
        </w:tc>
        <w:tc>
          <w:tcPr>
            <w:tcW w:w="816"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Pr>
                <w:rFonts w:eastAsiaTheme="minorEastAsia" w:cs="Calibri"/>
                <w:b/>
                <w:bCs/>
                <w:color w:val="000000"/>
                <w:szCs w:val="16"/>
                <w:lang w:eastAsia="en-AU"/>
              </w:rPr>
              <w:t>(476)</w:t>
            </w:r>
          </w:p>
        </w:tc>
        <w:tc>
          <w:tcPr>
            <w:tcW w:w="816"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Pr>
                <w:rFonts w:eastAsiaTheme="minorEastAsia" w:cs="Calibri"/>
                <w:b/>
                <w:bCs/>
                <w:color w:val="000000"/>
                <w:szCs w:val="16"/>
                <w:lang w:eastAsia="en-AU"/>
              </w:rPr>
              <w:t>(461)</w:t>
            </w:r>
          </w:p>
        </w:tc>
        <w:tc>
          <w:tcPr>
            <w:tcW w:w="817"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Pr>
                <w:rFonts w:eastAsiaTheme="minorEastAsia" w:cs="Calibri"/>
                <w:b/>
                <w:bCs/>
                <w:color w:val="000000"/>
                <w:szCs w:val="16"/>
                <w:lang w:eastAsia="en-AU"/>
              </w:rPr>
              <w:t>(14)</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3685" w:type="dxa"/>
            <w:tcBorders>
              <w:top w:val="nil"/>
              <w:left w:val="nil"/>
              <w:bottom w:val="nil"/>
              <w:right w:val="nil"/>
            </w:tcBorders>
          </w:tcPr>
          <w:p w:rsidR="00A46DCA" w:rsidRPr="00023820" w:rsidRDefault="00A46DCA" w:rsidP="008E5E35">
            <w:pPr>
              <w:keepLines w:val="0"/>
              <w:autoSpaceDE w:val="0"/>
              <w:autoSpaceDN w:val="0"/>
              <w:adjustRightInd w:val="0"/>
              <w:rPr>
                <w:rFonts w:eastAsiaTheme="minorEastAsia" w:cs="Calibri"/>
                <w:color w:val="000000"/>
                <w:szCs w:val="16"/>
                <w:lang w:eastAsia="en-AU"/>
              </w:rPr>
            </w:pPr>
            <w:r w:rsidRPr="00023820">
              <w:rPr>
                <w:rFonts w:eastAsiaTheme="minorEastAsia" w:cs="Calibri"/>
                <w:color w:val="000000"/>
                <w:szCs w:val="16"/>
                <w:lang w:eastAsia="en-AU"/>
              </w:rPr>
              <w:t>Less: Net acquisition of non-financial assets</w:t>
            </w:r>
            <w:r w:rsidR="008E5E35">
              <w:rPr>
                <w:rFonts w:eastAsiaTheme="minorEastAsia" w:cs="Calibri"/>
                <w:color w:val="000000"/>
                <w:szCs w:val="16"/>
                <w:lang w:eastAsia="en-AU"/>
              </w:rPr>
              <w:br/>
            </w:r>
            <w:r w:rsidRPr="00023820">
              <w:rPr>
                <w:rFonts w:eastAsiaTheme="minorEastAsia" w:cs="Calibri"/>
                <w:color w:val="000000"/>
                <w:szCs w:val="16"/>
                <w:lang w:eastAsia="en-AU"/>
              </w:rPr>
              <w:t>from transactions</w:t>
            </w:r>
          </w:p>
        </w:tc>
        <w:tc>
          <w:tcPr>
            <w:tcW w:w="817" w:type="dxa"/>
            <w:gridSpan w:val="2"/>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023820">
              <w:rPr>
                <w:rFonts w:eastAsiaTheme="minorEastAsia" w:cs="Calibri"/>
                <w:color w:val="000000"/>
                <w:szCs w:val="16"/>
                <w:lang w:eastAsia="en-AU"/>
              </w:rPr>
              <w:t>6 811</w:t>
            </w:r>
          </w:p>
        </w:tc>
        <w:tc>
          <w:tcPr>
            <w:tcW w:w="816"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023820">
              <w:rPr>
                <w:rFonts w:eastAsiaTheme="minorEastAsia" w:cs="Calibri"/>
                <w:color w:val="000000"/>
                <w:szCs w:val="16"/>
                <w:lang w:eastAsia="en-AU"/>
              </w:rPr>
              <w:t>7 257</w:t>
            </w:r>
          </w:p>
        </w:tc>
        <w:tc>
          <w:tcPr>
            <w:tcW w:w="816"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023820">
              <w:rPr>
                <w:rFonts w:eastAsiaTheme="minorEastAsia" w:cs="Calibri"/>
                <w:color w:val="000000"/>
                <w:szCs w:val="16"/>
                <w:lang w:eastAsia="en-AU"/>
              </w:rPr>
              <w:t>5 820</w:t>
            </w:r>
          </w:p>
        </w:tc>
        <w:tc>
          <w:tcPr>
            <w:tcW w:w="816"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023820">
              <w:rPr>
                <w:rFonts w:eastAsiaTheme="minorEastAsia" w:cs="Calibri"/>
                <w:color w:val="000000"/>
                <w:szCs w:val="16"/>
                <w:lang w:eastAsia="en-AU"/>
              </w:rPr>
              <w:t>4 151</w:t>
            </w:r>
          </w:p>
        </w:tc>
        <w:tc>
          <w:tcPr>
            <w:tcW w:w="817"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023820">
              <w:rPr>
                <w:rFonts w:eastAsiaTheme="minorEastAsia" w:cs="Calibri"/>
                <w:color w:val="000000"/>
                <w:szCs w:val="16"/>
                <w:lang w:eastAsia="en-AU"/>
              </w:rPr>
              <w:t>4 077</w:t>
            </w:r>
          </w:p>
        </w:tc>
      </w:tr>
      <w:tr w:rsidR="00A46DCA" w:rsidRPr="00023820" w:rsidTr="00A26D04">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5" w:type="dxa"/>
            <w:tcBorders>
              <w:top w:val="single" w:sz="6" w:space="0" w:color="000000"/>
              <w:bottom w:val="single" w:sz="12" w:space="0" w:color="000000"/>
            </w:tcBorders>
          </w:tcPr>
          <w:p w:rsidR="00A46DCA" w:rsidRPr="00023820" w:rsidRDefault="00A46DCA" w:rsidP="00A26D04">
            <w:pPr>
              <w:keepLines w:val="0"/>
              <w:autoSpaceDE w:val="0"/>
              <w:autoSpaceDN w:val="0"/>
              <w:adjustRightInd w:val="0"/>
              <w:rPr>
                <w:rFonts w:eastAsiaTheme="minorEastAsia" w:cs="Calibri"/>
                <w:bCs/>
                <w:color w:val="000000"/>
                <w:szCs w:val="16"/>
                <w:lang w:eastAsia="en-AU"/>
              </w:rPr>
            </w:pPr>
            <w:r w:rsidRPr="00023820">
              <w:rPr>
                <w:rFonts w:eastAsiaTheme="minorEastAsia" w:cs="Calibri"/>
                <w:bCs/>
                <w:color w:val="000000"/>
                <w:szCs w:val="16"/>
                <w:lang w:eastAsia="en-AU"/>
              </w:rPr>
              <w:t>Net lending/(borrowing)</w:t>
            </w:r>
          </w:p>
        </w:tc>
        <w:tc>
          <w:tcPr>
            <w:tcW w:w="817" w:type="dxa"/>
            <w:gridSpan w:val="2"/>
            <w:tcBorders>
              <w:top w:val="single" w:sz="6" w:space="0" w:color="000000"/>
              <w:bottom w:val="single" w:sz="12" w:space="0" w:color="000000"/>
            </w:tcBorders>
          </w:tcPr>
          <w:p w:rsidR="00A46DCA" w:rsidRPr="00023820" w:rsidRDefault="00A46DCA" w:rsidP="00A26D0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6"/>
                <w:lang w:eastAsia="en-AU"/>
              </w:rPr>
            </w:pPr>
            <w:r>
              <w:rPr>
                <w:rFonts w:eastAsiaTheme="minorEastAsia" w:cs="Calibri"/>
                <w:bCs/>
                <w:color w:val="000000"/>
                <w:szCs w:val="16"/>
                <w:lang w:eastAsia="en-AU"/>
              </w:rPr>
              <w:t>(8 921)</w:t>
            </w:r>
          </w:p>
        </w:tc>
        <w:tc>
          <w:tcPr>
            <w:tcW w:w="816" w:type="dxa"/>
            <w:tcBorders>
              <w:top w:val="single" w:sz="6" w:space="0" w:color="000000"/>
              <w:bottom w:val="single" w:sz="12" w:space="0" w:color="000000"/>
            </w:tcBorders>
          </w:tcPr>
          <w:p w:rsidR="00A46DCA" w:rsidRPr="00023820" w:rsidRDefault="00A46DCA" w:rsidP="00A26D0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6"/>
                <w:lang w:eastAsia="en-AU"/>
              </w:rPr>
            </w:pPr>
            <w:r>
              <w:rPr>
                <w:rFonts w:eastAsiaTheme="minorEastAsia" w:cs="Calibri"/>
                <w:bCs/>
                <w:color w:val="000000"/>
                <w:szCs w:val="16"/>
                <w:lang w:eastAsia="en-AU"/>
              </w:rPr>
              <w:t>(8 776)</w:t>
            </w:r>
          </w:p>
        </w:tc>
        <w:tc>
          <w:tcPr>
            <w:tcW w:w="816" w:type="dxa"/>
            <w:tcBorders>
              <w:top w:val="single" w:sz="6" w:space="0" w:color="000000"/>
              <w:bottom w:val="single" w:sz="12" w:space="0" w:color="000000"/>
            </w:tcBorders>
          </w:tcPr>
          <w:p w:rsidR="00A46DCA" w:rsidRPr="00023820" w:rsidRDefault="00A46DCA" w:rsidP="00A26D0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6"/>
                <w:lang w:eastAsia="en-AU"/>
              </w:rPr>
            </w:pPr>
            <w:r>
              <w:rPr>
                <w:rFonts w:eastAsiaTheme="minorEastAsia" w:cs="Calibri"/>
                <w:bCs/>
                <w:color w:val="000000"/>
                <w:szCs w:val="16"/>
                <w:lang w:eastAsia="en-AU"/>
              </w:rPr>
              <w:t>(6 296)</w:t>
            </w:r>
          </w:p>
        </w:tc>
        <w:tc>
          <w:tcPr>
            <w:tcW w:w="816" w:type="dxa"/>
            <w:tcBorders>
              <w:top w:val="single" w:sz="6" w:space="0" w:color="000000"/>
              <w:bottom w:val="single" w:sz="12" w:space="0" w:color="000000"/>
            </w:tcBorders>
          </w:tcPr>
          <w:p w:rsidR="00A46DCA" w:rsidRPr="00023820" w:rsidRDefault="00A46DCA" w:rsidP="00A26D0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6"/>
                <w:lang w:eastAsia="en-AU"/>
              </w:rPr>
            </w:pPr>
            <w:r>
              <w:rPr>
                <w:rFonts w:eastAsiaTheme="minorEastAsia" w:cs="Calibri"/>
                <w:bCs/>
                <w:color w:val="000000"/>
                <w:szCs w:val="16"/>
                <w:lang w:eastAsia="en-AU"/>
              </w:rPr>
              <w:t>(4 612)</w:t>
            </w:r>
          </w:p>
        </w:tc>
        <w:tc>
          <w:tcPr>
            <w:tcW w:w="817" w:type="dxa"/>
            <w:tcBorders>
              <w:top w:val="single" w:sz="6" w:space="0" w:color="000000"/>
              <w:bottom w:val="single" w:sz="12" w:space="0" w:color="000000"/>
            </w:tcBorders>
          </w:tcPr>
          <w:p w:rsidR="00A46DCA" w:rsidRPr="00023820" w:rsidRDefault="00A46DCA" w:rsidP="00A26D0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6"/>
                <w:lang w:eastAsia="en-AU"/>
              </w:rPr>
            </w:pPr>
            <w:r>
              <w:rPr>
                <w:rFonts w:eastAsiaTheme="minorEastAsia" w:cs="Calibri"/>
                <w:bCs/>
                <w:color w:val="000000"/>
                <w:szCs w:val="16"/>
                <w:lang w:eastAsia="en-AU"/>
              </w:rPr>
              <w:t>(4 091)</w:t>
            </w:r>
          </w:p>
        </w:tc>
      </w:tr>
    </w:tbl>
    <w:p w:rsidR="00A46DCA" w:rsidRDefault="00A46DCA" w:rsidP="00A26D04">
      <w:pPr>
        <w:pStyle w:val="Source"/>
      </w:pPr>
      <w:r w:rsidRPr="00557C52">
        <w:t>Source: Department of Treasury and Finance</w:t>
      </w:r>
      <w:r w:rsidRPr="00A76FCF">
        <w:t xml:space="preserve"> </w:t>
      </w:r>
    </w:p>
    <w:p w:rsidR="00A46DCA" w:rsidRDefault="00A46DCA" w:rsidP="00A26D04">
      <w:pPr>
        <w:pStyle w:val="Note"/>
      </w:pPr>
      <w:r>
        <w:t>Note:</w:t>
      </w:r>
    </w:p>
    <w:p w:rsidR="00A46DCA" w:rsidRDefault="00A46DCA" w:rsidP="00A26D04">
      <w:pPr>
        <w:pStyle w:val="Note"/>
      </w:pPr>
      <w:r>
        <w:t>(a)</w:t>
      </w:r>
      <w:r>
        <w:tab/>
      </w:r>
      <w:r w:rsidRPr="00995E6E">
        <w:rPr>
          <w:rFonts w:cs="Times New Roman"/>
          <w:lang w:eastAsia="en-AU"/>
        </w:rPr>
        <w:t>Certain line items have been aggregated in the table above due to</w:t>
      </w:r>
      <w:r>
        <w:rPr>
          <w:rFonts w:cs="Times New Roman"/>
          <w:lang w:eastAsia="en-AU"/>
        </w:rPr>
        <w:t xml:space="preserve"> </w:t>
      </w:r>
      <w:r w:rsidRPr="00995E6E">
        <w:rPr>
          <w:rFonts w:cs="Times New Roman"/>
          <w:lang w:eastAsia="en-AU"/>
        </w:rPr>
        <w:t>commercial sensitivities</w:t>
      </w:r>
      <w:r>
        <w:t>.</w:t>
      </w:r>
    </w:p>
    <w:p w:rsidR="00A46DCA" w:rsidRDefault="00A46DCA" w:rsidP="00A26D04"/>
    <w:p w:rsidR="00A46DCA" w:rsidRDefault="00A46DCA" w:rsidP="00A26D04">
      <w:pPr>
        <w:pStyle w:val="Heading10"/>
      </w:pPr>
      <w:r>
        <w:br w:type="page"/>
      </w:r>
    </w:p>
    <w:p w:rsidR="00A46DCA" w:rsidRPr="00023820" w:rsidRDefault="00A46DCA" w:rsidP="00A26D04">
      <w:pPr>
        <w:pStyle w:val="TableHeading"/>
        <w:rPr>
          <w:bCs/>
          <w:lang w:val="en-US"/>
        </w:rPr>
      </w:pPr>
      <w:r>
        <w:lastRenderedPageBreak/>
        <w:t>Table 5.20</w:t>
      </w:r>
      <w:r w:rsidR="008E5E35">
        <w:t>:</w:t>
      </w:r>
      <w:r>
        <w:tab/>
        <w:t>State of Victoria balance sheet as at 30 June</w:t>
      </w:r>
      <w:r>
        <w:tab/>
        <w:t>($ million)</w:t>
      </w:r>
    </w:p>
    <w:tbl>
      <w:tblPr>
        <w:tblStyle w:val="DTFTable"/>
        <w:tblW w:w="7765" w:type="dxa"/>
        <w:tblInd w:w="45" w:type="dxa"/>
        <w:tblLayout w:type="fixed"/>
        <w:tblCellMar>
          <w:left w:w="45" w:type="dxa"/>
          <w:right w:w="45" w:type="dxa"/>
        </w:tblCellMar>
        <w:tblLook w:val="06A0" w:firstRow="1" w:lastRow="0" w:firstColumn="1" w:lastColumn="0" w:noHBand="1" w:noVBand="1"/>
      </w:tblPr>
      <w:tblGrid>
        <w:gridCol w:w="3515"/>
        <w:gridCol w:w="850"/>
        <w:gridCol w:w="850"/>
        <w:gridCol w:w="850"/>
        <w:gridCol w:w="850"/>
        <w:gridCol w:w="850"/>
      </w:tblGrid>
      <w:tr w:rsidR="00A26D04" w:rsidRPr="00023820" w:rsidTr="008E5E35">
        <w:trPr>
          <w:cnfStyle w:val="100000000000" w:firstRow="1" w:lastRow="0" w:firstColumn="0" w:lastColumn="0" w:oddVBand="0" w:evenVBand="0" w:oddHBand="0" w:evenHBand="0" w:firstRowFirstColumn="0" w:firstRowLastColumn="0" w:lastRowFirstColumn="0" w:lastRowLastColumn="0"/>
          <w:trHeight w:val="70"/>
          <w:tblHeader/>
        </w:trPr>
        <w:tc>
          <w:tcPr>
            <w:cnfStyle w:val="001000000000" w:firstRow="0" w:lastRow="0" w:firstColumn="1" w:lastColumn="0" w:oddVBand="0" w:evenVBand="0" w:oddHBand="0" w:evenHBand="0" w:firstRowFirstColumn="0" w:firstRowLastColumn="0" w:lastRowFirstColumn="0" w:lastRowLastColumn="0"/>
            <w:tcW w:w="3515" w:type="dxa"/>
            <w:tcBorders>
              <w:top w:val="nil"/>
              <w:left w:val="nil"/>
              <w:right w:val="nil"/>
            </w:tcBorders>
            <w:shd w:val="solid" w:color="000000" w:fill="auto"/>
          </w:tcPr>
          <w:p w:rsidR="00A26D04" w:rsidRPr="00023820" w:rsidRDefault="00A26D04" w:rsidP="00A26D04">
            <w:pPr>
              <w:autoSpaceDE w:val="0"/>
              <w:autoSpaceDN w:val="0"/>
              <w:adjustRightInd w:val="0"/>
              <w:rPr>
                <w:rFonts w:eastAsiaTheme="minorEastAsia" w:cs="Calibri"/>
                <w:iCs/>
                <w:color w:val="FFFFFF"/>
                <w:lang w:eastAsia="en-AU"/>
              </w:rPr>
            </w:pPr>
            <w:r w:rsidRPr="00023820">
              <w:rPr>
                <w:rFonts w:eastAsiaTheme="minorEastAsia" w:cs="Calibri"/>
                <w:iCs/>
                <w:color w:val="FFFFFF"/>
                <w:lang w:eastAsia="en-AU"/>
              </w:rPr>
              <w:t xml:space="preserve">  </w:t>
            </w:r>
          </w:p>
        </w:tc>
        <w:tc>
          <w:tcPr>
            <w:tcW w:w="850" w:type="dxa"/>
            <w:tcBorders>
              <w:top w:val="nil"/>
              <w:left w:val="nil"/>
              <w:right w:val="nil"/>
            </w:tcBorders>
            <w:shd w:val="solid" w:color="000000" w:fill="auto"/>
          </w:tcPr>
          <w:p w:rsidR="00A26D04" w:rsidRPr="00023820" w:rsidRDefault="00A26D04" w:rsidP="00A26D0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023820">
              <w:rPr>
                <w:rFonts w:eastAsiaTheme="minorEastAsia" w:cs="Calibri"/>
                <w:iCs/>
                <w:color w:val="FFFFFF"/>
                <w:szCs w:val="16"/>
                <w:lang w:eastAsia="en-AU"/>
              </w:rPr>
              <w:t xml:space="preserve">2018 </w:t>
            </w:r>
            <w:r>
              <w:rPr>
                <w:rFonts w:eastAsiaTheme="minorEastAsia" w:cs="Calibri"/>
                <w:iCs/>
                <w:color w:val="FFFFFF"/>
                <w:szCs w:val="16"/>
                <w:lang w:eastAsia="en-AU"/>
              </w:rPr>
              <w:br/>
            </w:r>
            <w:r w:rsidRPr="00023820">
              <w:rPr>
                <w:rFonts w:eastAsiaTheme="minorEastAsia" w:cs="Calibri"/>
                <w:iCs/>
                <w:color w:val="FFFFFF"/>
                <w:szCs w:val="16"/>
                <w:lang w:eastAsia="en-AU"/>
              </w:rPr>
              <w:t xml:space="preserve">budget </w:t>
            </w:r>
            <w:r w:rsidRPr="00023820">
              <w:rPr>
                <w:rFonts w:eastAsiaTheme="minorEastAsia" w:cs="Calibri"/>
                <w:iCs/>
                <w:color w:val="FFFFFF"/>
                <w:szCs w:val="16"/>
                <w:vertAlign w:val="superscript"/>
                <w:lang w:eastAsia="en-AU"/>
              </w:rPr>
              <w:t>(a)</w:t>
            </w:r>
          </w:p>
        </w:tc>
        <w:tc>
          <w:tcPr>
            <w:tcW w:w="850" w:type="dxa"/>
            <w:tcBorders>
              <w:top w:val="nil"/>
              <w:left w:val="nil"/>
              <w:right w:val="nil"/>
            </w:tcBorders>
            <w:shd w:val="solid" w:color="000000" w:fill="auto"/>
          </w:tcPr>
          <w:p w:rsidR="00A26D04" w:rsidRPr="00023820" w:rsidRDefault="00A26D04" w:rsidP="00A26D0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023820">
              <w:rPr>
                <w:rFonts w:eastAsiaTheme="minorEastAsia" w:cs="Calibri"/>
                <w:iCs/>
                <w:color w:val="FFFFFF"/>
                <w:szCs w:val="16"/>
                <w:lang w:eastAsia="en-AU"/>
              </w:rPr>
              <w:t xml:space="preserve">2018 </w:t>
            </w:r>
            <w:r>
              <w:rPr>
                <w:rFonts w:eastAsiaTheme="minorEastAsia" w:cs="Calibri"/>
                <w:iCs/>
                <w:color w:val="FFFFFF"/>
                <w:szCs w:val="16"/>
                <w:lang w:eastAsia="en-AU"/>
              </w:rPr>
              <w:br/>
            </w:r>
            <w:r w:rsidRPr="00023820">
              <w:rPr>
                <w:rFonts w:eastAsiaTheme="minorEastAsia" w:cs="Calibri"/>
                <w:iCs/>
                <w:color w:val="FFFFFF"/>
                <w:szCs w:val="16"/>
                <w:lang w:eastAsia="en-AU"/>
              </w:rPr>
              <w:t>revised</w:t>
            </w:r>
          </w:p>
        </w:tc>
        <w:tc>
          <w:tcPr>
            <w:tcW w:w="850" w:type="dxa"/>
            <w:tcBorders>
              <w:top w:val="nil"/>
              <w:left w:val="nil"/>
              <w:right w:val="nil"/>
            </w:tcBorders>
            <w:shd w:val="solid" w:color="000000" w:fill="auto"/>
          </w:tcPr>
          <w:p w:rsidR="00A26D04" w:rsidRPr="00023820" w:rsidRDefault="00A26D04" w:rsidP="00A26D0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023820">
              <w:rPr>
                <w:rFonts w:eastAsiaTheme="minorEastAsia" w:cs="Calibri"/>
                <w:iCs/>
                <w:color w:val="FFFFFF"/>
                <w:szCs w:val="16"/>
                <w:lang w:eastAsia="en-AU"/>
              </w:rPr>
              <w:t xml:space="preserve">2019 </w:t>
            </w:r>
            <w:r>
              <w:rPr>
                <w:rFonts w:eastAsiaTheme="minorEastAsia" w:cs="Calibri"/>
                <w:iCs/>
                <w:color w:val="FFFFFF"/>
                <w:szCs w:val="16"/>
                <w:lang w:eastAsia="en-AU"/>
              </w:rPr>
              <w:br/>
            </w:r>
            <w:r w:rsidRPr="00023820">
              <w:rPr>
                <w:rFonts w:eastAsiaTheme="minorEastAsia" w:cs="Calibri"/>
                <w:iCs/>
                <w:color w:val="FFFFFF"/>
                <w:szCs w:val="16"/>
                <w:lang w:eastAsia="en-AU"/>
              </w:rPr>
              <w:t>estimate</w:t>
            </w:r>
          </w:p>
        </w:tc>
        <w:tc>
          <w:tcPr>
            <w:tcW w:w="850" w:type="dxa"/>
            <w:tcBorders>
              <w:top w:val="nil"/>
              <w:left w:val="nil"/>
              <w:right w:val="nil"/>
            </w:tcBorders>
            <w:shd w:val="solid" w:color="000000" w:fill="auto"/>
          </w:tcPr>
          <w:p w:rsidR="00A26D04" w:rsidRPr="00023820" w:rsidRDefault="00A26D04" w:rsidP="00A26D0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023820">
              <w:rPr>
                <w:rFonts w:eastAsiaTheme="minorEastAsia" w:cs="Calibri"/>
                <w:iCs/>
                <w:color w:val="FFFFFF"/>
                <w:szCs w:val="16"/>
                <w:lang w:eastAsia="en-AU"/>
              </w:rPr>
              <w:t xml:space="preserve">2020 </w:t>
            </w:r>
            <w:r>
              <w:rPr>
                <w:rFonts w:eastAsiaTheme="minorEastAsia" w:cs="Calibri"/>
                <w:iCs/>
                <w:color w:val="FFFFFF"/>
                <w:szCs w:val="16"/>
                <w:lang w:eastAsia="en-AU"/>
              </w:rPr>
              <w:br/>
            </w:r>
            <w:r w:rsidRPr="00023820">
              <w:rPr>
                <w:rFonts w:eastAsiaTheme="minorEastAsia" w:cs="Calibri"/>
                <w:iCs/>
                <w:color w:val="FFFFFF"/>
                <w:szCs w:val="16"/>
                <w:lang w:eastAsia="en-AU"/>
              </w:rPr>
              <w:t>estimate</w:t>
            </w:r>
          </w:p>
        </w:tc>
        <w:tc>
          <w:tcPr>
            <w:tcW w:w="850" w:type="dxa"/>
            <w:tcBorders>
              <w:top w:val="nil"/>
              <w:left w:val="nil"/>
              <w:right w:val="nil"/>
            </w:tcBorders>
            <w:shd w:val="solid" w:color="000000" w:fill="auto"/>
          </w:tcPr>
          <w:p w:rsidR="00A26D04" w:rsidRPr="00023820" w:rsidRDefault="00A26D04" w:rsidP="00A26D0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023820">
              <w:rPr>
                <w:rFonts w:eastAsiaTheme="minorEastAsia" w:cs="Calibri"/>
                <w:iCs/>
                <w:color w:val="FFFFFF"/>
                <w:szCs w:val="16"/>
                <w:lang w:eastAsia="en-AU"/>
              </w:rPr>
              <w:t xml:space="preserve">2021 </w:t>
            </w:r>
            <w:r>
              <w:rPr>
                <w:rFonts w:eastAsiaTheme="minorEastAsia" w:cs="Calibri"/>
                <w:iCs/>
                <w:color w:val="FFFFFF"/>
                <w:szCs w:val="16"/>
                <w:lang w:eastAsia="en-AU"/>
              </w:rPr>
              <w:br/>
            </w:r>
            <w:r w:rsidRPr="00023820">
              <w:rPr>
                <w:rFonts w:eastAsiaTheme="minorEastAsia" w:cs="Calibri"/>
                <w:iCs/>
                <w:color w:val="FFFFFF"/>
                <w:szCs w:val="16"/>
                <w:lang w:eastAsia="en-AU"/>
              </w:rPr>
              <w:t>estimate</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A46DCA" w:rsidRPr="00023820" w:rsidRDefault="00A46DCA" w:rsidP="00A26D04">
            <w:pPr>
              <w:keepLines w:val="0"/>
              <w:autoSpaceDE w:val="0"/>
              <w:autoSpaceDN w:val="0"/>
              <w:adjustRightInd w:val="0"/>
              <w:rPr>
                <w:rFonts w:eastAsiaTheme="minorEastAsia" w:cs="Calibri"/>
                <w:b/>
                <w:bCs/>
                <w:color w:val="000000"/>
                <w:szCs w:val="16"/>
                <w:lang w:eastAsia="en-AU"/>
              </w:rPr>
            </w:pPr>
            <w:r w:rsidRPr="00023820">
              <w:rPr>
                <w:rFonts w:eastAsiaTheme="minorEastAsia" w:cs="Calibri"/>
                <w:b/>
                <w:bCs/>
                <w:color w:val="000000"/>
                <w:szCs w:val="16"/>
                <w:lang w:eastAsia="en-AU"/>
              </w:rPr>
              <w:t>Assets</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023820">
              <w:rPr>
                <w:rFonts w:eastAsiaTheme="minorEastAsia" w:cs="Calibri"/>
                <w:b/>
                <w:bCs/>
                <w:color w:val="000000"/>
                <w:lang w:eastAsia="en-AU"/>
              </w:rPr>
              <w:t xml:space="preserve"> </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023820">
              <w:rPr>
                <w:rFonts w:eastAsiaTheme="minorEastAsia" w:cs="Calibri"/>
                <w:b/>
                <w:bCs/>
                <w:color w:val="000000"/>
                <w:lang w:eastAsia="en-AU"/>
              </w:rPr>
              <w:t xml:space="preserve"> </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023820">
              <w:rPr>
                <w:rFonts w:eastAsiaTheme="minorEastAsia" w:cs="Calibri"/>
                <w:b/>
                <w:bCs/>
                <w:color w:val="000000"/>
                <w:lang w:eastAsia="en-AU"/>
              </w:rPr>
              <w:t xml:space="preserve"> </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023820">
              <w:rPr>
                <w:rFonts w:eastAsiaTheme="minorEastAsia" w:cs="Calibri"/>
                <w:b/>
                <w:bCs/>
                <w:color w:val="000000"/>
                <w:lang w:eastAsia="en-AU"/>
              </w:rPr>
              <w:t xml:space="preserve"> </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023820">
              <w:rPr>
                <w:rFonts w:eastAsiaTheme="minorEastAsia" w:cs="Calibri"/>
                <w:b/>
                <w:bCs/>
                <w:color w:val="000000"/>
                <w:lang w:eastAsia="en-AU"/>
              </w:rPr>
              <w:t xml:space="preserve"> </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A46DCA" w:rsidRPr="00023820" w:rsidRDefault="00A46DCA" w:rsidP="00A26D04">
            <w:pPr>
              <w:keepLines w:val="0"/>
              <w:autoSpaceDE w:val="0"/>
              <w:autoSpaceDN w:val="0"/>
              <w:adjustRightInd w:val="0"/>
              <w:rPr>
                <w:rFonts w:eastAsiaTheme="minorEastAsia" w:cs="Calibri"/>
                <w:b/>
                <w:bCs/>
                <w:color w:val="000000"/>
                <w:szCs w:val="16"/>
                <w:lang w:eastAsia="en-AU"/>
              </w:rPr>
            </w:pPr>
            <w:r w:rsidRPr="00023820">
              <w:rPr>
                <w:rFonts w:eastAsiaTheme="minorEastAsia" w:cs="Calibri"/>
                <w:b/>
                <w:bCs/>
                <w:color w:val="000000"/>
                <w:szCs w:val="16"/>
                <w:lang w:eastAsia="en-AU"/>
              </w:rPr>
              <w:t>Financial assets</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023820">
              <w:rPr>
                <w:rFonts w:eastAsiaTheme="minorEastAsia" w:cs="Calibri"/>
                <w:b/>
                <w:bCs/>
                <w:color w:val="000000"/>
                <w:lang w:eastAsia="en-AU"/>
              </w:rPr>
              <w:t xml:space="preserve"> </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023820">
              <w:rPr>
                <w:rFonts w:eastAsiaTheme="minorEastAsia" w:cs="Calibri"/>
                <w:b/>
                <w:bCs/>
                <w:color w:val="000000"/>
                <w:lang w:eastAsia="en-AU"/>
              </w:rPr>
              <w:t xml:space="preserve"> </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023820">
              <w:rPr>
                <w:rFonts w:eastAsiaTheme="minorEastAsia" w:cs="Calibri"/>
                <w:b/>
                <w:bCs/>
                <w:color w:val="000000"/>
                <w:lang w:eastAsia="en-AU"/>
              </w:rPr>
              <w:t xml:space="preserve"> </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023820">
              <w:rPr>
                <w:rFonts w:eastAsiaTheme="minorEastAsia" w:cs="Calibri"/>
                <w:b/>
                <w:bCs/>
                <w:color w:val="000000"/>
                <w:lang w:eastAsia="en-AU"/>
              </w:rPr>
              <w:t xml:space="preserve"> </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023820">
              <w:rPr>
                <w:rFonts w:eastAsiaTheme="minorEastAsia" w:cs="Calibri"/>
                <w:b/>
                <w:bCs/>
                <w:color w:val="000000"/>
                <w:lang w:eastAsia="en-AU"/>
              </w:rPr>
              <w:t xml:space="preserve"> </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A46DCA" w:rsidRPr="00023820" w:rsidRDefault="00A46DCA" w:rsidP="00A26D04">
            <w:pPr>
              <w:keepLines w:val="0"/>
              <w:autoSpaceDE w:val="0"/>
              <w:autoSpaceDN w:val="0"/>
              <w:adjustRightInd w:val="0"/>
              <w:rPr>
                <w:rFonts w:eastAsiaTheme="minorEastAsia" w:cs="Calibri"/>
                <w:color w:val="000000"/>
                <w:szCs w:val="16"/>
                <w:lang w:eastAsia="en-AU"/>
              </w:rPr>
            </w:pPr>
            <w:r w:rsidRPr="00023820">
              <w:rPr>
                <w:rFonts w:eastAsiaTheme="minorEastAsia" w:cs="Calibri"/>
                <w:color w:val="000000"/>
                <w:szCs w:val="16"/>
                <w:lang w:eastAsia="en-AU"/>
              </w:rPr>
              <w:t>Cash and deposits</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023820">
              <w:rPr>
                <w:rFonts w:eastAsiaTheme="minorEastAsia" w:cs="Calibri"/>
                <w:color w:val="000000"/>
                <w:szCs w:val="16"/>
                <w:lang w:eastAsia="en-AU"/>
              </w:rPr>
              <w:t>6 267</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023820">
              <w:rPr>
                <w:rFonts w:eastAsiaTheme="minorEastAsia" w:cs="Calibri"/>
                <w:color w:val="000000"/>
                <w:szCs w:val="16"/>
                <w:lang w:eastAsia="en-AU"/>
              </w:rPr>
              <w:t>6 588</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023820">
              <w:rPr>
                <w:rFonts w:eastAsiaTheme="minorEastAsia" w:cs="Calibri"/>
                <w:color w:val="000000"/>
                <w:szCs w:val="16"/>
                <w:lang w:eastAsia="en-AU"/>
              </w:rPr>
              <w:t>7 249</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023820">
              <w:rPr>
                <w:rFonts w:eastAsiaTheme="minorEastAsia" w:cs="Calibri"/>
                <w:color w:val="000000"/>
                <w:szCs w:val="16"/>
                <w:lang w:eastAsia="en-AU"/>
              </w:rPr>
              <w:t>8 033</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023820">
              <w:rPr>
                <w:rFonts w:eastAsiaTheme="minorEastAsia" w:cs="Calibri"/>
                <w:color w:val="000000"/>
                <w:szCs w:val="16"/>
                <w:lang w:eastAsia="en-AU"/>
              </w:rPr>
              <w:t>8 670</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A46DCA" w:rsidRPr="00023820" w:rsidRDefault="00A46DCA" w:rsidP="00A26D04">
            <w:pPr>
              <w:keepLines w:val="0"/>
              <w:autoSpaceDE w:val="0"/>
              <w:autoSpaceDN w:val="0"/>
              <w:adjustRightInd w:val="0"/>
              <w:rPr>
                <w:rFonts w:eastAsiaTheme="minorEastAsia" w:cs="Calibri"/>
                <w:color w:val="000000"/>
                <w:szCs w:val="16"/>
                <w:lang w:eastAsia="en-AU"/>
              </w:rPr>
            </w:pPr>
            <w:r w:rsidRPr="00023820">
              <w:rPr>
                <w:rFonts w:eastAsiaTheme="minorEastAsia" w:cs="Calibri"/>
                <w:color w:val="000000"/>
                <w:szCs w:val="16"/>
                <w:lang w:eastAsia="en-AU"/>
              </w:rPr>
              <w:t>Advances paid</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259</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272</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264</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256</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249</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A46DCA" w:rsidRPr="00023820" w:rsidRDefault="00A46DCA" w:rsidP="00A26D04">
            <w:pPr>
              <w:keepLines w:val="0"/>
              <w:autoSpaceDE w:val="0"/>
              <w:autoSpaceDN w:val="0"/>
              <w:adjustRightInd w:val="0"/>
              <w:rPr>
                <w:rFonts w:eastAsiaTheme="minorEastAsia" w:cs="Calibri"/>
                <w:color w:val="000000"/>
                <w:szCs w:val="16"/>
                <w:lang w:eastAsia="en-AU"/>
              </w:rPr>
            </w:pPr>
            <w:r w:rsidRPr="00023820">
              <w:rPr>
                <w:rFonts w:eastAsiaTheme="minorEastAsia" w:cs="Calibri"/>
                <w:color w:val="000000"/>
                <w:szCs w:val="16"/>
                <w:lang w:eastAsia="en-AU"/>
              </w:rPr>
              <w:t>Receivables</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023820">
              <w:rPr>
                <w:rFonts w:eastAsiaTheme="minorEastAsia" w:cs="Calibri"/>
                <w:color w:val="000000"/>
                <w:szCs w:val="16"/>
                <w:lang w:eastAsia="en-AU"/>
              </w:rPr>
              <w:t>8 103</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023820">
              <w:rPr>
                <w:rFonts w:eastAsiaTheme="minorEastAsia" w:cs="Calibri"/>
                <w:color w:val="000000"/>
                <w:szCs w:val="16"/>
                <w:lang w:eastAsia="en-AU"/>
              </w:rPr>
              <w:t>7 774</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023820">
              <w:rPr>
                <w:rFonts w:eastAsiaTheme="minorEastAsia" w:cs="Calibri"/>
                <w:color w:val="000000"/>
                <w:szCs w:val="16"/>
                <w:lang w:eastAsia="en-AU"/>
              </w:rPr>
              <w:t>8 179</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023820">
              <w:rPr>
                <w:rFonts w:eastAsiaTheme="minorEastAsia" w:cs="Calibri"/>
                <w:color w:val="000000"/>
                <w:szCs w:val="16"/>
                <w:lang w:eastAsia="en-AU"/>
              </w:rPr>
              <w:t>8 531</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023820">
              <w:rPr>
                <w:rFonts w:eastAsiaTheme="minorEastAsia" w:cs="Calibri"/>
                <w:color w:val="000000"/>
                <w:szCs w:val="16"/>
                <w:lang w:eastAsia="en-AU"/>
              </w:rPr>
              <w:t>8 916</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A46DCA" w:rsidRPr="00023820" w:rsidRDefault="00A46DCA" w:rsidP="00A26D04">
            <w:pPr>
              <w:keepLines w:val="0"/>
              <w:autoSpaceDE w:val="0"/>
              <w:autoSpaceDN w:val="0"/>
              <w:adjustRightInd w:val="0"/>
              <w:rPr>
                <w:rFonts w:eastAsiaTheme="minorEastAsia" w:cs="Calibri"/>
                <w:color w:val="000000"/>
                <w:szCs w:val="16"/>
                <w:lang w:eastAsia="en-AU"/>
              </w:rPr>
            </w:pPr>
            <w:r w:rsidRPr="00023820">
              <w:rPr>
                <w:rFonts w:eastAsiaTheme="minorEastAsia" w:cs="Calibri"/>
                <w:color w:val="000000"/>
                <w:szCs w:val="16"/>
                <w:lang w:eastAsia="en-AU"/>
              </w:rPr>
              <w:t>Investments, loans and placements</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023820">
              <w:rPr>
                <w:rFonts w:eastAsiaTheme="minorEastAsia" w:cs="Calibri"/>
                <w:color w:val="000000"/>
                <w:szCs w:val="16"/>
                <w:lang w:eastAsia="en-AU"/>
              </w:rPr>
              <w:t>40 334</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023820">
              <w:rPr>
                <w:rFonts w:eastAsiaTheme="minorEastAsia" w:cs="Calibri"/>
                <w:color w:val="000000"/>
                <w:szCs w:val="16"/>
                <w:lang w:eastAsia="en-AU"/>
              </w:rPr>
              <w:t>37 820</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023820">
              <w:rPr>
                <w:rFonts w:eastAsiaTheme="minorEastAsia" w:cs="Calibri"/>
                <w:color w:val="000000"/>
                <w:szCs w:val="16"/>
                <w:lang w:eastAsia="en-AU"/>
              </w:rPr>
              <w:t>37 036</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023820">
              <w:rPr>
                <w:rFonts w:eastAsiaTheme="minorEastAsia" w:cs="Calibri"/>
                <w:color w:val="000000"/>
                <w:szCs w:val="16"/>
                <w:lang w:eastAsia="en-AU"/>
              </w:rPr>
              <w:t>37 412</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023820">
              <w:rPr>
                <w:rFonts w:eastAsiaTheme="minorEastAsia" w:cs="Calibri"/>
                <w:color w:val="000000"/>
                <w:szCs w:val="16"/>
                <w:lang w:eastAsia="en-AU"/>
              </w:rPr>
              <w:t>37 746</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single" w:sz="6" w:space="0" w:color="000000"/>
              <w:right w:val="nil"/>
            </w:tcBorders>
          </w:tcPr>
          <w:p w:rsidR="00A46DCA" w:rsidRPr="00023820" w:rsidRDefault="00A46DCA" w:rsidP="00A26D04">
            <w:pPr>
              <w:keepLines w:val="0"/>
              <w:autoSpaceDE w:val="0"/>
              <w:autoSpaceDN w:val="0"/>
              <w:adjustRightInd w:val="0"/>
              <w:rPr>
                <w:rFonts w:eastAsiaTheme="minorEastAsia" w:cs="Calibri"/>
                <w:color w:val="000000"/>
                <w:szCs w:val="16"/>
                <w:lang w:eastAsia="en-AU"/>
              </w:rPr>
            </w:pPr>
            <w:r w:rsidRPr="00023820">
              <w:rPr>
                <w:rFonts w:eastAsiaTheme="minorEastAsia" w:cs="Calibri"/>
                <w:color w:val="000000"/>
                <w:szCs w:val="16"/>
                <w:lang w:eastAsia="en-AU"/>
              </w:rPr>
              <w:t>Investments accounted for using equity method</w:t>
            </w:r>
          </w:p>
        </w:tc>
        <w:tc>
          <w:tcPr>
            <w:tcW w:w="850" w:type="dxa"/>
            <w:tcBorders>
              <w:top w:val="nil"/>
              <w:left w:val="nil"/>
              <w:bottom w:val="single" w:sz="6" w:space="0" w:color="000000"/>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023820">
              <w:rPr>
                <w:rFonts w:eastAsiaTheme="minorEastAsia" w:cs="Calibri"/>
                <w:color w:val="000000"/>
                <w:szCs w:val="16"/>
                <w:lang w:eastAsia="en-AU"/>
              </w:rPr>
              <w:t>2 196</w:t>
            </w:r>
          </w:p>
        </w:tc>
        <w:tc>
          <w:tcPr>
            <w:tcW w:w="850" w:type="dxa"/>
            <w:tcBorders>
              <w:top w:val="nil"/>
              <w:left w:val="nil"/>
              <w:bottom w:val="single" w:sz="6" w:space="0" w:color="000000"/>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023820">
              <w:rPr>
                <w:rFonts w:eastAsiaTheme="minorEastAsia" w:cs="Calibri"/>
                <w:color w:val="000000"/>
                <w:szCs w:val="16"/>
                <w:lang w:eastAsia="en-AU"/>
              </w:rPr>
              <w:t>2 211</w:t>
            </w:r>
          </w:p>
        </w:tc>
        <w:tc>
          <w:tcPr>
            <w:tcW w:w="850" w:type="dxa"/>
            <w:tcBorders>
              <w:top w:val="nil"/>
              <w:left w:val="nil"/>
              <w:bottom w:val="single" w:sz="6" w:space="0" w:color="000000"/>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023820">
              <w:rPr>
                <w:rFonts w:eastAsiaTheme="minorEastAsia" w:cs="Calibri"/>
                <w:color w:val="000000"/>
                <w:szCs w:val="16"/>
                <w:lang w:eastAsia="en-AU"/>
              </w:rPr>
              <w:t>2 243</w:t>
            </w:r>
          </w:p>
        </w:tc>
        <w:tc>
          <w:tcPr>
            <w:tcW w:w="850" w:type="dxa"/>
            <w:tcBorders>
              <w:top w:val="nil"/>
              <w:left w:val="nil"/>
              <w:bottom w:val="single" w:sz="6" w:space="0" w:color="000000"/>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023820">
              <w:rPr>
                <w:rFonts w:eastAsiaTheme="minorEastAsia" w:cs="Calibri"/>
                <w:color w:val="000000"/>
                <w:szCs w:val="16"/>
                <w:lang w:eastAsia="en-AU"/>
              </w:rPr>
              <w:t>2 278</w:t>
            </w:r>
          </w:p>
        </w:tc>
        <w:tc>
          <w:tcPr>
            <w:tcW w:w="850" w:type="dxa"/>
            <w:tcBorders>
              <w:top w:val="nil"/>
              <w:left w:val="nil"/>
              <w:bottom w:val="single" w:sz="6" w:space="0" w:color="000000"/>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023820">
              <w:rPr>
                <w:rFonts w:eastAsiaTheme="minorEastAsia" w:cs="Calibri"/>
                <w:color w:val="000000"/>
                <w:szCs w:val="16"/>
                <w:lang w:eastAsia="en-AU"/>
              </w:rPr>
              <w:t>2 322</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A46DCA" w:rsidRPr="00023820" w:rsidRDefault="00A46DCA" w:rsidP="00A26D04">
            <w:pPr>
              <w:keepLines w:val="0"/>
              <w:autoSpaceDE w:val="0"/>
              <w:autoSpaceDN w:val="0"/>
              <w:adjustRightInd w:val="0"/>
              <w:rPr>
                <w:rFonts w:eastAsiaTheme="minorEastAsia" w:cs="Calibri"/>
                <w:b/>
                <w:bCs/>
                <w:color w:val="000000"/>
                <w:szCs w:val="16"/>
                <w:lang w:eastAsia="en-AU"/>
              </w:rPr>
            </w:pPr>
            <w:r w:rsidRPr="00023820">
              <w:rPr>
                <w:rFonts w:eastAsiaTheme="minorEastAsia" w:cs="Calibri"/>
                <w:b/>
                <w:bCs/>
                <w:color w:val="000000"/>
                <w:szCs w:val="16"/>
                <w:lang w:eastAsia="en-AU"/>
              </w:rPr>
              <w:t>Total financial assets</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023820">
              <w:rPr>
                <w:rFonts w:eastAsiaTheme="minorEastAsia" w:cs="Calibri"/>
                <w:b/>
                <w:bCs/>
                <w:color w:val="000000"/>
                <w:szCs w:val="16"/>
                <w:lang w:eastAsia="en-AU"/>
              </w:rPr>
              <w:t>57 160</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023820">
              <w:rPr>
                <w:rFonts w:eastAsiaTheme="minorEastAsia" w:cs="Calibri"/>
                <w:b/>
                <w:bCs/>
                <w:color w:val="000000"/>
                <w:szCs w:val="16"/>
                <w:lang w:eastAsia="en-AU"/>
              </w:rPr>
              <w:t>54 666</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023820">
              <w:rPr>
                <w:rFonts w:eastAsiaTheme="minorEastAsia" w:cs="Calibri"/>
                <w:b/>
                <w:bCs/>
                <w:color w:val="000000"/>
                <w:szCs w:val="16"/>
                <w:lang w:eastAsia="en-AU"/>
              </w:rPr>
              <w:t>54 972</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023820">
              <w:rPr>
                <w:rFonts w:eastAsiaTheme="minorEastAsia" w:cs="Calibri"/>
                <w:b/>
                <w:bCs/>
                <w:color w:val="000000"/>
                <w:szCs w:val="16"/>
                <w:lang w:eastAsia="en-AU"/>
              </w:rPr>
              <w:t>56 509</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023820">
              <w:rPr>
                <w:rFonts w:eastAsiaTheme="minorEastAsia" w:cs="Calibri"/>
                <w:b/>
                <w:bCs/>
                <w:color w:val="000000"/>
                <w:szCs w:val="16"/>
                <w:lang w:eastAsia="en-AU"/>
              </w:rPr>
              <w:t>57 903</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A46DCA" w:rsidRPr="00023820" w:rsidRDefault="00A46DCA" w:rsidP="00A26D04">
            <w:pPr>
              <w:keepLines w:val="0"/>
              <w:autoSpaceDE w:val="0"/>
              <w:autoSpaceDN w:val="0"/>
              <w:adjustRightInd w:val="0"/>
              <w:rPr>
                <w:rFonts w:eastAsiaTheme="minorEastAsia" w:cs="Calibri"/>
                <w:b/>
                <w:bCs/>
                <w:color w:val="000000"/>
                <w:szCs w:val="16"/>
                <w:lang w:eastAsia="en-AU"/>
              </w:rPr>
            </w:pPr>
            <w:r w:rsidRPr="00023820">
              <w:rPr>
                <w:rFonts w:eastAsiaTheme="minorEastAsia" w:cs="Calibri"/>
                <w:b/>
                <w:bCs/>
                <w:color w:val="000000"/>
                <w:szCs w:val="16"/>
                <w:lang w:eastAsia="en-AU"/>
              </w:rPr>
              <w:t>Non-financial assets</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023820">
              <w:rPr>
                <w:rFonts w:eastAsiaTheme="minorEastAsia" w:cs="Calibri"/>
                <w:b/>
                <w:bCs/>
                <w:color w:val="000000"/>
                <w:lang w:eastAsia="en-AU"/>
              </w:rPr>
              <w:t xml:space="preserve"> </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023820">
              <w:rPr>
                <w:rFonts w:eastAsiaTheme="minorEastAsia" w:cs="Calibri"/>
                <w:b/>
                <w:bCs/>
                <w:color w:val="000000"/>
                <w:lang w:eastAsia="en-AU"/>
              </w:rPr>
              <w:t xml:space="preserve"> </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023820">
              <w:rPr>
                <w:rFonts w:eastAsiaTheme="minorEastAsia" w:cs="Calibri"/>
                <w:b/>
                <w:bCs/>
                <w:color w:val="000000"/>
                <w:lang w:eastAsia="en-AU"/>
              </w:rPr>
              <w:t xml:space="preserve"> </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023820">
              <w:rPr>
                <w:rFonts w:eastAsiaTheme="minorEastAsia" w:cs="Calibri"/>
                <w:b/>
                <w:bCs/>
                <w:color w:val="000000"/>
                <w:lang w:eastAsia="en-AU"/>
              </w:rPr>
              <w:t xml:space="preserve"> </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023820">
              <w:rPr>
                <w:rFonts w:eastAsiaTheme="minorEastAsia" w:cs="Calibri"/>
                <w:b/>
                <w:bCs/>
                <w:color w:val="000000"/>
                <w:lang w:eastAsia="en-AU"/>
              </w:rPr>
              <w:t xml:space="preserve"> </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A46DCA" w:rsidRPr="00023820" w:rsidRDefault="00A46DCA" w:rsidP="00A26D04">
            <w:pPr>
              <w:keepLines w:val="0"/>
              <w:autoSpaceDE w:val="0"/>
              <w:autoSpaceDN w:val="0"/>
              <w:adjustRightInd w:val="0"/>
              <w:rPr>
                <w:rFonts w:eastAsiaTheme="minorEastAsia" w:cs="Calibri"/>
                <w:color w:val="000000"/>
                <w:szCs w:val="16"/>
                <w:lang w:eastAsia="en-AU"/>
              </w:rPr>
            </w:pPr>
            <w:r w:rsidRPr="00023820">
              <w:rPr>
                <w:rFonts w:eastAsiaTheme="minorEastAsia" w:cs="Calibri"/>
                <w:color w:val="000000"/>
                <w:szCs w:val="16"/>
                <w:lang w:eastAsia="en-AU"/>
              </w:rPr>
              <w:t>Inventories</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023820">
              <w:rPr>
                <w:rFonts w:eastAsiaTheme="minorEastAsia" w:cs="Calibri"/>
                <w:color w:val="000000"/>
                <w:szCs w:val="16"/>
                <w:lang w:eastAsia="en-AU"/>
              </w:rPr>
              <w:t>1 156</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935</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023820">
              <w:rPr>
                <w:rFonts w:eastAsiaTheme="minorEastAsia" w:cs="Calibri"/>
                <w:color w:val="000000"/>
                <w:szCs w:val="16"/>
                <w:lang w:eastAsia="en-AU"/>
              </w:rPr>
              <w:t>1 185</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023820">
              <w:rPr>
                <w:rFonts w:eastAsiaTheme="minorEastAsia" w:cs="Calibri"/>
                <w:color w:val="000000"/>
                <w:szCs w:val="16"/>
                <w:lang w:eastAsia="en-AU"/>
              </w:rPr>
              <w:t>1 459</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023820">
              <w:rPr>
                <w:rFonts w:eastAsiaTheme="minorEastAsia" w:cs="Calibri"/>
                <w:color w:val="000000"/>
                <w:szCs w:val="16"/>
                <w:lang w:eastAsia="en-AU"/>
              </w:rPr>
              <w:t>1 322</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A46DCA" w:rsidRPr="00023820" w:rsidRDefault="00A46DCA" w:rsidP="00A26D04">
            <w:pPr>
              <w:keepLines w:val="0"/>
              <w:autoSpaceDE w:val="0"/>
              <w:autoSpaceDN w:val="0"/>
              <w:adjustRightInd w:val="0"/>
              <w:rPr>
                <w:rFonts w:eastAsiaTheme="minorEastAsia" w:cs="Calibri"/>
                <w:color w:val="000000"/>
                <w:szCs w:val="16"/>
                <w:lang w:eastAsia="en-AU"/>
              </w:rPr>
            </w:pPr>
            <w:r w:rsidRPr="00023820">
              <w:rPr>
                <w:rFonts w:eastAsiaTheme="minorEastAsia" w:cs="Calibri"/>
                <w:color w:val="000000"/>
                <w:szCs w:val="16"/>
                <w:lang w:eastAsia="en-AU"/>
              </w:rPr>
              <w:t>Non-financial assets held for sale</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431</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425</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426</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427</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428</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A46DCA" w:rsidRPr="00023820" w:rsidRDefault="00A46DCA" w:rsidP="00A26D04">
            <w:pPr>
              <w:keepLines w:val="0"/>
              <w:autoSpaceDE w:val="0"/>
              <w:autoSpaceDN w:val="0"/>
              <w:adjustRightInd w:val="0"/>
              <w:rPr>
                <w:rFonts w:eastAsiaTheme="minorEastAsia" w:cs="Calibri"/>
                <w:color w:val="000000"/>
                <w:szCs w:val="16"/>
                <w:lang w:eastAsia="en-AU"/>
              </w:rPr>
            </w:pPr>
            <w:r w:rsidRPr="00023820">
              <w:rPr>
                <w:rFonts w:eastAsiaTheme="minorEastAsia" w:cs="Calibri"/>
                <w:color w:val="000000"/>
                <w:szCs w:val="16"/>
                <w:lang w:eastAsia="en-AU"/>
              </w:rPr>
              <w:t>Land, buildings, infrastructure, plant and equipment</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023820">
              <w:rPr>
                <w:rFonts w:eastAsiaTheme="minorEastAsia" w:cs="Calibri"/>
                <w:color w:val="000000"/>
                <w:szCs w:val="16"/>
                <w:lang w:eastAsia="en-AU"/>
              </w:rPr>
              <w:t>249 002</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023820">
              <w:rPr>
                <w:rFonts w:eastAsiaTheme="minorEastAsia" w:cs="Calibri"/>
                <w:color w:val="000000"/>
                <w:szCs w:val="16"/>
                <w:lang w:eastAsia="en-AU"/>
              </w:rPr>
              <w:t>249 685</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023820">
              <w:rPr>
                <w:rFonts w:eastAsiaTheme="minorEastAsia" w:cs="Calibri"/>
                <w:color w:val="000000"/>
                <w:szCs w:val="16"/>
                <w:lang w:eastAsia="en-AU"/>
              </w:rPr>
              <w:t>257 526</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023820">
              <w:rPr>
                <w:rFonts w:eastAsiaTheme="minorEastAsia" w:cs="Calibri"/>
                <w:color w:val="000000"/>
                <w:szCs w:val="16"/>
                <w:lang w:eastAsia="en-AU"/>
              </w:rPr>
              <w:t>271 078</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023820">
              <w:rPr>
                <w:rFonts w:eastAsiaTheme="minorEastAsia" w:cs="Calibri"/>
                <w:color w:val="000000"/>
                <w:szCs w:val="16"/>
                <w:lang w:eastAsia="en-AU"/>
              </w:rPr>
              <w:t>277 725</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A46DCA" w:rsidRPr="00023820" w:rsidRDefault="00A46DCA" w:rsidP="00A26D04">
            <w:pPr>
              <w:keepLines w:val="0"/>
              <w:autoSpaceDE w:val="0"/>
              <w:autoSpaceDN w:val="0"/>
              <w:adjustRightInd w:val="0"/>
              <w:rPr>
                <w:rFonts w:eastAsiaTheme="minorEastAsia" w:cs="Calibri"/>
                <w:color w:val="000000"/>
                <w:szCs w:val="16"/>
                <w:lang w:eastAsia="en-AU"/>
              </w:rPr>
            </w:pPr>
            <w:r w:rsidRPr="00023820">
              <w:rPr>
                <w:rFonts w:eastAsiaTheme="minorEastAsia" w:cs="Calibri"/>
                <w:color w:val="000000"/>
                <w:szCs w:val="16"/>
                <w:lang w:eastAsia="en-AU"/>
              </w:rPr>
              <w:t>Other non-financial assets</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023820">
              <w:rPr>
                <w:rFonts w:eastAsiaTheme="minorEastAsia" w:cs="Calibri"/>
                <w:color w:val="000000"/>
                <w:szCs w:val="16"/>
                <w:lang w:eastAsia="en-AU"/>
              </w:rPr>
              <w:t>2 766</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023820">
              <w:rPr>
                <w:rFonts w:eastAsiaTheme="minorEastAsia" w:cs="Calibri"/>
                <w:color w:val="000000"/>
                <w:szCs w:val="16"/>
                <w:lang w:eastAsia="en-AU"/>
              </w:rPr>
              <w:t>2 752</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023820">
              <w:rPr>
                <w:rFonts w:eastAsiaTheme="minorEastAsia" w:cs="Calibri"/>
                <w:color w:val="000000"/>
                <w:szCs w:val="16"/>
                <w:lang w:eastAsia="en-AU"/>
              </w:rPr>
              <w:t>2 929</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023820">
              <w:rPr>
                <w:rFonts w:eastAsiaTheme="minorEastAsia" w:cs="Calibri"/>
                <w:color w:val="000000"/>
                <w:szCs w:val="16"/>
                <w:lang w:eastAsia="en-AU"/>
              </w:rPr>
              <w:t>3 553</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023820">
              <w:rPr>
                <w:rFonts w:eastAsiaTheme="minorEastAsia" w:cs="Calibri"/>
                <w:color w:val="000000"/>
                <w:szCs w:val="16"/>
                <w:lang w:eastAsia="en-AU"/>
              </w:rPr>
              <w:t>3 981</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3515" w:type="dxa"/>
            <w:tcBorders>
              <w:top w:val="single" w:sz="6" w:space="0" w:color="000000"/>
              <w:left w:val="nil"/>
              <w:bottom w:val="single" w:sz="6" w:space="0" w:color="000000"/>
              <w:right w:val="nil"/>
            </w:tcBorders>
          </w:tcPr>
          <w:p w:rsidR="00A46DCA" w:rsidRPr="00023820" w:rsidRDefault="00A46DCA" w:rsidP="00A26D04">
            <w:pPr>
              <w:keepLines w:val="0"/>
              <w:autoSpaceDE w:val="0"/>
              <w:autoSpaceDN w:val="0"/>
              <w:adjustRightInd w:val="0"/>
              <w:rPr>
                <w:rFonts w:eastAsiaTheme="minorEastAsia" w:cs="Calibri"/>
                <w:b/>
                <w:bCs/>
                <w:color w:val="000000"/>
                <w:szCs w:val="16"/>
                <w:lang w:eastAsia="en-AU"/>
              </w:rPr>
            </w:pPr>
            <w:r w:rsidRPr="00023820">
              <w:rPr>
                <w:rFonts w:eastAsiaTheme="minorEastAsia" w:cs="Calibri"/>
                <w:b/>
                <w:bCs/>
                <w:color w:val="000000"/>
                <w:szCs w:val="16"/>
                <w:lang w:eastAsia="en-AU"/>
              </w:rPr>
              <w:t>Total non-financial assets</w:t>
            </w:r>
          </w:p>
        </w:tc>
        <w:tc>
          <w:tcPr>
            <w:tcW w:w="850" w:type="dxa"/>
            <w:tcBorders>
              <w:top w:val="single" w:sz="6" w:space="0" w:color="000000"/>
              <w:left w:val="nil"/>
              <w:bottom w:val="single" w:sz="6" w:space="0" w:color="000000"/>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023820">
              <w:rPr>
                <w:rFonts w:eastAsiaTheme="minorEastAsia" w:cs="Calibri"/>
                <w:b/>
                <w:bCs/>
                <w:color w:val="000000"/>
                <w:szCs w:val="16"/>
                <w:lang w:eastAsia="en-AU"/>
              </w:rPr>
              <w:t>253 355</w:t>
            </w:r>
          </w:p>
        </w:tc>
        <w:tc>
          <w:tcPr>
            <w:tcW w:w="850" w:type="dxa"/>
            <w:tcBorders>
              <w:top w:val="single" w:sz="6" w:space="0" w:color="000000"/>
              <w:left w:val="nil"/>
              <w:bottom w:val="single" w:sz="6" w:space="0" w:color="000000"/>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023820">
              <w:rPr>
                <w:rFonts w:eastAsiaTheme="minorEastAsia" w:cs="Calibri"/>
                <w:b/>
                <w:bCs/>
                <w:color w:val="000000"/>
                <w:szCs w:val="16"/>
                <w:lang w:eastAsia="en-AU"/>
              </w:rPr>
              <w:t>253 796</w:t>
            </w:r>
          </w:p>
        </w:tc>
        <w:tc>
          <w:tcPr>
            <w:tcW w:w="850" w:type="dxa"/>
            <w:tcBorders>
              <w:top w:val="single" w:sz="6" w:space="0" w:color="000000"/>
              <w:left w:val="nil"/>
              <w:bottom w:val="single" w:sz="6" w:space="0" w:color="000000"/>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023820">
              <w:rPr>
                <w:rFonts w:eastAsiaTheme="minorEastAsia" w:cs="Calibri"/>
                <w:b/>
                <w:bCs/>
                <w:color w:val="000000"/>
                <w:szCs w:val="16"/>
                <w:lang w:eastAsia="en-AU"/>
              </w:rPr>
              <w:t>262 065</w:t>
            </w:r>
          </w:p>
        </w:tc>
        <w:tc>
          <w:tcPr>
            <w:tcW w:w="850" w:type="dxa"/>
            <w:tcBorders>
              <w:top w:val="single" w:sz="6" w:space="0" w:color="000000"/>
              <w:left w:val="nil"/>
              <w:bottom w:val="single" w:sz="6" w:space="0" w:color="000000"/>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023820">
              <w:rPr>
                <w:rFonts w:eastAsiaTheme="minorEastAsia" w:cs="Calibri"/>
                <w:b/>
                <w:bCs/>
                <w:color w:val="000000"/>
                <w:szCs w:val="16"/>
                <w:lang w:eastAsia="en-AU"/>
              </w:rPr>
              <w:t>276 517</w:t>
            </w:r>
          </w:p>
        </w:tc>
        <w:tc>
          <w:tcPr>
            <w:tcW w:w="850" w:type="dxa"/>
            <w:tcBorders>
              <w:top w:val="single" w:sz="6" w:space="0" w:color="000000"/>
              <w:left w:val="nil"/>
              <w:bottom w:val="single" w:sz="6" w:space="0" w:color="000000"/>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023820">
              <w:rPr>
                <w:rFonts w:eastAsiaTheme="minorEastAsia" w:cs="Calibri"/>
                <w:b/>
                <w:bCs/>
                <w:color w:val="000000"/>
                <w:szCs w:val="16"/>
                <w:lang w:eastAsia="en-AU"/>
              </w:rPr>
              <w:t>283 456</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A46DCA" w:rsidRPr="00023820" w:rsidRDefault="00A46DCA" w:rsidP="00A26D04">
            <w:pPr>
              <w:keepLines w:val="0"/>
              <w:autoSpaceDE w:val="0"/>
              <w:autoSpaceDN w:val="0"/>
              <w:adjustRightInd w:val="0"/>
              <w:rPr>
                <w:rFonts w:eastAsiaTheme="minorEastAsia" w:cs="Calibri"/>
                <w:b/>
                <w:bCs/>
                <w:color w:val="000000"/>
                <w:szCs w:val="16"/>
                <w:lang w:eastAsia="en-AU"/>
              </w:rPr>
            </w:pPr>
            <w:r w:rsidRPr="00023820">
              <w:rPr>
                <w:rFonts w:eastAsiaTheme="minorEastAsia" w:cs="Calibri"/>
                <w:b/>
                <w:bCs/>
                <w:color w:val="000000"/>
                <w:szCs w:val="16"/>
                <w:lang w:eastAsia="en-AU"/>
              </w:rPr>
              <w:t>Total assets</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023820">
              <w:rPr>
                <w:rFonts w:eastAsiaTheme="minorEastAsia" w:cs="Calibri"/>
                <w:b/>
                <w:bCs/>
                <w:color w:val="000000"/>
                <w:szCs w:val="16"/>
                <w:lang w:eastAsia="en-AU"/>
              </w:rPr>
              <w:t>310 515</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023820">
              <w:rPr>
                <w:rFonts w:eastAsiaTheme="minorEastAsia" w:cs="Calibri"/>
                <w:b/>
                <w:bCs/>
                <w:color w:val="000000"/>
                <w:szCs w:val="16"/>
                <w:lang w:eastAsia="en-AU"/>
              </w:rPr>
              <w:t>308 462</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023820">
              <w:rPr>
                <w:rFonts w:eastAsiaTheme="minorEastAsia" w:cs="Calibri"/>
                <w:b/>
                <w:bCs/>
                <w:color w:val="000000"/>
                <w:szCs w:val="16"/>
                <w:lang w:eastAsia="en-AU"/>
              </w:rPr>
              <w:t>317 037</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023820">
              <w:rPr>
                <w:rFonts w:eastAsiaTheme="minorEastAsia" w:cs="Calibri"/>
                <w:b/>
                <w:bCs/>
                <w:color w:val="000000"/>
                <w:szCs w:val="16"/>
                <w:lang w:eastAsia="en-AU"/>
              </w:rPr>
              <w:t>333 026</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023820">
              <w:rPr>
                <w:rFonts w:eastAsiaTheme="minorEastAsia" w:cs="Calibri"/>
                <w:b/>
                <w:bCs/>
                <w:color w:val="000000"/>
                <w:szCs w:val="16"/>
                <w:lang w:eastAsia="en-AU"/>
              </w:rPr>
              <w:t>341 359</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A46DCA" w:rsidRPr="00023820" w:rsidRDefault="00A46DCA" w:rsidP="00A26D04">
            <w:pPr>
              <w:keepLines w:val="0"/>
              <w:autoSpaceDE w:val="0"/>
              <w:autoSpaceDN w:val="0"/>
              <w:adjustRightInd w:val="0"/>
              <w:rPr>
                <w:rFonts w:eastAsiaTheme="minorEastAsia" w:cs="Calibri"/>
                <w:b/>
                <w:bCs/>
                <w:color w:val="000000"/>
                <w:szCs w:val="16"/>
                <w:lang w:eastAsia="en-AU"/>
              </w:rPr>
            </w:pPr>
            <w:r w:rsidRPr="00023820">
              <w:rPr>
                <w:rFonts w:eastAsiaTheme="minorEastAsia" w:cs="Calibri"/>
                <w:b/>
                <w:bCs/>
                <w:color w:val="000000"/>
                <w:szCs w:val="16"/>
                <w:lang w:eastAsia="en-AU"/>
              </w:rPr>
              <w:t>Liabilities</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023820">
              <w:rPr>
                <w:rFonts w:eastAsiaTheme="minorEastAsia" w:cs="Calibri"/>
                <w:b/>
                <w:bCs/>
                <w:color w:val="000000"/>
                <w:lang w:eastAsia="en-AU"/>
              </w:rPr>
              <w:t xml:space="preserve"> </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023820">
              <w:rPr>
                <w:rFonts w:eastAsiaTheme="minorEastAsia" w:cs="Calibri"/>
                <w:b/>
                <w:bCs/>
                <w:color w:val="000000"/>
                <w:lang w:eastAsia="en-AU"/>
              </w:rPr>
              <w:t xml:space="preserve"> </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023820">
              <w:rPr>
                <w:rFonts w:eastAsiaTheme="minorEastAsia" w:cs="Calibri"/>
                <w:b/>
                <w:bCs/>
                <w:color w:val="000000"/>
                <w:lang w:eastAsia="en-AU"/>
              </w:rPr>
              <w:t xml:space="preserve"> </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023820">
              <w:rPr>
                <w:rFonts w:eastAsiaTheme="minorEastAsia" w:cs="Calibri"/>
                <w:b/>
                <w:bCs/>
                <w:color w:val="000000"/>
                <w:lang w:eastAsia="en-AU"/>
              </w:rPr>
              <w:t xml:space="preserve"> </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023820">
              <w:rPr>
                <w:rFonts w:eastAsiaTheme="minorEastAsia" w:cs="Calibri"/>
                <w:b/>
                <w:bCs/>
                <w:color w:val="000000"/>
                <w:lang w:eastAsia="en-AU"/>
              </w:rPr>
              <w:t xml:space="preserve"> </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A46DCA" w:rsidRPr="00023820" w:rsidRDefault="00A46DCA" w:rsidP="00A26D04">
            <w:pPr>
              <w:keepLines w:val="0"/>
              <w:autoSpaceDE w:val="0"/>
              <w:autoSpaceDN w:val="0"/>
              <w:adjustRightInd w:val="0"/>
              <w:rPr>
                <w:rFonts w:eastAsiaTheme="minorEastAsia" w:cs="Calibri"/>
                <w:color w:val="000000"/>
                <w:szCs w:val="16"/>
                <w:lang w:eastAsia="en-AU"/>
              </w:rPr>
            </w:pPr>
            <w:r w:rsidRPr="00023820">
              <w:rPr>
                <w:rFonts w:eastAsiaTheme="minorEastAsia" w:cs="Calibri"/>
                <w:color w:val="000000"/>
                <w:szCs w:val="16"/>
                <w:lang w:eastAsia="en-AU"/>
              </w:rPr>
              <w:t>Deposits held and advances received</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023820">
              <w:rPr>
                <w:rFonts w:eastAsiaTheme="minorEastAsia" w:cs="Calibri"/>
                <w:color w:val="000000"/>
                <w:szCs w:val="16"/>
                <w:lang w:eastAsia="en-AU"/>
              </w:rPr>
              <w:t>1 941</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023820">
              <w:rPr>
                <w:rFonts w:eastAsiaTheme="minorEastAsia" w:cs="Calibri"/>
                <w:color w:val="000000"/>
                <w:szCs w:val="16"/>
                <w:lang w:eastAsia="en-AU"/>
              </w:rPr>
              <w:t>1 567</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023820">
              <w:rPr>
                <w:rFonts w:eastAsiaTheme="minorEastAsia" w:cs="Calibri"/>
                <w:color w:val="000000"/>
                <w:szCs w:val="16"/>
                <w:lang w:eastAsia="en-AU"/>
              </w:rPr>
              <w:t>1 564</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023820">
              <w:rPr>
                <w:rFonts w:eastAsiaTheme="minorEastAsia" w:cs="Calibri"/>
                <w:color w:val="000000"/>
                <w:szCs w:val="16"/>
                <w:lang w:eastAsia="en-AU"/>
              </w:rPr>
              <w:t>1 565</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023820">
              <w:rPr>
                <w:rFonts w:eastAsiaTheme="minorEastAsia" w:cs="Calibri"/>
                <w:color w:val="000000"/>
                <w:szCs w:val="16"/>
                <w:lang w:eastAsia="en-AU"/>
              </w:rPr>
              <w:t>1 565</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A46DCA" w:rsidRPr="00023820" w:rsidRDefault="00A46DCA" w:rsidP="00A26D04">
            <w:pPr>
              <w:keepLines w:val="0"/>
              <w:autoSpaceDE w:val="0"/>
              <w:autoSpaceDN w:val="0"/>
              <w:adjustRightInd w:val="0"/>
              <w:rPr>
                <w:rFonts w:eastAsiaTheme="minorEastAsia" w:cs="Calibri"/>
                <w:color w:val="000000"/>
                <w:szCs w:val="16"/>
                <w:lang w:eastAsia="en-AU"/>
              </w:rPr>
            </w:pPr>
            <w:r w:rsidRPr="00023820">
              <w:rPr>
                <w:rFonts w:eastAsiaTheme="minorEastAsia" w:cs="Calibri"/>
                <w:color w:val="000000"/>
                <w:szCs w:val="16"/>
                <w:lang w:eastAsia="en-AU"/>
              </w:rPr>
              <w:t>Payables</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023820">
              <w:rPr>
                <w:rFonts w:eastAsiaTheme="minorEastAsia" w:cs="Calibri"/>
                <w:color w:val="000000"/>
                <w:szCs w:val="16"/>
                <w:lang w:eastAsia="en-AU"/>
              </w:rPr>
              <w:t>17 134</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023820">
              <w:rPr>
                <w:rFonts w:eastAsiaTheme="minorEastAsia" w:cs="Calibri"/>
                <w:color w:val="000000"/>
                <w:szCs w:val="16"/>
                <w:lang w:eastAsia="en-AU"/>
              </w:rPr>
              <w:t>16 885</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023820">
              <w:rPr>
                <w:rFonts w:eastAsiaTheme="minorEastAsia" w:cs="Calibri"/>
                <w:color w:val="000000"/>
                <w:szCs w:val="16"/>
                <w:lang w:eastAsia="en-AU"/>
              </w:rPr>
              <w:t>18 478</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023820">
              <w:rPr>
                <w:rFonts w:eastAsiaTheme="minorEastAsia" w:cs="Calibri"/>
                <w:color w:val="000000"/>
                <w:szCs w:val="16"/>
                <w:lang w:eastAsia="en-AU"/>
              </w:rPr>
              <w:t>18 000</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023820">
              <w:rPr>
                <w:rFonts w:eastAsiaTheme="minorEastAsia" w:cs="Calibri"/>
                <w:color w:val="000000"/>
                <w:szCs w:val="16"/>
                <w:lang w:eastAsia="en-AU"/>
              </w:rPr>
              <w:t>17 190</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A46DCA" w:rsidRPr="00023820" w:rsidRDefault="00A46DCA" w:rsidP="00A26D04">
            <w:pPr>
              <w:keepLines w:val="0"/>
              <w:autoSpaceDE w:val="0"/>
              <w:autoSpaceDN w:val="0"/>
              <w:adjustRightInd w:val="0"/>
              <w:rPr>
                <w:rFonts w:eastAsiaTheme="minorEastAsia" w:cs="Calibri"/>
                <w:color w:val="000000"/>
                <w:szCs w:val="16"/>
                <w:lang w:eastAsia="en-AU"/>
              </w:rPr>
            </w:pPr>
            <w:r w:rsidRPr="00023820">
              <w:rPr>
                <w:rFonts w:eastAsiaTheme="minorEastAsia" w:cs="Calibri"/>
                <w:color w:val="000000"/>
                <w:szCs w:val="16"/>
                <w:lang w:eastAsia="en-AU"/>
              </w:rPr>
              <w:t>Borrowings</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023820">
              <w:rPr>
                <w:rFonts w:eastAsiaTheme="minorEastAsia" w:cs="Calibri"/>
                <w:color w:val="000000"/>
                <w:szCs w:val="16"/>
                <w:lang w:eastAsia="en-AU"/>
              </w:rPr>
              <w:t>52 855</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023820">
              <w:rPr>
                <w:rFonts w:eastAsiaTheme="minorEastAsia" w:cs="Calibri"/>
                <w:color w:val="000000"/>
                <w:szCs w:val="16"/>
                <w:lang w:eastAsia="en-AU"/>
              </w:rPr>
              <w:t>50 649</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023820">
              <w:rPr>
                <w:rFonts w:eastAsiaTheme="minorEastAsia" w:cs="Calibri"/>
                <w:color w:val="000000"/>
                <w:szCs w:val="16"/>
                <w:lang w:eastAsia="en-AU"/>
              </w:rPr>
              <w:t>52 771</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023820">
              <w:rPr>
                <w:rFonts w:eastAsiaTheme="minorEastAsia" w:cs="Calibri"/>
                <w:color w:val="000000"/>
                <w:szCs w:val="16"/>
                <w:lang w:eastAsia="en-AU"/>
              </w:rPr>
              <w:t>56 447</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023820">
              <w:rPr>
                <w:rFonts w:eastAsiaTheme="minorEastAsia" w:cs="Calibri"/>
                <w:color w:val="000000"/>
                <w:szCs w:val="16"/>
                <w:lang w:eastAsia="en-AU"/>
              </w:rPr>
              <w:t>59 373</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A46DCA" w:rsidRPr="00023820" w:rsidRDefault="00A46DCA" w:rsidP="00A26D04">
            <w:pPr>
              <w:keepLines w:val="0"/>
              <w:autoSpaceDE w:val="0"/>
              <w:autoSpaceDN w:val="0"/>
              <w:adjustRightInd w:val="0"/>
              <w:rPr>
                <w:rFonts w:eastAsiaTheme="minorEastAsia" w:cs="Calibri"/>
                <w:color w:val="000000"/>
                <w:szCs w:val="16"/>
                <w:lang w:eastAsia="en-AU"/>
              </w:rPr>
            </w:pPr>
            <w:r w:rsidRPr="00023820">
              <w:rPr>
                <w:rFonts w:eastAsiaTheme="minorEastAsia" w:cs="Calibri"/>
                <w:color w:val="000000"/>
                <w:szCs w:val="16"/>
                <w:lang w:eastAsia="en-AU"/>
              </w:rPr>
              <w:t>Employee benefits</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023820">
              <w:rPr>
                <w:rFonts w:eastAsiaTheme="minorEastAsia" w:cs="Calibri"/>
                <w:color w:val="000000"/>
                <w:szCs w:val="16"/>
                <w:lang w:eastAsia="en-AU"/>
              </w:rPr>
              <w:t>7 287</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023820">
              <w:rPr>
                <w:rFonts w:eastAsiaTheme="minorEastAsia" w:cs="Calibri"/>
                <w:color w:val="000000"/>
                <w:szCs w:val="16"/>
                <w:lang w:eastAsia="en-AU"/>
              </w:rPr>
              <w:t>7 290</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023820">
              <w:rPr>
                <w:rFonts w:eastAsiaTheme="minorEastAsia" w:cs="Calibri"/>
                <w:color w:val="000000"/>
                <w:szCs w:val="16"/>
                <w:lang w:eastAsia="en-AU"/>
              </w:rPr>
              <w:t>7 590</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023820">
              <w:rPr>
                <w:rFonts w:eastAsiaTheme="minorEastAsia" w:cs="Calibri"/>
                <w:color w:val="000000"/>
                <w:szCs w:val="16"/>
                <w:lang w:eastAsia="en-AU"/>
              </w:rPr>
              <w:t>7 854</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023820">
              <w:rPr>
                <w:rFonts w:eastAsiaTheme="minorEastAsia" w:cs="Calibri"/>
                <w:color w:val="000000"/>
                <w:szCs w:val="16"/>
                <w:lang w:eastAsia="en-AU"/>
              </w:rPr>
              <w:t>8 143</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A46DCA" w:rsidRPr="00023820" w:rsidRDefault="00A46DCA" w:rsidP="00A26D04">
            <w:pPr>
              <w:keepLines w:val="0"/>
              <w:autoSpaceDE w:val="0"/>
              <w:autoSpaceDN w:val="0"/>
              <w:adjustRightInd w:val="0"/>
              <w:rPr>
                <w:rFonts w:eastAsiaTheme="minorEastAsia" w:cs="Calibri"/>
                <w:color w:val="000000"/>
                <w:szCs w:val="16"/>
                <w:lang w:eastAsia="en-AU"/>
              </w:rPr>
            </w:pPr>
            <w:r w:rsidRPr="00023820">
              <w:rPr>
                <w:rFonts w:eastAsiaTheme="minorEastAsia" w:cs="Calibri"/>
                <w:color w:val="000000"/>
                <w:szCs w:val="16"/>
                <w:lang w:eastAsia="en-AU"/>
              </w:rPr>
              <w:t>Superannuation</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023820">
              <w:rPr>
                <w:rFonts w:eastAsiaTheme="minorEastAsia" w:cs="Calibri"/>
                <w:color w:val="000000"/>
                <w:szCs w:val="16"/>
                <w:lang w:eastAsia="en-AU"/>
              </w:rPr>
              <w:t>24 024</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023820">
              <w:rPr>
                <w:rFonts w:eastAsiaTheme="minorEastAsia" w:cs="Calibri"/>
                <w:color w:val="000000"/>
                <w:szCs w:val="16"/>
                <w:lang w:eastAsia="en-AU"/>
              </w:rPr>
              <w:t>23 027</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023820">
              <w:rPr>
                <w:rFonts w:eastAsiaTheme="minorEastAsia" w:cs="Calibri"/>
                <w:color w:val="000000"/>
                <w:szCs w:val="16"/>
                <w:lang w:eastAsia="en-AU"/>
              </w:rPr>
              <w:t>22 095</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023820">
              <w:rPr>
                <w:rFonts w:eastAsiaTheme="minorEastAsia" w:cs="Calibri"/>
                <w:color w:val="000000"/>
                <w:szCs w:val="16"/>
                <w:lang w:eastAsia="en-AU"/>
              </w:rPr>
              <w:t>21 120</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023820">
              <w:rPr>
                <w:rFonts w:eastAsiaTheme="minorEastAsia" w:cs="Calibri"/>
                <w:color w:val="000000"/>
                <w:szCs w:val="16"/>
                <w:lang w:eastAsia="en-AU"/>
              </w:rPr>
              <w:t>20 109</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A46DCA" w:rsidRPr="00023820" w:rsidRDefault="00A46DCA" w:rsidP="00A26D04">
            <w:pPr>
              <w:keepLines w:val="0"/>
              <w:autoSpaceDE w:val="0"/>
              <w:autoSpaceDN w:val="0"/>
              <w:adjustRightInd w:val="0"/>
              <w:rPr>
                <w:rFonts w:eastAsiaTheme="minorEastAsia" w:cs="Calibri"/>
                <w:color w:val="000000"/>
                <w:szCs w:val="16"/>
                <w:lang w:eastAsia="en-AU"/>
              </w:rPr>
            </w:pPr>
            <w:r w:rsidRPr="00023820">
              <w:rPr>
                <w:rFonts w:eastAsiaTheme="minorEastAsia" w:cs="Calibri"/>
                <w:color w:val="000000"/>
                <w:szCs w:val="16"/>
                <w:lang w:eastAsia="en-AU"/>
              </w:rPr>
              <w:t>Other provisions</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023820">
              <w:rPr>
                <w:rFonts w:eastAsiaTheme="minorEastAsia" w:cs="Calibri"/>
                <w:color w:val="000000"/>
                <w:szCs w:val="16"/>
                <w:lang w:eastAsia="en-AU"/>
              </w:rPr>
              <w:t>30 932</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023820">
              <w:rPr>
                <w:rFonts w:eastAsiaTheme="minorEastAsia" w:cs="Calibri"/>
                <w:color w:val="000000"/>
                <w:szCs w:val="16"/>
                <w:lang w:eastAsia="en-AU"/>
              </w:rPr>
              <w:t>30 302</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023820">
              <w:rPr>
                <w:rFonts w:eastAsiaTheme="minorEastAsia" w:cs="Calibri"/>
                <w:color w:val="000000"/>
                <w:szCs w:val="16"/>
                <w:lang w:eastAsia="en-AU"/>
              </w:rPr>
              <w:t>31 961</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023820">
              <w:rPr>
                <w:rFonts w:eastAsiaTheme="minorEastAsia" w:cs="Calibri"/>
                <w:color w:val="000000"/>
                <w:szCs w:val="16"/>
                <w:lang w:eastAsia="en-AU"/>
              </w:rPr>
              <w:t>34 003</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023820">
              <w:rPr>
                <w:rFonts w:eastAsiaTheme="minorEastAsia" w:cs="Calibri"/>
                <w:color w:val="000000"/>
                <w:szCs w:val="16"/>
                <w:lang w:eastAsia="en-AU"/>
              </w:rPr>
              <w:t>35 732</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3515" w:type="dxa"/>
            <w:tcBorders>
              <w:top w:val="single" w:sz="6" w:space="0" w:color="000000"/>
              <w:left w:val="nil"/>
              <w:bottom w:val="nil"/>
              <w:right w:val="nil"/>
            </w:tcBorders>
          </w:tcPr>
          <w:p w:rsidR="00A46DCA" w:rsidRPr="00023820" w:rsidRDefault="00A46DCA" w:rsidP="00A26D04">
            <w:pPr>
              <w:keepLines w:val="0"/>
              <w:autoSpaceDE w:val="0"/>
              <w:autoSpaceDN w:val="0"/>
              <w:adjustRightInd w:val="0"/>
              <w:rPr>
                <w:rFonts w:eastAsiaTheme="minorEastAsia" w:cs="Calibri"/>
                <w:b/>
                <w:bCs/>
                <w:color w:val="000000"/>
                <w:szCs w:val="16"/>
                <w:lang w:eastAsia="en-AU"/>
              </w:rPr>
            </w:pPr>
            <w:r w:rsidRPr="00023820">
              <w:rPr>
                <w:rFonts w:eastAsiaTheme="minorEastAsia" w:cs="Calibri"/>
                <w:b/>
                <w:bCs/>
                <w:color w:val="000000"/>
                <w:szCs w:val="16"/>
                <w:lang w:eastAsia="en-AU"/>
              </w:rPr>
              <w:t>Total liabilities</w:t>
            </w:r>
          </w:p>
        </w:tc>
        <w:tc>
          <w:tcPr>
            <w:tcW w:w="850" w:type="dxa"/>
            <w:tcBorders>
              <w:top w:val="single" w:sz="6" w:space="0" w:color="000000"/>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023820">
              <w:rPr>
                <w:rFonts w:eastAsiaTheme="minorEastAsia" w:cs="Calibri"/>
                <w:b/>
                <w:bCs/>
                <w:color w:val="000000"/>
                <w:szCs w:val="16"/>
                <w:lang w:eastAsia="en-AU"/>
              </w:rPr>
              <w:t>134 174</w:t>
            </w:r>
          </w:p>
        </w:tc>
        <w:tc>
          <w:tcPr>
            <w:tcW w:w="850" w:type="dxa"/>
            <w:tcBorders>
              <w:top w:val="single" w:sz="6" w:space="0" w:color="000000"/>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023820">
              <w:rPr>
                <w:rFonts w:eastAsiaTheme="minorEastAsia" w:cs="Calibri"/>
                <w:b/>
                <w:bCs/>
                <w:color w:val="000000"/>
                <w:szCs w:val="16"/>
                <w:lang w:eastAsia="en-AU"/>
              </w:rPr>
              <w:t>129 720</w:t>
            </w:r>
          </w:p>
        </w:tc>
        <w:tc>
          <w:tcPr>
            <w:tcW w:w="850" w:type="dxa"/>
            <w:tcBorders>
              <w:top w:val="single" w:sz="6" w:space="0" w:color="000000"/>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023820">
              <w:rPr>
                <w:rFonts w:eastAsiaTheme="minorEastAsia" w:cs="Calibri"/>
                <w:b/>
                <w:bCs/>
                <w:color w:val="000000"/>
                <w:szCs w:val="16"/>
                <w:lang w:eastAsia="en-AU"/>
              </w:rPr>
              <w:t>134 459</w:t>
            </w:r>
          </w:p>
        </w:tc>
        <w:tc>
          <w:tcPr>
            <w:tcW w:w="850" w:type="dxa"/>
            <w:tcBorders>
              <w:top w:val="single" w:sz="6" w:space="0" w:color="000000"/>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023820">
              <w:rPr>
                <w:rFonts w:eastAsiaTheme="minorEastAsia" w:cs="Calibri"/>
                <w:b/>
                <w:bCs/>
                <w:color w:val="000000"/>
                <w:szCs w:val="16"/>
                <w:lang w:eastAsia="en-AU"/>
              </w:rPr>
              <w:t>138 990</w:t>
            </w:r>
          </w:p>
        </w:tc>
        <w:tc>
          <w:tcPr>
            <w:tcW w:w="850" w:type="dxa"/>
            <w:tcBorders>
              <w:top w:val="single" w:sz="6" w:space="0" w:color="000000"/>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023820">
              <w:rPr>
                <w:rFonts w:eastAsiaTheme="minorEastAsia" w:cs="Calibri"/>
                <w:b/>
                <w:bCs/>
                <w:color w:val="000000"/>
                <w:szCs w:val="16"/>
                <w:lang w:eastAsia="en-AU"/>
              </w:rPr>
              <w:t>142 113</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3515" w:type="dxa"/>
            <w:tcBorders>
              <w:top w:val="single" w:sz="6" w:space="0" w:color="000000"/>
              <w:left w:val="nil"/>
              <w:bottom w:val="single" w:sz="12" w:space="0" w:color="000000"/>
              <w:right w:val="nil"/>
            </w:tcBorders>
          </w:tcPr>
          <w:p w:rsidR="00A46DCA" w:rsidRPr="00023820" w:rsidRDefault="00A46DCA" w:rsidP="00A26D04">
            <w:pPr>
              <w:keepLines w:val="0"/>
              <w:autoSpaceDE w:val="0"/>
              <w:autoSpaceDN w:val="0"/>
              <w:adjustRightInd w:val="0"/>
              <w:rPr>
                <w:rFonts w:eastAsiaTheme="minorEastAsia" w:cs="Calibri"/>
                <w:b/>
                <w:bCs/>
                <w:color w:val="000000"/>
                <w:szCs w:val="16"/>
                <w:lang w:eastAsia="en-AU"/>
              </w:rPr>
            </w:pPr>
            <w:r w:rsidRPr="00023820">
              <w:rPr>
                <w:rFonts w:eastAsiaTheme="minorEastAsia" w:cs="Calibri"/>
                <w:b/>
                <w:bCs/>
                <w:color w:val="000000"/>
                <w:szCs w:val="16"/>
                <w:lang w:eastAsia="en-AU"/>
              </w:rPr>
              <w:t>Net assets</w:t>
            </w:r>
          </w:p>
        </w:tc>
        <w:tc>
          <w:tcPr>
            <w:tcW w:w="850" w:type="dxa"/>
            <w:tcBorders>
              <w:top w:val="single" w:sz="6" w:space="0" w:color="000000"/>
              <w:left w:val="nil"/>
              <w:bottom w:val="single" w:sz="12" w:space="0" w:color="000000"/>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023820">
              <w:rPr>
                <w:rFonts w:eastAsiaTheme="minorEastAsia" w:cs="Calibri"/>
                <w:b/>
                <w:bCs/>
                <w:color w:val="000000"/>
                <w:szCs w:val="16"/>
                <w:lang w:eastAsia="en-AU"/>
              </w:rPr>
              <w:t>176 341</w:t>
            </w:r>
          </w:p>
        </w:tc>
        <w:tc>
          <w:tcPr>
            <w:tcW w:w="850" w:type="dxa"/>
            <w:tcBorders>
              <w:top w:val="single" w:sz="6" w:space="0" w:color="000000"/>
              <w:left w:val="nil"/>
              <w:bottom w:val="single" w:sz="12" w:space="0" w:color="000000"/>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023820">
              <w:rPr>
                <w:rFonts w:eastAsiaTheme="minorEastAsia" w:cs="Calibri"/>
                <w:b/>
                <w:bCs/>
                <w:color w:val="000000"/>
                <w:szCs w:val="16"/>
                <w:lang w:eastAsia="en-AU"/>
              </w:rPr>
              <w:t>178 742</w:t>
            </w:r>
          </w:p>
        </w:tc>
        <w:tc>
          <w:tcPr>
            <w:tcW w:w="850" w:type="dxa"/>
            <w:tcBorders>
              <w:top w:val="single" w:sz="6" w:space="0" w:color="000000"/>
              <w:left w:val="nil"/>
              <w:bottom w:val="single" w:sz="12" w:space="0" w:color="000000"/>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023820">
              <w:rPr>
                <w:rFonts w:eastAsiaTheme="minorEastAsia" w:cs="Calibri"/>
                <w:b/>
                <w:bCs/>
                <w:color w:val="000000"/>
                <w:szCs w:val="16"/>
                <w:lang w:eastAsia="en-AU"/>
              </w:rPr>
              <w:t>182 578</w:t>
            </w:r>
          </w:p>
        </w:tc>
        <w:tc>
          <w:tcPr>
            <w:tcW w:w="850" w:type="dxa"/>
            <w:tcBorders>
              <w:top w:val="single" w:sz="6" w:space="0" w:color="000000"/>
              <w:left w:val="nil"/>
              <w:bottom w:val="single" w:sz="12" w:space="0" w:color="000000"/>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023820">
              <w:rPr>
                <w:rFonts w:eastAsiaTheme="minorEastAsia" w:cs="Calibri"/>
                <w:b/>
                <w:bCs/>
                <w:color w:val="000000"/>
                <w:szCs w:val="16"/>
                <w:lang w:eastAsia="en-AU"/>
              </w:rPr>
              <w:t>194 037</w:t>
            </w:r>
          </w:p>
        </w:tc>
        <w:tc>
          <w:tcPr>
            <w:tcW w:w="850" w:type="dxa"/>
            <w:tcBorders>
              <w:top w:val="single" w:sz="6" w:space="0" w:color="000000"/>
              <w:left w:val="nil"/>
              <w:bottom w:val="single" w:sz="12" w:space="0" w:color="000000"/>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023820">
              <w:rPr>
                <w:rFonts w:eastAsiaTheme="minorEastAsia" w:cs="Calibri"/>
                <w:b/>
                <w:bCs/>
                <w:color w:val="000000"/>
                <w:szCs w:val="16"/>
                <w:lang w:eastAsia="en-AU"/>
              </w:rPr>
              <w:t>199 246</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A46DCA" w:rsidRPr="00023820" w:rsidRDefault="00A46DCA" w:rsidP="00A26D04">
            <w:pPr>
              <w:keepLines w:val="0"/>
              <w:autoSpaceDE w:val="0"/>
              <w:autoSpaceDN w:val="0"/>
              <w:adjustRightInd w:val="0"/>
              <w:rPr>
                <w:rFonts w:eastAsiaTheme="minorEastAsia" w:cs="Calibri"/>
                <w:color w:val="000000"/>
                <w:szCs w:val="16"/>
                <w:lang w:eastAsia="en-AU"/>
              </w:rPr>
            </w:pPr>
            <w:r w:rsidRPr="00023820">
              <w:rPr>
                <w:rFonts w:eastAsiaTheme="minorEastAsia" w:cs="Calibri"/>
                <w:color w:val="000000"/>
                <w:szCs w:val="16"/>
                <w:lang w:eastAsia="en-AU"/>
              </w:rPr>
              <w:t>Accumulated surplus/(deficit)</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023820">
              <w:rPr>
                <w:rFonts w:eastAsiaTheme="minorEastAsia" w:cs="Calibri"/>
                <w:color w:val="000000"/>
                <w:szCs w:val="16"/>
                <w:lang w:eastAsia="en-AU"/>
              </w:rPr>
              <w:t>75 564</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023820">
              <w:rPr>
                <w:rFonts w:eastAsiaTheme="minorEastAsia" w:cs="Calibri"/>
                <w:color w:val="000000"/>
                <w:szCs w:val="16"/>
                <w:lang w:eastAsia="en-AU"/>
              </w:rPr>
              <w:t>77 903</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023820">
              <w:rPr>
                <w:rFonts w:eastAsiaTheme="minorEastAsia" w:cs="Calibri"/>
                <w:color w:val="000000"/>
                <w:szCs w:val="16"/>
                <w:lang w:eastAsia="en-AU"/>
              </w:rPr>
              <w:t>79 917</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023820">
              <w:rPr>
                <w:rFonts w:eastAsiaTheme="minorEastAsia" w:cs="Calibri"/>
                <w:color w:val="000000"/>
                <w:szCs w:val="16"/>
                <w:lang w:eastAsia="en-AU"/>
              </w:rPr>
              <w:t>81 879</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023820">
              <w:rPr>
                <w:rFonts w:eastAsiaTheme="minorEastAsia" w:cs="Calibri"/>
                <w:color w:val="000000"/>
                <w:szCs w:val="16"/>
                <w:lang w:eastAsia="en-AU"/>
              </w:rPr>
              <w:t>84 122</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A46DCA" w:rsidRPr="00023820" w:rsidRDefault="00A46DCA" w:rsidP="00A26D04">
            <w:pPr>
              <w:keepLines w:val="0"/>
              <w:autoSpaceDE w:val="0"/>
              <w:autoSpaceDN w:val="0"/>
              <w:adjustRightInd w:val="0"/>
              <w:rPr>
                <w:rFonts w:eastAsiaTheme="minorEastAsia" w:cs="Calibri"/>
                <w:color w:val="000000"/>
                <w:szCs w:val="16"/>
                <w:lang w:eastAsia="en-AU"/>
              </w:rPr>
            </w:pPr>
            <w:r w:rsidRPr="00023820">
              <w:rPr>
                <w:rFonts w:eastAsiaTheme="minorEastAsia" w:cs="Calibri"/>
                <w:color w:val="000000"/>
                <w:szCs w:val="16"/>
                <w:lang w:eastAsia="en-AU"/>
              </w:rPr>
              <w:t>Reserves</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023820">
              <w:rPr>
                <w:rFonts w:eastAsiaTheme="minorEastAsia" w:cs="Calibri"/>
                <w:color w:val="000000"/>
                <w:szCs w:val="16"/>
                <w:lang w:eastAsia="en-AU"/>
              </w:rPr>
              <w:t>100 777</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023820">
              <w:rPr>
                <w:rFonts w:eastAsiaTheme="minorEastAsia" w:cs="Calibri"/>
                <w:color w:val="000000"/>
                <w:szCs w:val="16"/>
                <w:lang w:eastAsia="en-AU"/>
              </w:rPr>
              <w:t>100 838</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023820">
              <w:rPr>
                <w:rFonts w:eastAsiaTheme="minorEastAsia" w:cs="Calibri"/>
                <w:color w:val="000000"/>
                <w:szCs w:val="16"/>
                <w:lang w:eastAsia="en-AU"/>
              </w:rPr>
              <w:t>102 660</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023820">
              <w:rPr>
                <w:rFonts w:eastAsiaTheme="minorEastAsia" w:cs="Calibri"/>
                <w:color w:val="000000"/>
                <w:szCs w:val="16"/>
                <w:lang w:eastAsia="en-AU"/>
              </w:rPr>
              <w:t>112 158</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023820">
              <w:rPr>
                <w:rFonts w:eastAsiaTheme="minorEastAsia" w:cs="Calibri"/>
                <w:color w:val="000000"/>
                <w:szCs w:val="16"/>
                <w:lang w:eastAsia="en-AU"/>
              </w:rPr>
              <w:t>115 124</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3515" w:type="dxa"/>
            <w:tcBorders>
              <w:top w:val="single" w:sz="6" w:space="0" w:color="000000"/>
              <w:left w:val="nil"/>
              <w:bottom w:val="single" w:sz="12" w:space="0" w:color="000000"/>
              <w:right w:val="nil"/>
            </w:tcBorders>
          </w:tcPr>
          <w:p w:rsidR="00A46DCA" w:rsidRPr="00023820" w:rsidRDefault="00A46DCA" w:rsidP="00A26D04">
            <w:pPr>
              <w:keepLines w:val="0"/>
              <w:autoSpaceDE w:val="0"/>
              <w:autoSpaceDN w:val="0"/>
              <w:adjustRightInd w:val="0"/>
              <w:rPr>
                <w:rFonts w:eastAsiaTheme="minorEastAsia" w:cs="Calibri"/>
                <w:b/>
                <w:bCs/>
                <w:color w:val="000000"/>
                <w:szCs w:val="16"/>
                <w:lang w:eastAsia="en-AU"/>
              </w:rPr>
            </w:pPr>
            <w:r w:rsidRPr="00023820">
              <w:rPr>
                <w:rFonts w:eastAsiaTheme="minorEastAsia" w:cs="Calibri"/>
                <w:b/>
                <w:bCs/>
                <w:color w:val="000000"/>
                <w:szCs w:val="16"/>
                <w:lang w:eastAsia="en-AU"/>
              </w:rPr>
              <w:t>Net worth</w:t>
            </w:r>
          </w:p>
        </w:tc>
        <w:tc>
          <w:tcPr>
            <w:tcW w:w="850" w:type="dxa"/>
            <w:tcBorders>
              <w:top w:val="single" w:sz="6" w:space="0" w:color="000000"/>
              <w:left w:val="nil"/>
              <w:bottom w:val="single" w:sz="12" w:space="0" w:color="000000"/>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023820">
              <w:rPr>
                <w:rFonts w:eastAsiaTheme="minorEastAsia" w:cs="Calibri"/>
                <w:b/>
                <w:bCs/>
                <w:color w:val="000000"/>
                <w:szCs w:val="16"/>
                <w:lang w:eastAsia="en-AU"/>
              </w:rPr>
              <w:t>176 341</w:t>
            </w:r>
          </w:p>
        </w:tc>
        <w:tc>
          <w:tcPr>
            <w:tcW w:w="850" w:type="dxa"/>
            <w:tcBorders>
              <w:top w:val="single" w:sz="6" w:space="0" w:color="000000"/>
              <w:left w:val="nil"/>
              <w:bottom w:val="single" w:sz="12" w:space="0" w:color="000000"/>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023820">
              <w:rPr>
                <w:rFonts w:eastAsiaTheme="minorEastAsia" w:cs="Calibri"/>
                <w:b/>
                <w:bCs/>
                <w:color w:val="000000"/>
                <w:szCs w:val="16"/>
                <w:lang w:eastAsia="en-AU"/>
              </w:rPr>
              <w:t>178 742</w:t>
            </w:r>
          </w:p>
        </w:tc>
        <w:tc>
          <w:tcPr>
            <w:tcW w:w="850" w:type="dxa"/>
            <w:tcBorders>
              <w:top w:val="single" w:sz="6" w:space="0" w:color="000000"/>
              <w:left w:val="nil"/>
              <w:bottom w:val="single" w:sz="12" w:space="0" w:color="000000"/>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023820">
              <w:rPr>
                <w:rFonts w:eastAsiaTheme="minorEastAsia" w:cs="Calibri"/>
                <w:b/>
                <w:bCs/>
                <w:color w:val="000000"/>
                <w:szCs w:val="16"/>
                <w:lang w:eastAsia="en-AU"/>
              </w:rPr>
              <w:t>182 578</w:t>
            </w:r>
          </w:p>
        </w:tc>
        <w:tc>
          <w:tcPr>
            <w:tcW w:w="850" w:type="dxa"/>
            <w:tcBorders>
              <w:top w:val="single" w:sz="6" w:space="0" w:color="000000"/>
              <w:left w:val="nil"/>
              <w:bottom w:val="single" w:sz="12" w:space="0" w:color="000000"/>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023820">
              <w:rPr>
                <w:rFonts w:eastAsiaTheme="minorEastAsia" w:cs="Calibri"/>
                <w:b/>
                <w:bCs/>
                <w:color w:val="000000"/>
                <w:szCs w:val="16"/>
                <w:lang w:eastAsia="en-AU"/>
              </w:rPr>
              <w:t>194 037</w:t>
            </w:r>
          </w:p>
        </w:tc>
        <w:tc>
          <w:tcPr>
            <w:tcW w:w="850" w:type="dxa"/>
            <w:tcBorders>
              <w:top w:val="single" w:sz="6" w:space="0" w:color="000000"/>
              <w:left w:val="nil"/>
              <w:bottom w:val="single" w:sz="12" w:space="0" w:color="000000"/>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023820">
              <w:rPr>
                <w:rFonts w:eastAsiaTheme="minorEastAsia" w:cs="Calibri"/>
                <w:b/>
                <w:bCs/>
                <w:color w:val="000000"/>
                <w:szCs w:val="16"/>
                <w:lang w:eastAsia="en-AU"/>
              </w:rPr>
              <w:t>199 246</w:t>
            </w:r>
          </w:p>
        </w:tc>
      </w:tr>
      <w:tr w:rsidR="00A46DCA" w:rsidRPr="00023820" w:rsidTr="00A26D04">
        <w:trPr>
          <w:trHeight w:hRule="exact" w:val="120"/>
        </w:trPr>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A46DCA" w:rsidRPr="00023820" w:rsidRDefault="00A46DCA" w:rsidP="00A26D04">
            <w:pPr>
              <w:keepLines w:val="0"/>
              <w:autoSpaceDE w:val="0"/>
              <w:autoSpaceDN w:val="0"/>
              <w:adjustRightInd w:val="0"/>
              <w:rPr>
                <w:rFonts w:eastAsiaTheme="minorEastAsia" w:cs="Calibri"/>
                <w:color w:val="000000"/>
                <w:lang w:eastAsia="en-AU"/>
              </w:rPr>
            </w:pPr>
            <w:r w:rsidRPr="00023820">
              <w:rPr>
                <w:rFonts w:eastAsiaTheme="minorEastAsia" w:cs="Calibri"/>
                <w:color w:val="000000"/>
                <w:lang w:eastAsia="en-AU"/>
              </w:rPr>
              <w:t xml:space="preserve"> </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023820">
              <w:rPr>
                <w:rFonts w:eastAsiaTheme="minorEastAsia" w:cs="Calibri"/>
                <w:color w:val="000000"/>
                <w:lang w:eastAsia="en-AU"/>
              </w:rPr>
              <w:t xml:space="preserve"> </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023820">
              <w:rPr>
                <w:rFonts w:eastAsiaTheme="minorEastAsia" w:cs="Calibri"/>
                <w:color w:val="000000"/>
                <w:lang w:eastAsia="en-AU"/>
              </w:rPr>
              <w:t xml:space="preserve"> </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023820">
              <w:rPr>
                <w:rFonts w:eastAsiaTheme="minorEastAsia" w:cs="Calibri"/>
                <w:color w:val="000000"/>
                <w:lang w:eastAsia="en-AU"/>
              </w:rPr>
              <w:t xml:space="preserve"> </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023820">
              <w:rPr>
                <w:rFonts w:eastAsiaTheme="minorEastAsia" w:cs="Calibri"/>
                <w:color w:val="000000"/>
                <w:lang w:eastAsia="en-AU"/>
              </w:rPr>
              <w:t xml:space="preserve"> </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023820">
              <w:rPr>
                <w:rFonts w:eastAsiaTheme="minorEastAsia" w:cs="Calibri"/>
                <w:color w:val="000000"/>
                <w:lang w:eastAsia="en-AU"/>
              </w:rPr>
              <w:t xml:space="preserve"> </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A46DCA" w:rsidRPr="00023820" w:rsidRDefault="00A46DCA" w:rsidP="00A26D04">
            <w:pPr>
              <w:keepLines w:val="0"/>
              <w:autoSpaceDE w:val="0"/>
              <w:autoSpaceDN w:val="0"/>
              <w:adjustRightInd w:val="0"/>
              <w:rPr>
                <w:rFonts w:eastAsiaTheme="minorEastAsia" w:cs="Calibri"/>
                <w:b/>
                <w:bCs/>
                <w:color w:val="000000"/>
                <w:szCs w:val="16"/>
                <w:lang w:eastAsia="en-AU"/>
              </w:rPr>
            </w:pPr>
            <w:r w:rsidRPr="00023820">
              <w:rPr>
                <w:rFonts w:eastAsiaTheme="minorEastAsia" w:cs="Calibri"/>
                <w:b/>
                <w:bCs/>
                <w:color w:val="000000"/>
                <w:szCs w:val="16"/>
                <w:lang w:eastAsia="en-AU"/>
              </w:rPr>
              <w:t>FISCAL AGGREGATES</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023820">
              <w:rPr>
                <w:rFonts w:eastAsiaTheme="minorEastAsia" w:cs="Calibri"/>
                <w:b/>
                <w:bCs/>
                <w:color w:val="000000"/>
                <w:lang w:eastAsia="en-AU"/>
              </w:rPr>
              <w:t xml:space="preserve"> </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023820">
              <w:rPr>
                <w:rFonts w:eastAsiaTheme="minorEastAsia" w:cs="Calibri"/>
                <w:b/>
                <w:bCs/>
                <w:color w:val="000000"/>
                <w:lang w:eastAsia="en-AU"/>
              </w:rPr>
              <w:t xml:space="preserve"> </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023820">
              <w:rPr>
                <w:rFonts w:eastAsiaTheme="minorEastAsia" w:cs="Calibri"/>
                <w:b/>
                <w:bCs/>
                <w:color w:val="000000"/>
                <w:lang w:eastAsia="en-AU"/>
              </w:rPr>
              <w:t xml:space="preserve"> </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023820">
              <w:rPr>
                <w:rFonts w:eastAsiaTheme="minorEastAsia" w:cs="Calibri"/>
                <w:b/>
                <w:bCs/>
                <w:color w:val="000000"/>
                <w:lang w:eastAsia="en-AU"/>
              </w:rPr>
              <w:t xml:space="preserve"> </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023820">
              <w:rPr>
                <w:rFonts w:eastAsiaTheme="minorEastAsia" w:cs="Calibri"/>
                <w:b/>
                <w:bCs/>
                <w:color w:val="000000"/>
                <w:lang w:eastAsia="en-AU"/>
              </w:rPr>
              <w:t xml:space="preserve"> </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A46DCA" w:rsidRPr="00023820" w:rsidRDefault="00A46DCA" w:rsidP="00A26D04">
            <w:pPr>
              <w:keepLines w:val="0"/>
              <w:autoSpaceDE w:val="0"/>
              <w:autoSpaceDN w:val="0"/>
              <w:adjustRightInd w:val="0"/>
              <w:rPr>
                <w:rFonts w:eastAsiaTheme="minorEastAsia" w:cs="Calibri"/>
                <w:color w:val="000000"/>
                <w:szCs w:val="16"/>
                <w:lang w:eastAsia="en-AU"/>
              </w:rPr>
            </w:pPr>
            <w:r w:rsidRPr="00023820">
              <w:rPr>
                <w:rFonts w:eastAsiaTheme="minorEastAsia" w:cs="Calibri"/>
                <w:color w:val="000000"/>
                <w:szCs w:val="16"/>
                <w:lang w:eastAsia="en-AU"/>
              </w:rPr>
              <w:t>Net financial worth</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(77 014)</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(75 054)</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(79 488)</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(82 481)</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(84 210)</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A46DCA" w:rsidRPr="00023820" w:rsidRDefault="00A46DCA" w:rsidP="00A26D04">
            <w:pPr>
              <w:keepLines w:val="0"/>
              <w:autoSpaceDE w:val="0"/>
              <w:autoSpaceDN w:val="0"/>
              <w:adjustRightInd w:val="0"/>
              <w:rPr>
                <w:rFonts w:eastAsiaTheme="minorEastAsia" w:cs="Calibri"/>
                <w:color w:val="000000"/>
                <w:szCs w:val="16"/>
                <w:lang w:eastAsia="en-AU"/>
              </w:rPr>
            </w:pPr>
            <w:r w:rsidRPr="00023820">
              <w:rPr>
                <w:rFonts w:eastAsiaTheme="minorEastAsia" w:cs="Calibri"/>
                <w:color w:val="000000"/>
                <w:szCs w:val="16"/>
                <w:lang w:eastAsia="en-AU"/>
              </w:rPr>
              <w:t>Net financial liabilities</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023820">
              <w:rPr>
                <w:rFonts w:eastAsiaTheme="minorEastAsia" w:cs="Calibri"/>
                <w:color w:val="000000"/>
                <w:szCs w:val="16"/>
                <w:lang w:eastAsia="en-AU"/>
              </w:rPr>
              <w:t>77 014</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023820">
              <w:rPr>
                <w:rFonts w:eastAsiaTheme="minorEastAsia" w:cs="Calibri"/>
                <w:color w:val="000000"/>
                <w:szCs w:val="16"/>
                <w:lang w:eastAsia="en-AU"/>
              </w:rPr>
              <w:t>75 054</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023820">
              <w:rPr>
                <w:rFonts w:eastAsiaTheme="minorEastAsia" w:cs="Calibri"/>
                <w:color w:val="000000"/>
                <w:szCs w:val="16"/>
                <w:lang w:eastAsia="en-AU"/>
              </w:rPr>
              <w:t>79 488</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023820">
              <w:rPr>
                <w:rFonts w:eastAsiaTheme="minorEastAsia" w:cs="Calibri"/>
                <w:color w:val="000000"/>
                <w:szCs w:val="16"/>
                <w:lang w:eastAsia="en-AU"/>
              </w:rPr>
              <w:t>82 481</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023820">
              <w:rPr>
                <w:rFonts w:eastAsiaTheme="minorEastAsia" w:cs="Calibri"/>
                <w:color w:val="000000"/>
                <w:szCs w:val="16"/>
                <w:lang w:eastAsia="en-AU"/>
              </w:rPr>
              <w:t>84 210</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single" w:sz="12" w:space="0" w:color="000000"/>
              <w:right w:val="nil"/>
            </w:tcBorders>
          </w:tcPr>
          <w:p w:rsidR="00A46DCA" w:rsidRPr="00023820" w:rsidRDefault="00A46DCA" w:rsidP="00A26D04">
            <w:pPr>
              <w:keepLines w:val="0"/>
              <w:autoSpaceDE w:val="0"/>
              <w:autoSpaceDN w:val="0"/>
              <w:adjustRightInd w:val="0"/>
              <w:rPr>
                <w:rFonts w:eastAsiaTheme="minorEastAsia" w:cs="Calibri"/>
                <w:color w:val="000000"/>
                <w:szCs w:val="16"/>
                <w:lang w:eastAsia="en-AU"/>
              </w:rPr>
            </w:pPr>
            <w:r w:rsidRPr="00023820">
              <w:rPr>
                <w:rFonts w:eastAsiaTheme="minorEastAsia" w:cs="Calibri"/>
                <w:color w:val="000000"/>
                <w:szCs w:val="16"/>
                <w:lang w:eastAsia="en-AU"/>
              </w:rPr>
              <w:t>Net debt</w:t>
            </w:r>
          </w:p>
        </w:tc>
        <w:tc>
          <w:tcPr>
            <w:tcW w:w="850" w:type="dxa"/>
            <w:tcBorders>
              <w:top w:val="nil"/>
              <w:left w:val="nil"/>
              <w:bottom w:val="single" w:sz="12" w:space="0" w:color="000000"/>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023820">
              <w:rPr>
                <w:rFonts w:eastAsiaTheme="minorEastAsia" w:cs="Calibri"/>
                <w:color w:val="000000"/>
                <w:szCs w:val="16"/>
                <w:lang w:eastAsia="en-AU"/>
              </w:rPr>
              <w:t>7 937</w:t>
            </w:r>
          </w:p>
        </w:tc>
        <w:tc>
          <w:tcPr>
            <w:tcW w:w="850" w:type="dxa"/>
            <w:tcBorders>
              <w:top w:val="nil"/>
              <w:left w:val="nil"/>
              <w:bottom w:val="single" w:sz="12" w:space="0" w:color="000000"/>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023820">
              <w:rPr>
                <w:rFonts w:eastAsiaTheme="minorEastAsia" w:cs="Calibri"/>
                <w:color w:val="000000"/>
                <w:szCs w:val="16"/>
                <w:lang w:eastAsia="en-AU"/>
              </w:rPr>
              <w:t>7 535</w:t>
            </w:r>
          </w:p>
        </w:tc>
        <w:tc>
          <w:tcPr>
            <w:tcW w:w="850" w:type="dxa"/>
            <w:tcBorders>
              <w:top w:val="nil"/>
              <w:left w:val="nil"/>
              <w:bottom w:val="single" w:sz="12" w:space="0" w:color="000000"/>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023820">
              <w:rPr>
                <w:rFonts w:eastAsiaTheme="minorEastAsia" w:cs="Calibri"/>
                <w:color w:val="000000"/>
                <w:szCs w:val="16"/>
                <w:lang w:eastAsia="en-AU"/>
              </w:rPr>
              <w:t>9 786</w:t>
            </w:r>
          </w:p>
        </w:tc>
        <w:tc>
          <w:tcPr>
            <w:tcW w:w="850" w:type="dxa"/>
            <w:tcBorders>
              <w:top w:val="nil"/>
              <w:left w:val="nil"/>
              <w:bottom w:val="single" w:sz="12" w:space="0" w:color="000000"/>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023820">
              <w:rPr>
                <w:rFonts w:eastAsiaTheme="minorEastAsia" w:cs="Calibri"/>
                <w:color w:val="000000"/>
                <w:szCs w:val="16"/>
                <w:lang w:eastAsia="en-AU"/>
              </w:rPr>
              <w:t>12 311</w:t>
            </w:r>
          </w:p>
        </w:tc>
        <w:tc>
          <w:tcPr>
            <w:tcW w:w="850" w:type="dxa"/>
            <w:tcBorders>
              <w:top w:val="nil"/>
              <w:left w:val="nil"/>
              <w:bottom w:val="single" w:sz="12" w:space="0" w:color="000000"/>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023820">
              <w:rPr>
                <w:rFonts w:eastAsiaTheme="minorEastAsia" w:cs="Calibri"/>
                <w:color w:val="000000"/>
                <w:szCs w:val="16"/>
                <w:lang w:eastAsia="en-AU"/>
              </w:rPr>
              <w:t>14 273</w:t>
            </w:r>
          </w:p>
        </w:tc>
      </w:tr>
    </w:tbl>
    <w:p w:rsidR="00A46DCA" w:rsidRDefault="00A46DCA" w:rsidP="00A26D04">
      <w:pPr>
        <w:pStyle w:val="Source"/>
      </w:pPr>
      <w:r w:rsidRPr="00907CB9">
        <w:t>Source: Department of Treasury and Finance</w:t>
      </w:r>
    </w:p>
    <w:p w:rsidR="00A46DCA" w:rsidRPr="003D45AE" w:rsidRDefault="00A46DCA" w:rsidP="00A26D04">
      <w:pPr>
        <w:pStyle w:val="Note"/>
      </w:pPr>
      <w:r>
        <w:t>Note</w:t>
      </w:r>
      <w:r w:rsidRPr="003D45AE">
        <w:t>:</w:t>
      </w:r>
    </w:p>
    <w:p w:rsidR="00A46DCA" w:rsidRPr="003D45AE" w:rsidRDefault="00A46DCA" w:rsidP="00A26D04">
      <w:pPr>
        <w:pStyle w:val="Note"/>
        <w:rPr>
          <w:rFonts w:cs="Times New Roman"/>
          <w:sz w:val="15"/>
          <w:lang w:eastAsia="en-AU"/>
        </w:rPr>
      </w:pPr>
      <w:r w:rsidRPr="003D45AE">
        <w:rPr>
          <w:rFonts w:cs="Times New Roman"/>
          <w:sz w:val="15"/>
          <w:lang w:eastAsia="en-AU"/>
        </w:rPr>
        <w:t>(a)</w:t>
      </w:r>
      <w:r w:rsidRPr="003D45AE">
        <w:rPr>
          <w:rFonts w:cs="Times New Roman"/>
          <w:sz w:val="15"/>
          <w:lang w:eastAsia="en-AU"/>
        </w:rPr>
        <w:tab/>
      </w:r>
      <w:r w:rsidRPr="005E40B2">
        <w:t>Balances represent actual opening balances at 1 July 2017 plus 2017-18 budgeted movements.</w:t>
      </w:r>
    </w:p>
    <w:p w:rsidR="00A46DCA" w:rsidRDefault="00A46DCA" w:rsidP="00A26D04"/>
    <w:p w:rsidR="00A46DCA" w:rsidRDefault="00A46DCA" w:rsidP="00A26D04">
      <w:pPr>
        <w:pStyle w:val="Heading10"/>
      </w:pPr>
      <w:r>
        <w:br w:type="page"/>
      </w:r>
    </w:p>
    <w:p w:rsidR="00A46DCA" w:rsidRPr="00847D34" w:rsidRDefault="00A46DCA" w:rsidP="00A26D04">
      <w:pPr>
        <w:pStyle w:val="TableHeading"/>
        <w:rPr>
          <w:bCs/>
          <w:lang w:val="en-US"/>
        </w:rPr>
      </w:pPr>
      <w:r>
        <w:lastRenderedPageBreak/>
        <w:t>Table 5.21</w:t>
      </w:r>
      <w:r w:rsidR="008E5E35">
        <w:t>:</w:t>
      </w:r>
      <w:r>
        <w:tab/>
        <w:t xml:space="preserve">State of Victoria cash flow statement </w:t>
      </w:r>
      <w:r w:rsidR="006A017C">
        <w:br/>
      </w:r>
      <w:r>
        <w:t xml:space="preserve">for the financial year ended 30 June </w:t>
      </w:r>
      <w:r w:rsidRPr="004A0156">
        <w:rPr>
          <w:vertAlign w:val="superscript"/>
        </w:rPr>
        <w:t>(a)</w:t>
      </w:r>
      <w:r>
        <w:tab/>
        <w:t>($ million)</w:t>
      </w:r>
    </w:p>
    <w:tbl>
      <w:tblPr>
        <w:tblStyle w:val="DTFTable"/>
        <w:tblW w:w="7767" w:type="dxa"/>
        <w:tblInd w:w="45" w:type="dxa"/>
        <w:tblLayout w:type="fixed"/>
        <w:tblCellMar>
          <w:left w:w="45" w:type="dxa"/>
          <w:right w:w="45" w:type="dxa"/>
        </w:tblCellMar>
        <w:tblLook w:val="06E0" w:firstRow="1" w:lastRow="1" w:firstColumn="1" w:lastColumn="0" w:noHBand="1" w:noVBand="1"/>
      </w:tblPr>
      <w:tblGrid>
        <w:gridCol w:w="3517"/>
        <w:gridCol w:w="850"/>
        <w:gridCol w:w="850"/>
        <w:gridCol w:w="850"/>
        <w:gridCol w:w="850"/>
        <w:gridCol w:w="850"/>
      </w:tblGrid>
      <w:tr w:rsidR="00A26D04" w:rsidRPr="00D661D4" w:rsidTr="00A26D04">
        <w:trPr>
          <w:cnfStyle w:val="100000000000" w:firstRow="1" w:lastRow="0" w:firstColumn="0" w:lastColumn="0" w:oddVBand="0" w:evenVBand="0" w:oddHBand="0" w:evenHBand="0" w:firstRowFirstColumn="0" w:firstRowLastColumn="0" w:lastRowFirstColumn="0" w:lastRowLastColumn="0"/>
          <w:trHeight w:val="435"/>
          <w:tblHeader/>
        </w:trPr>
        <w:tc>
          <w:tcPr>
            <w:cnfStyle w:val="001000000000" w:firstRow="0" w:lastRow="0" w:firstColumn="1" w:lastColumn="0" w:oddVBand="0" w:evenVBand="0" w:oddHBand="0" w:evenHBand="0" w:firstRowFirstColumn="0" w:firstRowLastColumn="0" w:lastRowFirstColumn="0" w:lastRowLastColumn="0"/>
            <w:tcW w:w="3517" w:type="dxa"/>
            <w:tcBorders>
              <w:top w:val="nil"/>
              <w:left w:val="nil"/>
              <w:right w:val="nil"/>
            </w:tcBorders>
            <w:shd w:val="solid" w:color="000000" w:fill="auto"/>
          </w:tcPr>
          <w:p w:rsidR="00A26D04" w:rsidRPr="00D661D4" w:rsidRDefault="00A26D04" w:rsidP="00A26D04">
            <w:pPr>
              <w:autoSpaceDE w:val="0"/>
              <w:autoSpaceDN w:val="0"/>
              <w:adjustRightInd w:val="0"/>
              <w:spacing w:after="0"/>
              <w:rPr>
                <w:rFonts w:eastAsiaTheme="minorEastAsia" w:cs="Calibri"/>
                <w:iCs/>
                <w:color w:val="FFFFFF"/>
                <w:sz w:val="16"/>
                <w:szCs w:val="16"/>
                <w:lang w:eastAsia="en-AU"/>
              </w:rPr>
            </w:pPr>
            <w:r w:rsidRPr="00D661D4">
              <w:rPr>
                <w:rFonts w:eastAsiaTheme="minorEastAsia" w:cs="Calibri"/>
                <w:iCs/>
                <w:color w:val="FFFFFF"/>
                <w:sz w:val="16"/>
                <w:szCs w:val="16"/>
                <w:lang w:eastAsia="en-AU"/>
              </w:rPr>
              <w:t xml:space="preserve">  </w:t>
            </w:r>
          </w:p>
        </w:tc>
        <w:tc>
          <w:tcPr>
            <w:tcW w:w="850" w:type="dxa"/>
            <w:tcBorders>
              <w:top w:val="nil"/>
              <w:left w:val="nil"/>
              <w:right w:val="nil"/>
            </w:tcBorders>
            <w:shd w:val="solid" w:color="000000" w:fill="auto"/>
          </w:tcPr>
          <w:p w:rsidR="00A26D04" w:rsidRPr="00D661D4" w:rsidRDefault="00A26D04" w:rsidP="00A26D04">
            <w:pPr>
              <w:keepLines w:val="0"/>
              <w:autoSpaceDE w:val="0"/>
              <w:autoSpaceDN w:val="0"/>
              <w:adjustRightInd w:val="0"/>
              <w:spacing w:after="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 w:val="16"/>
                <w:szCs w:val="16"/>
                <w:lang w:eastAsia="en-AU"/>
              </w:rPr>
            </w:pPr>
            <w:r w:rsidRPr="00D661D4">
              <w:rPr>
                <w:rFonts w:eastAsiaTheme="minorEastAsia" w:cs="Calibri"/>
                <w:iCs/>
                <w:color w:val="FFFFFF"/>
                <w:sz w:val="16"/>
                <w:szCs w:val="16"/>
                <w:lang w:eastAsia="en-AU"/>
              </w:rPr>
              <w:t xml:space="preserve">2017-18 </w:t>
            </w:r>
            <w:r>
              <w:rPr>
                <w:rFonts w:eastAsiaTheme="minorEastAsia" w:cs="Calibri"/>
                <w:iCs/>
                <w:color w:val="FFFFFF"/>
                <w:sz w:val="16"/>
                <w:szCs w:val="16"/>
                <w:lang w:eastAsia="en-AU"/>
              </w:rPr>
              <w:br/>
            </w:r>
            <w:r w:rsidRPr="00D661D4">
              <w:rPr>
                <w:rFonts w:eastAsiaTheme="minorEastAsia" w:cs="Calibri"/>
                <w:iCs/>
                <w:color w:val="FFFFFF"/>
                <w:sz w:val="16"/>
                <w:szCs w:val="16"/>
                <w:lang w:eastAsia="en-AU"/>
              </w:rPr>
              <w:t>budget</w:t>
            </w:r>
          </w:p>
        </w:tc>
        <w:tc>
          <w:tcPr>
            <w:tcW w:w="850" w:type="dxa"/>
            <w:tcBorders>
              <w:top w:val="nil"/>
              <w:left w:val="nil"/>
              <w:right w:val="nil"/>
            </w:tcBorders>
            <w:shd w:val="solid" w:color="000000" w:fill="auto"/>
          </w:tcPr>
          <w:p w:rsidR="00A26D04" w:rsidRPr="00D661D4" w:rsidRDefault="00A26D04" w:rsidP="00A26D04">
            <w:pPr>
              <w:keepLines w:val="0"/>
              <w:autoSpaceDE w:val="0"/>
              <w:autoSpaceDN w:val="0"/>
              <w:adjustRightInd w:val="0"/>
              <w:spacing w:after="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 w:val="16"/>
                <w:szCs w:val="16"/>
                <w:lang w:eastAsia="en-AU"/>
              </w:rPr>
            </w:pPr>
            <w:r w:rsidRPr="00D661D4">
              <w:rPr>
                <w:rFonts w:eastAsiaTheme="minorEastAsia" w:cs="Calibri"/>
                <w:iCs/>
                <w:color w:val="FFFFFF"/>
                <w:sz w:val="16"/>
                <w:szCs w:val="16"/>
                <w:lang w:eastAsia="en-AU"/>
              </w:rPr>
              <w:t xml:space="preserve">2017-18 </w:t>
            </w:r>
            <w:r>
              <w:rPr>
                <w:rFonts w:eastAsiaTheme="minorEastAsia" w:cs="Calibri"/>
                <w:iCs/>
                <w:color w:val="FFFFFF"/>
                <w:sz w:val="16"/>
                <w:szCs w:val="16"/>
                <w:lang w:eastAsia="en-AU"/>
              </w:rPr>
              <w:br/>
            </w:r>
            <w:r w:rsidRPr="00D661D4">
              <w:rPr>
                <w:rFonts w:eastAsiaTheme="minorEastAsia" w:cs="Calibri"/>
                <w:iCs/>
                <w:color w:val="FFFFFF"/>
                <w:sz w:val="16"/>
                <w:szCs w:val="16"/>
                <w:lang w:eastAsia="en-AU"/>
              </w:rPr>
              <w:t>revised</w:t>
            </w:r>
          </w:p>
        </w:tc>
        <w:tc>
          <w:tcPr>
            <w:tcW w:w="850" w:type="dxa"/>
            <w:tcBorders>
              <w:top w:val="nil"/>
              <w:left w:val="nil"/>
              <w:right w:val="nil"/>
            </w:tcBorders>
            <w:shd w:val="solid" w:color="000000" w:fill="auto"/>
          </w:tcPr>
          <w:p w:rsidR="00A26D04" w:rsidRPr="00D661D4" w:rsidRDefault="00A26D04" w:rsidP="00A26D04">
            <w:pPr>
              <w:keepLines w:val="0"/>
              <w:autoSpaceDE w:val="0"/>
              <w:autoSpaceDN w:val="0"/>
              <w:adjustRightInd w:val="0"/>
              <w:spacing w:after="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 w:val="16"/>
                <w:szCs w:val="16"/>
                <w:lang w:eastAsia="en-AU"/>
              </w:rPr>
            </w:pPr>
            <w:r w:rsidRPr="00D661D4">
              <w:rPr>
                <w:rFonts w:eastAsiaTheme="minorEastAsia" w:cs="Calibri"/>
                <w:iCs/>
                <w:color w:val="FFFFFF"/>
                <w:sz w:val="16"/>
                <w:szCs w:val="16"/>
                <w:lang w:eastAsia="en-AU"/>
              </w:rPr>
              <w:t xml:space="preserve">2018-19 </w:t>
            </w:r>
            <w:r>
              <w:rPr>
                <w:rFonts w:eastAsiaTheme="minorEastAsia" w:cs="Calibri"/>
                <w:iCs/>
                <w:color w:val="FFFFFF"/>
                <w:sz w:val="16"/>
                <w:szCs w:val="16"/>
                <w:lang w:eastAsia="en-AU"/>
              </w:rPr>
              <w:br/>
            </w:r>
            <w:r w:rsidRPr="00D661D4">
              <w:rPr>
                <w:rFonts w:eastAsiaTheme="minorEastAsia" w:cs="Calibri"/>
                <w:iCs/>
                <w:color w:val="FFFFFF"/>
                <w:sz w:val="16"/>
                <w:szCs w:val="16"/>
                <w:lang w:eastAsia="en-AU"/>
              </w:rPr>
              <w:t>estimate</w:t>
            </w:r>
          </w:p>
        </w:tc>
        <w:tc>
          <w:tcPr>
            <w:tcW w:w="850" w:type="dxa"/>
            <w:tcBorders>
              <w:top w:val="nil"/>
              <w:left w:val="nil"/>
              <w:right w:val="nil"/>
            </w:tcBorders>
            <w:shd w:val="solid" w:color="000000" w:fill="auto"/>
          </w:tcPr>
          <w:p w:rsidR="00A26D04" w:rsidRPr="00D661D4" w:rsidRDefault="00A26D04" w:rsidP="00A26D04">
            <w:pPr>
              <w:keepLines w:val="0"/>
              <w:autoSpaceDE w:val="0"/>
              <w:autoSpaceDN w:val="0"/>
              <w:adjustRightInd w:val="0"/>
              <w:spacing w:after="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 w:val="16"/>
                <w:szCs w:val="16"/>
                <w:lang w:eastAsia="en-AU"/>
              </w:rPr>
            </w:pPr>
            <w:r w:rsidRPr="00D661D4">
              <w:rPr>
                <w:rFonts w:eastAsiaTheme="minorEastAsia" w:cs="Calibri"/>
                <w:iCs/>
                <w:color w:val="FFFFFF"/>
                <w:sz w:val="16"/>
                <w:szCs w:val="16"/>
                <w:lang w:eastAsia="en-AU"/>
              </w:rPr>
              <w:t xml:space="preserve">2019-20 </w:t>
            </w:r>
            <w:r>
              <w:rPr>
                <w:rFonts w:eastAsiaTheme="minorEastAsia" w:cs="Calibri"/>
                <w:iCs/>
                <w:color w:val="FFFFFF"/>
                <w:sz w:val="16"/>
                <w:szCs w:val="16"/>
                <w:lang w:eastAsia="en-AU"/>
              </w:rPr>
              <w:br/>
            </w:r>
            <w:r w:rsidRPr="00D661D4">
              <w:rPr>
                <w:rFonts w:eastAsiaTheme="minorEastAsia" w:cs="Calibri"/>
                <w:iCs/>
                <w:color w:val="FFFFFF"/>
                <w:sz w:val="16"/>
                <w:szCs w:val="16"/>
                <w:lang w:eastAsia="en-AU"/>
              </w:rPr>
              <w:t>estimate</w:t>
            </w:r>
          </w:p>
        </w:tc>
        <w:tc>
          <w:tcPr>
            <w:tcW w:w="850" w:type="dxa"/>
            <w:tcBorders>
              <w:top w:val="nil"/>
              <w:left w:val="nil"/>
              <w:right w:val="nil"/>
            </w:tcBorders>
            <w:shd w:val="solid" w:color="000000" w:fill="auto"/>
          </w:tcPr>
          <w:p w:rsidR="00A26D04" w:rsidRPr="00D661D4" w:rsidRDefault="00A26D04" w:rsidP="00A26D04">
            <w:pPr>
              <w:keepLines w:val="0"/>
              <w:autoSpaceDE w:val="0"/>
              <w:autoSpaceDN w:val="0"/>
              <w:adjustRightInd w:val="0"/>
              <w:spacing w:after="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 w:val="16"/>
                <w:szCs w:val="16"/>
                <w:lang w:eastAsia="en-AU"/>
              </w:rPr>
            </w:pPr>
            <w:r w:rsidRPr="00D661D4">
              <w:rPr>
                <w:rFonts w:eastAsiaTheme="minorEastAsia" w:cs="Calibri"/>
                <w:iCs/>
                <w:color w:val="FFFFFF"/>
                <w:sz w:val="16"/>
                <w:szCs w:val="16"/>
                <w:lang w:eastAsia="en-AU"/>
              </w:rPr>
              <w:t xml:space="preserve">2020-21 </w:t>
            </w:r>
            <w:r>
              <w:rPr>
                <w:rFonts w:eastAsiaTheme="minorEastAsia" w:cs="Calibri"/>
                <w:iCs/>
                <w:color w:val="FFFFFF"/>
                <w:sz w:val="16"/>
                <w:szCs w:val="16"/>
                <w:lang w:eastAsia="en-AU"/>
              </w:rPr>
              <w:br/>
            </w:r>
            <w:r w:rsidRPr="00D661D4">
              <w:rPr>
                <w:rFonts w:eastAsiaTheme="minorEastAsia" w:cs="Calibri"/>
                <w:iCs/>
                <w:color w:val="FFFFFF"/>
                <w:sz w:val="16"/>
                <w:szCs w:val="16"/>
                <w:lang w:eastAsia="en-AU"/>
              </w:rPr>
              <w:t>estimate</w:t>
            </w:r>
          </w:p>
        </w:tc>
      </w:tr>
      <w:tr w:rsidR="00A46DCA" w:rsidRPr="00D661D4" w:rsidTr="00A26D04">
        <w:tc>
          <w:tcPr>
            <w:cnfStyle w:val="001000000000" w:firstRow="0" w:lastRow="0" w:firstColumn="1" w:lastColumn="0" w:oddVBand="0" w:evenVBand="0" w:oddHBand="0" w:evenHBand="0" w:firstRowFirstColumn="0" w:firstRowLastColumn="0" w:lastRowFirstColumn="0" w:lastRowLastColumn="0"/>
            <w:tcW w:w="3517" w:type="dxa"/>
            <w:tcBorders>
              <w:top w:val="nil"/>
              <w:left w:val="nil"/>
              <w:bottom w:val="nil"/>
              <w:right w:val="nil"/>
            </w:tcBorders>
          </w:tcPr>
          <w:p w:rsidR="00A46DCA" w:rsidRPr="00D661D4" w:rsidRDefault="00A46DCA" w:rsidP="00A26D04">
            <w:pPr>
              <w:keepLines w:val="0"/>
              <w:autoSpaceDE w:val="0"/>
              <w:autoSpaceDN w:val="0"/>
              <w:adjustRightInd w:val="0"/>
              <w:spacing w:after="0"/>
              <w:rPr>
                <w:rFonts w:eastAsiaTheme="minorEastAsia" w:cs="Calibri"/>
                <w:b/>
                <w:bCs/>
                <w:color w:val="000000"/>
                <w:sz w:val="16"/>
                <w:szCs w:val="16"/>
                <w:lang w:eastAsia="en-AU"/>
              </w:rPr>
            </w:pPr>
            <w:r w:rsidRPr="00D661D4">
              <w:rPr>
                <w:rFonts w:eastAsiaTheme="minorEastAsia" w:cs="Calibri"/>
                <w:b/>
                <w:bCs/>
                <w:color w:val="000000"/>
                <w:sz w:val="16"/>
                <w:szCs w:val="16"/>
                <w:lang w:eastAsia="en-AU"/>
              </w:rPr>
              <w:t>Cash flows from operating activities</w:t>
            </w:r>
          </w:p>
        </w:tc>
        <w:tc>
          <w:tcPr>
            <w:tcW w:w="850" w:type="dxa"/>
            <w:tcBorders>
              <w:top w:val="nil"/>
              <w:left w:val="nil"/>
              <w:bottom w:val="nil"/>
              <w:right w:val="nil"/>
            </w:tcBorders>
          </w:tcPr>
          <w:p w:rsidR="00A46DCA" w:rsidRPr="00D661D4"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szCs w:val="16"/>
                <w:lang w:eastAsia="en-AU"/>
              </w:rPr>
            </w:pPr>
            <w:r w:rsidRPr="00D661D4">
              <w:rPr>
                <w:rFonts w:eastAsiaTheme="minorEastAsia" w:cs="Calibri"/>
                <w:b/>
                <w:bCs/>
                <w:color w:val="000000"/>
                <w:sz w:val="16"/>
                <w:szCs w:val="16"/>
                <w:lang w:eastAsia="en-AU"/>
              </w:rPr>
              <w:t xml:space="preserve"> </w:t>
            </w:r>
          </w:p>
        </w:tc>
        <w:tc>
          <w:tcPr>
            <w:tcW w:w="850" w:type="dxa"/>
            <w:tcBorders>
              <w:top w:val="nil"/>
              <w:left w:val="nil"/>
              <w:bottom w:val="nil"/>
              <w:right w:val="nil"/>
            </w:tcBorders>
          </w:tcPr>
          <w:p w:rsidR="00A46DCA" w:rsidRPr="00D661D4"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szCs w:val="16"/>
                <w:lang w:eastAsia="en-AU"/>
              </w:rPr>
            </w:pPr>
            <w:r w:rsidRPr="00D661D4">
              <w:rPr>
                <w:rFonts w:eastAsiaTheme="minorEastAsia" w:cs="Calibri"/>
                <w:b/>
                <w:bCs/>
                <w:color w:val="000000"/>
                <w:sz w:val="16"/>
                <w:szCs w:val="16"/>
                <w:lang w:eastAsia="en-AU"/>
              </w:rPr>
              <w:t xml:space="preserve"> </w:t>
            </w:r>
          </w:p>
        </w:tc>
        <w:tc>
          <w:tcPr>
            <w:tcW w:w="850" w:type="dxa"/>
            <w:tcBorders>
              <w:top w:val="nil"/>
              <w:left w:val="nil"/>
              <w:bottom w:val="nil"/>
              <w:right w:val="nil"/>
            </w:tcBorders>
          </w:tcPr>
          <w:p w:rsidR="00A46DCA" w:rsidRPr="00D661D4"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szCs w:val="16"/>
                <w:lang w:eastAsia="en-AU"/>
              </w:rPr>
            </w:pPr>
            <w:r w:rsidRPr="00D661D4">
              <w:rPr>
                <w:rFonts w:eastAsiaTheme="minorEastAsia" w:cs="Calibri"/>
                <w:b/>
                <w:bCs/>
                <w:color w:val="000000"/>
                <w:sz w:val="16"/>
                <w:szCs w:val="16"/>
                <w:lang w:eastAsia="en-AU"/>
              </w:rPr>
              <w:t xml:space="preserve"> </w:t>
            </w:r>
          </w:p>
        </w:tc>
        <w:tc>
          <w:tcPr>
            <w:tcW w:w="850" w:type="dxa"/>
            <w:tcBorders>
              <w:top w:val="nil"/>
              <w:left w:val="nil"/>
              <w:bottom w:val="nil"/>
              <w:right w:val="nil"/>
            </w:tcBorders>
          </w:tcPr>
          <w:p w:rsidR="00A46DCA" w:rsidRPr="00D661D4"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szCs w:val="16"/>
                <w:lang w:eastAsia="en-AU"/>
              </w:rPr>
            </w:pPr>
            <w:r w:rsidRPr="00D661D4">
              <w:rPr>
                <w:rFonts w:eastAsiaTheme="minorEastAsia" w:cs="Calibri"/>
                <w:b/>
                <w:bCs/>
                <w:color w:val="000000"/>
                <w:sz w:val="16"/>
                <w:szCs w:val="16"/>
                <w:lang w:eastAsia="en-AU"/>
              </w:rPr>
              <w:t xml:space="preserve"> </w:t>
            </w:r>
          </w:p>
        </w:tc>
        <w:tc>
          <w:tcPr>
            <w:tcW w:w="850" w:type="dxa"/>
            <w:tcBorders>
              <w:top w:val="nil"/>
              <w:left w:val="nil"/>
              <w:bottom w:val="nil"/>
              <w:right w:val="nil"/>
            </w:tcBorders>
          </w:tcPr>
          <w:p w:rsidR="00A46DCA" w:rsidRPr="00D661D4"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szCs w:val="16"/>
                <w:lang w:eastAsia="en-AU"/>
              </w:rPr>
            </w:pPr>
            <w:r w:rsidRPr="00D661D4">
              <w:rPr>
                <w:rFonts w:eastAsiaTheme="minorEastAsia" w:cs="Calibri"/>
                <w:b/>
                <w:bCs/>
                <w:color w:val="000000"/>
                <w:sz w:val="16"/>
                <w:szCs w:val="16"/>
                <w:lang w:eastAsia="en-AU"/>
              </w:rPr>
              <w:t xml:space="preserve"> </w:t>
            </w:r>
          </w:p>
        </w:tc>
      </w:tr>
      <w:tr w:rsidR="00A46DCA" w:rsidRPr="00D661D4" w:rsidTr="00A26D04">
        <w:tc>
          <w:tcPr>
            <w:cnfStyle w:val="001000000000" w:firstRow="0" w:lastRow="0" w:firstColumn="1" w:lastColumn="0" w:oddVBand="0" w:evenVBand="0" w:oddHBand="0" w:evenHBand="0" w:firstRowFirstColumn="0" w:firstRowLastColumn="0" w:lastRowFirstColumn="0" w:lastRowLastColumn="0"/>
            <w:tcW w:w="3517" w:type="dxa"/>
            <w:tcBorders>
              <w:top w:val="nil"/>
              <w:left w:val="nil"/>
              <w:bottom w:val="nil"/>
              <w:right w:val="nil"/>
            </w:tcBorders>
          </w:tcPr>
          <w:p w:rsidR="00A46DCA" w:rsidRPr="00D661D4" w:rsidRDefault="00A46DCA" w:rsidP="00A26D04">
            <w:pPr>
              <w:keepLines w:val="0"/>
              <w:autoSpaceDE w:val="0"/>
              <w:autoSpaceDN w:val="0"/>
              <w:adjustRightInd w:val="0"/>
              <w:spacing w:after="0"/>
              <w:rPr>
                <w:rFonts w:eastAsiaTheme="minorEastAsia" w:cs="Calibri"/>
                <w:b/>
                <w:bCs/>
                <w:color w:val="000000"/>
                <w:sz w:val="16"/>
                <w:szCs w:val="16"/>
                <w:lang w:eastAsia="en-AU"/>
              </w:rPr>
            </w:pPr>
            <w:r w:rsidRPr="00D661D4">
              <w:rPr>
                <w:rFonts w:eastAsiaTheme="minorEastAsia" w:cs="Calibri"/>
                <w:b/>
                <w:bCs/>
                <w:color w:val="000000"/>
                <w:sz w:val="16"/>
                <w:szCs w:val="16"/>
                <w:lang w:eastAsia="en-AU"/>
              </w:rPr>
              <w:t>Receipts</w:t>
            </w:r>
          </w:p>
        </w:tc>
        <w:tc>
          <w:tcPr>
            <w:tcW w:w="850" w:type="dxa"/>
            <w:tcBorders>
              <w:top w:val="nil"/>
              <w:left w:val="nil"/>
              <w:bottom w:val="nil"/>
              <w:right w:val="nil"/>
            </w:tcBorders>
          </w:tcPr>
          <w:p w:rsidR="00A46DCA" w:rsidRPr="00D661D4"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szCs w:val="16"/>
                <w:lang w:eastAsia="en-AU"/>
              </w:rPr>
            </w:pPr>
            <w:r w:rsidRPr="00D661D4">
              <w:rPr>
                <w:rFonts w:eastAsiaTheme="minorEastAsia" w:cs="Calibri"/>
                <w:b/>
                <w:bCs/>
                <w:color w:val="000000"/>
                <w:sz w:val="16"/>
                <w:szCs w:val="16"/>
                <w:lang w:eastAsia="en-AU"/>
              </w:rPr>
              <w:t xml:space="preserve"> </w:t>
            </w:r>
          </w:p>
        </w:tc>
        <w:tc>
          <w:tcPr>
            <w:tcW w:w="850" w:type="dxa"/>
            <w:tcBorders>
              <w:top w:val="nil"/>
              <w:left w:val="nil"/>
              <w:bottom w:val="nil"/>
              <w:right w:val="nil"/>
            </w:tcBorders>
          </w:tcPr>
          <w:p w:rsidR="00A46DCA" w:rsidRPr="00D661D4"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szCs w:val="16"/>
                <w:lang w:eastAsia="en-AU"/>
              </w:rPr>
            </w:pPr>
            <w:r w:rsidRPr="00D661D4">
              <w:rPr>
                <w:rFonts w:eastAsiaTheme="minorEastAsia" w:cs="Calibri"/>
                <w:b/>
                <w:bCs/>
                <w:color w:val="000000"/>
                <w:sz w:val="16"/>
                <w:szCs w:val="16"/>
                <w:lang w:eastAsia="en-AU"/>
              </w:rPr>
              <w:t xml:space="preserve"> </w:t>
            </w:r>
          </w:p>
        </w:tc>
        <w:tc>
          <w:tcPr>
            <w:tcW w:w="850" w:type="dxa"/>
            <w:tcBorders>
              <w:top w:val="nil"/>
              <w:left w:val="nil"/>
              <w:bottom w:val="nil"/>
              <w:right w:val="nil"/>
            </w:tcBorders>
          </w:tcPr>
          <w:p w:rsidR="00A46DCA" w:rsidRPr="00D661D4"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szCs w:val="16"/>
                <w:lang w:eastAsia="en-AU"/>
              </w:rPr>
            </w:pPr>
            <w:r w:rsidRPr="00D661D4">
              <w:rPr>
                <w:rFonts w:eastAsiaTheme="minorEastAsia" w:cs="Calibri"/>
                <w:b/>
                <w:bCs/>
                <w:color w:val="000000"/>
                <w:sz w:val="16"/>
                <w:szCs w:val="16"/>
                <w:lang w:eastAsia="en-AU"/>
              </w:rPr>
              <w:t xml:space="preserve"> </w:t>
            </w:r>
          </w:p>
        </w:tc>
        <w:tc>
          <w:tcPr>
            <w:tcW w:w="850" w:type="dxa"/>
            <w:tcBorders>
              <w:top w:val="nil"/>
              <w:left w:val="nil"/>
              <w:bottom w:val="nil"/>
              <w:right w:val="nil"/>
            </w:tcBorders>
          </w:tcPr>
          <w:p w:rsidR="00A46DCA" w:rsidRPr="00D661D4"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szCs w:val="16"/>
                <w:lang w:eastAsia="en-AU"/>
              </w:rPr>
            </w:pPr>
            <w:r w:rsidRPr="00D661D4">
              <w:rPr>
                <w:rFonts w:eastAsiaTheme="minorEastAsia" w:cs="Calibri"/>
                <w:b/>
                <w:bCs/>
                <w:color w:val="000000"/>
                <w:sz w:val="16"/>
                <w:szCs w:val="16"/>
                <w:lang w:eastAsia="en-AU"/>
              </w:rPr>
              <w:t xml:space="preserve"> </w:t>
            </w:r>
          </w:p>
        </w:tc>
        <w:tc>
          <w:tcPr>
            <w:tcW w:w="850" w:type="dxa"/>
            <w:tcBorders>
              <w:top w:val="nil"/>
              <w:left w:val="nil"/>
              <w:bottom w:val="nil"/>
              <w:right w:val="nil"/>
            </w:tcBorders>
          </w:tcPr>
          <w:p w:rsidR="00A46DCA" w:rsidRPr="00D661D4"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szCs w:val="16"/>
                <w:lang w:eastAsia="en-AU"/>
              </w:rPr>
            </w:pPr>
            <w:r w:rsidRPr="00D661D4">
              <w:rPr>
                <w:rFonts w:eastAsiaTheme="minorEastAsia" w:cs="Calibri"/>
                <w:b/>
                <w:bCs/>
                <w:color w:val="000000"/>
                <w:sz w:val="16"/>
                <w:szCs w:val="16"/>
                <w:lang w:eastAsia="en-AU"/>
              </w:rPr>
              <w:t xml:space="preserve"> </w:t>
            </w:r>
          </w:p>
        </w:tc>
      </w:tr>
      <w:tr w:rsidR="00A46DCA" w:rsidRPr="00D661D4" w:rsidTr="00A26D04">
        <w:tc>
          <w:tcPr>
            <w:cnfStyle w:val="001000000000" w:firstRow="0" w:lastRow="0" w:firstColumn="1" w:lastColumn="0" w:oddVBand="0" w:evenVBand="0" w:oddHBand="0" w:evenHBand="0" w:firstRowFirstColumn="0" w:firstRowLastColumn="0" w:lastRowFirstColumn="0" w:lastRowLastColumn="0"/>
            <w:tcW w:w="3517" w:type="dxa"/>
            <w:tcBorders>
              <w:top w:val="nil"/>
              <w:left w:val="nil"/>
              <w:bottom w:val="nil"/>
              <w:right w:val="nil"/>
            </w:tcBorders>
          </w:tcPr>
          <w:p w:rsidR="00A46DCA" w:rsidRPr="00D661D4" w:rsidRDefault="00A46DCA" w:rsidP="00A26D04">
            <w:pPr>
              <w:keepLines w:val="0"/>
              <w:autoSpaceDE w:val="0"/>
              <w:autoSpaceDN w:val="0"/>
              <w:adjustRightInd w:val="0"/>
              <w:spacing w:after="0"/>
              <w:rPr>
                <w:rFonts w:eastAsiaTheme="minorEastAsia" w:cs="Calibri"/>
                <w:color w:val="000000"/>
                <w:sz w:val="16"/>
                <w:szCs w:val="16"/>
                <w:lang w:eastAsia="en-AU"/>
              </w:rPr>
            </w:pPr>
            <w:r w:rsidRPr="00D661D4">
              <w:rPr>
                <w:rFonts w:eastAsiaTheme="minorEastAsia" w:cs="Calibri"/>
                <w:color w:val="000000"/>
                <w:sz w:val="16"/>
                <w:szCs w:val="16"/>
                <w:lang w:eastAsia="en-AU"/>
              </w:rPr>
              <w:t>Taxes received</w:t>
            </w:r>
          </w:p>
        </w:tc>
        <w:tc>
          <w:tcPr>
            <w:tcW w:w="850" w:type="dxa"/>
            <w:tcBorders>
              <w:top w:val="nil"/>
              <w:left w:val="nil"/>
              <w:bottom w:val="nil"/>
              <w:right w:val="nil"/>
            </w:tcBorders>
          </w:tcPr>
          <w:p w:rsidR="00A46DCA" w:rsidRPr="00D661D4"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lang w:eastAsia="en-AU"/>
              </w:rPr>
            </w:pPr>
            <w:r w:rsidRPr="00D661D4">
              <w:rPr>
                <w:rFonts w:eastAsiaTheme="minorEastAsia" w:cs="Calibri"/>
                <w:color w:val="000000"/>
                <w:sz w:val="16"/>
                <w:szCs w:val="16"/>
                <w:lang w:eastAsia="en-AU"/>
              </w:rPr>
              <w:t>21 314</w:t>
            </w:r>
          </w:p>
        </w:tc>
        <w:tc>
          <w:tcPr>
            <w:tcW w:w="850" w:type="dxa"/>
            <w:tcBorders>
              <w:top w:val="nil"/>
              <w:left w:val="nil"/>
              <w:bottom w:val="nil"/>
              <w:right w:val="nil"/>
            </w:tcBorders>
          </w:tcPr>
          <w:p w:rsidR="00A46DCA" w:rsidRPr="00D661D4"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lang w:eastAsia="en-AU"/>
              </w:rPr>
            </w:pPr>
            <w:r w:rsidRPr="00D661D4">
              <w:rPr>
                <w:rFonts w:eastAsiaTheme="minorEastAsia" w:cs="Calibri"/>
                <w:color w:val="000000"/>
                <w:sz w:val="16"/>
                <w:szCs w:val="16"/>
                <w:lang w:eastAsia="en-AU"/>
              </w:rPr>
              <w:t>21 633</w:t>
            </w:r>
          </w:p>
        </w:tc>
        <w:tc>
          <w:tcPr>
            <w:tcW w:w="850" w:type="dxa"/>
            <w:tcBorders>
              <w:top w:val="nil"/>
              <w:left w:val="nil"/>
              <w:bottom w:val="nil"/>
              <w:right w:val="nil"/>
            </w:tcBorders>
          </w:tcPr>
          <w:p w:rsidR="00A46DCA" w:rsidRPr="00D661D4"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lang w:eastAsia="en-AU"/>
              </w:rPr>
            </w:pPr>
            <w:r w:rsidRPr="00D661D4">
              <w:rPr>
                <w:rFonts w:eastAsiaTheme="minorEastAsia" w:cs="Calibri"/>
                <w:color w:val="000000"/>
                <w:sz w:val="16"/>
                <w:szCs w:val="16"/>
                <w:lang w:eastAsia="en-AU"/>
              </w:rPr>
              <w:t>23 245</w:t>
            </w:r>
          </w:p>
        </w:tc>
        <w:tc>
          <w:tcPr>
            <w:tcW w:w="850" w:type="dxa"/>
            <w:tcBorders>
              <w:top w:val="nil"/>
              <w:left w:val="nil"/>
              <w:bottom w:val="nil"/>
              <w:right w:val="nil"/>
            </w:tcBorders>
          </w:tcPr>
          <w:p w:rsidR="00A46DCA" w:rsidRPr="00D661D4"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lang w:eastAsia="en-AU"/>
              </w:rPr>
            </w:pPr>
            <w:r w:rsidRPr="00D661D4">
              <w:rPr>
                <w:rFonts w:eastAsiaTheme="minorEastAsia" w:cs="Calibri"/>
                <w:color w:val="000000"/>
                <w:sz w:val="16"/>
                <w:szCs w:val="16"/>
                <w:lang w:eastAsia="en-AU"/>
              </w:rPr>
              <w:t>24 228</w:t>
            </w:r>
          </w:p>
        </w:tc>
        <w:tc>
          <w:tcPr>
            <w:tcW w:w="850" w:type="dxa"/>
            <w:tcBorders>
              <w:top w:val="nil"/>
              <w:left w:val="nil"/>
              <w:bottom w:val="nil"/>
              <w:right w:val="nil"/>
            </w:tcBorders>
          </w:tcPr>
          <w:p w:rsidR="00A46DCA" w:rsidRPr="00D661D4"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lang w:eastAsia="en-AU"/>
              </w:rPr>
            </w:pPr>
            <w:r w:rsidRPr="00D661D4">
              <w:rPr>
                <w:rFonts w:eastAsiaTheme="minorEastAsia" w:cs="Calibri"/>
                <w:color w:val="000000"/>
                <w:sz w:val="16"/>
                <w:szCs w:val="16"/>
                <w:lang w:eastAsia="en-AU"/>
              </w:rPr>
              <w:t>25 024</w:t>
            </w:r>
          </w:p>
        </w:tc>
      </w:tr>
      <w:tr w:rsidR="00A46DCA" w:rsidRPr="00D661D4" w:rsidTr="00A26D04">
        <w:tc>
          <w:tcPr>
            <w:cnfStyle w:val="001000000000" w:firstRow="0" w:lastRow="0" w:firstColumn="1" w:lastColumn="0" w:oddVBand="0" w:evenVBand="0" w:oddHBand="0" w:evenHBand="0" w:firstRowFirstColumn="0" w:firstRowLastColumn="0" w:lastRowFirstColumn="0" w:lastRowLastColumn="0"/>
            <w:tcW w:w="3517" w:type="dxa"/>
            <w:tcBorders>
              <w:top w:val="nil"/>
              <w:left w:val="nil"/>
              <w:bottom w:val="nil"/>
              <w:right w:val="nil"/>
            </w:tcBorders>
          </w:tcPr>
          <w:p w:rsidR="00A46DCA" w:rsidRPr="00D661D4" w:rsidRDefault="00A46DCA" w:rsidP="00A26D04">
            <w:pPr>
              <w:keepLines w:val="0"/>
              <w:autoSpaceDE w:val="0"/>
              <w:autoSpaceDN w:val="0"/>
              <w:adjustRightInd w:val="0"/>
              <w:spacing w:after="0"/>
              <w:rPr>
                <w:rFonts w:eastAsiaTheme="minorEastAsia" w:cs="Calibri"/>
                <w:color w:val="000000"/>
                <w:sz w:val="16"/>
                <w:szCs w:val="16"/>
                <w:lang w:eastAsia="en-AU"/>
              </w:rPr>
            </w:pPr>
            <w:r w:rsidRPr="00D661D4">
              <w:rPr>
                <w:rFonts w:eastAsiaTheme="minorEastAsia" w:cs="Calibri"/>
                <w:color w:val="000000"/>
                <w:sz w:val="16"/>
                <w:szCs w:val="16"/>
                <w:lang w:eastAsia="en-AU"/>
              </w:rPr>
              <w:t>Grants</w:t>
            </w:r>
          </w:p>
        </w:tc>
        <w:tc>
          <w:tcPr>
            <w:tcW w:w="850" w:type="dxa"/>
            <w:tcBorders>
              <w:top w:val="nil"/>
              <w:left w:val="nil"/>
              <w:bottom w:val="nil"/>
              <w:right w:val="nil"/>
            </w:tcBorders>
          </w:tcPr>
          <w:p w:rsidR="00A46DCA" w:rsidRPr="00D661D4"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lang w:eastAsia="en-AU"/>
              </w:rPr>
            </w:pPr>
            <w:r w:rsidRPr="00D661D4">
              <w:rPr>
                <w:rFonts w:eastAsiaTheme="minorEastAsia" w:cs="Calibri"/>
                <w:color w:val="000000"/>
                <w:sz w:val="16"/>
                <w:szCs w:val="16"/>
                <w:lang w:eastAsia="en-AU"/>
              </w:rPr>
              <w:t>29 321</w:t>
            </w:r>
          </w:p>
        </w:tc>
        <w:tc>
          <w:tcPr>
            <w:tcW w:w="850" w:type="dxa"/>
            <w:tcBorders>
              <w:top w:val="nil"/>
              <w:left w:val="nil"/>
              <w:bottom w:val="nil"/>
              <w:right w:val="nil"/>
            </w:tcBorders>
          </w:tcPr>
          <w:p w:rsidR="00A46DCA" w:rsidRPr="00D661D4"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lang w:eastAsia="en-AU"/>
              </w:rPr>
            </w:pPr>
            <w:r w:rsidRPr="00D661D4">
              <w:rPr>
                <w:rFonts w:eastAsiaTheme="minorEastAsia" w:cs="Calibri"/>
                <w:color w:val="000000"/>
                <w:sz w:val="16"/>
                <w:szCs w:val="16"/>
                <w:lang w:eastAsia="en-AU"/>
              </w:rPr>
              <w:t>29 416</w:t>
            </w:r>
          </w:p>
        </w:tc>
        <w:tc>
          <w:tcPr>
            <w:tcW w:w="850" w:type="dxa"/>
            <w:tcBorders>
              <w:top w:val="nil"/>
              <w:left w:val="nil"/>
              <w:bottom w:val="nil"/>
              <w:right w:val="nil"/>
            </w:tcBorders>
          </w:tcPr>
          <w:p w:rsidR="00A46DCA" w:rsidRPr="00D661D4"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lang w:eastAsia="en-AU"/>
              </w:rPr>
            </w:pPr>
            <w:r w:rsidRPr="00D661D4">
              <w:rPr>
                <w:rFonts w:eastAsiaTheme="minorEastAsia" w:cs="Calibri"/>
                <w:color w:val="000000"/>
                <w:sz w:val="16"/>
                <w:szCs w:val="16"/>
                <w:lang w:eastAsia="en-AU"/>
              </w:rPr>
              <w:t>31 531</w:t>
            </w:r>
          </w:p>
        </w:tc>
        <w:tc>
          <w:tcPr>
            <w:tcW w:w="850" w:type="dxa"/>
            <w:tcBorders>
              <w:top w:val="nil"/>
              <w:left w:val="nil"/>
              <w:bottom w:val="nil"/>
              <w:right w:val="nil"/>
            </w:tcBorders>
          </w:tcPr>
          <w:p w:rsidR="00A46DCA" w:rsidRPr="00D661D4"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lang w:eastAsia="en-AU"/>
              </w:rPr>
            </w:pPr>
            <w:r w:rsidRPr="00D661D4">
              <w:rPr>
                <w:rFonts w:eastAsiaTheme="minorEastAsia" w:cs="Calibri"/>
                <w:color w:val="000000"/>
                <w:sz w:val="16"/>
                <w:szCs w:val="16"/>
                <w:lang w:eastAsia="en-AU"/>
              </w:rPr>
              <w:t>31 466</w:t>
            </w:r>
          </w:p>
        </w:tc>
        <w:tc>
          <w:tcPr>
            <w:tcW w:w="850" w:type="dxa"/>
            <w:tcBorders>
              <w:top w:val="nil"/>
              <w:left w:val="nil"/>
              <w:bottom w:val="nil"/>
              <w:right w:val="nil"/>
            </w:tcBorders>
          </w:tcPr>
          <w:p w:rsidR="00A46DCA" w:rsidRPr="00D661D4"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lang w:eastAsia="en-AU"/>
              </w:rPr>
            </w:pPr>
            <w:r w:rsidRPr="00D661D4">
              <w:rPr>
                <w:rFonts w:eastAsiaTheme="minorEastAsia" w:cs="Calibri"/>
                <w:color w:val="000000"/>
                <w:sz w:val="16"/>
                <w:szCs w:val="16"/>
                <w:lang w:eastAsia="en-AU"/>
              </w:rPr>
              <w:t>32 736</w:t>
            </w:r>
          </w:p>
        </w:tc>
      </w:tr>
      <w:tr w:rsidR="00A46DCA" w:rsidRPr="00D661D4" w:rsidTr="00A26D04">
        <w:tc>
          <w:tcPr>
            <w:cnfStyle w:val="001000000000" w:firstRow="0" w:lastRow="0" w:firstColumn="1" w:lastColumn="0" w:oddVBand="0" w:evenVBand="0" w:oddHBand="0" w:evenHBand="0" w:firstRowFirstColumn="0" w:firstRowLastColumn="0" w:lastRowFirstColumn="0" w:lastRowLastColumn="0"/>
            <w:tcW w:w="3517" w:type="dxa"/>
            <w:tcBorders>
              <w:top w:val="nil"/>
              <w:left w:val="nil"/>
              <w:bottom w:val="nil"/>
              <w:right w:val="nil"/>
            </w:tcBorders>
          </w:tcPr>
          <w:p w:rsidR="00A46DCA" w:rsidRPr="00D661D4" w:rsidRDefault="00A46DCA" w:rsidP="00A26D04">
            <w:pPr>
              <w:keepLines w:val="0"/>
              <w:autoSpaceDE w:val="0"/>
              <w:autoSpaceDN w:val="0"/>
              <w:adjustRightInd w:val="0"/>
              <w:spacing w:after="0"/>
              <w:rPr>
                <w:rFonts w:eastAsiaTheme="minorEastAsia" w:cs="Calibri"/>
                <w:color w:val="000000"/>
                <w:sz w:val="16"/>
                <w:szCs w:val="16"/>
                <w:lang w:eastAsia="en-AU"/>
              </w:rPr>
            </w:pPr>
            <w:r w:rsidRPr="00D661D4">
              <w:rPr>
                <w:rFonts w:eastAsiaTheme="minorEastAsia" w:cs="Calibri"/>
                <w:color w:val="000000"/>
                <w:sz w:val="16"/>
                <w:szCs w:val="16"/>
                <w:lang w:eastAsia="en-AU"/>
              </w:rPr>
              <w:t xml:space="preserve">Sales of goods and services </w:t>
            </w:r>
            <w:r w:rsidRPr="00D661D4">
              <w:rPr>
                <w:rFonts w:eastAsiaTheme="minorEastAsia" w:cs="Calibri"/>
                <w:color w:val="000000"/>
                <w:sz w:val="16"/>
                <w:szCs w:val="16"/>
                <w:vertAlign w:val="superscript"/>
                <w:lang w:eastAsia="en-AU"/>
              </w:rPr>
              <w:t>(b)</w:t>
            </w:r>
          </w:p>
        </w:tc>
        <w:tc>
          <w:tcPr>
            <w:tcW w:w="850" w:type="dxa"/>
            <w:tcBorders>
              <w:top w:val="nil"/>
              <w:left w:val="nil"/>
              <w:bottom w:val="nil"/>
              <w:right w:val="nil"/>
            </w:tcBorders>
          </w:tcPr>
          <w:p w:rsidR="00A46DCA" w:rsidRPr="00D661D4"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lang w:eastAsia="en-AU"/>
              </w:rPr>
            </w:pPr>
            <w:r w:rsidRPr="00D661D4">
              <w:rPr>
                <w:rFonts w:eastAsiaTheme="minorEastAsia" w:cs="Calibri"/>
                <w:color w:val="000000"/>
                <w:sz w:val="16"/>
                <w:szCs w:val="16"/>
                <w:lang w:eastAsia="en-AU"/>
              </w:rPr>
              <w:t>16 786</w:t>
            </w:r>
          </w:p>
        </w:tc>
        <w:tc>
          <w:tcPr>
            <w:tcW w:w="850" w:type="dxa"/>
            <w:tcBorders>
              <w:top w:val="nil"/>
              <w:left w:val="nil"/>
              <w:bottom w:val="nil"/>
              <w:right w:val="nil"/>
            </w:tcBorders>
          </w:tcPr>
          <w:p w:rsidR="00A46DCA" w:rsidRPr="00D661D4"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lang w:eastAsia="en-AU"/>
              </w:rPr>
            </w:pPr>
            <w:r w:rsidRPr="00D661D4">
              <w:rPr>
                <w:rFonts w:eastAsiaTheme="minorEastAsia" w:cs="Calibri"/>
                <w:color w:val="000000"/>
                <w:sz w:val="16"/>
                <w:szCs w:val="16"/>
                <w:lang w:eastAsia="en-AU"/>
              </w:rPr>
              <w:t>17 004</w:t>
            </w:r>
          </w:p>
        </w:tc>
        <w:tc>
          <w:tcPr>
            <w:tcW w:w="850" w:type="dxa"/>
            <w:tcBorders>
              <w:top w:val="nil"/>
              <w:left w:val="nil"/>
              <w:bottom w:val="nil"/>
              <w:right w:val="nil"/>
            </w:tcBorders>
          </w:tcPr>
          <w:p w:rsidR="00A46DCA" w:rsidRPr="00D661D4"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lang w:eastAsia="en-AU"/>
              </w:rPr>
            </w:pPr>
            <w:r w:rsidRPr="00D661D4">
              <w:rPr>
                <w:rFonts w:eastAsiaTheme="minorEastAsia" w:cs="Calibri"/>
                <w:color w:val="000000"/>
                <w:sz w:val="16"/>
                <w:szCs w:val="16"/>
                <w:lang w:eastAsia="en-AU"/>
              </w:rPr>
              <w:t>18 735</w:t>
            </w:r>
          </w:p>
        </w:tc>
        <w:tc>
          <w:tcPr>
            <w:tcW w:w="850" w:type="dxa"/>
            <w:tcBorders>
              <w:top w:val="nil"/>
              <w:left w:val="nil"/>
              <w:bottom w:val="nil"/>
              <w:right w:val="nil"/>
            </w:tcBorders>
          </w:tcPr>
          <w:p w:rsidR="00A46DCA" w:rsidRPr="00D661D4"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lang w:eastAsia="en-AU"/>
              </w:rPr>
            </w:pPr>
            <w:r w:rsidRPr="00D661D4">
              <w:rPr>
                <w:rFonts w:eastAsiaTheme="minorEastAsia" w:cs="Calibri"/>
                <w:color w:val="000000"/>
                <w:sz w:val="16"/>
                <w:szCs w:val="16"/>
                <w:lang w:eastAsia="en-AU"/>
              </w:rPr>
              <w:t>17 714</w:t>
            </w:r>
          </w:p>
        </w:tc>
        <w:tc>
          <w:tcPr>
            <w:tcW w:w="850" w:type="dxa"/>
            <w:tcBorders>
              <w:top w:val="nil"/>
              <w:left w:val="nil"/>
              <w:bottom w:val="nil"/>
              <w:right w:val="nil"/>
            </w:tcBorders>
          </w:tcPr>
          <w:p w:rsidR="00A46DCA" w:rsidRPr="00D661D4"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lang w:eastAsia="en-AU"/>
              </w:rPr>
            </w:pPr>
            <w:r w:rsidRPr="00D661D4">
              <w:rPr>
                <w:rFonts w:eastAsiaTheme="minorEastAsia" w:cs="Calibri"/>
                <w:color w:val="000000"/>
                <w:sz w:val="16"/>
                <w:szCs w:val="16"/>
                <w:lang w:eastAsia="en-AU"/>
              </w:rPr>
              <w:t>18 932</w:t>
            </w:r>
          </w:p>
        </w:tc>
      </w:tr>
      <w:tr w:rsidR="00A46DCA" w:rsidRPr="00D661D4" w:rsidTr="00A26D04">
        <w:tc>
          <w:tcPr>
            <w:cnfStyle w:val="001000000000" w:firstRow="0" w:lastRow="0" w:firstColumn="1" w:lastColumn="0" w:oddVBand="0" w:evenVBand="0" w:oddHBand="0" w:evenHBand="0" w:firstRowFirstColumn="0" w:firstRowLastColumn="0" w:lastRowFirstColumn="0" w:lastRowLastColumn="0"/>
            <w:tcW w:w="3517" w:type="dxa"/>
            <w:tcBorders>
              <w:top w:val="nil"/>
              <w:left w:val="nil"/>
              <w:bottom w:val="nil"/>
              <w:right w:val="nil"/>
            </w:tcBorders>
          </w:tcPr>
          <w:p w:rsidR="00A46DCA" w:rsidRPr="00D661D4" w:rsidRDefault="00A46DCA" w:rsidP="00A26D04">
            <w:pPr>
              <w:keepLines w:val="0"/>
              <w:autoSpaceDE w:val="0"/>
              <w:autoSpaceDN w:val="0"/>
              <w:adjustRightInd w:val="0"/>
              <w:spacing w:after="0"/>
              <w:rPr>
                <w:rFonts w:eastAsiaTheme="minorEastAsia" w:cs="Calibri"/>
                <w:color w:val="000000"/>
                <w:sz w:val="16"/>
                <w:szCs w:val="16"/>
                <w:lang w:eastAsia="en-AU"/>
              </w:rPr>
            </w:pPr>
            <w:r w:rsidRPr="00D661D4">
              <w:rPr>
                <w:rFonts w:eastAsiaTheme="minorEastAsia" w:cs="Calibri"/>
                <w:color w:val="000000"/>
                <w:sz w:val="16"/>
                <w:szCs w:val="16"/>
                <w:lang w:eastAsia="en-AU"/>
              </w:rPr>
              <w:t>Interest received</w:t>
            </w:r>
          </w:p>
        </w:tc>
        <w:tc>
          <w:tcPr>
            <w:tcW w:w="850" w:type="dxa"/>
            <w:tcBorders>
              <w:top w:val="nil"/>
              <w:left w:val="nil"/>
              <w:bottom w:val="nil"/>
              <w:right w:val="nil"/>
            </w:tcBorders>
          </w:tcPr>
          <w:p w:rsidR="00A46DCA" w:rsidRPr="00D661D4"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lang w:eastAsia="en-AU"/>
              </w:rPr>
            </w:pPr>
            <w:r w:rsidRPr="00D661D4">
              <w:rPr>
                <w:rFonts w:eastAsiaTheme="minorEastAsia" w:cs="Calibri"/>
                <w:color w:val="000000"/>
                <w:sz w:val="16"/>
                <w:szCs w:val="16"/>
                <w:lang w:eastAsia="en-AU"/>
              </w:rPr>
              <w:t>723</w:t>
            </w:r>
          </w:p>
        </w:tc>
        <w:tc>
          <w:tcPr>
            <w:tcW w:w="850" w:type="dxa"/>
            <w:tcBorders>
              <w:top w:val="nil"/>
              <w:left w:val="nil"/>
              <w:bottom w:val="nil"/>
              <w:right w:val="nil"/>
            </w:tcBorders>
          </w:tcPr>
          <w:p w:rsidR="00A46DCA" w:rsidRPr="00D661D4"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lang w:eastAsia="en-AU"/>
              </w:rPr>
            </w:pPr>
            <w:r w:rsidRPr="00D661D4">
              <w:rPr>
                <w:rFonts w:eastAsiaTheme="minorEastAsia" w:cs="Calibri"/>
                <w:color w:val="000000"/>
                <w:sz w:val="16"/>
                <w:szCs w:val="16"/>
                <w:lang w:eastAsia="en-AU"/>
              </w:rPr>
              <w:t>748</w:t>
            </w:r>
          </w:p>
        </w:tc>
        <w:tc>
          <w:tcPr>
            <w:tcW w:w="850" w:type="dxa"/>
            <w:tcBorders>
              <w:top w:val="nil"/>
              <w:left w:val="nil"/>
              <w:bottom w:val="nil"/>
              <w:right w:val="nil"/>
            </w:tcBorders>
          </w:tcPr>
          <w:p w:rsidR="00A46DCA" w:rsidRPr="00D661D4"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lang w:eastAsia="en-AU"/>
              </w:rPr>
            </w:pPr>
            <w:r w:rsidRPr="00D661D4">
              <w:rPr>
                <w:rFonts w:eastAsiaTheme="minorEastAsia" w:cs="Calibri"/>
                <w:color w:val="000000"/>
                <w:sz w:val="16"/>
                <w:szCs w:val="16"/>
                <w:lang w:eastAsia="en-AU"/>
              </w:rPr>
              <w:t>744</w:t>
            </w:r>
          </w:p>
        </w:tc>
        <w:tc>
          <w:tcPr>
            <w:tcW w:w="850" w:type="dxa"/>
            <w:tcBorders>
              <w:top w:val="nil"/>
              <w:left w:val="nil"/>
              <w:bottom w:val="nil"/>
              <w:right w:val="nil"/>
            </w:tcBorders>
          </w:tcPr>
          <w:p w:rsidR="00A46DCA" w:rsidRPr="00D661D4"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lang w:eastAsia="en-AU"/>
              </w:rPr>
            </w:pPr>
            <w:r w:rsidRPr="00D661D4">
              <w:rPr>
                <w:rFonts w:eastAsiaTheme="minorEastAsia" w:cs="Calibri"/>
                <w:color w:val="000000"/>
                <w:sz w:val="16"/>
                <w:szCs w:val="16"/>
                <w:lang w:eastAsia="en-AU"/>
              </w:rPr>
              <w:t>815</w:t>
            </w:r>
          </w:p>
        </w:tc>
        <w:tc>
          <w:tcPr>
            <w:tcW w:w="850" w:type="dxa"/>
            <w:tcBorders>
              <w:top w:val="nil"/>
              <w:left w:val="nil"/>
              <w:bottom w:val="nil"/>
              <w:right w:val="nil"/>
            </w:tcBorders>
          </w:tcPr>
          <w:p w:rsidR="00A46DCA" w:rsidRPr="00D661D4"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lang w:eastAsia="en-AU"/>
              </w:rPr>
            </w:pPr>
            <w:r w:rsidRPr="00D661D4">
              <w:rPr>
                <w:rFonts w:eastAsiaTheme="minorEastAsia" w:cs="Calibri"/>
                <w:color w:val="000000"/>
                <w:sz w:val="16"/>
                <w:szCs w:val="16"/>
                <w:lang w:eastAsia="en-AU"/>
              </w:rPr>
              <w:t>826</w:t>
            </w:r>
          </w:p>
        </w:tc>
      </w:tr>
      <w:tr w:rsidR="00A46DCA" w:rsidRPr="00D661D4" w:rsidTr="00A26D04">
        <w:tc>
          <w:tcPr>
            <w:cnfStyle w:val="001000000000" w:firstRow="0" w:lastRow="0" w:firstColumn="1" w:lastColumn="0" w:oddVBand="0" w:evenVBand="0" w:oddHBand="0" w:evenHBand="0" w:firstRowFirstColumn="0" w:firstRowLastColumn="0" w:lastRowFirstColumn="0" w:lastRowLastColumn="0"/>
            <w:tcW w:w="3517" w:type="dxa"/>
            <w:tcBorders>
              <w:top w:val="nil"/>
              <w:left w:val="nil"/>
              <w:bottom w:val="nil"/>
              <w:right w:val="nil"/>
            </w:tcBorders>
          </w:tcPr>
          <w:p w:rsidR="00A46DCA" w:rsidRPr="00D661D4" w:rsidRDefault="00A46DCA" w:rsidP="00A26D04">
            <w:pPr>
              <w:keepLines w:val="0"/>
              <w:autoSpaceDE w:val="0"/>
              <w:autoSpaceDN w:val="0"/>
              <w:adjustRightInd w:val="0"/>
              <w:spacing w:after="0"/>
              <w:rPr>
                <w:rFonts w:eastAsiaTheme="minorEastAsia" w:cs="Calibri"/>
                <w:color w:val="000000"/>
                <w:sz w:val="16"/>
                <w:szCs w:val="16"/>
                <w:lang w:eastAsia="en-AU"/>
              </w:rPr>
            </w:pPr>
            <w:r w:rsidRPr="00D661D4">
              <w:rPr>
                <w:rFonts w:eastAsiaTheme="minorEastAsia" w:cs="Calibri"/>
                <w:color w:val="000000"/>
                <w:sz w:val="16"/>
                <w:szCs w:val="16"/>
                <w:lang w:eastAsia="en-AU"/>
              </w:rPr>
              <w:t>Dividends receipts</w:t>
            </w:r>
          </w:p>
        </w:tc>
        <w:tc>
          <w:tcPr>
            <w:tcW w:w="850" w:type="dxa"/>
            <w:tcBorders>
              <w:top w:val="nil"/>
              <w:left w:val="nil"/>
              <w:bottom w:val="nil"/>
              <w:right w:val="nil"/>
            </w:tcBorders>
          </w:tcPr>
          <w:p w:rsidR="00A46DCA" w:rsidRPr="00D661D4"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lang w:eastAsia="en-AU"/>
              </w:rPr>
            </w:pPr>
            <w:r w:rsidRPr="00D661D4">
              <w:rPr>
                <w:rFonts w:eastAsiaTheme="minorEastAsia" w:cs="Calibri"/>
                <w:color w:val="000000"/>
                <w:sz w:val="16"/>
                <w:szCs w:val="16"/>
                <w:lang w:eastAsia="en-AU"/>
              </w:rPr>
              <w:t>1 148</w:t>
            </w:r>
          </w:p>
        </w:tc>
        <w:tc>
          <w:tcPr>
            <w:tcW w:w="850" w:type="dxa"/>
            <w:tcBorders>
              <w:top w:val="nil"/>
              <w:left w:val="nil"/>
              <w:bottom w:val="nil"/>
              <w:right w:val="nil"/>
            </w:tcBorders>
          </w:tcPr>
          <w:p w:rsidR="00A46DCA" w:rsidRPr="00D661D4"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lang w:eastAsia="en-AU"/>
              </w:rPr>
            </w:pPr>
            <w:r w:rsidRPr="00D661D4">
              <w:rPr>
                <w:rFonts w:eastAsiaTheme="minorEastAsia" w:cs="Calibri"/>
                <w:color w:val="000000"/>
                <w:sz w:val="16"/>
                <w:szCs w:val="16"/>
                <w:lang w:eastAsia="en-AU"/>
              </w:rPr>
              <w:t>1 217</w:t>
            </w:r>
          </w:p>
        </w:tc>
        <w:tc>
          <w:tcPr>
            <w:tcW w:w="850" w:type="dxa"/>
            <w:tcBorders>
              <w:top w:val="nil"/>
              <w:left w:val="nil"/>
              <w:bottom w:val="nil"/>
              <w:right w:val="nil"/>
            </w:tcBorders>
          </w:tcPr>
          <w:p w:rsidR="00A46DCA" w:rsidRPr="00D661D4"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lang w:eastAsia="en-AU"/>
              </w:rPr>
            </w:pPr>
            <w:r w:rsidRPr="00D661D4">
              <w:rPr>
                <w:rFonts w:eastAsiaTheme="minorEastAsia" w:cs="Calibri"/>
                <w:color w:val="000000"/>
                <w:sz w:val="16"/>
                <w:szCs w:val="16"/>
                <w:lang w:eastAsia="en-AU"/>
              </w:rPr>
              <w:t>1 222</w:t>
            </w:r>
          </w:p>
        </w:tc>
        <w:tc>
          <w:tcPr>
            <w:tcW w:w="850" w:type="dxa"/>
            <w:tcBorders>
              <w:top w:val="nil"/>
              <w:left w:val="nil"/>
              <w:bottom w:val="nil"/>
              <w:right w:val="nil"/>
            </w:tcBorders>
          </w:tcPr>
          <w:p w:rsidR="00A46DCA" w:rsidRPr="00D661D4"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lang w:eastAsia="en-AU"/>
              </w:rPr>
            </w:pPr>
            <w:r w:rsidRPr="00D661D4">
              <w:rPr>
                <w:rFonts w:eastAsiaTheme="minorEastAsia" w:cs="Calibri"/>
                <w:color w:val="000000"/>
                <w:sz w:val="16"/>
                <w:szCs w:val="16"/>
                <w:lang w:eastAsia="en-AU"/>
              </w:rPr>
              <w:t>1 315</w:t>
            </w:r>
          </w:p>
        </w:tc>
        <w:tc>
          <w:tcPr>
            <w:tcW w:w="850" w:type="dxa"/>
            <w:tcBorders>
              <w:top w:val="nil"/>
              <w:left w:val="nil"/>
              <w:bottom w:val="nil"/>
              <w:right w:val="nil"/>
            </w:tcBorders>
          </w:tcPr>
          <w:p w:rsidR="00A46DCA" w:rsidRPr="00D661D4"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lang w:eastAsia="en-AU"/>
              </w:rPr>
            </w:pPr>
            <w:r w:rsidRPr="00D661D4">
              <w:rPr>
                <w:rFonts w:eastAsiaTheme="minorEastAsia" w:cs="Calibri"/>
                <w:color w:val="000000"/>
                <w:sz w:val="16"/>
                <w:szCs w:val="16"/>
                <w:lang w:eastAsia="en-AU"/>
              </w:rPr>
              <w:t>1 364</w:t>
            </w:r>
          </w:p>
        </w:tc>
      </w:tr>
      <w:tr w:rsidR="00A46DCA" w:rsidRPr="00D661D4" w:rsidTr="00A26D04">
        <w:tc>
          <w:tcPr>
            <w:cnfStyle w:val="001000000000" w:firstRow="0" w:lastRow="0" w:firstColumn="1" w:lastColumn="0" w:oddVBand="0" w:evenVBand="0" w:oddHBand="0" w:evenHBand="0" w:firstRowFirstColumn="0" w:firstRowLastColumn="0" w:lastRowFirstColumn="0" w:lastRowLastColumn="0"/>
            <w:tcW w:w="3517" w:type="dxa"/>
            <w:tcBorders>
              <w:top w:val="nil"/>
              <w:left w:val="nil"/>
              <w:bottom w:val="single" w:sz="6" w:space="0" w:color="000000"/>
              <w:right w:val="nil"/>
            </w:tcBorders>
          </w:tcPr>
          <w:p w:rsidR="00A46DCA" w:rsidRPr="00D661D4" w:rsidRDefault="00A46DCA" w:rsidP="00A26D04">
            <w:pPr>
              <w:keepLines w:val="0"/>
              <w:autoSpaceDE w:val="0"/>
              <w:autoSpaceDN w:val="0"/>
              <w:adjustRightInd w:val="0"/>
              <w:spacing w:after="0"/>
              <w:rPr>
                <w:rFonts w:eastAsiaTheme="minorEastAsia" w:cs="Calibri"/>
                <w:color w:val="000000"/>
                <w:sz w:val="16"/>
                <w:szCs w:val="16"/>
                <w:lang w:eastAsia="en-AU"/>
              </w:rPr>
            </w:pPr>
            <w:r w:rsidRPr="00D661D4">
              <w:rPr>
                <w:rFonts w:eastAsiaTheme="minorEastAsia" w:cs="Calibri"/>
                <w:color w:val="000000"/>
                <w:sz w:val="16"/>
                <w:szCs w:val="16"/>
                <w:lang w:eastAsia="en-AU"/>
              </w:rPr>
              <w:t>Other receipts</w:t>
            </w:r>
          </w:p>
        </w:tc>
        <w:tc>
          <w:tcPr>
            <w:tcW w:w="850" w:type="dxa"/>
            <w:tcBorders>
              <w:top w:val="nil"/>
              <w:left w:val="nil"/>
              <w:bottom w:val="single" w:sz="6" w:space="0" w:color="000000"/>
              <w:right w:val="nil"/>
            </w:tcBorders>
          </w:tcPr>
          <w:p w:rsidR="00A46DCA" w:rsidRPr="00D661D4"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lang w:eastAsia="en-AU"/>
              </w:rPr>
            </w:pPr>
            <w:r w:rsidRPr="00D661D4">
              <w:rPr>
                <w:rFonts w:eastAsiaTheme="minorEastAsia" w:cs="Calibri"/>
                <w:color w:val="000000"/>
                <w:sz w:val="16"/>
                <w:szCs w:val="16"/>
                <w:lang w:eastAsia="en-AU"/>
              </w:rPr>
              <w:t>2 582</w:t>
            </w:r>
          </w:p>
        </w:tc>
        <w:tc>
          <w:tcPr>
            <w:tcW w:w="850" w:type="dxa"/>
            <w:tcBorders>
              <w:top w:val="nil"/>
              <w:left w:val="nil"/>
              <w:bottom w:val="single" w:sz="6" w:space="0" w:color="000000"/>
              <w:right w:val="nil"/>
            </w:tcBorders>
          </w:tcPr>
          <w:p w:rsidR="00A46DCA" w:rsidRPr="00D661D4"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lang w:eastAsia="en-AU"/>
              </w:rPr>
            </w:pPr>
            <w:r w:rsidRPr="00D661D4">
              <w:rPr>
                <w:rFonts w:eastAsiaTheme="minorEastAsia" w:cs="Calibri"/>
                <w:color w:val="000000"/>
                <w:sz w:val="16"/>
                <w:szCs w:val="16"/>
                <w:lang w:eastAsia="en-AU"/>
              </w:rPr>
              <w:t>2 714</w:t>
            </w:r>
          </w:p>
        </w:tc>
        <w:tc>
          <w:tcPr>
            <w:tcW w:w="850" w:type="dxa"/>
            <w:tcBorders>
              <w:top w:val="nil"/>
              <w:left w:val="nil"/>
              <w:bottom w:val="single" w:sz="6" w:space="0" w:color="000000"/>
              <w:right w:val="nil"/>
            </w:tcBorders>
          </w:tcPr>
          <w:p w:rsidR="00A46DCA" w:rsidRPr="00D661D4"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lang w:eastAsia="en-AU"/>
              </w:rPr>
            </w:pPr>
            <w:r w:rsidRPr="00D661D4">
              <w:rPr>
                <w:rFonts w:eastAsiaTheme="minorEastAsia" w:cs="Calibri"/>
                <w:color w:val="000000"/>
                <w:sz w:val="16"/>
                <w:szCs w:val="16"/>
                <w:lang w:eastAsia="en-AU"/>
              </w:rPr>
              <w:t>2 567</w:t>
            </w:r>
          </w:p>
        </w:tc>
        <w:tc>
          <w:tcPr>
            <w:tcW w:w="850" w:type="dxa"/>
            <w:tcBorders>
              <w:top w:val="nil"/>
              <w:left w:val="nil"/>
              <w:bottom w:val="single" w:sz="6" w:space="0" w:color="000000"/>
              <w:right w:val="nil"/>
            </w:tcBorders>
          </w:tcPr>
          <w:p w:rsidR="00A46DCA" w:rsidRPr="00D661D4"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lang w:eastAsia="en-AU"/>
              </w:rPr>
            </w:pPr>
            <w:r w:rsidRPr="00D661D4">
              <w:rPr>
                <w:rFonts w:eastAsiaTheme="minorEastAsia" w:cs="Calibri"/>
                <w:color w:val="000000"/>
                <w:sz w:val="16"/>
                <w:szCs w:val="16"/>
                <w:lang w:eastAsia="en-AU"/>
              </w:rPr>
              <w:t>2 553</w:t>
            </w:r>
          </w:p>
        </w:tc>
        <w:tc>
          <w:tcPr>
            <w:tcW w:w="850" w:type="dxa"/>
            <w:tcBorders>
              <w:top w:val="nil"/>
              <w:left w:val="nil"/>
              <w:bottom w:val="single" w:sz="6" w:space="0" w:color="000000"/>
              <w:right w:val="nil"/>
            </w:tcBorders>
          </w:tcPr>
          <w:p w:rsidR="00A46DCA" w:rsidRPr="00D661D4"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lang w:eastAsia="en-AU"/>
              </w:rPr>
            </w:pPr>
            <w:r w:rsidRPr="00D661D4">
              <w:rPr>
                <w:rFonts w:eastAsiaTheme="minorEastAsia" w:cs="Calibri"/>
                <w:color w:val="000000"/>
                <w:sz w:val="16"/>
                <w:szCs w:val="16"/>
                <w:lang w:eastAsia="en-AU"/>
              </w:rPr>
              <w:t>2 610</w:t>
            </w:r>
          </w:p>
        </w:tc>
      </w:tr>
      <w:tr w:rsidR="00A46DCA" w:rsidRPr="00D661D4" w:rsidTr="00A26D04">
        <w:tc>
          <w:tcPr>
            <w:cnfStyle w:val="001000000000" w:firstRow="0" w:lastRow="0" w:firstColumn="1" w:lastColumn="0" w:oddVBand="0" w:evenVBand="0" w:oddHBand="0" w:evenHBand="0" w:firstRowFirstColumn="0" w:firstRowLastColumn="0" w:lastRowFirstColumn="0" w:lastRowLastColumn="0"/>
            <w:tcW w:w="3517" w:type="dxa"/>
            <w:tcBorders>
              <w:top w:val="nil"/>
              <w:left w:val="nil"/>
              <w:bottom w:val="nil"/>
              <w:right w:val="nil"/>
            </w:tcBorders>
          </w:tcPr>
          <w:p w:rsidR="00A46DCA" w:rsidRPr="00D661D4" w:rsidRDefault="00A46DCA" w:rsidP="00A26D04">
            <w:pPr>
              <w:keepLines w:val="0"/>
              <w:autoSpaceDE w:val="0"/>
              <w:autoSpaceDN w:val="0"/>
              <w:adjustRightInd w:val="0"/>
              <w:spacing w:after="0"/>
              <w:rPr>
                <w:rFonts w:eastAsiaTheme="minorEastAsia" w:cs="Calibri"/>
                <w:b/>
                <w:bCs/>
                <w:color w:val="000000"/>
                <w:sz w:val="16"/>
                <w:szCs w:val="16"/>
                <w:lang w:eastAsia="en-AU"/>
              </w:rPr>
            </w:pPr>
            <w:r w:rsidRPr="00D661D4">
              <w:rPr>
                <w:rFonts w:eastAsiaTheme="minorEastAsia" w:cs="Calibri"/>
                <w:b/>
                <w:bCs/>
                <w:color w:val="000000"/>
                <w:sz w:val="16"/>
                <w:szCs w:val="16"/>
                <w:lang w:eastAsia="en-AU"/>
              </w:rPr>
              <w:t>Total receipts</w:t>
            </w:r>
          </w:p>
        </w:tc>
        <w:tc>
          <w:tcPr>
            <w:tcW w:w="850" w:type="dxa"/>
            <w:tcBorders>
              <w:top w:val="nil"/>
              <w:left w:val="nil"/>
              <w:bottom w:val="nil"/>
              <w:right w:val="nil"/>
            </w:tcBorders>
          </w:tcPr>
          <w:p w:rsidR="00A46DCA" w:rsidRPr="00D661D4"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szCs w:val="16"/>
                <w:lang w:eastAsia="en-AU"/>
              </w:rPr>
            </w:pPr>
            <w:r w:rsidRPr="00D661D4">
              <w:rPr>
                <w:rFonts w:eastAsiaTheme="minorEastAsia" w:cs="Calibri"/>
                <w:b/>
                <w:bCs/>
                <w:color w:val="000000"/>
                <w:sz w:val="16"/>
                <w:szCs w:val="16"/>
                <w:lang w:eastAsia="en-AU"/>
              </w:rPr>
              <w:t>71 874</w:t>
            </w:r>
          </w:p>
        </w:tc>
        <w:tc>
          <w:tcPr>
            <w:tcW w:w="850" w:type="dxa"/>
            <w:tcBorders>
              <w:top w:val="nil"/>
              <w:left w:val="nil"/>
              <w:bottom w:val="nil"/>
              <w:right w:val="nil"/>
            </w:tcBorders>
          </w:tcPr>
          <w:p w:rsidR="00A46DCA" w:rsidRPr="00D661D4"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szCs w:val="16"/>
                <w:lang w:eastAsia="en-AU"/>
              </w:rPr>
            </w:pPr>
            <w:r w:rsidRPr="00D661D4">
              <w:rPr>
                <w:rFonts w:eastAsiaTheme="minorEastAsia" w:cs="Calibri"/>
                <w:b/>
                <w:bCs/>
                <w:color w:val="000000"/>
                <w:sz w:val="16"/>
                <w:szCs w:val="16"/>
                <w:lang w:eastAsia="en-AU"/>
              </w:rPr>
              <w:t>72 731</w:t>
            </w:r>
          </w:p>
        </w:tc>
        <w:tc>
          <w:tcPr>
            <w:tcW w:w="850" w:type="dxa"/>
            <w:tcBorders>
              <w:top w:val="nil"/>
              <w:left w:val="nil"/>
              <w:bottom w:val="nil"/>
              <w:right w:val="nil"/>
            </w:tcBorders>
          </w:tcPr>
          <w:p w:rsidR="00A46DCA" w:rsidRPr="00D661D4"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szCs w:val="16"/>
                <w:lang w:eastAsia="en-AU"/>
              </w:rPr>
            </w:pPr>
            <w:r w:rsidRPr="00D661D4">
              <w:rPr>
                <w:rFonts w:eastAsiaTheme="minorEastAsia" w:cs="Calibri"/>
                <w:b/>
                <w:bCs/>
                <w:color w:val="000000"/>
                <w:sz w:val="16"/>
                <w:szCs w:val="16"/>
                <w:lang w:eastAsia="en-AU"/>
              </w:rPr>
              <w:t>78 045</w:t>
            </w:r>
          </w:p>
        </w:tc>
        <w:tc>
          <w:tcPr>
            <w:tcW w:w="850" w:type="dxa"/>
            <w:tcBorders>
              <w:top w:val="nil"/>
              <w:left w:val="nil"/>
              <w:bottom w:val="nil"/>
              <w:right w:val="nil"/>
            </w:tcBorders>
          </w:tcPr>
          <w:p w:rsidR="00A46DCA" w:rsidRPr="00D661D4"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szCs w:val="16"/>
                <w:lang w:eastAsia="en-AU"/>
              </w:rPr>
            </w:pPr>
            <w:r w:rsidRPr="00D661D4">
              <w:rPr>
                <w:rFonts w:eastAsiaTheme="minorEastAsia" w:cs="Calibri"/>
                <w:b/>
                <w:bCs/>
                <w:color w:val="000000"/>
                <w:sz w:val="16"/>
                <w:szCs w:val="16"/>
                <w:lang w:eastAsia="en-AU"/>
              </w:rPr>
              <w:t>78 091</w:t>
            </w:r>
          </w:p>
        </w:tc>
        <w:tc>
          <w:tcPr>
            <w:tcW w:w="850" w:type="dxa"/>
            <w:tcBorders>
              <w:top w:val="nil"/>
              <w:left w:val="nil"/>
              <w:bottom w:val="nil"/>
              <w:right w:val="nil"/>
            </w:tcBorders>
          </w:tcPr>
          <w:p w:rsidR="00A46DCA" w:rsidRPr="00D661D4"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szCs w:val="16"/>
                <w:lang w:eastAsia="en-AU"/>
              </w:rPr>
            </w:pPr>
            <w:r w:rsidRPr="00D661D4">
              <w:rPr>
                <w:rFonts w:eastAsiaTheme="minorEastAsia" w:cs="Calibri"/>
                <w:b/>
                <w:bCs/>
                <w:color w:val="000000"/>
                <w:sz w:val="16"/>
                <w:szCs w:val="16"/>
                <w:lang w:eastAsia="en-AU"/>
              </w:rPr>
              <w:t>81 492</w:t>
            </w:r>
          </w:p>
        </w:tc>
      </w:tr>
      <w:tr w:rsidR="00A46DCA" w:rsidRPr="00D661D4" w:rsidTr="00A26D04">
        <w:tc>
          <w:tcPr>
            <w:cnfStyle w:val="001000000000" w:firstRow="0" w:lastRow="0" w:firstColumn="1" w:lastColumn="0" w:oddVBand="0" w:evenVBand="0" w:oddHBand="0" w:evenHBand="0" w:firstRowFirstColumn="0" w:firstRowLastColumn="0" w:lastRowFirstColumn="0" w:lastRowLastColumn="0"/>
            <w:tcW w:w="3517" w:type="dxa"/>
            <w:tcBorders>
              <w:top w:val="nil"/>
              <w:left w:val="nil"/>
              <w:bottom w:val="nil"/>
              <w:right w:val="nil"/>
            </w:tcBorders>
          </w:tcPr>
          <w:p w:rsidR="00A46DCA" w:rsidRPr="00D661D4" w:rsidRDefault="00A46DCA" w:rsidP="00A26D04">
            <w:pPr>
              <w:keepLines w:val="0"/>
              <w:autoSpaceDE w:val="0"/>
              <w:autoSpaceDN w:val="0"/>
              <w:adjustRightInd w:val="0"/>
              <w:spacing w:after="0"/>
              <w:rPr>
                <w:rFonts w:eastAsiaTheme="minorEastAsia" w:cs="Calibri"/>
                <w:b/>
                <w:bCs/>
                <w:color w:val="000000"/>
                <w:sz w:val="16"/>
                <w:szCs w:val="16"/>
                <w:lang w:eastAsia="en-AU"/>
              </w:rPr>
            </w:pPr>
            <w:r w:rsidRPr="00D661D4">
              <w:rPr>
                <w:rFonts w:eastAsiaTheme="minorEastAsia" w:cs="Calibri"/>
                <w:b/>
                <w:bCs/>
                <w:color w:val="000000"/>
                <w:sz w:val="16"/>
                <w:szCs w:val="16"/>
                <w:lang w:eastAsia="en-AU"/>
              </w:rPr>
              <w:t>Payments</w:t>
            </w:r>
          </w:p>
        </w:tc>
        <w:tc>
          <w:tcPr>
            <w:tcW w:w="850" w:type="dxa"/>
            <w:tcBorders>
              <w:top w:val="nil"/>
              <w:left w:val="nil"/>
              <w:bottom w:val="nil"/>
              <w:right w:val="nil"/>
            </w:tcBorders>
          </w:tcPr>
          <w:p w:rsidR="00A46DCA" w:rsidRPr="00D661D4"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szCs w:val="16"/>
                <w:lang w:eastAsia="en-AU"/>
              </w:rPr>
            </w:pPr>
            <w:r w:rsidRPr="00D661D4">
              <w:rPr>
                <w:rFonts w:eastAsiaTheme="minorEastAsia" w:cs="Calibri"/>
                <w:b/>
                <w:bCs/>
                <w:color w:val="000000"/>
                <w:sz w:val="16"/>
                <w:szCs w:val="16"/>
                <w:lang w:eastAsia="en-AU"/>
              </w:rPr>
              <w:t xml:space="preserve"> </w:t>
            </w:r>
          </w:p>
        </w:tc>
        <w:tc>
          <w:tcPr>
            <w:tcW w:w="850" w:type="dxa"/>
            <w:tcBorders>
              <w:top w:val="nil"/>
              <w:left w:val="nil"/>
              <w:bottom w:val="nil"/>
              <w:right w:val="nil"/>
            </w:tcBorders>
          </w:tcPr>
          <w:p w:rsidR="00A46DCA" w:rsidRPr="00D661D4"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szCs w:val="16"/>
                <w:lang w:eastAsia="en-AU"/>
              </w:rPr>
            </w:pPr>
            <w:r w:rsidRPr="00D661D4">
              <w:rPr>
                <w:rFonts w:eastAsiaTheme="minorEastAsia" w:cs="Calibri"/>
                <w:b/>
                <w:bCs/>
                <w:color w:val="000000"/>
                <w:sz w:val="16"/>
                <w:szCs w:val="16"/>
                <w:lang w:eastAsia="en-AU"/>
              </w:rPr>
              <w:t xml:space="preserve"> </w:t>
            </w:r>
          </w:p>
        </w:tc>
        <w:tc>
          <w:tcPr>
            <w:tcW w:w="850" w:type="dxa"/>
            <w:tcBorders>
              <w:top w:val="nil"/>
              <w:left w:val="nil"/>
              <w:bottom w:val="nil"/>
              <w:right w:val="nil"/>
            </w:tcBorders>
          </w:tcPr>
          <w:p w:rsidR="00A46DCA" w:rsidRPr="00D661D4"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szCs w:val="16"/>
                <w:lang w:eastAsia="en-AU"/>
              </w:rPr>
            </w:pPr>
            <w:r w:rsidRPr="00D661D4">
              <w:rPr>
                <w:rFonts w:eastAsiaTheme="minorEastAsia" w:cs="Calibri"/>
                <w:b/>
                <w:bCs/>
                <w:color w:val="000000"/>
                <w:sz w:val="16"/>
                <w:szCs w:val="16"/>
                <w:lang w:eastAsia="en-AU"/>
              </w:rPr>
              <w:t xml:space="preserve"> </w:t>
            </w:r>
          </w:p>
        </w:tc>
        <w:tc>
          <w:tcPr>
            <w:tcW w:w="850" w:type="dxa"/>
            <w:tcBorders>
              <w:top w:val="nil"/>
              <w:left w:val="nil"/>
              <w:bottom w:val="nil"/>
              <w:right w:val="nil"/>
            </w:tcBorders>
          </w:tcPr>
          <w:p w:rsidR="00A46DCA" w:rsidRPr="00D661D4"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szCs w:val="16"/>
                <w:lang w:eastAsia="en-AU"/>
              </w:rPr>
            </w:pPr>
            <w:r w:rsidRPr="00D661D4">
              <w:rPr>
                <w:rFonts w:eastAsiaTheme="minorEastAsia" w:cs="Calibri"/>
                <w:b/>
                <w:bCs/>
                <w:color w:val="000000"/>
                <w:sz w:val="16"/>
                <w:szCs w:val="16"/>
                <w:lang w:eastAsia="en-AU"/>
              </w:rPr>
              <w:t xml:space="preserve"> </w:t>
            </w:r>
          </w:p>
        </w:tc>
        <w:tc>
          <w:tcPr>
            <w:tcW w:w="850" w:type="dxa"/>
            <w:tcBorders>
              <w:top w:val="nil"/>
              <w:left w:val="nil"/>
              <w:bottom w:val="nil"/>
              <w:right w:val="nil"/>
            </w:tcBorders>
          </w:tcPr>
          <w:p w:rsidR="00A46DCA" w:rsidRPr="00D661D4"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szCs w:val="16"/>
                <w:lang w:eastAsia="en-AU"/>
              </w:rPr>
            </w:pPr>
            <w:r w:rsidRPr="00D661D4">
              <w:rPr>
                <w:rFonts w:eastAsiaTheme="minorEastAsia" w:cs="Calibri"/>
                <w:b/>
                <w:bCs/>
                <w:color w:val="000000"/>
                <w:sz w:val="16"/>
                <w:szCs w:val="16"/>
                <w:lang w:eastAsia="en-AU"/>
              </w:rPr>
              <w:t xml:space="preserve"> </w:t>
            </w:r>
          </w:p>
        </w:tc>
      </w:tr>
      <w:tr w:rsidR="00A46DCA" w:rsidRPr="00D661D4" w:rsidTr="00A26D04">
        <w:tc>
          <w:tcPr>
            <w:cnfStyle w:val="001000000000" w:firstRow="0" w:lastRow="0" w:firstColumn="1" w:lastColumn="0" w:oddVBand="0" w:evenVBand="0" w:oddHBand="0" w:evenHBand="0" w:firstRowFirstColumn="0" w:firstRowLastColumn="0" w:lastRowFirstColumn="0" w:lastRowLastColumn="0"/>
            <w:tcW w:w="3517" w:type="dxa"/>
            <w:tcBorders>
              <w:top w:val="nil"/>
              <w:left w:val="nil"/>
              <w:bottom w:val="nil"/>
              <w:right w:val="nil"/>
            </w:tcBorders>
          </w:tcPr>
          <w:p w:rsidR="00A46DCA" w:rsidRPr="00D661D4" w:rsidRDefault="00A46DCA" w:rsidP="00A26D04">
            <w:pPr>
              <w:keepLines w:val="0"/>
              <w:autoSpaceDE w:val="0"/>
              <w:autoSpaceDN w:val="0"/>
              <w:adjustRightInd w:val="0"/>
              <w:spacing w:after="0"/>
              <w:rPr>
                <w:rFonts w:eastAsiaTheme="minorEastAsia" w:cs="Calibri"/>
                <w:color w:val="000000"/>
                <w:sz w:val="16"/>
                <w:szCs w:val="16"/>
                <w:lang w:eastAsia="en-AU"/>
              </w:rPr>
            </w:pPr>
            <w:r w:rsidRPr="00D661D4">
              <w:rPr>
                <w:rFonts w:eastAsiaTheme="minorEastAsia" w:cs="Calibri"/>
                <w:color w:val="000000"/>
                <w:sz w:val="16"/>
                <w:szCs w:val="16"/>
                <w:lang w:eastAsia="en-AU"/>
              </w:rPr>
              <w:t>Payments for employees</w:t>
            </w:r>
          </w:p>
        </w:tc>
        <w:tc>
          <w:tcPr>
            <w:tcW w:w="850" w:type="dxa"/>
            <w:tcBorders>
              <w:top w:val="nil"/>
              <w:left w:val="nil"/>
              <w:bottom w:val="nil"/>
              <w:right w:val="nil"/>
            </w:tcBorders>
          </w:tcPr>
          <w:p w:rsidR="00A46DCA" w:rsidRPr="00D661D4"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lang w:eastAsia="en-AU"/>
              </w:rPr>
            </w:pPr>
            <w:r w:rsidRPr="00D661D4">
              <w:rPr>
                <w:rFonts w:eastAsiaTheme="minorEastAsia" w:cs="Calibri"/>
                <w:color w:val="000000"/>
                <w:sz w:val="16"/>
                <w:szCs w:val="16"/>
                <w:lang w:eastAsia="en-AU"/>
              </w:rPr>
              <w:t>(23 927)</w:t>
            </w:r>
          </w:p>
        </w:tc>
        <w:tc>
          <w:tcPr>
            <w:tcW w:w="850" w:type="dxa"/>
            <w:tcBorders>
              <w:top w:val="nil"/>
              <w:left w:val="nil"/>
              <w:bottom w:val="nil"/>
              <w:right w:val="nil"/>
            </w:tcBorders>
          </w:tcPr>
          <w:p w:rsidR="00A46DCA" w:rsidRPr="00D661D4"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lang w:eastAsia="en-AU"/>
              </w:rPr>
            </w:pPr>
            <w:r w:rsidRPr="00D661D4">
              <w:rPr>
                <w:rFonts w:eastAsiaTheme="minorEastAsia" w:cs="Calibri"/>
                <w:color w:val="000000"/>
                <w:sz w:val="16"/>
                <w:szCs w:val="16"/>
                <w:lang w:eastAsia="en-AU"/>
              </w:rPr>
              <w:t>(24 022)</w:t>
            </w:r>
          </w:p>
        </w:tc>
        <w:tc>
          <w:tcPr>
            <w:tcW w:w="850" w:type="dxa"/>
            <w:tcBorders>
              <w:top w:val="nil"/>
              <w:left w:val="nil"/>
              <w:bottom w:val="nil"/>
              <w:right w:val="nil"/>
            </w:tcBorders>
          </w:tcPr>
          <w:p w:rsidR="00A46DCA" w:rsidRPr="00D661D4"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lang w:eastAsia="en-AU"/>
              </w:rPr>
            </w:pPr>
            <w:r w:rsidRPr="00D661D4">
              <w:rPr>
                <w:rFonts w:eastAsiaTheme="minorEastAsia" w:cs="Calibri"/>
                <w:color w:val="000000"/>
                <w:sz w:val="16"/>
                <w:szCs w:val="16"/>
                <w:lang w:eastAsia="en-AU"/>
              </w:rPr>
              <w:t>(25 542)</w:t>
            </w:r>
          </w:p>
        </w:tc>
        <w:tc>
          <w:tcPr>
            <w:tcW w:w="850" w:type="dxa"/>
            <w:tcBorders>
              <w:top w:val="nil"/>
              <w:left w:val="nil"/>
              <w:bottom w:val="nil"/>
              <w:right w:val="nil"/>
            </w:tcBorders>
          </w:tcPr>
          <w:p w:rsidR="00A46DCA" w:rsidRPr="00D661D4"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lang w:eastAsia="en-AU"/>
              </w:rPr>
            </w:pPr>
            <w:r w:rsidRPr="00D661D4">
              <w:rPr>
                <w:rFonts w:eastAsiaTheme="minorEastAsia" w:cs="Calibri"/>
                <w:color w:val="000000"/>
                <w:sz w:val="16"/>
                <w:szCs w:val="16"/>
                <w:lang w:eastAsia="en-AU"/>
              </w:rPr>
              <w:t>(26 112)</w:t>
            </w:r>
          </w:p>
        </w:tc>
        <w:tc>
          <w:tcPr>
            <w:tcW w:w="850" w:type="dxa"/>
            <w:tcBorders>
              <w:top w:val="nil"/>
              <w:left w:val="nil"/>
              <w:bottom w:val="nil"/>
              <w:right w:val="nil"/>
            </w:tcBorders>
          </w:tcPr>
          <w:p w:rsidR="00A46DCA" w:rsidRPr="00D661D4"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lang w:eastAsia="en-AU"/>
              </w:rPr>
            </w:pPr>
            <w:r w:rsidRPr="00D661D4">
              <w:rPr>
                <w:rFonts w:eastAsiaTheme="minorEastAsia" w:cs="Calibri"/>
                <w:color w:val="000000"/>
                <w:sz w:val="16"/>
                <w:szCs w:val="16"/>
                <w:lang w:eastAsia="en-AU"/>
              </w:rPr>
              <w:t>(26 868)</w:t>
            </w:r>
          </w:p>
        </w:tc>
      </w:tr>
      <w:tr w:rsidR="00A46DCA" w:rsidRPr="00D661D4" w:rsidTr="00A26D04">
        <w:tc>
          <w:tcPr>
            <w:cnfStyle w:val="001000000000" w:firstRow="0" w:lastRow="0" w:firstColumn="1" w:lastColumn="0" w:oddVBand="0" w:evenVBand="0" w:oddHBand="0" w:evenHBand="0" w:firstRowFirstColumn="0" w:firstRowLastColumn="0" w:lastRowFirstColumn="0" w:lastRowLastColumn="0"/>
            <w:tcW w:w="3517" w:type="dxa"/>
            <w:tcBorders>
              <w:top w:val="nil"/>
              <w:left w:val="nil"/>
              <w:bottom w:val="nil"/>
              <w:right w:val="nil"/>
            </w:tcBorders>
          </w:tcPr>
          <w:p w:rsidR="00A46DCA" w:rsidRPr="00D661D4" w:rsidRDefault="00A46DCA" w:rsidP="00A26D04">
            <w:pPr>
              <w:keepLines w:val="0"/>
              <w:autoSpaceDE w:val="0"/>
              <w:autoSpaceDN w:val="0"/>
              <w:adjustRightInd w:val="0"/>
              <w:spacing w:after="0"/>
              <w:rPr>
                <w:rFonts w:eastAsiaTheme="minorEastAsia" w:cs="Calibri"/>
                <w:color w:val="000000"/>
                <w:sz w:val="16"/>
                <w:szCs w:val="16"/>
                <w:lang w:eastAsia="en-AU"/>
              </w:rPr>
            </w:pPr>
            <w:r w:rsidRPr="00D661D4">
              <w:rPr>
                <w:rFonts w:eastAsiaTheme="minorEastAsia" w:cs="Calibri"/>
                <w:color w:val="000000"/>
                <w:sz w:val="16"/>
                <w:szCs w:val="16"/>
                <w:lang w:eastAsia="en-AU"/>
              </w:rPr>
              <w:t>Superannuation</w:t>
            </w:r>
          </w:p>
        </w:tc>
        <w:tc>
          <w:tcPr>
            <w:tcW w:w="850" w:type="dxa"/>
            <w:tcBorders>
              <w:top w:val="nil"/>
              <w:left w:val="nil"/>
              <w:bottom w:val="nil"/>
              <w:right w:val="nil"/>
            </w:tcBorders>
          </w:tcPr>
          <w:p w:rsidR="00A46DCA" w:rsidRPr="00D661D4"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lang w:eastAsia="en-AU"/>
              </w:rPr>
            </w:pPr>
            <w:r w:rsidRPr="00D661D4">
              <w:rPr>
                <w:rFonts w:eastAsiaTheme="minorEastAsia" w:cs="Calibri"/>
                <w:color w:val="000000"/>
                <w:sz w:val="16"/>
                <w:szCs w:val="16"/>
                <w:lang w:eastAsia="en-AU"/>
              </w:rPr>
              <w:t>(3 248)</w:t>
            </w:r>
          </w:p>
        </w:tc>
        <w:tc>
          <w:tcPr>
            <w:tcW w:w="850" w:type="dxa"/>
            <w:tcBorders>
              <w:top w:val="nil"/>
              <w:left w:val="nil"/>
              <w:bottom w:val="nil"/>
              <w:right w:val="nil"/>
            </w:tcBorders>
          </w:tcPr>
          <w:p w:rsidR="00A46DCA" w:rsidRPr="00D661D4"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lang w:eastAsia="en-AU"/>
              </w:rPr>
            </w:pPr>
            <w:r w:rsidRPr="00D661D4">
              <w:rPr>
                <w:rFonts w:eastAsiaTheme="minorEastAsia" w:cs="Calibri"/>
                <w:color w:val="000000"/>
                <w:sz w:val="16"/>
                <w:szCs w:val="16"/>
                <w:lang w:eastAsia="en-AU"/>
              </w:rPr>
              <w:t>(3 289)</w:t>
            </w:r>
          </w:p>
        </w:tc>
        <w:tc>
          <w:tcPr>
            <w:tcW w:w="850" w:type="dxa"/>
            <w:tcBorders>
              <w:top w:val="nil"/>
              <w:left w:val="nil"/>
              <w:bottom w:val="nil"/>
              <w:right w:val="nil"/>
            </w:tcBorders>
          </w:tcPr>
          <w:p w:rsidR="00A46DCA" w:rsidRPr="00D661D4"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lang w:eastAsia="en-AU"/>
              </w:rPr>
            </w:pPr>
            <w:r w:rsidRPr="00D661D4">
              <w:rPr>
                <w:rFonts w:eastAsiaTheme="minorEastAsia" w:cs="Calibri"/>
                <w:color w:val="000000"/>
                <w:sz w:val="16"/>
                <w:szCs w:val="16"/>
                <w:lang w:eastAsia="en-AU"/>
              </w:rPr>
              <w:t>(3 368)</w:t>
            </w:r>
          </w:p>
        </w:tc>
        <w:tc>
          <w:tcPr>
            <w:tcW w:w="850" w:type="dxa"/>
            <w:tcBorders>
              <w:top w:val="nil"/>
              <w:left w:val="nil"/>
              <w:bottom w:val="nil"/>
              <w:right w:val="nil"/>
            </w:tcBorders>
          </w:tcPr>
          <w:p w:rsidR="00A46DCA" w:rsidRPr="00D661D4"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lang w:eastAsia="en-AU"/>
              </w:rPr>
            </w:pPr>
            <w:r w:rsidRPr="00D661D4">
              <w:rPr>
                <w:rFonts w:eastAsiaTheme="minorEastAsia" w:cs="Calibri"/>
                <w:color w:val="000000"/>
                <w:sz w:val="16"/>
                <w:szCs w:val="16"/>
                <w:lang w:eastAsia="en-AU"/>
              </w:rPr>
              <w:t>(3 435)</w:t>
            </w:r>
          </w:p>
        </w:tc>
        <w:tc>
          <w:tcPr>
            <w:tcW w:w="850" w:type="dxa"/>
            <w:tcBorders>
              <w:top w:val="nil"/>
              <w:left w:val="nil"/>
              <w:bottom w:val="nil"/>
              <w:right w:val="nil"/>
            </w:tcBorders>
          </w:tcPr>
          <w:p w:rsidR="00A46DCA" w:rsidRPr="00D661D4"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lang w:eastAsia="en-AU"/>
              </w:rPr>
            </w:pPr>
            <w:r w:rsidRPr="00D661D4">
              <w:rPr>
                <w:rFonts w:eastAsiaTheme="minorEastAsia" w:cs="Calibri"/>
                <w:color w:val="000000"/>
                <w:sz w:val="16"/>
                <w:szCs w:val="16"/>
                <w:lang w:eastAsia="en-AU"/>
              </w:rPr>
              <w:t>(3 471)</w:t>
            </w:r>
          </w:p>
        </w:tc>
      </w:tr>
      <w:tr w:rsidR="00A46DCA" w:rsidRPr="00D661D4" w:rsidTr="00A26D04">
        <w:tc>
          <w:tcPr>
            <w:cnfStyle w:val="001000000000" w:firstRow="0" w:lastRow="0" w:firstColumn="1" w:lastColumn="0" w:oddVBand="0" w:evenVBand="0" w:oddHBand="0" w:evenHBand="0" w:firstRowFirstColumn="0" w:firstRowLastColumn="0" w:lastRowFirstColumn="0" w:lastRowLastColumn="0"/>
            <w:tcW w:w="3517" w:type="dxa"/>
            <w:tcBorders>
              <w:top w:val="nil"/>
              <w:left w:val="nil"/>
              <w:bottom w:val="nil"/>
              <w:right w:val="nil"/>
            </w:tcBorders>
          </w:tcPr>
          <w:p w:rsidR="00A46DCA" w:rsidRPr="00D661D4" w:rsidRDefault="00A46DCA" w:rsidP="00A26D04">
            <w:pPr>
              <w:keepLines w:val="0"/>
              <w:autoSpaceDE w:val="0"/>
              <w:autoSpaceDN w:val="0"/>
              <w:adjustRightInd w:val="0"/>
              <w:spacing w:after="0"/>
              <w:rPr>
                <w:rFonts w:eastAsiaTheme="minorEastAsia" w:cs="Calibri"/>
                <w:color w:val="000000"/>
                <w:sz w:val="16"/>
                <w:szCs w:val="16"/>
                <w:lang w:eastAsia="en-AU"/>
              </w:rPr>
            </w:pPr>
            <w:r w:rsidRPr="00D661D4">
              <w:rPr>
                <w:rFonts w:eastAsiaTheme="minorEastAsia" w:cs="Calibri"/>
                <w:color w:val="000000"/>
                <w:sz w:val="16"/>
                <w:szCs w:val="16"/>
                <w:lang w:eastAsia="en-AU"/>
              </w:rPr>
              <w:t>Interest paid</w:t>
            </w:r>
          </w:p>
        </w:tc>
        <w:tc>
          <w:tcPr>
            <w:tcW w:w="850" w:type="dxa"/>
            <w:tcBorders>
              <w:top w:val="nil"/>
              <w:left w:val="nil"/>
              <w:bottom w:val="nil"/>
              <w:right w:val="nil"/>
            </w:tcBorders>
          </w:tcPr>
          <w:p w:rsidR="00A46DCA" w:rsidRPr="00D661D4"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lang w:eastAsia="en-AU"/>
              </w:rPr>
            </w:pPr>
            <w:r w:rsidRPr="00D661D4">
              <w:rPr>
                <w:rFonts w:eastAsiaTheme="minorEastAsia" w:cs="Calibri"/>
                <w:color w:val="000000"/>
                <w:sz w:val="16"/>
                <w:szCs w:val="16"/>
                <w:lang w:eastAsia="en-AU"/>
              </w:rPr>
              <w:t>(2 840)</w:t>
            </w:r>
          </w:p>
        </w:tc>
        <w:tc>
          <w:tcPr>
            <w:tcW w:w="850" w:type="dxa"/>
            <w:tcBorders>
              <w:top w:val="nil"/>
              <w:left w:val="nil"/>
              <w:bottom w:val="nil"/>
              <w:right w:val="nil"/>
            </w:tcBorders>
          </w:tcPr>
          <w:p w:rsidR="00A46DCA" w:rsidRPr="00D661D4"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lang w:eastAsia="en-AU"/>
              </w:rPr>
            </w:pPr>
            <w:r w:rsidRPr="00D661D4">
              <w:rPr>
                <w:rFonts w:eastAsiaTheme="minorEastAsia" w:cs="Calibri"/>
                <w:color w:val="000000"/>
                <w:sz w:val="16"/>
                <w:szCs w:val="16"/>
                <w:lang w:eastAsia="en-AU"/>
              </w:rPr>
              <w:t>(2 735)</w:t>
            </w:r>
          </w:p>
        </w:tc>
        <w:tc>
          <w:tcPr>
            <w:tcW w:w="850" w:type="dxa"/>
            <w:tcBorders>
              <w:top w:val="nil"/>
              <w:left w:val="nil"/>
              <w:bottom w:val="nil"/>
              <w:right w:val="nil"/>
            </w:tcBorders>
          </w:tcPr>
          <w:p w:rsidR="00A46DCA" w:rsidRPr="00D661D4"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lang w:eastAsia="en-AU"/>
              </w:rPr>
            </w:pPr>
            <w:r w:rsidRPr="00D661D4">
              <w:rPr>
                <w:rFonts w:eastAsiaTheme="minorEastAsia" w:cs="Calibri"/>
                <w:color w:val="000000"/>
                <w:sz w:val="16"/>
                <w:szCs w:val="16"/>
                <w:lang w:eastAsia="en-AU"/>
              </w:rPr>
              <w:t>(2 767)</w:t>
            </w:r>
          </w:p>
        </w:tc>
        <w:tc>
          <w:tcPr>
            <w:tcW w:w="850" w:type="dxa"/>
            <w:tcBorders>
              <w:top w:val="nil"/>
              <w:left w:val="nil"/>
              <w:bottom w:val="nil"/>
              <w:right w:val="nil"/>
            </w:tcBorders>
          </w:tcPr>
          <w:p w:rsidR="00A46DCA" w:rsidRPr="00D661D4"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lang w:eastAsia="en-AU"/>
              </w:rPr>
            </w:pPr>
            <w:r w:rsidRPr="00D661D4">
              <w:rPr>
                <w:rFonts w:eastAsiaTheme="minorEastAsia" w:cs="Calibri"/>
                <w:color w:val="000000"/>
                <w:sz w:val="16"/>
                <w:szCs w:val="16"/>
                <w:lang w:eastAsia="en-AU"/>
              </w:rPr>
              <w:t>(2 826)</w:t>
            </w:r>
          </w:p>
        </w:tc>
        <w:tc>
          <w:tcPr>
            <w:tcW w:w="850" w:type="dxa"/>
            <w:tcBorders>
              <w:top w:val="nil"/>
              <w:left w:val="nil"/>
              <w:bottom w:val="nil"/>
              <w:right w:val="nil"/>
            </w:tcBorders>
          </w:tcPr>
          <w:p w:rsidR="00A46DCA" w:rsidRPr="00D661D4"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lang w:eastAsia="en-AU"/>
              </w:rPr>
            </w:pPr>
            <w:r w:rsidRPr="00D661D4">
              <w:rPr>
                <w:rFonts w:eastAsiaTheme="minorEastAsia" w:cs="Calibri"/>
                <w:color w:val="000000"/>
                <w:sz w:val="16"/>
                <w:szCs w:val="16"/>
                <w:lang w:eastAsia="en-AU"/>
              </w:rPr>
              <w:t>(2 950)</w:t>
            </w:r>
          </w:p>
        </w:tc>
      </w:tr>
      <w:tr w:rsidR="00A46DCA" w:rsidRPr="00D661D4" w:rsidTr="00A26D04">
        <w:tc>
          <w:tcPr>
            <w:cnfStyle w:val="001000000000" w:firstRow="0" w:lastRow="0" w:firstColumn="1" w:lastColumn="0" w:oddVBand="0" w:evenVBand="0" w:oddHBand="0" w:evenHBand="0" w:firstRowFirstColumn="0" w:firstRowLastColumn="0" w:lastRowFirstColumn="0" w:lastRowLastColumn="0"/>
            <w:tcW w:w="3517" w:type="dxa"/>
            <w:tcBorders>
              <w:top w:val="nil"/>
              <w:left w:val="nil"/>
              <w:bottom w:val="nil"/>
              <w:right w:val="nil"/>
            </w:tcBorders>
          </w:tcPr>
          <w:p w:rsidR="00A46DCA" w:rsidRPr="00D661D4" w:rsidRDefault="00A46DCA" w:rsidP="00A26D04">
            <w:pPr>
              <w:keepLines w:val="0"/>
              <w:autoSpaceDE w:val="0"/>
              <w:autoSpaceDN w:val="0"/>
              <w:adjustRightInd w:val="0"/>
              <w:spacing w:after="0"/>
              <w:rPr>
                <w:rFonts w:eastAsiaTheme="minorEastAsia" w:cs="Calibri"/>
                <w:color w:val="000000"/>
                <w:sz w:val="16"/>
                <w:szCs w:val="16"/>
                <w:lang w:eastAsia="en-AU"/>
              </w:rPr>
            </w:pPr>
            <w:r w:rsidRPr="00D661D4">
              <w:rPr>
                <w:rFonts w:eastAsiaTheme="minorEastAsia" w:cs="Calibri"/>
                <w:color w:val="000000"/>
                <w:sz w:val="16"/>
                <w:szCs w:val="16"/>
                <w:lang w:eastAsia="en-AU"/>
              </w:rPr>
              <w:t>Grants and subsidies</w:t>
            </w:r>
          </w:p>
        </w:tc>
        <w:tc>
          <w:tcPr>
            <w:tcW w:w="850" w:type="dxa"/>
            <w:tcBorders>
              <w:top w:val="nil"/>
              <w:left w:val="nil"/>
              <w:bottom w:val="nil"/>
              <w:right w:val="nil"/>
            </w:tcBorders>
          </w:tcPr>
          <w:p w:rsidR="00A46DCA" w:rsidRPr="00D661D4"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lang w:eastAsia="en-AU"/>
              </w:rPr>
            </w:pPr>
            <w:r w:rsidRPr="00D661D4">
              <w:rPr>
                <w:rFonts w:eastAsiaTheme="minorEastAsia" w:cs="Calibri"/>
                <w:color w:val="000000"/>
                <w:sz w:val="16"/>
                <w:szCs w:val="16"/>
                <w:lang w:eastAsia="en-AU"/>
              </w:rPr>
              <w:t>(7 970)</w:t>
            </w:r>
          </w:p>
        </w:tc>
        <w:tc>
          <w:tcPr>
            <w:tcW w:w="850" w:type="dxa"/>
            <w:tcBorders>
              <w:top w:val="nil"/>
              <w:left w:val="nil"/>
              <w:bottom w:val="nil"/>
              <w:right w:val="nil"/>
            </w:tcBorders>
          </w:tcPr>
          <w:p w:rsidR="00A46DCA" w:rsidRPr="00D661D4"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lang w:eastAsia="en-AU"/>
              </w:rPr>
            </w:pPr>
            <w:r w:rsidRPr="00D661D4">
              <w:rPr>
                <w:rFonts w:eastAsiaTheme="minorEastAsia" w:cs="Calibri"/>
                <w:color w:val="000000"/>
                <w:sz w:val="16"/>
                <w:szCs w:val="16"/>
                <w:lang w:eastAsia="en-AU"/>
              </w:rPr>
              <w:t>(7 317)</w:t>
            </w:r>
          </w:p>
        </w:tc>
        <w:tc>
          <w:tcPr>
            <w:tcW w:w="850" w:type="dxa"/>
            <w:tcBorders>
              <w:top w:val="nil"/>
              <w:left w:val="nil"/>
              <w:bottom w:val="nil"/>
              <w:right w:val="nil"/>
            </w:tcBorders>
          </w:tcPr>
          <w:p w:rsidR="00A46DCA" w:rsidRPr="00D661D4"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lang w:eastAsia="en-AU"/>
              </w:rPr>
            </w:pPr>
            <w:r w:rsidRPr="00D661D4">
              <w:rPr>
                <w:rFonts w:eastAsiaTheme="minorEastAsia" w:cs="Calibri"/>
                <w:color w:val="000000"/>
                <w:sz w:val="16"/>
                <w:szCs w:val="16"/>
                <w:lang w:eastAsia="en-AU"/>
              </w:rPr>
              <w:t>(8 894)</w:t>
            </w:r>
          </w:p>
        </w:tc>
        <w:tc>
          <w:tcPr>
            <w:tcW w:w="850" w:type="dxa"/>
            <w:tcBorders>
              <w:top w:val="nil"/>
              <w:left w:val="nil"/>
              <w:bottom w:val="nil"/>
              <w:right w:val="nil"/>
            </w:tcBorders>
          </w:tcPr>
          <w:p w:rsidR="00A46DCA" w:rsidRPr="00D661D4"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lang w:eastAsia="en-AU"/>
              </w:rPr>
            </w:pPr>
            <w:r w:rsidRPr="00D661D4">
              <w:rPr>
                <w:rFonts w:eastAsiaTheme="minorEastAsia" w:cs="Calibri"/>
                <w:color w:val="000000"/>
                <w:sz w:val="16"/>
                <w:szCs w:val="16"/>
                <w:lang w:eastAsia="en-AU"/>
              </w:rPr>
              <w:t>(9 668)</w:t>
            </w:r>
          </w:p>
        </w:tc>
        <w:tc>
          <w:tcPr>
            <w:tcW w:w="850" w:type="dxa"/>
            <w:tcBorders>
              <w:top w:val="nil"/>
              <w:left w:val="nil"/>
              <w:bottom w:val="nil"/>
              <w:right w:val="nil"/>
            </w:tcBorders>
          </w:tcPr>
          <w:p w:rsidR="00A46DCA" w:rsidRPr="00D661D4"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lang w:eastAsia="en-AU"/>
              </w:rPr>
            </w:pPr>
            <w:r w:rsidRPr="00D661D4">
              <w:rPr>
                <w:rFonts w:eastAsiaTheme="minorEastAsia" w:cs="Calibri"/>
                <w:color w:val="000000"/>
                <w:sz w:val="16"/>
                <w:szCs w:val="16"/>
                <w:lang w:eastAsia="en-AU"/>
              </w:rPr>
              <w:t>(10 024)</w:t>
            </w:r>
          </w:p>
        </w:tc>
      </w:tr>
      <w:tr w:rsidR="00A46DCA" w:rsidRPr="00D661D4" w:rsidTr="00A26D04">
        <w:tc>
          <w:tcPr>
            <w:cnfStyle w:val="001000000000" w:firstRow="0" w:lastRow="0" w:firstColumn="1" w:lastColumn="0" w:oddVBand="0" w:evenVBand="0" w:oddHBand="0" w:evenHBand="0" w:firstRowFirstColumn="0" w:firstRowLastColumn="0" w:lastRowFirstColumn="0" w:lastRowLastColumn="0"/>
            <w:tcW w:w="3517" w:type="dxa"/>
            <w:tcBorders>
              <w:top w:val="nil"/>
              <w:left w:val="nil"/>
              <w:bottom w:val="nil"/>
              <w:right w:val="nil"/>
            </w:tcBorders>
          </w:tcPr>
          <w:p w:rsidR="00A46DCA" w:rsidRPr="00D661D4" w:rsidRDefault="00A46DCA" w:rsidP="00A26D04">
            <w:pPr>
              <w:keepLines w:val="0"/>
              <w:autoSpaceDE w:val="0"/>
              <w:autoSpaceDN w:val="0"/>
              <w:adjustRightInd w:val="0"/>
              <w:spacing w:after="0"/>
              <w:rPr>
                <w:rFonts w:eastAsiaTheme="minorEastAsia" w:cs="Calibri"/>
                <w:color w:val="000000"/>
                <w:sz w:val="16"/>
                <w:szCs w:val="16"/>
                <w:lang w:eastAsia="en-AU"/>
              </w:rPr>
            </w:pPr>
            <w:r w:rsidRPr="00D661D4">
              <w:rPr>
                <w:rFonts w:eastAsiaTheme="minorEastAsia" w:cs="Calibri"/>
                <w:color w:val="000000"/>
                <w:sz w:val="16"/>
                <w:szCs w:val="16"/>
                <w:lang w:eastAsia="en-AU"/>
              </w:rPr>
              <w:t xml:space="preserve">Goods and services </w:t>
            </w:r>
            <w:r w:rsidRPr="00D661D4">
              <w:rPr>
                <w:rFonts w:eastAsiaTheme="minorEastAsia" w:cs="Calibri"/>
                <w:color w:val="000000"/>
                <w:sz w:val="16"/>
                <w:szCs w:val="16"/>
                <w:vertAlign w:val="superscript"/>
                <w:lang w:eastAsia="en-AU"/>
              </w:rPr>
              <w:t>(b)</w:t>
            </w:r>
          </w:p>
        </w:tc>
        <w:tc>
          <w:tcPr>
            <w:tcW w:w="850" w:type="dxa"/>
            <w:tcBorders>
              <w:top w:val="nil"/>
              <w:left w:val="nil"/>
              <w:bottom w:val="nil"/>
              <w:right w:val="nil"/>
            </w:tcBorders>
          </w:tcPr>
          <w:p w:rsidR="00A46DCA" w:rsidRPr="00D661D4"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lang w:eastAsia="en-AU"/>
              </w:rPr>
            </w:pPr>
            <w:r w:rsidRPr="00D661D4">
              <w:rPr>
                <w:rFonts w:eastAsiaTheme="minorEastAsia" w:cs="Calibri"/>
                <w:color w:val="000000"/>
                <w:sz w:val="16"/>
                <w:szCs w:val="16"/>
                <w:lang w:eastAsia="en-AU"/>
              </w:rPr>
              <w:t>(28 436)</w:t>
            </w:r>
          </w:p>
        </w:tc>
        <w:tc>
          <w:tcPr>
            <w:tcW w:w="850" w:type="dxa"/>
            <w:tcBorders>
              <w:top w:val="nil"/>
              <w:left w:val="nil"/>
              <w:bottom w:val="nil"/>
              <w:right w:val="nil"/>
            </w:tcBorders>
          </w:tcPr>
          <w:p w:rsidR="00A46DCA" w:rsidRPr="00D661D4"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lang w:eastAsia="en-AU"/>
              </w:rPr>
            </w:pPr>
            <w:r w:rsidRPr="00D661D4">
              <w:rPr>
                <w:rFonts w:eastAsiaTheme="minorEastAsia" w:cs="Calibri"/>
                <w:color w:val="000000"/>
                <w:sz w:val="16"/>
                <w:szCs w:val="16"/>
                <w:lang w:eastAsia="en-AU"/>
              </w:rPr>
              <w:t>(29 886)</w:t>
            </w:r>
          </w:p>
        </w:tc>
        <w:tc>
          <w:tcPr>
            <w:tcW w:w="850" w:type="dxa"/>
            <w:tcBorders>
              <w:top w:val="nil"/>
              <w:left w:val="nil"/>
              <w:bottom w:val="nil"/>
              <w:right w:val="nil"/>
            </w:tcBorders>
          </w:tcPr>
          <w:p w:rsidR="00A46DCA" w:rsidRPr="00D661D4"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lang w:eastAsia="en-AU"/>
              </w:rPr>
            </w:pPr>
            <w:r w:rsidRPr="00D661D4">
              <w:rPr>
                <w:rFonts w:eastAsiaTheme="minorEastAsia" w:cs="Calibri"/>
                <w:color w:val="000000"/>
                <w:sz w:val="16"/>
                <w:szCs w:val="16"/>
                <w:lang w:eastAsia="en-AU"/>
              </w:rPr>
              <w:t>(28 771)</w:t>
            </w:r>
          </w:p>
        </w:tc>
        <w:tc>
          <w:tcPr>
            <w:tcW w:w="850" w:type="dxa"/>
            <w:tcBorders>
              <w:top w:val="nil"/>
              <w:left w:val="nil"/>
              <w:bottom w:val="nil"/>
              <w:right w:val="nil"/>
            </w:tcBorders>
          </w:tcPr>
          <w:p w:rsidR="00A46DCA" w:rsidRPr="00D661D4"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lang w:eastAsia="en-AU"/>
              </w:rPr>
            </w:pPr>
            <w:r w:rsidRPr="00D661D4">
              <w:rPr>
                <w:rFonts w:eastAsiaTheme="minorEastAsia" w:cs="Calibri"/>
                <w:color w:val="000000"/>
                <w:sz w:val="16"/>
                <w:szCs w:val="16"/>
                <w:lang w:eastAsia="en-AU"/>
              </w:rPr>
              <w:t>(29 047)</w:t>
            </w:r>
          </w:p>
        </w:tc>
        <w:tc>
          <w:tcPr>
            <w:tcW w:w="850" w:type="dxa"/>
            <w:tcBorders>
              <w:top w:val="nil"/>
              <w:left w:val="nil"/>
              <w:bottom w:val="nil"/>
              <w:right w:val="nil"/>
            </w:tcBorders>
          </w:tcPr>
          <w:p w:rsidR="00A46DCA" w:rsidRPr="00D661D4"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lang w:eastAsia="en-AU"/>
              </w:rPr>
            </w:pPr>
            <w:r w:rsidRPr="00D661D4">
              <w:rPr>
                <w:rFonts w:eastAsiaTheme="minorEastAsia" w:cs="Calibri"/>
                <w:color w:val="000000"/>
                <w:sz w:val="16"/>
                <w:szCs w:val="16"/>
                <w:lang w:eastAsia="en-AU"/>
              </w:rPr>
              <w:t>(30 319)</w:t>
            </w:r>
          </w:p>
        </w:tc>
      </w:tr>
      <w:tr w:rsidR="00A46DCA" w:rsidRPr="00D661D4" w:rsidTr="00A26D04">
        <w:tc>
          <w:tcPr>
            <w:cnfStyle w:val="001000000000" w:firstRow="0" w:lastRow="0" w:firstColumn="1" w:lastColumn="0" w:oddVBand="0" w:evenVBand="0" w:oddHBand="0" w:evenHBand="0" w:firstRowFirstColumn="0" w:firstRowLastColumn="0" w:lastRowFirstColumn="0" w:lastRowLastColumn="0"/>
            <w:tcW w:w="3517" w:type="dxa"/>
            <w:tcBorders>
              <w:top w:val="nil"/>
              <w:left w:val="nil"/>
              <w:bottom w:val="nil"/>
              <w:right w:val="nil"/>
            </w:tcBorders>
          </w:tcPr>
          <w:p w:rsidR="00A46DCA" w:rsidRPr="00D661D4" w:rsidRDefault="00A46DCA" w:rsidP="00A26D04">
            <w:pPr>
              <w:keepLines w:val="0"/>
              <w:autoSpaceDE w:val="0"/>
              <w:autoSpaceDN w:val="0"/>
              <w:adjustRightInd w:val="0"/>
              <w:spacing w:after="0"/>
              <w:rPr>
                <w:rFonts w:eastAsiaTheme="minorEastAsia" w:cs="Calibri"/>
                <w:color w:val="000000"/>
                <w:sz w:val="16"/>
                <w:szCs w:val="16"/>
                <w:lang w:eastAsia="en-AU"/>
              </w:rPr>
            </w:pPr>
            <w:r w:rsidRPr="00D661D4">
              <w:rPr>
                <w:rFonts w:eastAsiaTheme="minorEastAsia" w:cs="Calibri"/>
                <w:color w:val="000000"/>
                <w:sz w:val="16"/>
                <w:szCs w:val="16"/>
                <w:lang w:eastAsia="en-AU"/>
              </w:rPr>
              <w:t>Other payments</w:t>
            </w:r>
          </w:p>
        </w:tc>
        <w:tc>
          <w:tcPr>
            <w:tcW w:w="850" w:type="dxa"/>
            <w:tcBorders>
              <w:top w:val="nil"/>
              <w:left w:val="nil"/>
              <w:bottom w:val="nil"/>
              <w:right w:val="nil"/>
            </w:tcBorders>
          </w:tcPr>
          <w:p w:rsidR="00A46DCA" w:rsidRPr="00D661D4"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lang w:eastAsia="en-AU"/>
              </w:rPr>
            </w:pPr>
            <w:r w:rsidRPr="00D661D4">
              <w:rPr>
                <w:rFonts w:eastAsiaTheme="minorEastAsia" w:cs="Calibri"/>
                <w:color w:val="000000"/>
                <w:sz w:val="16"/>
                <w:szCs w:val="16"/>
                <w:lang w:eastAsia="en-AU"/>
              </w:rPr>
              <w:t>(737)</w:t>
            </w:r>
          </w:p>
        </w:tc>
        <w:tc>
          <w:tcPr>
            <w:tcW w:w="850" w:type="dxa"/>
            <w:tcBorders>
              <w:top w:val="nil"/>
              <w:left w:val="nil"/>
              <w:bottom w:val="nil"/>
              <w:right w:val="nil"/>
            </w:tcBorders>
          </w:tcPr>
          <w:p w:rsidR="00A46DCA" w:rsidRPr="00D661D4"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lang w:eastAsia="en-AU"/>
              </w:rPr>
            </w:pPr>
            <w:r w:rsidRPr="00D661D4">
              <w:rPr>
                <w:rFonts w:eastAsiaTheme="minorEastAsia" w:cs="Calibri"/>
                <w:color w:val="000000"/>
                <w:sz w:val="16"/>
                <w:szCs w:val="16"/>
                <w:lang w:eastAsia="en-AU"/>
              </w:rPr>
              <w:t>(735)</w:t>
            </w:r>
          </w:p>
        </w:tc>
        <w:tc>
          <w:tcPr>
            <w:tcW w:w="850" w:type="dxa"/>
            <w:tcBorders>
              <w:top w:val="nil"/>
              <w:left w:val="nil"/>
              <w:bottom w:val="nil"/>
              <w:right w:val="nil"/>
            </w:tcBorders>
          </w:tcPr>
          <w:p w:rsidR="00A46DCA" w:rsidRPr="00D661D4"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lang w:eastAsia="en-AU"/>
              </w:rPr>
            </w:pPr>
            <w:r w:rsidRPr="00D661D4">
              <w:rPr>
                <w:rFonts w:eastAsiaTheme="minorEastAsia" w:cs="Calibri"/>
                <w:color w:val="000000"/>
                <w:sz w:val="16"/>
                <w:szCs w:val="16"/>
                <w:lang w:eastAsia="en-AU"/>
              </w:rPr>
              <w:t>(875)</w:t>
            </w:r>
          </w:p>
        </w:tc>
        <w:tc>
          <w:tcPr>
            <w:tcW w:w="850" w:type="dxa"/>
            <w:tcBorders>
              <w:top w:val="nil"/>
              <w:left w:val="nil"/>
              <w:bottom w:val="nil"/>
              <w:right w:val="nil"/>
            </w:tcBorders>
          </w:tcPr>
          <w:p w:rsidR="00A46DCA" w:rsidRPr="00D661D4"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lang w:eastAsia="en-AU"/>
              </w:rPr>
            </w:pPr>
            <w:r w:rsidRPr="00D661D4">
              <w:rPr>
                <w:rFonts w:eastAsiaTheme="minorEastAsia" w:cs="Calibri"/>
                <w:color w:val="000000"/>
                <w:sz w:val="16"/>
                <w:szCs w:val="16"/>
                <w:lang w:eastAsia="en-AU"/>
              </w:rPr>
              <w:t>(829)</w:t>
            </w:r>
          </w:p>
        </w:tc>
        <w:tc>
          <w:tcPr>
            <w:tcW w:w="850" w:type="dxa"/>
            <w:tcBorders>
              <w:top w:val="nil"/>
              <w:left w:val="nil"/>
              <w:bottom w:val="nil"/>
              <w:right w:val="nil"/>
            </w:tcBorders>
          </w:tcPr>
          <w:p w:rsidR="00A46DCA" w:rsidRPr="00D661D4"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lang w:eastAsia="en-AU"/>
              </w:rPr>
            </w:pPr>
            <w:r w:rsidRPr="00D661D4">
              <w:rPr>
                <w:rFonts w:eastAsiaTheme="minorEastAsia" w:cs="Calibri"/>
                <w:color w:val="000000"/>
                <w:sz w:val="16"/>
                <w:szCs w:val="16"/>
                <w:lang w:eastAsia="en-AU"/>
              </w:rPr>
              <w:t>(903)</w:t>
            </w:r>
          </w:p>
        </w:tc>
      </w:tr>
      <w:tr w:rsidR="00A46DCA" w:rsidRPr="00D661D4" w:rsidTr="00A26D04">
        <w:tc>
          <w:tcPr>
            <w:cnfStyle w:val="001000000000" w:firstRow="0" w:lastRow="0" w:firstColumn="1" w:lastColumn="0" w:oddVBand="0" w:evenVBand="0" w:oddHBand="0" w:evenHBand="0" w:firstRowFirstColumn="0" w:firstRowLastColumn="0" w:lastRowFirstColumn="0" w:lastRowLastColumn="0"/>
            <w:tcW w:w="3517" w:type="dxa"/>
            <w:tcBorders>
              <w:top w:val="single" w:sz="6" w:space="0" w:color="000000"/>
              <w:left w:val="nil"/>
              <w:bottom w:val="single" w:sz="6" w:space="0" w:color="000000"/>
              <w:right w:val="nil"/>
            </w:tcBorders>
          </w:tcPr>
          <w:p w:rsidR="00A46DCA" w:rsidRPr="00D661D4" w:rsidRDefault="00A46DCA" w:rsidP="00A26D04">
            <w:pPr>
              <w:keepLines w:val="0"/>
              <w:autoSpaceDE w:val="0"/>
              <w:autoSpaceDN w:val="0"/>
              <w:adjustRightInd w:val="0"/>
              <w:spacing w:after="0"/>
              <w:rPr>
                <w:rFonts w:eastAsiaTheme="minorEastAsia" w:cs="Calibri"/>
                <w:b/>
                <w:bCs/>
                <w:color w:val="000000"/>
                <w:sz w:val="16"/>
                <w:szCs w:val="16"/>
                <w:lang w:eastAsia="en-AU"/>
              </w:rPr>
            </w:pPr>
            <w:r w:rsidRPr="00D661D4">
              <w:rPr>
                <w:rFonts w:eastAsiaTheme="minorEastAsia" w:cs="Calibri"/>
                <w:b/>
                <w:bCs/>
                <w:color w:val="000000"/>
                <w:sz w:val="16"/>
                <w:szCs w:val="16"/>
                <w:lang w:eastAsia="en-AU"/>
              </w:rPr>
              <w:t>Total payments</w:t>
            </w:r>
          </w:p>
        </w:tc>
        <w:tc>
          <w:tcPr>
            <w:tcW w:w="850" w:type="dxa"/>
            <w:tcBorders>
              <w:top w:val="single" w:sz="6" w:space="0" w:color="000000"/>
              <w:left w:val="nil"/>
              <w:bottom w:val="single" w:sz="6" w:space="0" w:color="000000"/>
              <w:right w:val="nil"/>
            </w:tcBorders>
          </w:tcPr>
          <w:p w:rsidR="00A46DCA" w:rsidRPr="00D661D4"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szCs w:val="16"/>
                <w:lang w:eastAsia="en-AU"/>
              </w:rPr>
            </w:pPr>
            <w:r w:rsidRPr="00D661D4">
              <w:rPr>
                <w:rFonts w:eastAsiaTheme="minorEastAsia" w:cs="Calibri"/>
                <w:b/>
                <w:bCs/>
                <w:color w:val="000000"/>
                <w:sz w:val="16"/>
                <w:szCs w:val="16"/>
                <w:lang w:eastAsia="en-AU"/>
              </w:rPr>
              <w:t>(67 159)</w:t>
            </w:r>
          </w:p>
        </w:tc>
        <w:tc>
          <w:tcPr>
            <w:tcW w:w="850" w:type="dxa"/>
            <w:tcBorders>
              <w:top w:val="single" w:sz="6" w:space="0" w:color="000000"/>
              <w:left w:val="nil"/>
              <w:bottom w:val="single" w:sz="6" w:space="0" w:color="000000"/>
              <w:right w:val="nil"/>
            </w:tcBorders>
          </w:tcPr>
          <w:p w:rsidR="00A46DCA" w:rsidRPr="00D661D4"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szCs w:val="16"/>
                <w:lang w:eastAsia="en-AU"/>
              </w:rPr>
            </w:pPr>
            <w:r w:rsidRPr="00D661D4">
              <w:rPr>
                <w:rFonts w:eastAsiaTheme="minorEastAsia" w:cs="Calibri"/>
                <w:b/>
                <w:bCs/>
                <w:color w:val="000000"/>
                <w:sz w:val="16"/>
                <w:szCs w:val="16"/>
                <w:lang w:eastAsia="en-AU"/>
              </w:rPr>
              <w:t>(67 984)</w:t>
            </w:r>
          </w:p>
        </w:tc>
        <w:tc>
          <w:tcPr>
            <w:tcW w:w="850" w:type="dxa"/>
            <w:tcBorders>
              <w:top w:val="single" w:sz="6" w:space="0" w:color="000000"/>
              <w:left w:val="nil"/>
              <w:bottom w:val="single" w:sz="6" w:space="0" w:color="000000"/>
              <w:right w:val="nil"/>
            </w:tcBorders>
          </w:tcPr>
          <w:p w:rsidR="00A46DCA" w:rsidRPr="00D661D4"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szCs w:val="16"/>
                <w:lang w:eastAsia="en-AU"/>
              </w:rPr>
            </w:pPr>
            <w:r w:rsidRPr="00D661D4">
              <w:rPr>
                <w:rFonts w:eastAsiaTheme="minorEastAsia" w:cs="Calibri"/>
                <w:b/>
                <w:bCs/>
                <w:color w:val="000000"/>
                <w:sz w:val="16"/>
                <w:szCs w:val="16"/>
                <w:lang w:eastAsia="en-AU"/>
              </w:rPr>
              <w:t>(70 217)</w:t>
            </w:r>
          </w:p>
        </w:tc>
        <w:tc>
          <w:tcPr>
            <w:tcW w:w="850" w:type="dxa"/>
            <w:tcBorders>
              <w:top w:val="single" w:sz="6" w:space="0" w:color="000000"/>
              <w:left w:val="nil"/>
              <w:bottom w:val="single" w:sz="6" w:space="0" w:color="000000"/>
              <w:right w:val="nil"/>
            </w:tcBorders>
          </w:tcPr>
          <w:p w:rsidR="00A46DCA" w:rsidRPr="00D661D4"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szCs w:val="16"/>
                <w:lang w:eastAsia="en-AU"/>
              </w:rPr>
            </w:pPr>
            <w:r w:rsidRPr="00D661D4">
              <w:rPr>
                <w:rFonts w:eastAsiaTheme="minorEastAsia" w:cs="Calibri"/>
                <w:b/>
                <w:bCs/>
                <w:color w:val="000000"/>
                <w:sz w:val="16"/>
                <w:szCs w:val="16"/>
                <w:lang w:eastAsia="en-AU"/>
              </w:rPr>
              <w:t>(71 916)</w:t>
            </w:r>
          </w:p>
        </w:tc>
        <w:tc>
          <w:tcPr>
            <w:tcW w:w="850" w:type="dxa"/>
            <w:tcBorders>
              <w:top w:val="single" w:sz="6" w:space="0" w:color="000000"/>
              <w:left w:val="nil"/>
              <w:bottom w:val="single" w:sz="6" w:space="0" w:color="000000"/>
              <w:right w:val="nil"/>
            </w:tcBorders>
          </w:tcPr>
          <w:p w:rsidR="00A46DCA" w:rsidRPr="00D661D4"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szCs w:val="16"/>
                <w:lang w:eastAsia="en-AU"/>
              </w:rPr>
            </w:pPr>
            <w:r w:rsidRPr="00D661D4">
              <w:rPr>
                <w:rFonts w:eastAsiaTheme="minorEastAsia" w:cs="Calibri"/>
                <w:b/>
                <w:bCs/>
                <w:color w:val="000000"/>
                <w:sz w:val="16"/>
                <w:szCs w:val="16"/>
                <w:lang w:eastAsia="en-AU"/>
              </w:rPr>
              <w:t>(74 535)</w:t>
            </w:r>
          </w:p>
        </w:tc>
      </w:tr>
      <w:tr w:rsidR="00A46DCA" w:rsidRPr="00D661D4" w:rsidTr="00A26D04">
        <w:tc>
          <w:tcPr>
            <w:cnfStyle w:val="001000000000" w:firstRow="0" w:lastRow="0" w:firstColumn="1" w:lastColumn="0" w:oddVBand="0" w:evenVBand="0" w:oddHBand="0" w:evenHBand="0" w:firstRowFirstColumn="0" w:firstRowLastColumn="0" w:lastRowFirstColumn="0" w:lastRowLastColumn="0"/>
            <w:tcW w:w="3517" w:type="dxa"/>
            <w:tcBorders>
              <w:top w:val="nil"/>
              <w:left w:val="nil"/>
              <w:bottom w:val="nil"/>
              <w:right w:val="nil"/>
            </w:tcBorders>
          </w:tcPr>
          <w:p w:rsidR="00A46DCA" w:rsidRPr="00D661D4" w:rsidRDefault="00A46DCA" w:rsidP="00A26D04">
            <w:pPr>
              <w:keepLines w:val="0"/>
              <w:autoSpaceDE w:val="0"/>
              <w:autoSpaceDN w:val="0"/>
              <w:adjustRightInd w:val="0"/>
              <w:spacing w:after="0"/>
              <w:rPr>
                <w:rFonts w:eastAsiaTheme="minorEastAsia" w:cs="Calibri"/>
                <w:b/>
                <w:bCs/>
                <w:color w:val="000000"/>
                <w:sz w:val="16"/>
                <w:szCs w:val="16"/>
                <w:lang w:eastAsia="en-AU"/>
              </w:rPr>
            </w:pPr>
            <w:r w:rsidRPr="00D661D4">
              <w:rPr>
                <w:rFonts w:eastAsiaTheme="minorEastAsia" w:cs="Calibri"/>
                <w:b/>
                <w:bCs/>
                <w:color w:val="000000"/>
                <w:sz w:val="16"/>
                <w:szCs w:val="16"/>
                <w:lang w:eastAsia="en-AU"/>
              </w:rPr>
              <w:t>Net cash flows from operating activities</w:t>
            </w:r>
          </w:p>
        </w:tc>
        <w:tc>
          <w:tcPr>
            <w:tcW w:w="850" w:type="dxa"/>
            <w:tcBorders>
              <w:top w:val="nil"/>
              <w:left w:val="nil"/>
              <w:bottom w:val="nil"/>
              <w:right w:val="nil"/>
            </w:tcBorders>
          </w:tcPr>
          <w:p w:rsidR="00A46DCA" w:rsidRPr="00D661D4"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szCs w:val="16"/>
                <w:lang w:eastAsia="en-AU"/>
              </w:rPr>
            </w:pPr>
            <w:r w:rsidRPr="00D661D4">
              <w:rPr>
                <w:rFonts w:eastAsiaTheme="minorEastAsia" w:cs="Calibri"/>
                <w:b/>
                <w:bCs/>
                <w:color w:val="000000"/>
                <w:sz w:val="16"/>
                <w:szCs w:val="16"/>
                <w:lang w:eastAsia="en-AU"/>
              </w:rPr>
              <w:t>4 715</w:t>
            </w:r>
          </w:p>
        </w:tc>
        <w:tc>
          <w:tcPr>
            <w:tcW w:w="850" w:type="dxa"/>
            <w:tcBorders>
              <w:top w:val="nil"/>
              <w:left w:val="nil"/>
              <w:bottom w:val="nil"/>
              <w:right w:val="nil"/>
            </w:tcBorders>
          </w:tcPr>
          <w:p w:rsidR="00A46DCA" w:rsidRPr="00D661D4"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szCs w:val="16"/>
                <w:lang w:eastAsia="en-AU"/>
              </w:rPr>
            </w:pPr>
            <w:r w:rsidRPr="00D661D4">
              <w:rPr>
                <w:rFonts w:eastAsiaTheme="minorEastAsia" w:cs="Calibri"/>
                <w:b/>
                <w:bCs/>
                <w:color w:val="000000"/>
                <w:sz w:val="16"/>
                <w:szCs w:val="16"/>
                <w:lang w:eastAsia="en-AU"/>
              </w:rPr>
              <w:t>4 748</w:t>
            </w:r>
          </w:p>
        </w:tc>
        <w:tc>
          <w:tcPr>
            <w:tcW w:w="850" w:type="dxa"/>
            <w:tcBorders>
              <w:top w:val="nil"/>
              <w:left w:val="nil"/>
              <w:bottom w:val="nil"/>
              <w:right w:val="nil"/>
            </w:tcBorders>
          </w:tcPr>
          <w:p w:rsidR="00A46DCA" w:rsidRPr="00D661D4"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szCs w:val="16"/>
                <w:lang w:eastAsia="en-AU"/>
              </w:rPr>
            </w:pPr>
            <w:r w:rsidRPr="00D661D4">
              <w:rPr>
                <w:rFonts w:eastAsiaTheme="minorEastAsia" w:cs="Calibri"/>
                <w:b/>
                <w:bCs/>
                <w:color w:val="000000"/>
                <w:sz w:val="16"/>
                <w:szCs w:val="16"/>
                <w:lang w:eastAsia="en-AU"/>
              </w:rPr>
              <w:t>7 827</w:t>
            </w:r>
          </w:p>
        </w:tc>
        <w:tc>
          <w:tcPr>
            <w:tcW w:w="850" w:type="dxa"/>
            <w:tcBorders>
              <w:top w:val="nil"/>
              <w:left w:val="nil"/>
              <w:bottom w:val="nil"/>
              <w:right w:val="nil"/>
            </w:tcBorders>
          </w:tcPr>
          <w:p w:rsidR="00A46DCA" w:rsidRPr="00D661D4"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szCs w:val="16"/>
                <w:lang w:eastAsia="en-AU"/>
              </w:rPr>
            </w:pPr>
            <w:r w:rsidRPr="00D661D4">
              <w:rPr>
                <w:rFonts w:eastAsiaTheme="minorEastAsia" w:cs="Calibri"/>
                <w:b/>
                <w:bCs/>
                <w:color w:val="000000"/>
                <w:sz w:val="16"/>
                <w:szCs w:val="16"/>
                <w:lang w:eastAsia="en-AU"/>
              </w:rPr>
              <w:t>6 175</w:t>
            </w:r>
          </w:p>
        </w:tc>
        <w:tc>
          <w:tcPr>
            <w:tcW w:w="850" w:type="dxa"/>
            <w:tcBorders>
              <w:top w:val="nil"/>
              <w:left w:val="nil"/>
              <w:bottom w:val="nil"/>
              <w:right w:val="nil"/>
            </w:tcBorders>
          </w:tcPr>
          <w:p w:rsidR="00A46DCA" w:rsidRPr="00D661D4"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szCs w:val="16"/>
                <w:lang w:eastAsia="en-AU"/>
              </w:rPr>
            </w:pPr>
            <w:r w:rsidRPr="00D661D4">
              <w:rPr>
                <w:rFonts w:eastAsiaTheme="minorEastAsia" w:cs="Calibri"/>
                <w:b/>
                <w:bCs/>
                <w:color w:val="000000"/>
                <w:sz w:val="16"/>
                <w:szCs w:val="16"/>
                <w:lang w:eastAsia="en-AU"/>
              </w:rPr>
              <w:t>6 957</w:t>
            </w:r>
          </w:p>
        </w:tc>
      </w:tr>
      <w:tr w:rsidR="00A46DCA" w:rsidRPr="00D661D4" w:rsidTr="00A26D04">
        <w:tc>
          <w:tcPr>
            <w:cnfStyle w:val="001000000000" w:firstRow="0" w:lastRow="0" w:firstColumn="1" w:lastColumn="0" w:oddVBand="0" w:evenVBand="0" w:oddHBand="0" w:evenHBand="0" w:firstRowFirstColumn="0" w:firstRowLastColumn="0" w:lastRowFirstColumn="0" w:lastRowLastColumn="0"/>
            <w:tcW w:w="3517" w:type="dxa"/>
            <w:tcBorders>
              <w:top w:val="nil"/>
              <w:left w:val="nil"/>
              <w:bottom w:val="nil"/>
              <w:right w:val="nil"/>
            </w:tcBorders>
          </w:tcPr>
          <w:p w:rsidR="00A46DCA" w:rsidRPr="00D661D4" w:rsidRDefault="00A46DCA" w:rsidP="00A26D04">
            <w:pPr>
              <w:keepLines w:val="0"/>
              <w:autoSpaceDE w:val="0"/>
              <w:autoSpaceDN w:val="0"/>
              <w:adjustRightInd w:val="0"/>
              <w:spacing w:after="0"/>
              <w:rPr>
                <w:rFonts w:eastAsiaTheme="minorEastAsia" w:cs="Calibri"/>
                <w:b/>
                <w:bCs/>
                <w:color w:val="000000"/>
                <w:sz w:val="16"/>
                <w:szCs w:val="16"/>
                <w:lang w:eastAsia="en-AU"/>
              </w:rPr>
            </w:pPr>
            <w:r w:rsidRPr="00D661D4">
              <w:rPr>
                <w:rFonts w:eastAsiaTheme="minorEastAsia" w:cs="Calibri"/>
                <w:b/>
                <w:bCs/>
                <w:color w:val="000000"/>
                <w:sz w:val="16"/>
                <w:szCs w:val="16"/>
                <w:lang w:eastAsia="en-AU"/>
              </w:rPr>
              <w:t>Cash flows from investing activities</w:t>
            </w:r>
          </w:p>
        </w:tc>
        <w:tc>
          <w:tcPr>
            <w:tcW w:w="850" w:type="dxa"/>
            <w:tcBorders>
              <w:top w:val="nil"/>
              <w:left w:val="nil"/>
              <w:bottom w:val="nil"/>
              <w:right w:val="nil"/>
            </w:tcBorders>
          </w:tcPr>
          <w:p w:rsidR="00A46DCA" w:rsidRPr="00D661D4"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szCs w:val="16"/>
                <w:lang w:eastAsia="en-AU"/>
              </w:rPr>
            </w:pPr>
            <w:r w:rsidRPr="00D661D4">
              <w:rPr>
                <w:rFonts w:eastAsiaTheme="minorEastAsia" w:cs="Calibri"/>
                <w:b/>
                <w:bCs/>
                <w:color w:val="000000"/>
                <w:sz w:val="16"/>
                <w:szCs w:val="16"/>
                <w:lang w:eastAsia="en-AU"/>
              </w:rPr>
              <w:t xml:space="preserve"> </w:t>
            </w:r>
          </w:p>
        </w:tc>
        <w:tc>
          <w:tcPr>
            <w:tcW w:w="850" w:type="dxa"/>
            <w:tcBorders>
              <w:top w:val="nil"/>
              <w:left w:val="nil"/>
              <w:bottom w:val="nil"/>
              <w:right w:val="nil"/>
            </w:tcBorders>
          </w:tcPr>
          <w:p w:rsidR="00A46DCA" w:rsidRPr="00D661D4"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szCs w:val="16"/>
                <w:lang w:eastAsia="en-AU"/>
              </w:rPr>
            </w:pPr>
            <w:r w:rsidRPr="00D661D4">
              <w:rPr>
                <w:rFonts w:eastAsiaTheme="minorEastAsia" w:cs="Calibri"/>
                <w:b/>
                <w:bCs/>
                <w:color w:val="000000"/>
                <w:sz w:val="16"/>
                <w:szCs w:val="16"/>
                <w:lang w:eastAsia="en-AU"/>
              </w:rPr>
              <w:t xml:space="preserve"> </w:t>
            </w:r>
          </w:p>
        </w:tc>
        <w:tc>
          <w:tcPr>
            <w:tcW w:w="850" w:type="dxa"/>
            <w:tcBorders>
              <w:top w:val="nil"/>
              <w:left w:val="nil"/>
              <w:bottom w:val="nil"/>
              <w:right w:val="nil"/>
            </w:tcBorders>
          </w:tcPr>
          <w:p w:rsidR="00A46DCA" w:rsidRPr="00D661D4"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szCs w:val="16"/>
                <w:lang w:eastAsia="en-AU"/>
              </w:rPr>
            </w:pPr>
            <w:r w:rsidRPr="00D661D4">
              <w:rPr>
                <w:rFonts w:eastAsiaTheme="minorEastAsia" w:cs="Calibri"/>
                <w:b/>
                <w:bCs/>
                <w:color w:val="000000"/>
                <w:sz w:val="16"/>
                <w:szCs w:val="16"/>
                <w:lang w:eastAsia="en-AU"/>
              </w:rPr>
              <w:t xml:space="preserve"> </w:t>
            </w:r>
          </w:p>
        </w:tc>
        <w:tc>
          <w:tcPr>
            <w:tcW w:w="850" w:type="dxa"/>
            <w:tcBorders>
              <w:top w:val="nil"/>
              <w:left w:val="nil"/>
              <w:bottom w:val="nil"/>
              <w:right w:val="nil"/>
            </w:tcBorders>
          </w:tcPr>
          <w:p w:rsidR="00A46DCA" w:rsidRPr="00D661D4"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szCs w:val="16"/>
                <w:lang w:eastAsia="en-AU"/>
              </w:rPr>
            </w:pPr>
            <w:r w:rsidRPr="00D661D4">
              <w:rPr>
                <w:rFonts w:eastAsiaTheme="minorEastAsia" w:cs="Calibri"/>
                <w:b/>
                <w:bCs/>
                <w:color w:val="000000"/>
                <w:sz w:val="16"/>
                <w:szCs w:val="16"/>
                <w:lang w:eastAsia="en-AU"/>
              </w:rPr>
              <w:t xml:space="preserve"> </w:t>
            </w:r>
          </w:p>
        </w:tc>
        <w:tc>
          <w:tcPr>
            <w:tcW w:w="850" w:type="dxa"/>
            <w:tcBorders>
              <w:top w:val="nil"/>
              <w:left w:val="nil"/>
              <w:bottom w:val="nil"/>
              <w:right w:val="nil"/>
            </w:tcBorders>
          </w:tcPr>
          <w:p w:rsidR="00A46DCA" w:rsidRPr="00D661D4"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szCs w:val="16"/>
                <w:lang w:eastAsia="en-AU"/>
              </w:rPr>
            </w:pPr>
            <w:r w:rsidRPr="00D661D4">
              <w:rPr>
                <w:rFonts w:eastAsiaTheme="minorEastAsia" w:cs="Calibri"/>
                <w:b/>
                <w:bCs/>
                <w:color w:val="000000"/>
                <w:sz w:val="16"/>
                <w:szCs w:val="16"/>
                <w:lang w:eastAsia="en-AU"/>
              </w:rPr>
              <w:t xml:space="preserve"> </w:t>
            </w:r>
          </w:p>
        </w:tc>
      </w:tr>
      <w:tr w:rsidR="00A46DCA" w:rsidRPr="00D661D4" w:rsidTr="00A26D04">
        <w:tc>
          <w:tcPr>
            <w:cnfStyle w:val="001000000000" w:firstRow="0" w:lastRow="0" w:firstColumn="1" w:lastColumn="0" w:oddVBand="0" w:evenVBand="0" w:oddHBand="0" w:evenHBand="0" w:firstRowFirstColumn="0" w:firstRowLastColumn="0" w:lastRowFirstColumn="0" w:lastRowLastColumn="0"/>
            <w:tcW w:w="3517" w:type="dxa"/>
            <w:tcBorders>
              <w:top w:val="nil"/>
              <w:left w:val="nil"/>
              <w:bottom w:val="nil"/>
              <w:right w:val="nil"/>
            </w:tcBorders>
          </w:tcPr>
          <w:p w:rsidR="00A46DCA" w:rsidRPr="00D661D4" w:rsidRDefault="00A46DCA" w:rsidP="00A26D04">
            <w:pPr>
              <w:keepLines w:val="0"/>
              <w:autoSpaceDE w:val="0"/>
              <w:autoSpaceDN w:val="0"/>
              <w:adjustRightInd w:val="0"/>
              <w:spacing w:after="0"/>
              <w:rPr>
                <w:rFonts w:eastAsiaTheme="minorEastAsia" w:cs="Calibri"/>
                <w:color w:val="000000"/>
                <w:sz w:val="16"/>
                <w:szCs w:val="16"/>
                <w:lang w:eastAsia="en-AU"/>
              </w:rPr>
            </w:pPr>
            <w:r w:rsidRPr="00D661D4">
              <w:rPr>
                <w:rFonts w:eastAsiaTheme="minorEastAsia" w:cs="Calibri"/>
                <w:color w:val="000000"/>
                <w:sz w:val="16"/>
                <w:szCs w:val="16"/>
                <w:lang w:eastAsia="en-AU"/>
              </w:rPr>
              <w:t xml:space="preserve">Net cash flows from investments in </w:t>
            </w:r>
            <w:r w:rsidRPr="00D661D4">
              <w:rPr>
                <w:rFonts w:eastAsiaTheme="minorEastAsia" w:cs="Calibri"/>
                <w:color w:val="000000"/>
                <w:sz w:val="16"/>
                <w:szCs w:val="16"/>
                <w:lang w:eastAsia="en-AU"/>
              </w:rPr>
              <w:br/>
              <w:t>non-financial assets</w:t>
            </w:r>
          </w:p>
        </w:tc>
        <w:tc>
          <w:tcPr>
            <w:tcW w:w="850" w:type="dxa"/>
            <w:tcBorders>
              <w:top w:val="nil"/>
              <w:left w:val="nil"/>
              <w:bottom w:val="nil"/>
              <w:right w:val="nil"/>
            </w:tcBorders>
          </w:tcPr>
          <w:p w:rsidR="00A46DCA" w:rsidRPr="00D661D4"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lang w:eastAsia="en-AU"/>
              </w:rPr>
            </w:pPr>
            <w:r w:rsidRPr="00D661D4">
              <w:rPr>
                <w:rFonts w:eastAsiaTheme="minorEastAsia" w:cs="Calibri"/>
                <w:color w:val="000000"/>
                <w:sz w:val="16"/>
                <w:szCs w:val="16"/>
                <w:lang w:eastAsia="en-AU"/>
              </w:rPr>
              <w:t>(11 385)</w:t>
            </w:r>
          </w:p>
        </w:tc>
        <w:tc>
          <w:tcPr>
            <w:tcW w:w="850" w:type="dxa"/>
            <w:tcBorders>
              <w:top w:val="nil"/>
              <w:left w:val="nil"/>
              <w:bottom w:val="nil"/>
              <w:right w:val="nil"/>
            </w:tcBorders>
          </w:tcPr>
          <w:p w:rsidR="00A46DCA" w:rsidRPr="00D661D4"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lang w:eastAsia="en-AU"/>
              </w:rPr>
            </w:pPr>
            <w:r w:rsidRPr="00D661D4">
              <w:rPr>
                <w:rFonts w:eastAsiaTheme="minorEastAsia" w:cs="Calibri"/>
                <w:color w:val="000000"/>
                <w:sz w:val="16"/>
                <w:szCs w:val="16"/>
                <w:lang w:eastAsia="en-AU"/>
              </w:rPr>
              <w:t>(11 604)</w:t>
            </w:r>
          </w:p>
        </w:tc>
        <w:tc>
          <w:tcPr>
            <w:tcW w:w="850" w:type="dxa"/>
            <w:tcBorders>
              <w:top w:val="nil"/>
              <w:left w:val="nil"/>
              <w:bottom w:val="nil"/>
              <w:right w:val="nil"/>
            </w:tcBorders>
          </w:tcPr>
          <w:p w:rsidR="00A46DCA" w:rsidRPr="00D661D4"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lang w:eastAsia="en-AU"/>
              </w:rPr>
            </w:pPr>
            <w:r w:rsidRPr="00D661D4">
              <w:rPr>
                <w:rFonts w:eastAsiaTheme="minorEastAsia" w:cs="Calibri"/>
                <w:color w:val="000000"/>
                <w:sz w:val="16"/>
                <w:szCs w:val="16"/>
                <w:lang w:eastAsia="en-AU"/>
              </w:rPr>
              <w:t>(10 678)</w:t>
            </w:r>
          </w:p>
        </w:tc>
        <w:tc>
          <w:tcPr>
            <w:tcW w:w="850" w:type="dxa"/>
            <w:tcBorders>
              <w:top w:val="nil"/>
              <w:left w:val="nil"/>
              <w:bottom w:val="nil"/>
              <w:right w:val="nil"/>
            </w:tcBorders>
          </w:tcPr>
          <w:p w:rsidR="00A46DCA" w:rsidRPr="00D661D4"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lang w:eastAsia="en-AU"/>
              </w:rPr>
            </w:pPr>
            <w:r w:rsidRPr="00D661D4">
              <w:rPr>
                <w:rFonts w:eastAsiaTheme="minorEastAsia" w:cs="Calibri"/>
                <w:color w:val="000000"/>
                <w:sz w:val="16"/>
                <w:szCs w:val="16"/>
                <w:lang w:eastAsia="en-AU"/>
              </w:rPr>
              <w:t>(9 411)</w:t>
            </w:r>
          </w:p>
        </w:tc>
        <w:tc>
          <w:tcPr>
            <w:tcW w:w="850" w:type="dxa"/>
            <w:tcBorders>
              <w:top w:val="nil"/>
              <w:left w:val="nil"/>
              <w:bottom w:val="nil"/>
              <w:right w:val="nil"/>
            </w:tcBorders>
          </w:tcPr>
          <w:p w:rsidR="00A46DCA" w:rsidRPr="00D661D4"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lang w:eastAsia="en-AU"/>
              </w:rPr>
            </w:pPr>
            <w:r w:rsidRPr="00D661D4">
              <w:rPr>
                <w:rFonts w:eastAsiaTheme="minorEastAsia" w:cs="Calibri"/>
                <w:color w:val="000000"/>
                <w:sz w:val="16"/>
                <w:szCs w:val="16"/>
                <w:lang w:eastAsia="en-AU"/>
              </w:rPr>
              <w:t>(9 036)</w:t>
            </w:r>
          </w:p>
        </w:tc>
      </w:tr>
      <w:tr w:rsidR="00A46DCA" w:rsidRPr="00D661D4" w:rsidTr="00A26D04">
        <w:tc>
          <w:tcPr>
            <w:cnfStyle w:val="001000000000" w:firstRow="0" w:lastRow="0" w:firstColumn="1" w:lastColumn="0" w:oddVBand="0" w:evenVBand="0" w:oddHBand="0" w:evenHBand="0" w:firstRowFirstColumn="0" w:firstRowLastColumn="0" w:lastRowFirstColumn="0" w:lastRowLastColumn="0"/>
            <w:tcW w:w="3517" w:type="dxa"/>
            <w:tcBorders>
              <w:top w:val="nil"/>
              <w:left w:val="nil"/>
              <w:bottom w:val="nil"/>
              <w:right w:val="nil"/>
            </w:tcBorders>
          </w:tcPr>
          <w:p w:rsidR="00A46DCA" w:rsidRPr="00D661D4" w:rsidRDefault="00A46DCA" w:rsidP="00A26D04">
            <w:pPr>
              <w:keepLines w:val="0"/>
              <w:autoSpaceDE w:val="0"/>
              <w:autoSpaceDN w:val="0"/>
              <w:adjustRightInd w:val="0"/>
              <w:spacing w:after="0"/>
              <w:rPr>
                <w:rFonts w:eastAsiaTheme="minorEastAsia" w:cs="Calibri"/>
                <w:color w:val="000000"/>
                <w:sz w:val="16"/>
                <w:szCs w:val="16"/>
                <w:lang w:eastAsia="en-AU"/>
              </w:rPr>
            </w:pPr>
            <w:r w:rsidRPr="00D661D4">
              <w:rPr>
                <w:rFonts w:eastAsiaTheme="minorEastAsia" w:cs="Calibri"/>
                <w:color w:val="000000"/>
                <w:sz w:val="16"/>
                <w:szCs w:val="16"/>
                <w:lang w:eastAsia="en-AU"/>
              </w:rPr>
              <w:t>Net cash flows from investments in financial assets for policy purposes</w:t>
            </w:r>
          </w:p>
        </w:tc>
        <w:tc>
          <w:tcPr>
            <w:tcW w:w="850" w:type="dxa"/>
            <w:tcBorders>
              <w:top w:val="nil"/>
              <w:left w:val="nil"/>
              <w:bottom w:val="nil"/>
              <w:right w:val="nil"/>
            </w:tcBorders>
          </w:tcPr>
          <w:p w:rsidR="00A46DCA" w:rsidRPr="00D661D4"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lang w:eastAsia="en-AU"/>
              </w:rPr>
            </w:pPr>
            <w:r w:rsidRPr="00D661D4">
              <w:rPr>
                <w:rFonts w:eastAsiaTheme="minorEastAsia" w:cs="Calibri"/>
                <w:color w:val="000000"/>
                <w:sz w:val="16"/>
                <w:szCs w:val="16"/>
                <w:lang w:eastAsia="en-AU"/>
              </w:rPr>
              <w:t>50</w:t>
            </w:r>
          </w:p>
        </w:tc>
        <w:tc>
          <w:tcPr>
            <w:tcW w:w="850" w:type="dxa"/>
            <w:tcBorders>
              <w:top w:val="nil"/>
              <w:left w:val="nil"/>
              <w:bottom w:val="nil"/>
              <w:right w:val="nil"/>
            </w:tcBorders>
          </w:tcPr>
          <w:p w:rsidR="00A46DCA" w:rsidRPr="00D661D4"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lang w:eastAsia="en-AU"/>
              </w:rPr>
            </w:pPr>
            <w:r w:rsidRPr="00D661D4">
              <w:rPr>
                <w:rFonts w:eastAsiaTheme="minorEastAsia" w:cs="Calibri"/>
                <w:color w:val="000000"/>
                <w:sz w:val="16"/>
                <w:szCs w:val="16"/>
                <w:lang w:eastAsia="en-AU"/>
              </w:rPr>
              <w:t>70</w:t>
            </w:r>
          </w:p>
        </w:tc>
        <w:tc>
          <w:tcPr>
            <w:tcW w:w="850" w:type="dxa"/>
            <w:tcBorders>
              <w:top w:val="nil"/>
              <w:left w:val="nil"/>
              <w:bottom w:val="nil"/>
              <w:right w:val="nil"/>
            </w:tcBorders>
          </w:tcPr>
          <w:p w:rsidR="00A46DCA" w:rsidRPr="00D661D4"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lang w:eastAsia="en-AU"/>
              </w:rPr>
            </w:pPr>
            <w:r w:rsidRPr="00D661D4">
              <w:rPr>
                <w:rFonts w:eastAsiaTheme="minorEastAsia" w:cs="Calibri"/>
                <w:color w:val="000000"/>
                <w:sz w:val="16"/>
                <w:szCs w:val="16"/>
                <w:lang w:eastAsia="en-AU"/>
              </w:rPr>
              <w:t>80</w:t>
            </w:r>
          </w:p>
        </w:tc>
        <w:tc>
          <w:tcPr>
            <w:tcW w:w="850" w:type="dxa"/>
            <w:tcBorders>
              <w:top w:val="nil"/>
              <w:left w:val="nil"/>
              <w:bottom w:val="nil"/>
              <w:right w:val="nil"/>
            </w:tcBorders>
          </w:tcPr>
          <w:p w:rsidR="00A46DCA" w:rsidRPr="00D661D4"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lang w:eastAsia="en-AU"/>
              </w:rPr>
            </w:pPr>
            <w:r w:rsidRPr="00D661D4">
              <w:rPr>
                <w:rFonts w:eastAsiaTheme="minorEastAsia" w:cs="Calibri"/>
                <w:color w:val="000000"/>
                <w:sz w:val="16"/>
                <w:szCs w:val="16"/>
                <w:lang w:eastAsia="en-AU"/>
              </w:rPr>
              <w:t>69</w:t>
            </w:r>
          </w:p>
        </w:tc>
        <w:tc>
          <w:tcPr>
            <w:tcW w:w="850" w:type="dxa"/>
            <w:tcBorders>
              <w:top w:val="nil"/>
              <w:left w:val="nil"/>
              <w:bottom w:val="nil"/>
              <w:right w:val="nil"/>
            </w:tcBorders>
          </w:tcPr>
          <w:p w:rsidR="00A46DCA" w:rsidRPr="00D661D4"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lang w:eastAsia="en-AU"/>
              </w:rPr>
            </w:pPr>
            <w:r w:rsidRPr="00D661D4">
              <w:rPr>
                <w:rFonts w:eastAsiaTheme="minorEastAsia" w:cs="Calibri"/>
                <w:color w:val="000000"/>
                <w:sz w:val="16"/>
                <w:szCs w:val="16"/>
                <w:lang w:eastAsia="en-AU"/>
              </w:rPr>
              <w:t>100</w:t>
            </w:r>
          </w:p>
        </w:tc>
      </w:tr>
      <w:tr w:rsidR="00A46DCA" w:rsidRPr="00D661D4" w:rsidTr="00A26D04">
        <w:tc>
          <w:tcPr>
            <w:cnfStyle w:val="001000000000" w:firstRow="0" w:lastRow="0" w:firstColumn="1" w:lastColumn="0" w:oddVBand="0" w:evenVBand="0" w:oddHBand="0" w:evenHBand="0" w:firstRowFirstColumn="0" w:firstRowLastColumn="0" w:lastRowFirstColumn="0" w:lastRowLastColumn="0"/>
            <w:tcW w:w="3517" w:type="dxa"/>
            <w:tcBorders>
              <w:top w:val="nil"/>
              <w:left w:val="nil"/>
              <w:bottom w:val="single" w:sz="6" w:space="0" w:color="000000"/>
              <w:right w:val="nil"/>
            </w:tcBorders>
          </w:tcPr>
          <w:p w:rsidR="00A46DCA" w:rsidRPr="00D661D4" w:rsidRDefault="00A46DCA" w:rsidP="00A26D04">
            <w:pPr>
              <w:keepLines w:val="0"/>
              <w:autoSpaceDE w:val="0"/>
              <w:autoSpaceDN w:val="0"/>
              <w:adjustRightInd w:val="0"/>
              <w:spacing w:after="0"/>
              <w:rPr>
                <w:rFonts w:eastAsiaTheme="minorEastAsia" w:cs="Calibri"/>
                <w:color w:val="000000"/>
                <w:sz w:val="16"/>
                <w:szCs w:val="16"/>
                <w:lang w:eastAsia="en-AU"/>
              </w:rPr>
            </w:pPr>
            <w:r w:rsidRPr="00D661D4">
              <w:rPr>
                <w:rFonts w:eastAsiaTheme="minorEastAsia" w:cs="Calibri"/>
                <w:color w:val="000000"/>
                <w:sz w:val="16"/>
                <w:szCs w:val="16"/>
                <w:lang w:eastAsia="en-AU"/>
              </w:rPr>
              <w:t>Net cash flows from investment in financial assets for liquidity management purposes</w:t>
            </w:r>
          </w:p>
        </w:tc>
        <w:tc>
          <w:tcPr>
            <w:tcW w:w="850" w:type="dxa"/>
            <w:tcBorders>
              <w:top w:val="nil"/>
              <w:left w:val="nil"/>
              <w:bottom w:val="single" w:sz="6" w:space="0" w:color="000000"/>
              <w:right w:val="nil"/>
            </w:tcBorders>
          </w:tcPr>
          <w:p w:rsidR="00A46DCA" w:rsidRPr="00D661D4"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lang w:eastAsia="en-AU"/>
              </w:rPr>
            </w:pPr>
            <w:r w:rsidRPr="00D661D4">
              <w:rPr>
                <w:rFonts w:eastAsiaTheme="minorEastAsia" w:cs="Calibri"/>
                <w:color w:val="000000"/>
                <w:sz w:val="16"/>
                <w:szCs w:val="16"/>
                <w:lang w:eastAsia="en-AU"/>
              </w:rPr>
              <w:t>3 423</w:t>
            </w:r>
          </w:p>
        </w:tc>
        <w:tc>
          <w:tcPr>
            <w:tcW w:w="850" w:type="dxa"/>
            <w:tcBorders>
              <w:top w:val="nil"/>
              <w:left w:val="nil"/>
              <w:bottom w:val="single" w:sz="6" w:space="0" w:color="000000"/>
              <w:right w:val="nil"/>
            </w:tcBorders>
          </w:tcPr>
          <w:p w:rsidR="00A46DCA" w:rsidRPr="00D661D4"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lang w:eastAsia="en-AU"/>
              </w:rPr>
            </w:pPr>
            <w:r w:rsidRPr="00D661D4">
              <w:rPr>
                <w:rFonts w:eastAsiaTheme="minorEastAsia" w:cs="Calibri"/>
                <w:color w:val="000000"/>
                <w:sz w:val="16"/>
                <w:szCs w:val="16"/>
                <w:lang w:eastAsia="en-AU"/>
              </w:rPr>
              <w:t>6 126</w:t>
            </w:r>
          </w:p>
        </w:tc>
        <w:tc>
          <w:tcPr>
            <w:tcW w:w="850" w:type="dxa"/>
            <w:tcBorders>
              <w:top w:val="nil"/>
              <w:left w:val="nil"/>
              <w:bottom w:val="single" w:sz="6" w:space="0" w:color="000000"/>
              <w:right w:val="nil"/>
            </w:tcBorders>
          </w:tcPr>
          <w:p w:rsidR="00A46DCA" w:rsidRPr="00D661D4"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lang w:eastAsia="en-AU"/>
              </w:rPr>
            </w:pPr>
            <w:r w:rsidRPr="00D661D4">
              <w:rPr>
                <w:rFonts w:eastAsiaTheme="minorEastAsia" w:cs="Calibri"/>
                <w:color w:val="000000"/>
                <w:sz w:val="16"/>
                <w:szCs w:val="16"/>
                <w:lang w:eastAsia="en-AU"/>
              </w:rPr>
              <w:t>1 698</w:t>
            </w:r>
          </w:p>
        </w:tc>
        <w:tc>
          <w:tcPr>
            <w:tcW w:w="850" w:type="dxa"/>
            <w:tcBorders>
              <w:top w:val="nil"/>
              <w:left w:val="nil"/>
              <w:bottom w:val="single" w:sz="6" w:space="0" w:color="000000"/>
              <w:right w:val="nil"/>
            </w:tcBorders>
          </w:tcPr>
          <w:p w:rsidR="00A46DCA" w:rsidRPr="00D661D4"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lang w:eastAsia="en-AU"/>
              </w:rPr>
            </w:pPr>
            <w:r w:rsidRPr="00D661D4">
              <w:rPr>
                <w:rFonts w:eastAsiaTheme="minorEastAsia" w:cs="Calibri"/>
                <w:color w:val="000000"/>
                <w:sz w:val="16"/>
                <w:szCs w:val="16"/>
                <w:lang w:eastAsia="en-AU"/>
              </w:rPr>
              <w:t>590</w:t>
            </w:r>
          </w:p>
        </w:tc>
        <w:tc>
          <w:tcPr>
            <w:tcW w:w="850" w:type="dxa"/>
            <w:tcBorders>
              <w:top w:val="nil"/>
              <w:left w:val="nil"/>
              <w:bottom w:val="single" w:sz="6" w:space="0" w:color="000000"/>
              <w:right w:val="nil"/>
            </w:tcBorders>
          </w:tcPr>
          <w:p w:rsidR="00A46DCA" w:rsidRPr="00D661D4"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lang w:eastAsia="en-AU"/>
              </w:rPr>
            </w:pPr>
            <w:r w:rsidRPr="00D661D4">
              <w:rPr>
                <w:rFonts w:eastAsiaTheme="minorEastAsia" w:cs="Calibri"/>
                <w:color w:val="000000"/>
                <w:sz w:val="16"/>
                <w:szCs w:val="16"/>
                <w:lang w:eastAsia="en-AU"/>
              </w:rPr>
              <w:t>700</w:t>
            </w:r>
          </w:p>
        </w:tc>
      </w:tr>
      <w:tr w:rsidR="00A46DCA" w:rsidRPr="00D661D4" w:rsidTr="00A26D04">
        <w:tc>
          <w:tcPr>
            <w:cnfStyle w:val="001000000000" w:firstRow="0" w:lastRow="0" w:firstColumn="1" w:lastColumn="0" w:oddVBand="0" w:evenVBand="0" w:oddHBand="0" w:evenHBand="0" w:firstRowFirstColumn="0" w:firstRowLastColumn="0" w:lastRowFirstColumn="0" w:lastRowLastColumn="0"/>
            <w:tcW w:w="3517" w:type="dxa"/>
            <w:tcBorders>
              <w:top w:val="nil"/>
              <w:left w:val="nil"/>
              <w:bottom w:val="nil"/>
              <w:right w:val="nil"/>
            </w:tcBorders>
          </w:tcPr>
          <w:p w:rsidR="00A46DCA" w:rsidRPr="00D661D4" w:rsidRDefault="00A46DCA" w:rsidP="00A26D04">
            <w:pPr>
              <w:keepLines w:val="0"/>
              <w:autoSpaceDE w:val="0"/>
              <w:autoSpaceDN w:val="0"/>
              <w:adjustRightInd w:val="0"/>
              <w:spacing w:after="0"/>
              <w:rPr>
                <w:rFonts w:eastAsiaTheme="minorEastAsia" w:cs="Calibri"/>
                <w:b/>
                <w:bCs/>
                <w:color w:val="000000"/>
                <w:sz w:val="16"/>
                <w:szCs w:val="16"/>
                <w:lang w:eastAsia="en-AU"/>
              </w:rPr>
            </w:pPr>
            <w:r w:rsidRPr="00D661D4">
              <w:rPr>
                <w:rFonts w:eastAsiaTheme="minorEastAsia" w:cs="Calibri"/>
                <w:b/>
                <w:bCs/>
                <w:color w:val="000000"/>
                <w:sz w:val="16"/>
                <w:szCs w:val="16"/>
                <w:lang w:eastAsia="en-AU"/>
              </w:rPr>
              <w:t>Net cash flows from investing activities</w:t>
            </w:r>
          </w:p>
        </w:tc>
        <w:tc>
          <w:tcPr>
            <w:tcW w:w="850" w:type="dxa"/>
            <w:tcBorders>
              <w:top w:val="nil"/>
              <w:left w:val="nil"/>
              <w:bottom w:val="nil"/>
              <w:right w:val="nil"/>
            </w:tcBorders>
          </w:tcPr>
          <w:p w:rsidR="00A46DCA" w:rsidRPr="00D661D4"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szCs w:val="16"/>
                <w:lang w:eastAsia="en-AU"/>
              </w:rPr>
            </w:pPr>
            <w:r w:rsidRPr="00D661D4">
              <w:rPr>
                <w:rFonts w:eastAsiaTheme="minorEastAsia" w:cs="Calibri"/>
                <w:b/>
                <w:bCs/>
                <w:color w:val="000000"/>
                <w:sz w:val="16"/>
                <w:szCs w:val="16"/>
                <w:lang w:eastAsia="en-AU"/>
              </w:rPr>
              <w:t>(7 912)</w:t>
            </w:r>
          </w:p>
        </w:tc>
        <w:tc>
          <w:tcPr>
            <w:tcW w:w="850" w:type="dxa"/>
            <w:tcBorders>
              <w:top w:val="nil"/>
              <w:left w:val="nil"/>
              <w:bottom w:val="nil"/>
              <w:right w:val="nil"/>
            </w:tcBorders>
          </w:tcPr>
          <w:p w:rsidR="00A46DCA" w:rsidRPr="00D661D4"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szCs w:val="16"/>
                <w:lang w:eastAsia="en-AU"/>
              </w:rPr>
            </w:pPr>
            <w:r w:rsidRPr="00D661D4">
              <w:rPr>
                <w:rFonts w:eastAsiaTheme="minorEastAsia" w:cs="Calibri"/>
                <w:b/>
                <w:bCs/>
                <w:color w:val="000000"/>
                <w:sz w:val="16"/>
                <w:szCs w:val="16"/>
                <w:lang w:eastAsia="en-AU"/>
              </w:rPr>
              <w:t>(5 408)</w:t>
            </w:r>
          </w:p>
        </w:tc>
        <w:tc>
          <w:tcPr>
            <w:tcW w:w="850" w:type="dxa"/>
            <w:tcBorders>
              <w:top w:val="nil"/>
              <w:left w:val="nil"/>
              <w:bottom w:val="nil"/>
              <w:right w:val="nil"/>
            </w:tcBorders>
          </w:tcPr>
          <w:p w:rsidR="00A46DCA" w:rsidRPr="00D661D4"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szCs w:val="16"/>
                <w:lang w:eastAsia="en-AU"/>
              </w:rPr>
            </w:pPr>
            <w:r w:rsidRPr="00D661D4">
              <w:rPr>
                <w:rFonts w:eastAsiaTheme="minorEastAsia" w:cs="Calibri"/>
                <w:b/>
                <w:bCs/>
                <w:color w:val="000000"/>
                <w:sz w:val="16"/>
                <w:szCs w:val="16"/>
                <w:lang w:eastAsia="en-AU"/>
              </w:rPr>
              <w:t>(8 900)</w:t>
            </w:r>
          </w:p>
        </w:tc>
        <w:tc>
          <w:tcPr>
            <w:tcW w:w="850" w:type="dxa"/>
            <w:tcBorders>
              <w:top w:val="nil"/>
              <w:left w:val="nil"/>
              <w:bottom w:val="nil"/>
              <w:right w:val="nil"/>
            </w:tcBorders>
          </w:tcPr>
          <w:p w:rsidR="00A46DCA" w:rsidRPr="00D661D4"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szCs w:val="16"/>
                <w:lang w:eastAsia="en-AU"/>
              </w:rPr>
            </w:pPr>
            <w:r w:rsidRPr="00D661D4">
              <w:rPr>
                <w:rFonts w:eastAsiaTheme="minorEastAsia" w:cs="Calibri"/>
                <w:b/>
                <w:bCs/>
                <w:color w:val="000000"/>
                <w:sz w:val="16"/>
                <w:szCs w:val="16"/>
                <w:lang w:eastAsia="en-AU"/>
              </w:rPr>
              <w:t>(8 753)</w:t>
            </w:r>
          </w:p>
        </w:tc>
        <w:tc>
          <w:tcPr>
            <w:tcW w:w="850" w:type="dxa"/>
            <w:tcBorders>
              <w:top w:val="nil"/>
              <w:left w:val="nil"/>
              <w:bottom w:val="nil"/>
              <w:right w:val="nil"/>
            </w:tcBorders>
          </w:tcPr>
          <w:p w:rsidR="00A46DCA" w:rsidRPr="00D661D4"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szCs w:val="16"/>
                <w:lang w:eastAsia="en-AU"/>
              </w:rPr>
            </w:pPr>
            <w:r w:rsidRPr="00D661D4">
              <w:rPr>
                <w:rFonts w:eastAsiaTheme="minorEastAsia" w:cs="Calibri"/>
                <w:b/>
                <w:bCs/>
                <w:color w:val="000000"/>
                <w:sz w:val="16"/>
                <w:szCs w:val="16"/>
                <w:lang w:eastAsia="en-AU"/>
              </w:rPr>
              <w:t>(8 237)</w:t>
            </w:r>
          </w:p>
        </w:tc>
      </w:tr>
      <w:tr w:rsidR="00A46DCA" w:rsidRPr="00D661D4" w:rsidTr="00A26D04">
        <w:tc>
          <w:tcPr>
            <w:cnfStyle w:val="001000000000" w:firstRow="0" w:lastRow="0" w:firstColumn="1" w:lastColumn="0" w:oddVBand="0" w:evenVBand="0" w:oddHBand="0" w:evenHBand="0" w:firstRowFirstColumn="0" w:firstRowLastColumn="0" w:lastRowFirstColumn="0" w:lastRowLastColumn="0"/>
            <w:tcW w:w="3517" w:type="dxa"/>
            <w:tcBorders>
              <w:top w:val="nil"/>
              <w:left w:val="nil"/>
              <w:bottom w:val="nil"/>
              <w:right w:val="nil"/>
            </w:tcBorders>
          </w:tcPr>
          <w:p w:rsidR="00A46DCA" w:rsidRPr="00D661D4" w:rsidRDefault="00A46DCA" w:rsidP="00A26D04">
            <w:pPr>
              <w:keepLines w:val="0"/>
              <w:autoSpaceDE w:val="0"/>
              <w:autoSpaceDN w:val="0"/>
              <w:adjustRightInd w:val="0"/>
              <w:spacing w:after="0"/>
              <w:rPr>
                <w:rFonts w:eastAsiaTheme="minorEastAsia" w:cs="Calibri"/>
                <w:b/>
                <w:bCs/>
                <w:color w:val="000000"/>
                <w:sz w:val="16"/>
                <w:szCs w:val="16"/>
                <w:lang w:eastAsia="en-AU"/>
              </w:rPr>
            </w:pPr>
            <w:r w:rsidRPr="00D661D4">
              <w:rPr>
                <w:rFonts w:eastAsiaTheme="minorEastAsia" w:cs="Calibri"/>
                <w:b/>
                <w:bCs/>
                <w:color w:val="000000"/>
                <w:sz w:val="16"/>
                <w:szCs w:val="16"/>
                <w:lang w:eastAsia="en-AU"/>
              </w:rPr>
              <w:t>Cash flows from financing activities</w:t>
            </w:r>
          </w:p>
        </w:tc>
        <w:tc>
          <w:tcPr>
            <w:tcW w:w="850" w:type="dxa"/>
            <w:tcBorders>
              <w:top w:val="nil"/>
              <w:left w:val="nil"/>
              <w:bottom w:val="nil"/>
              <w:right w:val="nil"/>
            </w:tcBorders>
          </w:tcPr>
          <w:p w:rsidR="00A46DCA" w:rsidRPr="00D661D4"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szCs w:val="16"/>
                <w:lang w:eastAsia="en-AU"/>
              </w:rPr>
            </w:pPr>
            <w:r w:rsidRPr="00D661D4">
              <w:rPr>
                <w:rFonts w:eastAsiaTheme="minorEastAsia" w:cs="Calibri"/>
                <w:b/>
                <w:bCs/>
                <w:color w:val="000000"/>
                <w:sz w:val="16"/>
                <w:szCs w:val="16"/>
                <w:lang w:eastAsia="en-AU"/>
              </w:rPr>
              <w:t xml:space="preserve"> </w:t>
            </w:r>
          </w:p>
        </w:tc>
        <w:tc>
          <w:tcPr>
            <w:tcW w:w="850" w:type="dxa"/>
            <w:tcBorders>
              <w:top w:val="nil"/>
              <w:left w:val="nil"/>
              <w:bottom w:val="nil"/>
              <w:right w:val="nil"/>
            </w:tcBorders>
          </w:tcPr>
          <w:p w:rsidR="00A46DCA" w:rsidRPr="00D661D4"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szCs w:val="16"/>
                <w:lang w:eastAsia="en-AU"/>
              </w:rPr>
            </w:pPr>
            <w:r w:rsidRPr="00D661D4">
              <w:rPr>
                <w:rFonts w:eastAsiaTheme="minorEastAsia" w:cs="Calibri"/>
                <w:b/>
                <w:bCs/>
                <w:color w:val="000000"/>
                <w:sz w:val="16"/>
                <w:szCs w:val="16"/>
                <w:lang w:eastAsia="en-AU"/>
              </w:rPr>
              <w:t xml:space="preserve"> </w:t>
            </w:r>
          </w:p>
        </w:tc>
        <w:tc>
          <w:tcPr>
            <w:tcW w:w="850" w:type="dxa"/>
            <w:tcBorders>
              <w:top w:val="nil"/>
              <w:left w:val="nil"/>
              <w:bottom w:val="nil"/>
              <w:right w:val="nil"/>
            </w:tcBorders>
          </w:tcPr>
          <w:p w:rsidR="00A46DCA" w:rsidRPr="00D661D4"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szCs w:val="16"/>
                <w:lang w:eastAsia="en-AU"/>
              </w:rPr>
            </w:pPr>
            <w:r w:rsidRPr="00D661D4">
              <w:rPr>
                <w:rFonts w:eastAsiaTheme="minorEastAsia" w:cs="Calibri"/>
                <w:b/>
                <w:bCs/>
                <w:color w:val="000000"/>
                <w:sz w:val="16"/>
                <w:szCs w:val="16"/>
                <w:lang w:eastAsia="en-AU"/>
              </w:rPr>
              <w:t xml:space="preserve"> </w:t>
            </w:r>
          </w:p>
        </w:tc>
        <w:tc>
          <w:tcPr>
            <w:tcW w:w="850" w:type="dxa"/>
            <w:tcBorders>
              <w:top w:val="nil"/>
              <w:left w:val="nil"/>
              <w:bottom w:val="nil"/>
              <w:right w:val="nil"/>
            </w:tcBorders>
          </w:tcPr>
          <w:p w:rsidR="00A46DCA" w:rsidRPr="00D661D4"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szCs w:val="16"/>
                <w:lang w:eastAsia="en-AU"/>
              </w:rPr>
            </w:pPr>
            <w:r w:rsidRPr="00D661D4">
              <w:rPr>
                <w:rFonts w:eastAsiaTheme="minorEastAsia" w:cs="Calibri"/>
                <w:b/>
                <w:bCs/>
                <w:color w:val="000000"/>
                <w:sz w:val="16"/>
                <w:szCs w:val="16"/>
                <w:lang w:eastAsia="en-AU"/>
              </w:rPr>
              <w:t xml:space="preserve"> </w:t>
            </w:r>
          </w:p>
        </w:tc>
        <w:tc>
          <w:tcPr>
            <w:tcW w:w="850" w:type="dxa"/>
            <w:tcBorders>
              <w:top w:val="nil"/>
              <w:left w:val="nil"/>
              <w:bottom w:val="nil"/>
              <w:right w:val="nil"/>
            </w:tcBorders>
          </w:tcPr>
          <w:p w:rsidR="00A46DCA" w:rsidRPr="00D661D4"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szCs w:val="16"/>
                <w:lang w:eastAsia="en-AU"/>
              </w:rPr>
            </w:pPr>
            <w:r w:rsidRPr="00D661D4">
              <w:rPr>
                <w:rFonts w:eastAsiaTheme="minorEastAsia" w:cs="Calibri"/>
                <w:b/>
                <w:bCs/>
                <w:color w:val="000000"/>
                <w:sz w:val="16"/>
                <w:szCs w:val="16"/>
                <w:lang w:eastAsia="en-AU"/>
              </w:rPr>
              <w:t xml:space="preserve"> </w:t>
            </w:r>
          </w:p>
        </w:tc>
      </w:tr>
      <w:tr w:rsidR="00A46DCA" w:rsidRPr="00D661D4" w:rsidTr="00A26D04">
        <w:tc>
          <w:tcPr>
            <w:cnfStyle w:val="001000000000" w:firstRow="0" w:lastRow="0" w:firstColumn="1" w:lastColumn="0" w:oddVBand="0" w:evenVBand="0" w:oddHBand="0" w:evenHBand="0" w:firstRowFirstColumn="0" w:firstRowLastColumn="0" w:lastRowFirstColumn="0" w:lastRowLastColumn="0"/>
            <w:tcW w:w="3517" w:type="dxa"/>
            <w:tcBorders>
              <w:top w:val="nil"/>
              <w:left w:val="nil"/>
              <w:bottom w:val="nil"/>
              <w:right w:val="nil"/>
            </w:tcBorders>
          </w:tcPr>
          <w:p w:rsidR="00A46DCA" w:rsidRPr="00D661D4" w:rsidRDefault="00A46DCA" w:rsidP="00A26D04">
            <w:pPr>
              <w:keepLines w:val="0"/>
              <w:autoSpaceDE w:val="0"/>
              <w:autoSpaceDN w:val="0"/>
              <w:adjustRightInd w:val="0"/>
              <w:spacing w:after="0"/>
              <w:rPr>
                <w:rFonts w:eastAsiaTheme="minorEastAsia" w:cs="Calibri"/>
                <w:color w:val="000000"/>
                <w:sz w:val="16"/>
                <w:szCs w:val="16"/>
                <w:lang w:eastAsia="en-AU"/>
              </w:rPr>
            </w:pPr>
            <w:r w:rsidRPr="00D661D4">
              <w:rPr>
                <w:rFonts w:eastAsiaTheme="minorEastAsia" w:cs="Calibri"/>
                <w:color w:val="000000"/>
                <w:sz w:val="16"/>
                <w:szCs w:val="16"/>
                <w:lang w:eastAsia="en-AU"/>
              </w:rPr>
              <w:t>Advances received (net)</w:t>
            </w:r>
          </w:p>
        </w:tc>
        <w:tc>
          <w:tcPr>
            <w:tcW w:w="850" w:type="dxa"/>
            <w:tcBorders>
              <w:top w:val="nil"/>
              <w:left w:val="nil"/>
              <w:bottom w:val="nil"/>
              <w:right w:val="nil"/>
            </w:tcBorders>
          </w:tcPr>
          <w:p w:rsidR="00A46DCA" w:rsidRPr="00D661D4"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lang w:eastAsia="en-AU"/>
              </w:rPr>
            </w:pPr>
            <w:r w:rsidRPr="00D661D4">
              <w:rPr>
                <w:rFonts w:eastAsiaTheme="minorEastAsia" w:cs="Calibri"/>
                <w:color w:val="000000"/>
                <w:sz w:val="16"/>
                <w:szCs w:val="16"/>
                <w:lang w:eastAsia="en-AU"/>
              </w:rPr>
              <w:t>(1)</w:t>
            </w:r>
          </w:p>
        </w:tc>
        <w:tc>
          <w:tcPr>
            <w:tcW w:w="850" w:type="dxa"/>
            <w:tcBorders>
              <w:top w:val="nil"/>
              <w:left w:val="nil"/>
              <w:bottom w:val="nil"/>
              <w:right w:val="nil"/>
            </w:tcBorders>
          </w:tcPr>
          <w:p w:rsidR="00A46DCA" w:rsidRPr="00D661D4"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lang w:eastAsia="en-AU"/>
              </w:rPr>
            </w:pPr>
            <w:r w:rsidRPr="00D661D4">
              <w:rPr>
                <w:rFonts w:eastAsiaTheme="minorEastAsia" w:cs="Calibri"/>
                <w:color w:val="000000"/>
                <w:sz w:val="16"/>
                <w:szCs w:val="16"/>
                <w:lang w:eastAsia="en-AU"/>
              </w:rPr>
              <w:t>(18)</w:t>
            </w:r>
          </w:p>
        </w:tc>
        <w:tc>
          <w:tcPr>
            <w:tcW w:w="850" w:type="dxa"/>
            <w:tcBorders>
              <w:top w:val="nil"/>
              <w:left w:val="nil"/>
              <w:bottom w:val="nil"/>
              <w:right w:val="nil"/>
            </w:tcBorders>
          </w:tcPr>
          <w:p w:rsidR="00A46DCA" w:rsidRPr="00D661D4"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lang w:eastAsia="en-AU"/>
              </w:rPr>
            </w:pPr>
            <w:r w:rsidRPr="00D661D4">
              <w:rPr>
                <w:rFonts w:eastAsiaTheme="minorEastAsia" w:cs="Calibri"/>
                <w:color w:val="000000"/>
                <w:sz w:val="16"/>
                <w:szCs w:val="16"/>
                <w:lang w:eastAsia="en-AU"/>
              </w:rPr>
              <w:t>(1)</w:t>
            </w:r>
          </w:p>
        </w:tc>
        <w:tc>
          <w:tcPr>
            <w:tcW w:w="850" w:type="dxa"/>
            <w:tcBorders>
              <w:top w:val="nil"/>
              <w:left w:val="nil"/>
              <w:bottom w:val="nil"/>
              <w:right w:val="nil"/>
            </w:tcBorders>
          </w:tcPr>
          <w:p w:rsidR="00A46DCA" w:rsidRPr="00D661D4"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lang w:eastAsia="en-AU"/>
              </w:rPr>
            </w:pPr>
            <w:r w:rsidRPr="00D661D4">
              <w:rPr>
                <w:rFonts w:eastAsiaTheme="minorEastAsia" w:cs="Calibri"/>
                <w:color w:val="000000"/>
                <w:sz w:val="16"/>
                <w:szCs w:val="16"/>
                <w:lang w:eastAsia="en-AU"/>
              </w:rPr>
              <w:t>(1)</w:t>
            </w:r>
          </w:p>
        </w:tc>
        <w:tc>
          <w:tcPr>
            <w:tcW w:w="850" w:type="dxa"/>
            <w:tcBorders>
              <w:top w:val="nil"/>
              <w:left w:val="nil"/>
              <w:bottom w:val="nil"/>
              <w:right w:val="nil"/>
            </w:tcBorders>
          </w:tcPr>
          <w:p w:rsidR="00A46DCA" w:rsidRPr="00D661D4"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lang w:eastAsia="en-AU"/>
              </w:rPr>
            </w:pPr>
            <w:r w:rsidRPr="00D661D4">
              <w:rPr>
                <w:rFonts w:eastAsiaTheme="minorEastAsia" w:cs="Calibri"/>
                <w:color w:val="000000"/>
                <w:sz w:val="16"/>
                <w:szCs w:val="16"/>
                <w:lang w:eastAsia="en-AU"/>
              </w:rPr>
              <w:t>(1)</w:t>
            </w:r>
          </w:p>
        </w:tc>
      </w:tr>
      <w:tr w:rsidR="00A46DCA" w:rsidRPr="00D661D4" w:rsidTr="00A26D04">
        <w:tc>
          <w:tcPr>
            <w:cnfStyle w:val="001000000000" w:firstRow="0" w:lastRow="0" w:firstColumn="1" w:lastColumn="0" w:oddVBand="0" w:evenVBand="0" w:oddHBand="0" w:evenHBand="0" w:firstRowFirstColumn="0" w:firstRowLastColumn="0" w:lastRowFirstColumn="0" w:lastRowLastColumn="0"/>
            <w:tcW w:w="3517" w:type="dxa"/>
            <w:tcBorders>
              <w:top w:val="nil"/>
              <w:left w:val="nil"/>
              <w:bottom w:val="nil"/>
              <w:right w:val="nil"/>
            </w:tcBorders>
          </w:tcPr>
          <w:p w:rsidR="00A46DCA" w:rsidRPr="00D661D4" w:rsidRDefault="00A46DCA" w:rsidP="00A26D04">
            <w:pPr>
              <w:keepLines w:val="0"/>
              <w:autoSpaceDE w:val="0"/>
              <w:autoSpaceDN w:val="0"/>
              <w:adjustRightInd w:val="0"/>
              <w:spacing w:after="0"/>
              <w:rPr>
                <w:rFonts w:eastAsiaTheme="minorEastAsia" w:cs="Calibri"/>
                <w:color w:val="000000"/>
                <w:sz w:val="16"/>
                <w:szCs w:val="16"/>
                <w:lang w:eastAsia="en-AU"/>
              </w:rPr>
            </w:pPr>
            <w:r w:rsidRPr="00D661D4">
              <w:rPr>
                <w:rFonts w:eastAsiaTheme="minorEastAsia" w:cs="Calibri"/>
                <w:color w:val="000000"/>
                <w:sz w:val="16"/>
                <w:szCs w:val="16"/>
                <w:lang w:eastAsia="en-AU"/>
              </w:rPr>
              <w:t>Net borrowings</w:t>
            </w:r>
          </w:p>
        </w:tc>
        <w:tc>
          <w:tcPr>
            <w:tcW w:w="850" w:type="dxa"/>
            <w:tcBorders>
              <w:top w:val="nil"/>
              <w:left w:val="nil"/>
              <w:bottom w:val="nil"/>
              <w:right w:val="nil"/>
            </w:tcBorders>
          </w:tcPr>
          <w:p w:rsidR="00A46DCA" w:rsidRPr="00D661D4"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lang w:eastAsia="en-AU"/>
              </w:rPr>
            </w:pPr>
            <w:r w:rsidRPr="00D661D4">
              <w:rPr>
                <w:rFonts w:eastAsiaTheme="minorEastAsia" w:cs="Calibri"/>
                <w:color w:val="000000"/>
                <w:sz w:val="16"/>
                <w:szCs w:val="16"/>
                <w:lang w:eastAsia="en-AU"/>
              </w:rPr>
              <w:t>3 595</w:t>
            </w:r>
          </w:p>
        </w:tc>
        <w:tc>
          <w:tcPr>
            <w:tcW w:w="850" w:type="dxa"/>
            <w:tcBorders>
              <w:top w:val="nil"/>
              <w:left w:val="nil"/>
              <w:bottom w:val="nil"/>
              <w:right w:val="nil"/>
            </w:tcBorders>
          </w:tcPr>
          <w:p w:rsidR="00A46DCA" w:rsidRPr="00D661D4"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lang w:eastAsia="en-AU"/>
              </w:rPr>
            </w:pPr>
            <w:r w:rsidRPr="00D661D4">
              <w:rPr>
                <w:rFonts w:eastAsiaTheme="minorEastAsia" w:cs="Calibri"/>
                <w:color w:val="000000"/>
                <w:sz w:val="16"/>
                <w:szCs w:val="16"/>
                <w:lang w:eastAsia="en-AU"/>
              </w:rPr>
              <w:t>1 755</w:t>
            </w:r>
          </w:p>
        </w:tc>
        <w:tc>
          <w:tcPr>
            <w:tcW w:w="850" w:type="dxa"/>
            <w:tcBorders>
              <w:top w:val="nil"/>
              <w:left w:val="nil"/>
              <w:bottom w:val="nil"/>
              <w:right w:val="nil"/>
            </w:tcBorders>
          </w:tcPr>
          <w:p w:rsidR="00A46DCA" w:rsidRPr="00D661D4"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lang w:eastAsia="en-AU"/>
              </w:rPr>
            </w:pPr>
            <w:r w:rsidRPr="00D661D4">
              <w:rPr>
                <w:rFonts w:eastAsiaTheme="minorEastAsia" w:cs="Calibri"/>
                <w:color w:val="000000"/>
                <w:sz w:val="16"/>
                <w:szCs w:val="16"/>
                <w:lang w:eastAsia="en-AU"/>
              </w:rPr>
              <w:t>1 731</w:t>
            </w:r>
          </w:p>
        </w:tc>
        <w:tc>
          <w:tcPr>
            <w:tcW w:w="850" w:type="dxa"/>
            <w:tcBorders>
              <w:top w:val="nil"/>
              <w:left w:val="nil"/>
              <w:bottom w:val="nil"/>
              <w:right w:val="nil"/>
            </w:tcBorders>
          </w:tcPr>
          <w:p w:rsidR="00A46DCA" w:rsidRPr="00D661D4"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lang w:eastAsia="en-AU"/>
              </w:rPr>
            </w:pPr>
            <w:r w:rsidRPr="00D661D4">
              <w:rPr>
                <w:rFonts w:eastAsiaTheme="minorEastAsia" w:cs="Calibri"/>
                <w:color w:val="000000"/>
                <w:sz w:val="16"/>
                <w:szCs w:val="16"/>
                <w:lang w:eastAsia="en-AU"/>
              </w:rPr>
              <w:t>3 359</w:t>
            </w:r>
          </w:p>
        </w:tc>
        <w:tc>
          <w:tcPr>
            <w:tcW w:w="850" w:type="dxa"/>
            <w:tcBorders>
              <w:top w:val="nil"/>
              <w:left w:val="nil"/>
              <w:bottom w:val="nil"/>
              <w:right w:val="nil"/>
            </w:tcBorders>
          </w:tcPr>
          <w:p w:rsidR="00A46DCA" w:rsidRPr="00D661D4"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lang w:eastAsia="en-AU"/>
              </w:rPr>
            </w:pPr>
            <w:r w:rsidRPr="00D661D4">
              <w:rPr>
                <w:rFonts w:eastAsiaTheme="minorEastAsia" w:cs="Calibri"/>
                <w:color w:val="000000"/>
                <w:sz w:val="16"/>
                <w:szCs w:val="16"/>
                <w:lang w:eastAsia="en-AU"/>
              </w:rPr>
              <w:t>1 917</w:t>
            </w:r>
          </w:p>
        </w:tc>
      </w:tr>
      <w:tr w:rsidR="00A46DCA" w:rsidRPr="00D661D4" w:rsidTr="00A26D04">
        <w:tc>
          <w:tcPr>
            <w:cnfStyle w:val="001000000000" w:firstRow="0" w:lastRow="0" w:firstColumn="1" w:lastColumn="0" w:oddVBand="0" w:evenVBand="0" w:oddHBand="0" w:evenHBand="0" w:firstRowFirstColumn="0" w:firstRowLastColumn="0" w:lastRowFirstColumn="0" w:lastRowLastColumn="0"/>
            <w:tcW w:w="3517" w:type="dxa"/>
            <w:tcBorders>
              <w:top w:val="nil"/>
              <w:left w:val="nil"/>
              <w:bottom w:val="nil"/>
              <w:right w:val="nil"/>
            </w:tcBorders>
          </w:tcPr>
          <w:p w:rsidR="00A46DCA" w:rsidRPr="00D661D4" w:rsidRDefault="00A46DCA" w:rsidP="00A26D04">
            <w:pPr>
              <w:keepLines w:val="0"/>
              <w:autoSpaceDE w:val="0"/>
              <w:autoSpaceDN w:val="0"/>
              <w:adjustRightInd w:val="0"/>
              <w:spacing w:after="0"/>
              <w:rPr>
                <w:rFonts w:eastAsiaTheme="minorEastAsia" w:cs="Calibri"/>
                <w:color w:val="000000"/>
                <w:sz w:val="16"/>
                <w:szCs w:val="16"/>
                <w:lang w:eastAsia="en-AU"/>
              </w:rPr>
            </w:pPr>
            <w:r w:rsidRPr="00D661D4">
              <w:rPr>
                <w:rFonts w:eastAsiaTheme="minorEastAsia" w:cs="Calibri"/>
                <w:color w:val="000000"/>
                <w:sz w:val="16"/>
                <w:szCs w:val="16"/>
                <w:lang w:eastAsia="en-AU"/>
              </w:rPr>
              <w:t>Deposits received (net)</w:t>
            </w:r>
          </w:p>
        </w:tc>
        <w:tc>
          <w:tcPr>
            <w:tcW w:w="850" w:type="dxa"/>
            <w:tcBorders>
              <w:top w:val="nil"/>
              <w:left w:val="nil"/>
              <w:bottom w:val="nil"/>
              <w:right w:val="nil"/>
            </w:tcBorders>
          </w:tcPr>
          <w:p w:rsidR="00A46DCA" w:rsidRPr="00D661D4"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lang w:eastAsia="en-AU"/>
              </w:rPr>
            </w:pPr>
            <w:r w:rsidRPr="00D661D4">
              <w:rPr>
                <w:rFonts w:eastAsiaTheme="minorEastAsia" w:cs="Calibri"/>
                <w:color w:val="000000"/>
                <w:sz w:val="16"/>
                <w:szCs w:val="16"/>
                <w:lang w:eastAsia="en-AU"/>
              </w:rPr>
              <w:t>1</w:t>
            </w:r>
          </w:p>
        </w:tc>
        <w:tc>
          <w:tcPr>
            <w:tcW w:w="850" w:type="dxa"/>
            <w:tcBorders>
              <w:top w:val="nil"/>
              <w:left w:val="nil"/>
              <w:bottom w:val="nil"/>
              <w:right w:val="nil"/>
            </w:tcBorders>
          </w:tcPr>
          <w:p w:rsidR="00A46DCA" w:rsidRPr="00D661D4"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lang w:eastAsia="en-AU"/>
              </w:rPr>
            </w:pPr>
            <w:r w:rsidRPr="00D661D4">
              <w:rPr>
                <w:rFonts w:eastAsiaTheme="minorEastAsia" w:cs="Calibri"/>
                <w:color w:val="000000"/>
                <w:sz w:val="16"/>
                <w:szCs w:val="16"/>
                <w:lang w:eastAsia="en-AU"/>
              </w:rPr>
              <w:t>(356)</w:t>
            </w:r>
          </w:p>
        </w:tc>
        <w:tc>
          <w:tcPr>
            <w:tcW w:w="850" w:type="dxa"/>
            <w:tcBorders>
              <w:top w:val="nil"/>
              <w:left w:val="nil"/>
              <w:bottom w:val="nil"/>
              <w:right w:val="nil"/>
            </w:tcBorders>
          </w:tcPr>
          <w:p w:rsidR="00A46DCA" w:rsidRPr="00D661D4"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lang w:eastAsia="en-AU"/>
              </w:rPr>
            </w:pPr>
            <w:r w:rsidRPr="00D661D4">
              <w:rPr>
                <w:rFonts w:eastAsiaTheme="minorEastAsia" w:cs="Calibri"/>
                <w:color w:val="000000"/>
                <w:sz w:val="16"/>
                <w:szCs w:val="16"/>
                <w:lang w:eastAsia="en-AU"/>
              </w:rPr>
              <w:t>(3)</w:t>
            </w:r>
          </w:p>
        </w:tc>
        <w:tc>
          <w:tcPr>
            <w:tcW w:w="850" w:type="dxa"/>
            <w:tcBorders>
              <w:top w:val="nil"/>
              <w:left w:val="nil"/>
              <w:bottom w:val="nil"/>
              <w:right w:val="nil"/>
            </w:tcBorders>
          </w:tcPr>
          <w:p w:rsidR="00A46DCA" w:rsidRPr="00D661D4"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lang w:eastAsia="en-AU"/>
              </w:rPr>
            </w:pPr>
            <w:r w:rsidRPr="00D661D4">
              <w:rPr>
                <w:rFonts w:eastAsiaTheme="minorEastAsia" w:cs="Calibri"/>
                <w:color w:val="000000"/>
                <w:sz w:val="16"/>
                <w:szCs w:val="16"/>
                <w:lang w:eastAsia="en-AU"/>
              </w:rPr>
              <w:t>1</w:t>
            </w:r>
          </w:p>
        </w:tc>
        <w:tc>
          <w:tcPr>
            <w:tcW w:w="850" w:type="dxa"/>
            <w:tcBorders>
              <w:top w:val="nil"/>
              <w:left w:val="nil"/>
              <w:bottom w:val="nil"/>
              <w:right w:val="nil"/>
            </w:tcBorders>
          </w:tcPr>
          <w:p w:rsidR="00A46DCA" w:rsidRPr="00D661D4"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lang w:eastAsia="en-AU"/>
              </w:rPr>
            </w:pPr>
            <w:r w:rsidRPr="00D661D4">
              <w:rPr>
                <w:rFonts w:eastAsiaTheme="minorEastAsia" w:cs="Calibri"/>
                <w:color w:val="000000"/>
                <w:sz w:val="16"/>
                <w:szCs w:val="16"/>
                <w:lang w:eastAsia="en-AU"/>
              </w:rPr>
              <w:t>..</w:t>
            </w:r>
          </w:p>
        </w:tc>
      </w:tr>
      <w:tr w:rsidR="00A46DCA" w:rsidRPr="00D661D4" w:rsidTr="00A26D04">
        <w:tc>
          <w:tcPr>
            <w:cnfStyle w:val="001000000000" w:firstRow="0" w:lastRow="0" w:firstColumn="1" w:lastColumn="0" w:oddVBand="0" w:evenVBand="0" w:oddHBand="0" w:evenHBand="0" w:firstRowFirstColumn="0" w:firstRowLastColumn="0" w:lastRowFirstColumn="0" w:lastRowLastColumn="0"/>
            <w:tcW w:w="3517" w:type="dxa"/>
            <w:tcBorders>
              <w:top w:val="single" w:sz="6" w:space="0" w:color="000000"/>
              <w:left w:val="nil"/>
              <w:bottom w:val="single" w:sz="6" w:space="0" w:color="000000"/>
              <w:right w:val="nil"/>
            </w:tcBorders>
          </w:tcPr>
          <w:p w:rsidR="00A46DCA" w:rsidRPr="00D661D4" w:rsidRDefault="00A46DCA" w:rsidP="00A26D04">
            <w:pPr>
              <w:keepLines w:val="0"/>
              <w:autoSpaceDE w:val="0"/>
              <w:autoSpaceDN w:val="0"/>
              <w:adjustRightInd w:val="0"/>
              <w:spacing w:after="0"/>
              <w:rPr>
                <w:rFonts w:eastAsiaTheme="minorEastAsia" w:cs="Calibri"/>
                <w:b/>
                <w:bCs/>
                <w:color w:val="000000"/>
                <w:sz w:val="16"/>
                <w:szCs w:val="16"/>
                <w:lang w:eastAsia="en-AU"/>
              </w:rPr>
            </w:pPr>
            <w:r w:rsidRPr="00D661D4">
              <w:rPr>
                <w:rFonts w:eastAsiaTheme="minorEastAsia" w:cs="Calibri"/>
                <w:b/>
                <w:bCs/>
                <w:color w:val="000000"/>
                <w:sz w:val="16"/>
                <w:szCs w:val="16"/>
                <w:lang w:eastAsia="en-AU"/>
              </w:rPr>
              <w:t>Net cash flows from financing activities</w:t>
            </w:r>
          </w:p>
        </w:tc>
        <w:tc>
          <w:tcPr>
            <w:tcW w:w="850" w:type="dxa"/>
            <w:tcBorders>
              <w:top w:val="single" w:sz="6" w:space="0" w:color="000000"/>
              <w:left w:val="nil"/>
              <w:bottom w:val="single" w:sz="6" w:space="0" w:color="000000"/>
              <w:right w:val="nil"/>
            </w:tcBorders>
          </w:tcPr>
          <w:p w:rsidR="00A46DCA" w:rsidRPr="00D661D4"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szCs w:val="16"/>
                <w:lang w:eastAsia="en-AU"/>
              </w:rPr>
            </w:pPr>
            <w:r w:rsidRPr="00D661D4">
              <w:rPr>
                <w:rFonts w:eastAsiaTheme="minorEastAsia" w:cs="Calibri"/>
                <w:b/>
                <w:bCs/>
                <w:color w:val="000000"/>
                <w:sz w:val="16"/>
                <w:szCs w:val="16"/>
                <w:lang w:eastAsia="en-AU"/>
              </w:rPr>
              <w:t>3 595</w:t>
            </w:r>
          </w:p>
        </w:tc>
        <w:tc>
          <w:tcPr>
            <w:tcW w:w="850" w:type="dxa"/>
            <w:tcBorders>
              <w:top w:val="single" w:sz="6" w:space="0" w:color="000000"/>
              <w:left w:val="nil"/>
              <w:bottom w:val="single" w:sz="6" w:space="0" w:color="000000"/>
              <w:right w:val="nil"/>
            </w:tcBorders>
          </w:tcPr>
          <w:p w:rsidR="00A46DCA" w:rsidRPr="00D661D4"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szCs w:val="16"/>
                <w:lang w:eastAsia="en-AU"/>
              </w:rPr>
            </w:pPr>
            <w:r w:rsidRPr="00D661D4">
              <w:rPr>
                <w:rFonts w:eastAsiaTheme="minorEastAsia" w:cs="Calibri"/>
                <w:b/>
                <w:bCs/>
                <w:color w:val="000000"/>
                <w:sz w:val="16"/>
                <w:szCs w:val="16"/>
                <w:lang w:eastAsia="en-AU"/>
              </w:rPr>
              <w:t>1 380</w:t>
            </w:r>
          </w:p>
        </w:tc>
        <w:tc>
          <w:tcPr>
            <w:tcW w:w="850" w:type="dxa"/>
            <w:tcBorders>
              <w:top w:val="single" w:sz="6" w:space="0" w:color="000000"/>
              <w:left w:val="nil"/>
              <w:bottom w:val="single" w:sz="6" w:space="0" w:color="000000"/>
              <w:right w:val="nil"/>
            </w:tcBorders>
          </w:tcPr>
          <w:p w:rsidR="00A46DCA" w:rsidRPr="00D661D4"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szCs w:val="16"/>
                <w:lang w:eastAsia="en-AU"/>
              </w:rPr>
            </w:pPr>
            <w:r w:rsidRPr="00D661D4">
              <w:rPr>
                <w:rFonts w:eastAsiaTheme="minorEastAsia" w:cs="Calibri"/>
                <w:b/>
                <w:bCs/>
                <w:color w:val="000000"/>
                <w:sz w:val="16"/>
                <w:szCs w:val="16"/>
                <w:lang w:eastAsia="en-AU"/>
              </w:rPr>
              <w:t>1 727</w:t>
            </w:r>
          </w:p>
        </w:tc>
        <w:tc>
          <w:tcPr>
            <w:tcW w:w="850" w:type="dxa"/>
            <w:tcBorders>
              <w:top w:val="single" w:sz="6" w:space="0" w:color="000000"/>
              <w:left w:val="nil"/>
              <w:bottom w:val="single" w:sz="6" w:space="0" w:color="000000"/>
              <w:right w:val="nil"/>
            </w:tcBorders>
          </w:tcPr>
          <w:p w:rsidR="00A46DCA" w:rsidRPr="00D661D4"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szCs w:val="16"/>
                <w:lang w:eastAsia="en-AU"/>
              </w:rPr>
            </w:pPr>
            <w:r w:rsidRPr="00D661D4">
              <w:rPr>
                <w:rFonts w:eastAsiaTheme="minorEastAsia" w:cs="Calibri"/>
                <w:b/>
                <w:bCs/>
                <w:color w:val="000000"/>
                <w:sz w:val="16"/>
                <w:szCs w:val="16"/>
                <w:lang w:eastAsia="en-AU"/>
              </w:rPr>
              <w:t>3 359</w:t>
            </w:r>
          </w:p>
        </w:tc>
        <w:tc>
          <w:tcPr>
            <w:tcW w:w="850" w:type="dxa"/>
            <w:tcBorders>
              <w:top w:val="single" w:sz="6" w:space="0" w:color="000000"/>
              <w:left w:val="nil"/>
              <w:bottom w:val="single" w:sz="6" w:space="0" w:color="000000"/>
              <w:right w:val="nil"/>
            </w:tcBorders>
          </w:tcPr>
          <w:p w:rsidR="00A46DCA" w:rsidRPr="00D661D4"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szCs w:val="16"/>
                <w:lang w:eastAsia="en-AU"/>
              </w:rPr>
            </w:pPr>
            <w:r w:rsidRPr="00D661D4">
              <w:rPr>
                <w:rFonts w:eastAsiaTheme="minorEastAsia" w:cs="Calibri"/>
                <w:b/>
                <w:bCs/>
                <w:color w:val="000000"/>
                <w:sz w:val="16"/>
                <w:szCs w:val="16"/>
                <w:lang w:eastAsia="en-AU"/>
              </w:rPr>
              <w:t>1 917</w:t>
            </w:r>
          </w:p>
        </w:tc>
      </w:tr>
      <w:tr w:rsidR="00A46DCA" w:rsidRPr="00D661D4" w:rsidTr="00A26D04">
        <w:tc>
          <w:tcPr>
            <w:cnfStyle w:val="001000000000" w:firstRow="0" w:lastRow="0" w:firstColumn="1" w:lastColumn="0" w:oddVBand="0" w:evenVBand="0" w:oddHBand="0" w:evenHBand="0" w:firstRowFirstColumn="0" w:firstRowLastColumn="0" w:lastRowFirstColumn="0" w:lastRowLastColumn="0"/>
            <w:tcW w:w="3517" w:type="dxa"/>
            <w:tcBorders>
              <w:top w:val="nil"/>
              <w:left w:val="nil"/>
              <w:bottom w:val="nil"/>
              <w:right w:val="nil"/>
            </w:tcBorders>
          </w:tcPr>
          <w:p w:rsidR="00A46DCA" w:rsidRPr="00D661D4" w:rsidRDefault="00A46DCA" w:rsidP="00A26D04">
            <w:pPr>
              <w:keepLines w:val="0"/>
              <w:autoSpaceDE w:val="0"/>
              <w:autoSpaceDN w:val="0"/>
              <w:adjustRightInd w:val="0"/>
              <w:spacing w:after="0"/>
              <w:rPr>
                <w:rFonts w:eastAsiaTheme="minorEastAsia" w:cs="Calibri"/>
                <w:b/>
                <w:bCs/>
                <w:color w:val="000000"/>
                <w:sz w:val="16"/>
                <w:szCs w:val="16"/>
                <w:lang w:eastAsia="en-AU"/>
              </w:rPr>
            </w:pPr>
            <w:r w:rsidRPr="00D661D4">
              <w:rPr>
                <w:rFonts w:eastAsiaTheme="minorEastAsia" w:cs="Calibri"/>
                <w:b/>
                <w:bCs/>
                <w:color w:val="000000"/>
                <w:sz w:val="16"/>
                <w:szCs w:val="16"/>
                <w:lang w:eastAsia="en-AU"/>
              </w:rPr>
              <w:t>Net increase/(decrease) in cash and cash equivalents</w:t>
            </w:r>
          </w:p>
        </w:tc>
        <w:tc>
          <w:tcPr>
            <w:tcW w:w="850" w:type="dxa"/>
            <w:tcBorders>
              <w:top w:val="nil"/>
              <w:left w:val="nil"/>
              <w:bottom w:val="nil"/>
              <w:right w:val="nil"/>
            </w:tcBorders>
          </w:tcPr>
          <w:p w:rsidR="00A46DCA" w:rsidRPr="00D661D4"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szCs w:val="16"/>
                <w:lang w:eastAsia="en-AU"/>
              </w:rPr>
            </w:pPr>
            <w:r w:rsidRPr="00D661D4">
              <w:rPr>
                <w:rFonts w:eastAsiaTheme="minorEastAsia" w:cs="Calibri"/>
                <w:b/>
                <w:bCs/>
                <w:color w:val="000000"/>
                <w:sz w:val="16"/>
                <w:szCs w:val="16"/>
                <w:lang w:eastAsia="en-AU"/>
              </w:rPr>
              <w:t>398</w:t>
            </w:r>
          </w:p>
        </w:tc>
        <w:tc>
          <w:tcPr>
            <w:tcW w:w="850" w:type="dxa"/>
            <w:tcBorders>
              <w:top w:val="nil"/>
              <w:left w:val="nil"/>
              <w:bottom w:val="nil"/>
              <w:right w:val="nil"/>
            </w:tcBorders>
          </w:tcPr>
          <w:p w:rsidR="00A46DCA" w:rsidRPr="00D661D4"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szCs w:val="16"/>
                <w:lang w:eastAsia="en-AU"/>
              </w:rPr>
            </w:pPr>
            <w:r w:rsidRPr="00D661D4">
              <w:rPr>
                <w:rFonts w:eastAsiaTheme="minorEastAsia" w:cs="Calibri"/>
                <w:b/>
                <w:bCs/>
                <w:color w:val="000000"/>
                <w:sz w:val="16"/>
                <w:szCs w:val="16"/>
                <w:lang w:eastAsia="en-AU"/>
              </w:rPr>
              <w:t>720</w:t>
            </w:r>
          </w:p>
        </w:tc>
        <w:tc>
          <w:tcPr>
            <w:tcW w:w="850" w:type="dxa"/>
            <w:tcBorders>
              <w:top w:val="nil"/>
              <w:left w:val="nil"/>
              <w:bottom w:val="nil"/>
              <w:right w:val="nil"/>
            </w:tcBorders>
          </w:tcPr>
          <w:p w:rsidR="00A46DCA" w:rsidRPr="00D661D4"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szCs w:val="16"/>
                <w:lang w:eastAsia="en-AU"/>
              </w:rPr>
            </w:pPr>
            <w:r w:rsidRPr="00D661D4">
              <w:rPr>
                <w:rFonts w:eastAsiaTheme="minorEastAsia" w:cs="Calibri"/>
                <w:b/>
                <w:bCs/>
                <w:color w:val="000000"/>
                <w:sz w:val="16"/>
                <w:szCs w:val="16"/>
                <w:lang w:eastAsia="en-AU"/>
              </w:rPr>
              <w:t>654</w:t>
            </w:r>
          </w:p>
        </w:tc>
        <w:tc>
          <w:tcPr>
            <w:tcW w:w="850" w:type="dxa"/>
            <w:tcBorders>
              <w:top w:val="nil"/>
              <w:left w:val="nil"/>
              <w:bottom w:val="nil"/>
              <w:right w:val="nil"/>
            </w:tcBorders>
          </w:tcPr>
          <w:p w:rsidR="00A46DCA" w:rsidRPr="00D661D4"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szCs w:val="16"/>
                <w:lang w:eastAsia="en-AU"/>
              </w:rPr>
            </w:pPr>
            <w:r w:rsidRPr="00D661D4">
              <w:rPr>
                <w:rFonts w:eastAsiaTheme="minorEastAsia" w:cs="Calibri"/>
                <w:b/>
                <w:bCs/>
                <w:color w:val="000000"/>
                <w:sz w:val="16"/>
                <w:szCs w:val="16"/>
                <w:lang w:eastAsia="en-AU"/>
              </w:rPr>
              <w:t>782</w:t>
            </w:r>
          </w:p>
        </w:tc>
        <w:tc>
          <w:tcPr>
            <w:tcW w:w="850" w:type="dxa"/>
            <w:tcBorders>
              <w:top w:val="nil"/>
              <w:left w:val="nil"/>
              <w:bottom w:val="nil"/>
              <w:right w:val="nil"/>
            </w:tcBorders>
          </w:tcPr>
          <w:p w:rsidR="00A46DCA" w:rsidRPr="00D661D4"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szCs w:val="16"/>
                <w:lang w:eastAsia="en-AU"/>
              </w:rPr>
            </w:pPr>
            <w:r w:rsidRPr="00D661D4">
              <w:rPr>
                <w:rFonts w:eastAsiaTheme="minorEastAsia" w:cs="Calibri"/>
                <w:b/>
                <w:bCs/>
                <w:color w:val="000000"/>
                <w:sz w:val="16"/>
                <w:szCs w:val="16"/>
                <w:lang w:eastAsia="en-AU"/>
              </w:rPr>
              <w:t>637</w:t>
            </w:r>
          </w:p>
        </w:tc>
      </w:tr>
      <w:tr w:rsidR="00A46DCA" w:rsidRPr="00D661D4" w:rsidTr="00A26D04">
        <w:tc>
          <w:tcPr>
            <w:cnfStyle w:val="001000000000" w:firstRow="0" w:lastRow="0" w:firstColumn="1" w:lastColumn="0" w:oddVBand="0" w:evenVBand="0" w:oddHBand="0" w:evenHBand="0" w:firstRowFirstColumn="0" w:firstRowLastColumn="0" w:lastRowFirstColumn="0" w:lastRowLastColumn="0"/>
            <w:tcW w:w="3517" w:type="dxa"/>
            <w:tcBorders>
              <w:top w:val="nil"/>
              <w:left w:val="nil"/>
              <w:bottom w:val="nil"/>
              <w:right w:val="nil"/>
            </w:tcBorders>
          </w:tcPr>
          <w:p w:rsidR="00A46DCA" w:rsidRPr="00D661D4" w:rsidRDefault="00A46DCA" w:rsidP="00A26D04">
            <w:pPr>
              <w:keepLines w:val="0"/>
              <w:autoSpaceDE w:val="0"/>
              <w:autoSpaceDN w:val="0"/>
              <w:adjustRightInd w:val="0"/>
              <w:spacing w:after="0"/>
              <w:rPr>
                <w:rFonts w:eastAsiaTheme="minorEastAsia" w:cs="Calibri"/>
                <w:color w:val="000000"/>
                <w:sz w:val="16"/>
                <w:szCs w:val="16"/>
                <w:lang w:eastAsia="en-AU"/>
              </w:rPr>
            </w:pPr>
            <w:r w:rsidRPr="00D661D4">
              <w:rPr>
                <w:rFonts w:eastAsiaTheme="minorEastAsia" w:cs="Calibri"/>
                <w:color w:val="000000"/>
                <w:sz w:val="16"/>
                <w:szCs w:val="16"/>
                <w:lang w:eastAsia="en-AU"/>
              </w:rPr>
              <w:t xml:space="preserve">Cash and cash equivalents at beginning of </w:t>
            </w:r>
            <w:r w:rsidR="008E5E35">
              <w:rPr>
                <w:rFonts w:eastAsiaTheme="minorEastAsia" w:cs="Calibri"/>
                <w:color w:val="000000"/>
                <w:sz w:val="16"/>
                <w:szCs w:val="16"/>
                <w:lang w:eastAsia="en-AU"/>
              </w:rPr>
              <w:br/>
            </w:r>
            <w:r w:rsidRPr="00D661D4">
              <w:rPr>
                <w:rFonts w:eastAsiaTheme="minorEastAsia" w:cs="Calibri"/>
                <w:color w:val="000000"/>
                <w:sz w:val="16"/>
                <w:szCs w:val="16"/>
                <w:lang w:eastAsia="en-AU"/>
              </w:rPr>
              <w:t xml:space="preserve">reporting period </w:t>
            </w:r>
            <w:r w:rsidRPr="00D661D4">
              <w:rPr>
                <w:rFonts w:eastAsiaTheme="minorEastAsia" w:cs="Calibri"/>
                <w:color w:val="000000"/>
                <w:sz w:val="16"/>
                <w:szCs w:val="16"/>
                <w:vertAlign w:val="superscript"/>
                <w:lang w:eastAsia="en-AU"/>
              </w:rPr>
              <w:t>(c)</w:t>
            </w:r>
          </w:p>
        </w:tc>
        <w:tc>
          <w:tcPr>
            <w:tcW w:w="850" w:type="dxa"/>
            <w:tcBorders>
              <w:top w:val="nil"/>
              <w:left w:val="nil"/>
              <w:bottom w:val="nil"/>
              <w:right w:val="nil"/>
            </w:tcBorders>
          </w:tcPr>
          <w:p w:rsidR="00A46DCA" w:rsidRPr="00D661D4"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lang w:eastAsia="en-AU"/>
              </w:rPr>
            </w:pPr>
            <w:r w:rsidRPr="00D661D4">
              <w:rPr>
                <w:rFonts w:eastAsiaTheme="minorEastAsia" w:cs="Calibri"/>
                <w:color w:val="000000"/>
                <w:sz w:val="16"/>
                <w:szCs w:val="16"/>
                <w:lang w:eastAsia="en-AU"/>
              </w:rPr>
              <w:t>5 868</w:t>
            </w:r>
          </w:p>
        </w:tc>
        <w:tc>
          <w:tcPr>
            <w:tcW w:w="850" w:type="dxa"/>
            <w:tcBorders>
              <w:top w:val="nil"/>
              <w:left w:val="nil"/>
              <w:bottom w:val="nil"/>
              <w:right w:val="nil"/>
            </w:tcBorders>
          </w:tcPr>
          <w:p w:rsidR="00A46DCA" w:rsidRPr="00D661D4"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lang w:eastAsia="en-AU"/>
              </w:rPr>
            </w:pPr>
            <w:r w:rsidRPr="00D661D4">
              <w:rPr>
                <w:rFonts w:eastAsiaTheme="minorEastAsia" w:cs="Calibri"/>
                <w:color w:val="000000"/>
                <w:sz w:val="16"/>
                <w:szCs w:val="16"/>
                <w:lang w:eastAsia="en-AU"/>
              </w:rPr>
              <w:t>5 868</w:t>
            </w:r>
          </w:p>
        </w:tc>
        <w:tc>
          <w:tcPr>
            <w:tcW w:w="850" w:type="dxa"/>
            <w:tcBorders>
              <w:top w:val="nil"/>
              <w:left w:val="nil"/>
              <w:bottom w:val="nil"/>
              <w:right w:val="nil"/>
            </w:tcBorders>
          </w:tcPr>
          <w:p w:rsidR="00A46DCA" w:rsidRPr="00D661D4"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lang w:eastAsia="en-AU"/>
              </w:rPr>
            </w:pPr>
            <w:r w:rsidRPr="00D661D4">
              <w:rPr>
                <w:rFonts w:eastAsiaTheme="minorEastAsia" w:cs="Calibri"/>
                <w:color w:val="000000"/>
                <w:sz w:val="16"/>
                <w:szCs w:val="16"/>
                <w:lang w:eastAsia="en-AU"/>
              </w:rPr>
              <w:t>6 588</w:t>
            </w:r>
          </w:p>
        </w:tc>
        <w:tc>
          <w:tcPr>
            <w:tcW w:w="850" w:type="dxa"/>
            <w:tcBorders>
              <w:top w:val="nil"/>
              <w:left w:val="nil"/>
              <w:bottom w:val="nil"/>
              <w:right w:val="nil"/>
            </w:tcBorders>
          </w:tcPr>
          <w:p w:rsidR="00A46DCA" w:rsidRPr="00D661D4"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lang w:eastAsia="en-AU"/>
              </w:rPr>
            </w:pPr>
            <w:r w:rsidRPr="00D661D4">
              <w:rPr>
                <w:rFonts w:eastAsiaTheme="minorEastAsia" w:cs="Calibri"/>
                <w:color w:val="000000"/>
                <w:sz w:val="16"/>
                <w:szCs w:val="16"/>
                <w:lang w:eastAsia="en-AU"/>
              </w:rPr>
              <w:t>7 243</w:t>
            </w:r>
          </w:p>
        </w:tc>
        <w:tc>
          <w:tcPr>
            <w:tcW w:w="850" w:type="dxa"/>
            <w:tcBorders>
              <w:top w:val="nil"/>
              <w:left w:val="nil"/>
              <w:bottom w:val="nil"/>
              <w:right w:val="nil"/>
            </w:tcBorders>
          </w:tcPr>
          <w:p w:rsidR="00A46DCA" w:rsidRPr="00D661D4"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lang w:eastAsia="en-AU"/>
              </w:rPr>
            </w:pPr>
            <w:r w:rsidRPr="00D661D4">
              <w:rPr>
                <w:rFonts w:eastAsiaTheme="minorEastAsia" w:cs="Calibri"/>
                <w:color w:val="000000"/>
                <w:sz w:val="16"/>
                <w:szCs w:val="16"/>
                <w:lang w:eastAsia="en-AU"/>
              </w:rPr>
              <w:t>8 024</w:t>
            </w:r>
          </w:p>
        </w:tc>
      </w:tr>
      <w:tr w:rsidR="00A46DCA" w:rsidRPr="00D661D4" w:rsidTr="00A26D04">
        <w:tc>
          <w:tcPr>
            <w:cnfStyle w:val="001000000000" w:firstRow="0" w:lastRow="0" w:firstColumn="1" w:lastColumn="0" w:oddVBand="0" w:evenVBand="0" w:oddHBand="0" w:evenHBand="0" w:firstRowFirstColumn="0" w:firstRowLastColumn="0" w:lastRowFirstColumn="0" w:lastRowLastColumn="0"/>
            <w:tcW w:w="3517" w:type="dxa"/>
            <w:tcBorders>
              <w:top w:val="single" w:sz="6" w:space="0" w:color="000000"/>
              <w:left w:val="nil"/>
              <w:bottom w:val="single" w:sz="12" w:space="0" w:color="000000"/>
              <w:right w:val="nil"/>
            </w:tcBorders>
          </w:tcPr>
          <w:p w:rsidR="00A46DCA" w:rsidRPr="00D661D4" w:rsidRDefault="00A46DCA" w:rsidP="00A26D04">
            <w:pPr>
              <w:keepLines w:val="0"/>
              <w:autoSpaceDE w:val="0"/>
              <w:autoSpaceDN w:val="0"/>
              <w:adjustRightInd w:val="0"/>
              <w:spacing w:after="0"/>
              <w:rPr>
                <w:rFonts w:eastAsiaTheme="minorEastAsia" w:cs="Calibri"/>
                <w:b/>
                <w:bCs/>
                <w:color w:val="000000"/>
                <w:sz w:val="16"/>
                <w:szCs w:val="16"/>
                <w:lang w:eastAsia="en-AU"/>
              </w:rPr>
            </w:pPr>
            <w:r w:rsidRPr="00D661D4">
              <w:rPr>
                <w:rFonts w:eastAsiaTheme="minorEastAsia" w:cs="Calibri"/>
                <w:b/>
                <w:bCs/>
                <w:color w:val="000000"/>
                <w:sz w:val="16"/>
                <w:szCs w:val="16"/>
                <w:lang w:eastAsia="en-AU"/>
              </w:rPr>
              <w:t xml:space="preserve">Cash and cash equivalents at end of </w:t>
            </w:r>
            <w:r w:rsidR="008E5E35">
              <w:rPr>
                <w:rFonts w:eastAsiaTheme="minorEastAsia" w:cs="Calibri"/>
                <w:b/>
                <w:bCs/>
                <w:color w:val="000000"/>
                <w:sz w:val="16"/>
                <w:szCs w:val="16"/>
                <w:lang w:eastAsia="en-AU"/>
              </w:rPr>
              <w:br/>
            </w:r>
            <w:r w:rsidRPr="00D661D4">
              <w:rPr>
                <w:rFonts w:eastAsiaTheme="minorEastAsia" w:cs="Calibri"/>
                <w:b/>
                <w:bCs/>
                <w:color w:val="000000"/>
                <w:sz w:val="16"/>
                <w:szCs w:val="16"/>
                <w:lang w:eastAsia="en-AU"/>
              </w:rPr>
              <w:t xml:space="preserve">reporting period </w:t>
            </w:r>
            <w:r w:rsidRPr="00D661D4">
              <w:rPr>
                <w:rFonts w:eastAsiaTheme="minorEastAsia" w:cs="Calibri"/>
                <w:b/>
                <w:bCs/>
                <w:color w:val="000000"/>
                <w:sz w:val="16"/>
                <w:szCs w:val="16"/>
                <w:vertAlign w:val="superscript"/>
                <w:lang w:eastAsia="en-AU"/>
              </w:rPr>
              <w:t>(c)(d)</w:t>
            </w:r>
          </w:p>
        </w:tc>
        <w:tc>
          <w:tcPr>
            <w:tcW w:w="850" w:type="dxa"/>
            <w:tcBorders>
              <w:top w:val="single" w:sz="6" w:space="0" w:color="000000"/>
              <w:left w:val="nil"/>
              <w:bottom w:val="single" w:sz="12" w:space="0" w:color="000000"/>
              <w:right w:val="nil"/>
            </w:tcBorders>
          </w:tcPr>
          <w:p w:rsidR="00A46DCA" w:rsidRPr="00D661D4"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szCs w:val="16"/>
                <w:lang w:eastAsia="en-AU"/>
              </w:rPr>
            </w:pPr>
            <w:r w:rsidRPr="00D661D4">
              <w:rPr>
                <w:rFonts w:eastAsiaTheme="minorEastAsia" w:cs="Calibri"/>
                <w:b/>
                <w:bCs/>
                <w:color w:val="000000"/>
                <w:sz w:val="16"/>
                <w:szCs w:val="16"/>
                <w:lang w:eastAsia="en-AU"/>
              </w:rPr>
              <w:t>6 266</w:t>
            </w:r>
          </w:p>
        </w:tc>
        <w:tc>
          <w:tcPr>
            <w:tcW w:w="850" w:type="dxa"/>
            <w:tcBorders>
              <w:top w:val="single" w:sz="6" w:space="0" w:color="000000"/>
              <w:left w:val="nil"/>
              <w:bottom w:val="single" w:sz="12" w:space="0" w:color="000000"/>
              <w:right w:val="nil"/>
            </w:tcBorders>
          </w:tcPr>
          <w:p w:rsidR="00A46DCA" w:rsidRPr="00D661D4"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szCs w:val="16"/>
                <w:lang w:eastAsia="en-AU"/>
              </w:rPr>
            </w:pPr>
            <w:r w:rsidRPr="00D661D4">
              <w:rPr>
                <w:rFonts w:eastAsiaTheme="minorEastAsia" w:cs="Calibri"/>
                <w:b/>
                <w:bCs/>
                <w:color w:val="000000"/>
                <w:sz w:val="16"/>
                <w:szCs w:val="16"/>
                <w:lang w:eastAsia="en-AU"/>
              </w:rPr>
              <w:t>6 588</w:t>
            </w:r>
          </w:p>
        </w:tc>
        <w:tc>
          <w:tcPr>
            <w:tcW w:w="850" w:type="dxa"/>
            <w:tcBorders>
              <w:top w:val="single" w:sz="6" w:space="0" w:color="000000"/>
              <w:left w:val="nil"/>
              <w:bottom w:val="single" w:sz="12" w:space="0" w:color="000000"/>
              <w:right w:val="nil"/>
            </w:tcBorders>
          </w:tcPr>
          <w:p w:rsidR="00A46DCA" w:rsidRPr="00D661D4"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szCs w:val="16"/>
                <w:lang w:eastAsia="en-AU"/>
              </w:rPr>
            </w:pPr>
            <w:r w:rsidRPr="00D661D4">
              <w:rPr>
                <w:rFonts w:eastAsiaTheme="minorEastAsia" w:cs="Calibri"/>
                <w:b/>
                <w:bCs/>
                <w:color w:val="000000"/>
                <w:sz w:val="16"/>
                <w:szCs w:val="16"/>
                <w:lang w:eastAsia="en-AU"/>
              </w:rPr>
              <w:t>7 243</w:t>
            </w:r>
          </w:p>
        </w:tc>
        <w:tc>
          <w:tcPr>
            <w:tcW w:w="850" w:type="dxa"/>
            <w:tcBorders>
              <w:top w:val="single" w:sz="6" w:space="0" w:color="000000"/>
              <w:left w:val="nil"/>
              <w:bottom w:val="single" w:sz="12" w:space="0" w:color="000000"/>
              <w:right w:val="nil"/>
            </w:tcBorders>
          </w:tcPr>
          <w:p w:rsidR="00A46DCA" w:rsidRPr="00D661D4"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szCs w:val="16"/>
                <w:lang w:eastAsia="en-AU"/>
              </w:rPr>
            </w:pPr>
            <w:r w:rsidRPr="00D661D4">
              <w:rPr>
                <w:rFonts w:eastAsiaTheme="minorEastAsia" w:cs="Calibri"/>
                <w:b/>
                <w:bCs/>
                <w:color w:val="000000"/>
                <w:sz w:val="16"/>
                <w:szCs w:val="16"/>
                <w:lang w:eastAsia="en-AU"/>
              </w:rPr>
              <w:t>8 024</w:t>
            </w:r>
          </w:p>
        </w:tc>
        <w:tc>
          <w:tcPr>
            <w:tcW w:w="850" w:type="dxa"/>
            <w:tcBorders>
              <w:top w:val="single" w:sz="6" w:space="0" w:color="000000"/>
              <w:left w:val="nil"/>
              <w:bottom w:val="single" w:sz="12" w:space="0" w:color="000000"/>
              <w:right w:val="nil"/>
            </w:tcBorders>
          </w:tcPr>
          <w:p w:rsidR="00A46DCA" w:rsidRPr="00D661D4"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szCs w:val="16"/>
                <w:lang w:eastAsia="en-AU"/>
              </w:rPr>
            </w:pPr>
            <w:r w:rsidRPr="00D661D4">
              <w:rPr>
                <w:rFonts w:eastAsiaTheme="minorEastAsia" w:cs="Calibri"/>
                <w:b/>
                <w:bCs/>
                <w:color w:val="000000"/>
                <w:sz w:val="16"/>
                <w:szCs w:val="16"/>
                <w:lang w:eastAsia="en-AU"/>
              </w:rPr>
              <w:t>8 661</w:t>
            </w:r>
          </w:p>
        </w:tc>
      </w:tr>
      <w:tr w:rsidR="00A46DCA" w:rsidRPr="00D661D4" w:rsidTr="00A26D04">
        <w:trPr>
          <w:trHeight w:hRule="exact" w:val="120"/>
        </w:trPr>
        <w:tc>
          <w:tcPr>
            <w:cnfStyle w:val="001000000000" w:firstRow="0" w:lastRow="0" w:firstColumn="1" w:lastColumn="0" w:oddVBand="0" w:evenVBand="0" w:oddHBand="0" w:evenHBand="0" w:firstRowFirstColumn="0" w:firstRowLastColumn="0" w:lastRowFirstColumn="0" w:lastRowLastColumn="0"/>
            <w:tcW w:w="3517" w:type="dxa"/>
            <w:tcBorders>
              <w:top w:val="nil"/>
              <w:left w:val="nil"/>
              <w:bottom w:val="nil"/>
              <w:right w:val="nil"/>
            </w:tcBorders>
          </w:tcPr>
          <w:p w:rsidR="00A46DCA" w:rsidRPr="00D661D4" w:rsidRDefault="00A46DCA" w:rsidP="00A26D04">
            <w:pPr>
              <w:keepLines w:val="0"/>
              <w:autoSpaceDE w:val="0"/>
              <w:autoSpaceDN w:val="0"/>
              <w:adjustRightInd w:val="0"/>
              <w:spacing w:after="0"/>
              <w:rPr>
                <w:rFonts w:eastAsiaTheme="minorEastAsia" w:cs="Calibri"/>
                <w:color w:val="000000"/>
                <w:sz w:val="16"/>
                <w:szCs w:val="16"/>
                <w:lang w:eastAsia="en-AU"/>
              </w:rPr>
            </w:pPr>
            <w:r w:rsidRPr="00D661D4">
              <w:rPr>
                <w:rFonts w:eastAsiaTheme="minorEastAsia" w:cs="Calibri"/>
                <w:color w:val="000000"/>
                <w:sz w:val="16"/>
                <w:szCs w:val="16"/>
                <w:lang w:eastAsia="en-AU"/>
              </w:rPr>
              <w:t xml:space="preserve"> </w:t>
            </w:r>
          </w:p>
        </w:tc>
        <w:tc>
          <w:tcPr>
            <w:tcW w:w="850" w:type="dxa"/>
            <w:tcBorders>
              <w:top w:val="nil"/>
              <w:left w:val="nil"/>
              <w:bottom w:val="nil"/>
              <w:right w:val="nil"/>
            </w:tcBorders>
          </w:tcPr>
          <w:p w:rsidR="00A46DCA" w:rsidRPr="00D661D4"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lang w:eastAsia="en-AU"/>
              </w:rPr>
            </w:pPr>
            <w:r w:rsidRPr="00D661D4">
              <w:rPr>
                <w:rFonts w:eastAsiaTheme="minorEastAsia" w:cs="Calibri"/>
                <w:color w:val="000000"/>
                <w:sz w:val="16"/>
                <w:szCs w:val="16"/>
                <w:lang w:eastAsia="en-AU"/>
              </w:rPr>
              <w:t xml:space="preserve"> </w:t>
            </w:r>
          </w:p>
        </w:tc>
        <w:tc>
          <w:tcPr>
            <w:tcW w:w="850" w:type="dxa"/>
            <w:tcBorders>
              <w:top w:val="nil"/>
              <w:left w:val="nil"/>
              <w:bottom w:val="nil"/>
              <w:right w:val="nil"/>
            </w:tcBorders>
          </w:tcPr>
          <w:p w:rsidR="00A46DCA" w:rsidRPr="00D661D4"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lang w:eastAsia="en-AU"/>
              </w:rPr>
            </w:pPr>
            <w:r w:rsidRPr="00D661D4">
              <w:rPr>
                <w:rFonts w:eastAsiaTheme="minorEastAsia" w:cs="Calibri"/>
                <w:color w:val="000000"/>
                <w:sz w:val="16"/>
                <w:szCs w:val="16"/>
                <w:lang w:eastAsia="en-AU"/>
              </w:rPr>
              <w:t xml:space="preserve"> </w:t>
            </w:r>
          </w:p>
        </w:tc>
        <w:tc>
          <w:tcPr>
            <w:tcW w:w="850" w:type="dxa"/>
            <w:tcBorders>
              <w:top w:val="nil"/>
              <w:left w:val="nil"/>
              <w:bottom w:val="nil"/>
              <w:right w:val="nil"/>
            </w:tcBorders>
          </w:tcPr>
          <w:p w:rsidR="00A46DCA" w:rsidRPr="00D661D4"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lang w:eastAsia="en-AU"/>
              </w:rPr>
            </w:pPr>
            <w:r w:rsidRPr="00D661D4">
              <w:rPr>
                <w:rFonts w:eastAsiaTheme="minorEastAsia" w:cs="Calibri"/>
                <w:color w:val="000000"/>
                <w:sz w:val="16"/>
                <w:szCs w:val="16"/>
                <w:lang w:eastAsia="en-AU"/>
              </w:rPr>
              <w:t xml:space="preserve"> </w:t>
            </w:r>
          </w:p>
        </w:tc>
        <w:tc>
          <w:tcPr>
            <w:tcW w:w="850" w:type="dxa"/>
            <w:tcBorders>
              <w:top w:val="nil"/>
              <w:left w:val="nil"/>
              <w:bottom w:val="nil"/>
              <w:right w:val="nil"/>
            </w:tcBorders>
          </w:tcPr>
          <w:p w:rsidR="00A46DCA" w:rsidRPr="00D661D4"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lang w:eastAsia="en-AU"/>
              </w:rPr>
            </w:pPr>
            <w:r w:rsidRPr="00D661D4">
              <w:rPr>
                <w:rFonts w:eastAsiaTheme="minorEastAsia" w:cs="Calibri"/>
                <w:color w:val="000000"/>
                <w:sz w:val="16"/>
                <w:szCs w:val="16"/>
                <w:lang w:eastAsia="en-AU"/>
              </w:rPr>
              <w:t xml:space="preserve"> </w:t>
            </w:r>
          </w:p>
        </w:tc>
        <w:tc>
          <w:tcPr>
            <w:tcW w:w="850" w:type="dxa"/>
            <w:tcBorders>
              <w:top w:val="nil"/>
              <w:left w:val="nil"/>
              <w:bottom w:val="nil"/>
              <w:right w:val="nil"/>
            </w:tcBorders>
          </w:tcPr>
          <w:p w:rsidR="00A46DCA" w:rsidRPr="00D661D4"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lang w:eastAsia="en-AU"/>
              </w:rPr>
            </w:pPr>
            <w:r w:rsidRPr="00D661D4">
              <w:rPr>
                <w:rFonts w:eastAsiaTheme="minorEastAsia" w:cs="Calibri"/>
                <w:color w:val="000000"/>
                <w:sz w:val="16"/>
                <w:szCs w:val="16"/>
                <w:lang w:eastAsia="en-AU"/>
              </w:rPr>
              <w:t xml:space="preserve"> </w:t>
            </w:r>
          </w:p>
        </w:tc>
      </w:tr>
      <w:tr w:rsidR="00A46DCA" w:rsidRPr="00D661D4" w:rsidTr="00A26D04">
        <w:tc>
          <w:tcPr>
            <w:cnfStyle w:val="001000000000" w:firstRow="0" w:lastRow="0" w:firstColumn="1" w:lastColumn="0" w:oddVBand="0" w:evenVBand="0" w:oddHBand="0" w:evenHBand="0" w:firstRowFirstColumn="0" w:firstRowLastColumn="0" w:lastRowFirstColumn="0" w:lastRowLastColumn="0"/>
            <w:tcW w:w="3517" w:type="dxa"/>
            <w:tcBorders>
              <w:top w:val="nil"/>
              <w:left w:val="nil"/>
              <w:bottom w:val="nil"/>
              <w:right w:val="nil"/>
            </w:tcBorders>
          </w:tcPr>
          <w:p w:rsidR="00A46DCA" w:rsidRPr="00D661D4" w:rsidRDefault="00A46DCA" w:rsidP="00A26D04">
            <w:pPr>
              <w:keepLines w:val="0"/>
              <w:autoSpaceDE w:val="0"/>
              <w:autoSpaceDN w:val="0"/>
              <w:adjustRightInd w:val="0"/>
              <w:spacing w:after="0"/>
              <w:rPr>
                <w:rFonts w:eastAsiaTheme="minorEastAsia" w:cs="Calibri"/>
                <w:b/>
                <w:bCs/>
                <w:color w:val="000000"/>
                <w:sz w:val="16"/>
                <w:szCs w:val="16"/>
                <w:lang w:eastAsia="en-AU"/>
              </w:rPr>
            </w:pPr>
            <w:r w:rsidRPr="00D661D4">
              <w:rPr>
                <w:rFonts w:eastAsiaTheme="minorEastAsia" w:cs="Calibri"/>
                <w:b/>
                <w:bCs/>
                <w:color w:val="000000"/>
                <w:sz w:val="16"/>
                <w:szCs w:val="16"/>
                <w:lang w:eastAsia="en-AU"/>
              </w:rPr>
              <w:t>FISCAL AGGREGATES</w:t>
            </w:r>
          </w:p>
        </w:tc>
        <w:tc>
          <w:tcPr>
            <w:tcW w:w="850" w:type="dxa"/>
            <w:tcBorders>
              <w:top w:val="nil"/>
              <w:left w:val="nil"/>
              <w:bottom w:val="nil"/>
              <w:right w:val="nil"/>
            </w:tcBorders>
          </w:tcPr>
          <w:p w:rsidR="00A46DCA" w:rsidRPr="00D661D4"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szCs w:val="16"/>
                <w:lang w:eastAsia="en-AU"/>
              </w:rPr>
            </w:pPr>
            <w:r w:rsidRPr="00D661D4">
              <w:rPr>
                <w:rFonts w:eastAsiaTheme="minorEastAsia" w:cs="Calibri"/>
                <w:b/>
                <w:bCs/>
                <w:color w:val="000000"/>
                <w:sz w:val="16"/>
                <w:szCs w:val="16"/>
                <w:lang w:eastAsia="en-AU"/>
              </w:rPr>
              <w:t xml:space="preserve"> </w:t>
            </w:r>
          </w:p>
        </w:tc>
        <w:tc>
          <w:tcPr>
            <w:tcW w:w="850" w:type="dxa"/>
            <w:tcBorders>
              <w:top w:val="nil"/>
              <w:left w:val="nil"/>
              <w:bottom w:val="nil"/>
              <w:right w:val="nil"/>
            </w:tcBorders>
          </w:tcPr>
          <w:p w:rsidR="00A46DCA" w:rsidRPr="00D661D4"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szCs w:val="16"/>
                <w:lang w:eastAsia="en-AU"/>
              </w:rPr>
            </w:pPr>
            <w:r w:rsidRPr="00D661D4">
              <w:rPr>
                <w:rFonts w:eastAsiaTheme="minorEastAsia" w:cs="Calibri"/>
                <w:b/>
                <w:bCs/>
                <w:color w:val="000000"/>
                <w:sz w:val="16"/>
                <w:szCs w:val="16"/>
                <w:lang w:eastAsia="en-AU"/>
              </w:rPr>
              <w:t xml:space="preserve"> </w:t>
            </w:r>
          </w:p>
        </w:tc>
        <w:tc>
          <w:tcPr>
            <w:tcW w:w="850" w:type="dxa"/>
            <w:tcBorders>
              <w:top w:val="nil"/>
              <w:left w:val="nil"/>
              <w:bottom w:val="nil"/>
              <w:right w:val="nil"/>
            </w:tcBorders>
          </w:tcPr>
          <w:p w:rsidR="00A46DCA" w:rsidRPr="00D661D4"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szCs w:val="16"/>
                <w:lang w:eastAsia="en-AU"/>
              </w:rPr>
            </w:pPr>
            <w:r w:rsidRPr="00D661D4">
              <w:rPr>
                <w:rFonts w:eastAsiaTheme="minorEastAsia" w:cs="Calibri"/>
                <w:b/>
                <w:bCs/>
                <w:color w:val="000000"/>
                <w:sz w:val="16"/>
                <w:szCs w:val="16"/>
                <w:lang w:eastAsia="en-AU"/>
              </w:rPr>
              <w:t xml:space="preserve"> </w:t>
            </w:r>
          </w:p>
        </w:tc>
        <w:tc>
          <w:tcPr>
            <w:tcW w:w="850" w:type="dxa"/>
            <w:tcBorders>
              <w:top w:val="nil"/>
              <w:left w:val="nil"/>
              <w:bottom w:val="nil"/>
              <w:right w:val="nil"/>
            </w:tcBorders>
          </w:tcPr>
          <w:p w:rsidR="00A46DCA" w:rsidRPr="00D661D4"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szCs w:val="16"/>
                <w:lang w:eastAsia="en-AU"/>
              </w:rPr>
            </w:pPr>
            <w:r w:rsidRPr="00D661D4">
              <w:rPr>
                <w:rFonts w:eastAsiaTheme="minorEastAsia" w:cs="Calibri"/>
                <w:b/>
                <w:bCs/>
                <w:color w:val="000000"/>
                <w:sz w:val="16"/>
                <w:szCs w:val="16"/>
                <w:lang w:eastAsia="en-AU"/>
              </w:rPr>
              <w:t xml:space="preserve"> </w:t>
            </w:r>
          </w:p>
        </w:tc>
        <w:tc>
          <w:tcPr>
            <w:tcW w:w="850" w:type="dxa"/>
            <w:tcBorders>
              <w:top w:val="nil"/>
              <w:left w:val="nil"/>
              <w:bottom w:val="nil"/>
              <w:right w:val="nil"/>
            </w:tcBorders>
          </w:tcPr>
          <w:p w:rsidR="00A46DCA" w:rsidRPr="00D661D4"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szCs w:val="16"/>
                <w:lang w:eastAsia="en-AU"/>
              </w:rPr>
            </w:pPr>
            <w:r w:rsidRPr="00D661D4">
              <w:rPr>
                <w:rFonts w:eastAsiaTheme="minorEastAsia" w:cs="Calibri"/>
                <w:b/>
                <w:bCs/>
                <w:color w:val="000000"/>
                <w:sz w:val="16"/>
                <w:szCs w:val="16"/>
                <w:lang w:eastAsia="en-AU"/>
              </w:rPr>
              <w:t xml:space="preserve"> </w:t>
            </w:r>
          </w:p>
        </w:tc>
      </w:tr>
      <w:tr w:rsidR="00A46DCA" w:rsidRPr="00D661D4" w:rsidTr="00A26D04">
        <w:tc>
          <w:tcPr>
            <w:cnfStyle w:val="001000000000" w:firstRow="0" w:lastRow="0" w:firstColumn="1" w:lastColumn="0" w:oddVBand="0" w:evenVBand="0" w:oddHBand="0" w:evenHBand="0" w:firstRowFirstColumn="0" w:firstRowLastColumn="0" w:lastRowFirstColumn="0" w:lastRowLastColumn="0"/>
            <w:tcW w:w="3517" w:type="dxa"/>
            <w:tcBorders>
              <w:top w:val="nil"/>
              <w:left w:val="nil"/>
              <w:bottom w:val="nil"/>
              <w:right w:val="nil"/>
            </w:tcBorders>
          </w:tcPr>
          <w:p w:rsidR="00A46DCA" w:rsidRPr="00D661D4" w:rsidRDefault="00A46DCA" w:rsidP="00A26D04">
            <w:pPr>
              <w:keepLines w:val="0"/>
              <w:autoSpaceDE w:val="0"/>
              <w:autoSpaceDN w:val="0"/>
              <w:adjustRightInd w:val="0"/>
              <w:spacing w:after="0"/>
              <w:rPr>
                <w:rFonts w:eastAsiaTheme="minorEastAsia" w:cs="Calibri"/>
                <w:color w:val="000000"/>
                <w:sz w:val="16"/>
                <w:szCs w:val="16"/>
                <w:lang w:eastAsia="en-AU"/>
              </w:rPr>
            </w:pPr>
            <w:r w:rsidRPr="00D661D4">
              <w:rPr>
                <w:rFonts w:eastAsiaTheme="minorEastAsia" w:cs="Calibri"/>
                <w:color w:val="000000"/>
                <w:sz w:val="16"/>
                <w:szCs w:val="16"/>
                <w:lang w:eastAsia="en-AU"/>
              </w:rPr>
              <w:t>Net cash flows from operating activities</w:t>
            </w:r>
          </w:p>
        </w:tc>
        <w:tc>
          <w:tcPr>
            <w:tcW w:w="850" w:type="dxa"/>
            <w:tcBorders>
              <w:top w:val="nil"/>
              <w:left w:val="nil"/>
              <w:bottom w:val="nil"/>
              <w:right w:val="nil"/>
            </w:tcBorders>
          </w:tcPr>
          <w:p w:rsidR="00A46DCA" w:rsidRPr="00D661D4"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lang w:eastAsia="en-AU"/>
              </w:rPr>
            </w:pPr>
            <w:r w:rsidRPr="00D661D4">
              <w:rPr>
                <w:rFonts w:eastAsiaTheme="minorEastAsia" w:cs="Calibri"/>
                <w:color w:val="000000"/>
                <w:sz w:val="16"/>
                <w:szCs w:val="16"/>
                <w:lang w:eastAsia="en-AU"/>
              </w:rPr>
              <w:t>4 715</w:t>
            </w:r>
          </w:p>
        </w:tc>
        <w:tc>
          <w:tcPr>
            <w:tcW w:w="850" w:type="dxa"/>
            <w:tcBorders>
              <w:top w:val="nil"/>
              <w:left w:val="nil"/>
              <w:bottom w:val="nil"/>
              <w:right w:val="nil"/>
            </w:tcBorders>
          </w:tcPr>
          <w:p w:rsidR="00A46DCA" w:rsidRPr="00D661D4"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lang w:eastAsia="en-AU"/>
              </w:rPr>
            </w:pPr>
            <w:r w:rsidRPr="00D661D4">
              <w:rPr>
                <w:rFonts w:eastAsiaTheme="minorEastAsia" w:cs="Calibri"/>
                <w:color w:val="000000"/>
                <w:sz w:val="16"/>
                <w:szCs w:val="16"/>
                <w:lang w:eastAsia="en-AU"/>
              </w:rPr>
              <w:t>4 748</w:t>
            </w:r>
          </w:p>
        </w:tc>
        <w:tc>
          <w:tcPr>
            <w:tcW w:w="850" w:type="dxa"/>
            <w:tcBorders>
              <w:top w:val="nil"/>
              <w:left w:val="nil"/>
              <w:bottom w:val="nil"/>
              <w:right w:val="nil"/>
            </w:tcBorders>
          </w:tcPr>
          <w:p w:rsidR="00A46DCA" w:rsidRPr="00D661D4"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lang w:eastAsia="en-AU"/>
              </w:rPr>
            </w:pPr>
            <w:r w:rsidRPr="00D661D4">
              <w:rPr>
                <w:rFonts w:eastAsiaTheme="minorEastAsia" w:cs="Calibri"/>
                <w:color w:val="000000"/>
                <w:sz w:val="16"/>
                <w:szCs w:val="16"/>
                <w:lang w:eastAsia="en-AU"/>
              </w:rPr>
              <w:t>7 827</w:t>
            </w:r>
          </w:p>
        </w:tc>
        <w:tc>
          <w:tcPr>
            <w:tcW w:w="850" w:type="dxa"/>
            <w:tcBorders>
              <w:top w:val="nil"/>
              <w:left w:val="nil"/>
              <w:bottom w:val="nil"/>
              <w:right w:val="nil"/>
            </w:tcBorders>
          </w:tcPr>
          <w:p w:rsidR="00A46DCA" w:rsidRPr="00D661D4"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lang w:eastAsia="en-AU"/>
              </w:rPr>
            </w:pPr>
            <w:r w:rsidRPr="00D661D4">
              <w:rPr>
                <w:rFonts w:eastAsiaTheme="minorEastAsia" w:cs="Calibri"/>
                <w:color w:val="000000"/>
                <w:sz w:val="16"/>
                <w:szCs w:val="16"/>
                <w:lang w:eastAsia="en-AU"/>
              </w:rPr>
              <w:t>6 175</w:t>
            </w:r>
          </w:p>
        </w:tc>
        <w:tc>
          <w:tcPr>
            <w:tcW w:w="850" w:type="dxa"/>
            <w:tcBorders>
              <w:top w:val="nil"/>
              <w:left w:val="nil"/>
              <w:bottom w:val="nil"/>
              <w:right w:val="nil"/>
            </w:tcBorders>
          </w:tcPr>
          <w:p w:rsidR="00A46DCA" w:rsidRPr="00D661D4"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lang w:eastAsia="en-AU"/>
              </w:rPr>
            </w:pPr>
            <w:r w:rsidRPr="00D661D4">
              <w:rPr>
                <w:rFonts w:eastAsiaTheme="minorEastAsia" w:cs="Calibri"/>
                <w:color w:val="000000"/>
                <w:sz w:val="16"/>
                <w:szCs w:val="16"/>
                <w:lang w:eastAsia="en-AU"/>
              </w:rPr>
              <w:t>6 957</w:t>
            </w:r>
          </w:p>
        </w:tc>
      </w:tr>
      <w:tr w:rsidR="00A46DCA" w:rsidRPr="00D661D4" w:rsidTr="00A26D04">
        <w:tc>
          <w:tcPr>
            <w:cnfStyle w:val="001000000000" w:firstRow="0" w:lastRow="0" w:firstColumn="1" w:lastColumn="0" w:oddVBand="0" w:evenVBand="0" w:oddHBand="0" w:evenHBand="0" w:firstRowFirstColumn="0" w:firstRowLastColumn="0" w:lastRowFirstColumn="0" w:lastRowLastColumn="0"/>
            <w:tcW w:w="3517" w:type="dxa"/>
            <w:tcBorders>
              <w:top w:val="nil"/>
              <w:left w:val="nil"/>
              <w:bottom w:val="nil"/>
              <w:right w:val="nil"/>
            </w:tcBorders>
          </w:tcPr>
          <w:p w:rsidR="00A46DCA" w:rsidRPr="00D661D4" w:rsidRDefault="00A46DCA" w:rsidP="00A26D04">
            <w:pPr>
              <w:keepLines w:val="0"/>
              <w:autoSpaceDE w:val="0"/>
              <w:autoSpaceDN w:val="0"/>
              <w:adjustRightInd w:val="0"/>
              <w:spacing w:after="0"/>
              <w:rPr>
                <w:rFonts w:eastAsiaTheme="minorEastAsia" w:cs="Calibri"/>
                <w:color w:val="000000"/>
                <w:sz w:val="16"/>
                <w:szCs w:val="16"/>
                <w:lang w:eastAsia="en-AU"/>
              </w:rPr>
            </w:pPr>
            <w:r w:rsidRPr="00D661D4">
              <w:rPr>
                <w:rFonts w:eastAsiaTheme="minorEastAsia" w:cs="Calibri"/>
                <w:color w:val="000000"/>
                <w:sz w:val="16"/>
                <w:szCs w:val="16"/>
                <w:lang w:eastAsia="en-AU"/>
              </w:rPr>
              <w:t xml:space="preserve">Net cash flows from investments in </w:t>
            </w:r>
            <w:r w:rsidR="008E5E35">
              <w:rPr>
                <w:rFonts w:eastAsiaTheme="minorEastAsia" w:cs="Calibri"/>
                <w:color w:val="000000"/>
                <w:sz w:val="16"/>
                <w:szCs w:val="16"/>
                <w:lang w:eastAsia="en-AU"/>
              </w:rPr>
              <w:br/>
            </w:r>
            <w:r w:rsidRPr="00D661D4">
              <w:rPr>
                <w:rFonts w:eastAsiaTheme="minorEastAsia" w:cs="Calibri"/>
                <w:color w:val="000000"/>
                <w:sz w:val="16"/>
                <w:szCs w:val="16"/>
                <w:lang w:eastAsia="en-AU"/>
              </w:rPr>
              <w:t>non-financial assets</w:t>
            </w:r>
          </w:p>
        </w:tc>
        <w:tc>
          <w:tcPr>
            <w:tcW w:w="850" w:type="dxa"/>
            <w:tcBorders>
              <w:top w:val="nil"/>
              <w:left w:val="nil"/>
              <w:bottom w:val="nil"/>
              <w:right w:val="nil"/>
            </w:tcBorders>
          </w:tcPr>
          <w:p w:rsidR="00A46DCA" w:rsidRPr="00D661D4"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lang w:eastAsia="en-AU"/>
              </w:rPr>
            </w:pPr>
            <w:r w:rsidRPr="00D661D4">
              <w:rPr>
                <w:rFonts w:eastAsiaTheme="minorEastAsia" w:cs="Calibri"/>
                <w:color w:val="000000"/>
                <w:sz w:val="16"/>
                <w:szCs w:val="16"/>
                <w:lang w:eastAsia="en-AU"/>
              </w:rPr>
              <w:t>(11 385)</w:t>
            </w:r>
          </w:p>
        </w:tc>
        <w:tc>
          <w:tcPr>
            <w:tcW w:w="850" w:type="dxa"/>
            <w:tcBorders>
              <w:top w:val="nil"/>
              <w:left w:val="nil"/>
              <w:bottom w:val="nil"/>
              <w:right w:val="nil"/>
            </w:tcBorders>
          </w:tcPr>
          <w:p w:rsidR="00A46DCA" w:rsidRPr="00D661D4"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lang w:eastAsia="en-AU"/>
              </w:rPr>
            </w:pPr>
            <w:r w:rsidRPr="00D661D4">
              <w:rPr>
                <w:rFonts w:eastAsiaTheme="minorEastAsia" w:cs="Calibri"/>
                <w:color w:val="000000"/>
                <w:sz w:val="16"/>
                <w:szCs w:val="16"/>
                <w:lang w:eastAsia="en-AU"/>
              </w:rPr>
              <w:t>(11 604)</w:t>
            </w:r>
          </w:p>
        </w:tc>
        <w:tc>
          <w:tcPr>
            <w:tcW w:w="850" w:type="dxa"/>
            <w:tcBorders>
              <w:top w:val="nil"/>
              <w:left w:val="nil"/>
              <w:bottom w:val="nil"/>
              <w:right w:val="nil"/>
            </w:tcBorders>
          </w:tcPr>
          <w:p w:rsidR="00A46DCA" w:rsidRPr="00D661D4"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lang w:eastAsia="en-AU"/>
              </w:rPr>
            </w:pPr>
            <w:r w:rsidRPr="00D661D4">
              <w:rPr>
                <w:rFonts w:eastAsiaTheme="minorEastAsia" w:cs="Calibri"/>
                <w:color w:val="000000"/>
                <w:sz w:val="16"/>
                <w:szCs w:val="16"/>
                <w:lang w:eastAsia="en-AU"/>
              </w:rPr>
              <w:t>(10 678)</w:t>
            </w:r>
          </w:p>
        </w:tc>
        <w:tc>
          <w:tcPr>
            <w:tcW w:w="850" w:type="dxa"/>
            <w:tcBorders>
              <w:top w:val="nil"/>
              <w:left w:val="nil"/>
              <w:bottom w:val="nil"/>
              <w:right w:val="nil"/>
            </w:tcBorders>
          </w:tcPr>
          <w:p w:rsidR="00A46DCA" w:rsidRPr="00D661D4"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lang w:eastAsia="en-AU"/>
              </w:rPr>
            </w:pPr>
            <w:r w:rsidRPr="00D661D4">
              <w:rPr>
                <w:rFonts w:eastAsiaTheme="minorEastAsia" w:cs="Calibri"/>
                <w:color w:val="000000"/>
                <w:sz w:val="16"/>
                <w:szCs w:val="16"/>
                <w:lang w:eastAsia="en-AU"/>
              </w:rPr>
              <w:t>(9 411)</w:t>
            </w:r>
          </w:p>
        </w:tc>
        <w:tc>
          <w:tcPr>
            <w:tcW w:w="850" w:type="dxa"/>
            <w:tcBorders>
              <w:top w:val="nil"/>
              <w:left w:val="nil"/>
              <w:bottom w:val="nil"/>
              <w:right w:val="nil"/>
            </w:tcBorders>
          </w:tcPr>
          <w:p w:rsidR="00A46DCA" w:rsidRPr="00D661D4" w:rsidRDefault="00A46DCA" w:rsidP="00A26D04">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lang w:eastAsia="en-AU"/>
              </w:rPr>
            </w:pPr>
            <w:r w:rsidRPr="00D661D4">
              <w:rPr>
                <w:rFonts w:eastAsiaTheme="minorEastAsia" w:cs="Calibri"/>
                <w:color w:val="000000"/>
                <w:sz w:val="16"/>
                <w:szCs w:val="16"/>
                <w:lang w:eastAsia="en-AU"/>
              </w:rPr>
              <w:t>(9 036)</w:t>
            </w:r>
          </w:p>
        </w:tc>
      </w:tr>
      <w:tr w:rsidR="00A46DCA" w:rsidRPr="00D661D4" w:rsidTr="00A26D04">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7" w:type="dxa"/>
            <w:tcBorders>
              <w:top w:val="single" w:sz="6" w:space="0" w:color="000000"/>
              <w:bottom w:val="single" w:sz="12" w:space="0" w:color="000000"/>
            </w:tcBorders>
          </w:tcPr>
          <w:p w:rsidR="00A46DCA" w:rsidRPr="00D661D4" w:rsidRDefault="00A46DCA" w:rsidP="00A26D04">
            <w:pPr>
              <w:keepLines w:val="0"/>
              <w:autoSpaceDE w:val="0"/>
              <w:autoSpaceDN w:val="0"/>
              <w:adjustRightInd w:val="0"/>
              <w:spacing w:after="0"/>
              <w:rPr>
                <w:rFonts w:eastAsiaTheme="minorEastAsia" w:cs="Calibri"/>
                <w:bCs/>
                <w:color w:val="000000"/>
                <w:sz w:val="16"/>
                <w:szCs w:val="16"/>
                <w:lang w:eastAsia="en-AU"/>
              </w:rPr>
            </w:pPr>
            <w:r w:rsidRPr="00D661D4">
              <w:rPr>
                <w:rFonts w:eastAsiaTheme="minorEastAsia" w:cs="Calibri"/>
                <w:bCs/>
                <w:color w:val="000000"/>
                <w:sz w:val="16"/>
                <w:szCs w:val="16"/>
                <w:lang w:eastAsia="en-AU"/>
              </w:rPr>
              <w:t>Cash surplus/(deficit)</w:t>
            </w:r>
          </w:p>
        </w:tc>
        <w:tc>
          <w:tcPr>
            <w:tcW w:w="850" w:type="dxa"/>
            <w:tcBorders>
              <w:top w:val="single" w:sz="6" w:space="0" w:color="000000"/>
              <w:bottom w:val="single" w:sz="12" w:space="0" w:color="000000"/>
            </w:tcBorders>
          </w:tcPr>
          <w:p w:rsidR="00A46DCA" w:rsidRPr="00D661D4" w:rsidRDefault="00A46DCA" w:rsidP="00A26D04">
            <w:pPr>
              <w:keepLines w:val="0"/>
              <w:autoSpaceDE w:val="0"/>
              <w:autoSpaceDN w:val="0"/>
              <w:adjustRightInd w:val="0"/>
              <w:spacing w:after="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 w:val="16"/>
                <w:szCs w:val="16"/>
                <w:lang w:eastAsia="en-AU"/>
              </w:rPr>
            </w:pPr>
            <w:r w:rsidRPr="00D661D4">
              <w:rPr>
                <w:rFonts w:eastAsiaTheme="minorEastAsia" w:cs="Calibri"/>
                <w:bCs/>
                <w:color w:val="000000"/>
                <w:sz w:val="16"/>
                <w:szCs w:val="16"/>
                <w:lang w:eastAsia="en-AU"/>
              </w:rPr>
              <w:t>(6 670)</w:t>
            </w:r>
          </w:p>
        </w:tc>
        <w:tc>
          <w:tcPr>
            <w:tcW w:w="850" w:type="dxa"/>
            <w:tcBorders>
              <w:top w:val="single" w:sz="6" w:space="0" w:color="000000"/>
              <w:bottom w:val="single" w:sz="12" w:space="0" w:color="000000"/>
            </w:tcBorders>
          </w:tcPr>
          <w:p w:rsidR="00A46DCA" w:rsidRPr="00D661D4" w:rsidRDefault="00A46DCA" w:rsidP="00A26D04">
            <w:pPr>
              <w:keepLines w:val="0"/>
              <w:autoSpaceDE w:val="0"/>
              <w:autoSpaceDN w:val="0"/>
              <w:adjustRightInd w:val="0"/>
              <w:spacing w:after="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 w:val="16"/>
                <w:szCs w:val="16"/>
                <w:lang w:eastAsia="en-AU"/>
              </w:rPr>
            </w:pPr>
            <w:r w:rsidRPr="00D661D4">
              <w:rPr>
                <w:rFonts w:eastAsiaTheme="minorEastAsia" w:cs="Calibri"/>
                <w:bCs/>
                <w:color w:val="000000"/>
                <w:sz w:val="16"/>
                <w:szCs w:val="16"/>
                <w:lang w:eastAsia="en-AU"/>
              </w:rPr>
              <w:t>(6 857)</w:t>
            </w:r>
          </w:p>
        </w:tc>
        <w:tc>
          <w:tcPr>
            <w:tcW w:w="850" w:type="dxa"/>
            <w:tcBorders>
              <w:top w:val="single" w:sz="6" w:space="0" w:color="000000"/>
              <w:bottom w:val="single" w:sz="12" w:space="0" w:color="000000"/>
            </w:tcBorders>
          </w:tcPr>
          <w:p w:rsidR="00A46DCA" w:rsidRPr="00D661D4" w:rsidRDefault="00A46DCA" w:rsidP="00A26D04">
            <w:pPr>
              <w:keepLines w:val="0"/>
              <w:autoSpaceDE w:val="0"/>
              <w:autoSpaceDN w:val="0"/>
              <w:adjustRightInd w:val="0"/>
              <w:spacing w:after="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 w:val="16"/>
                <w:szCs w:val="16"/>
                <w:lang w:eastAsia="en-AU"/>
              </w:rPr>
            </w:pPr>
            <w:r w:rsidRPr="00D661D4">
              <w:rPr>
                <w:rFonts w:eastAsiaTheme="minorEastAsia" w:cs="Calibri"/>
                <w:bCs/>
                <w:color w:val="000000"/>
                <w:sz w:val="16"/>
                <w:szCs w:val="16"/>
                <w:lang w:eastAsia="en-AU"/>
              </w:rPr>
              <w:t>(2 851)</w:t>
            </w:r>
          </w:p>
        </w:tc>
        <w:tc>
          <w:tcPr>
            <w:tcW w:w="850" w:type="dxa"/>
            <w:tcBorders>
              <w:top w:val="single" w:sz="6" w:space="0" w:color="000000"/>
              <w:bottom w:val="single" w:sz="12" w:space="0" w:color="000000"/>
            </w:tcBorders>
          </w:tcPr>
          <w:p w:rsidR="00A46DCA" w:rsidRPr="00D661D4" w:rsidRDefault="00A46DCA" w:rsidP="00A26D04">
            <w:pPr>
              <w:keepLines w:val="0"/>
              <w:autoSpaceDE w:val="0"/>
              <w:autoSpaceDN w:val="0"/>
              <w:adjustRightInd w:val="0"/>
              <w:spacing w:after="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 w:val="16"/>
                <w:szCs w:val="16"/>
                <w:lang w:eastAsia="en-AU"/>
              </w:rPr>
            </w:pPr>
            <w:r w:rsidRPr="00D661D4">
              <w:rPr>
                <w:rFonts w:eastAsiaTheme="minorEastAsia" w:cs="Calibri"/>
                <w:bCs/>
                <w:color w:val="000000"/>
                <w:sz w:val="16"/>
                <w:szCs w:val="16"/>
                <w:lang w:eastAsia="en-AU"/>
              </w:rPr>
              <w:t>(3 236)</w:t>
            </w:r>
          </w:p>
        </w:tc>
        <w:tc>
          <w:tcPr>
            <w:tcW w:w="850" w:type="dxa"/>
            <w:tcBorders>
              <w:top w:val="single" w:sz="6" w:space="0" w:color="000000"/>
              <w:bottom w:val="single" w:sz="12" w:space="0" w:color="000000"/>
            </w:tcBorders>
          </w:tcPr>
          <w:p w:rsidR="00A46DCA" w:rsidRPr="00D661D4" w:rsidRDefault="00A46DCA" w:rsidP="00A26D04">
            <w:pPr>
              <w:keepLines w:val="0"/>
              <w:autoSpaceDE w:val="0"/>
              <w:autoSpaceDN w:val="0"/>
              <w:adjustRightInd w:val="0"/>
              <w:spacing w:after="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 w:val="16"/>
                <w:szCs w:val="16"/>
                <w:lang w:eastAsia="en-AU"/>
              </w:rPr>
            </w:pPr>
            <w:r w:rsidRPr="00D661D4">
              <w:rPr>
                <w:rFonts w:eastAsiaTheme="minorEastAsia" w:cs="Calibri"/>
                <w:bCs/>
                <w:color w:val="000000"/>
                <w:sz w:val="16"/>
                <w:szCs w:val="16"/>
                <w:lang w:eastAsia="en-AU"/>
              </w:rPr>
              <w:t>(2 079)</w:t>
            </w:r>
          </w:p>
        </w:tc>
      </w:tr>
    </w:tbl>
    <w:p w:rsidR="00A46DCA" w:rsidRDefault="00A46DCA" w:rsidP="00A26D04">
      <w:pPr>
        <w:pStyle w:val="Source"/>
        <w:rPr>
          <w:vertAlign w:val="superscript"/>
        </w:rPr>
      </w:pPr>
      <w:r w:rsidRPr="00907CB9">
        <w:t>Source: Department of Treasury and Finance</w:t>
      </w:r>
    </w:p>
    <w:p w:rsidR="00A46DCA" w:rsidRDefault="00A46DCA" w:rsidP="00A26D04">
      <w:pPr>
        <w:pStyle w:val="Note"/>
      </w:pPr>
      <w:r>
        <w:t>Notes:</w:t>
      </w:r>
    </w:p>
    <w:p w:rsidR="00A46DCA" w:rsidRDefault="00A46DCA" w:rsidP="00A26D04">
      <w:pPr>
        <w:pStyle w:val="Note"/>
      </w:pPr>
      <w:r>
        <w:t>(a)</w:t>
      </w:r>
      <w:r>
        <w:tab/>
      </w:r>
      <w:r w:rsidRPr="00995E6E">
        <w:rPr>
          <w:rFonts w:cs="Times New Roman"/>
          <w:lang w:eastAsia="en-AU"/>
        </w:rPr>
        <w:t>Certain line items have been aggregated in the table above due to</w:t>
      </w:r>
      <w:r>
        <w:rPr>
          <w:rFonts w:cs="Times New Roman"/>
          <w:lang w:eastAsia="en-AU"/>
        </w:rPr>
        <w:t xml:space="preserve"> </w:t>
      </w:r>
      <w:r w:rsidRPr="00995E6E">
        <w:rPr>
          <w:rFonts w:cs="Times New Roman"/>
          <w:lang w:eastAsia="en-AU"/>
        </w:rPr>
        <w:t>commercial sensitivities</w:t>
      </w:r>
      <w:r>
        <w:rPr>
          <w:rFonts w:cs="Times New Roman"/>
          <w:lang w:eastAsia="en-AU"/>
        </w:rPr>
        <w:t>.</w:t>
      </w:r>
    </w:p>
    <w:p w:rsidR="00A46DCA" w:rsidRDefault="00A46DCA" w:rsidP="00A26D04">
      <w:pPr>
        <w:pStyle w:val="Note"/>
      </w:pPr>
      <w:r>
        <w:t>(b)</w:t>
      </w:r>
      <w:r>
        <w:tab/>
        <w:t>Inclusive of goods and services tax.</w:t>
      </w:r>
    </w:p>
    <w:p w:rsidR="00A46DCA" w:rsidRDefault="00A46DCA" w:rsidP="00A26D04">
      <w:pPr>
        <w:pStyle w:val="Note"/>
      </w:pPr>
      <w:r>
        <w:t>(c)</w:t>
      </w:r>
      <w:r>
        <w:tab/>
      </w:r>
      <w:r w:rsidRPr="00AB2FE9">
        <w:t>2017-18 Budget figures</w:t>
      </w:r>
      <w:r>
        <w:t xml:space="preserve"> have been restated to represent actual opening balances at 1 July 2017.</w:t>
      </w:r>
    </w:p>
    <w:p w:rsidR="00A46DCA" w:rsidRDefault="00A46DCA" w:rsidP="00A26D04">
      <w:pPr>
        <w:pStyle w:val="Note"/>
      </w:pPr>
      <w:r>
        <w:t>(d)</w:t>
      </w:r>
      <w:r>
        <w:tab/>
        <w:t>Cash and cash equivalents and the end of the reporting period does not equal cash and deposits on the balance sheet. This is due to overdrafts being included in the cash flow statement balances.</w:t>
      </w:r>
    </w:p>
    <w:p w:rsidR="00A46DCA" w:rsidRPr="00023820" w:rsidRDefault="00A46DCA" w:rsidP="00A26D04">
      <w:pPr>
        <w:pStyle w:val="TableHeading"/>
        <w:rPr>
          <w:bCs/>
          <w:lang w:val="en-US"/>
        </w:rPr>
      </w:pPr>
      <w:r>
        <w:lastRenderedPageBreak/>
        <w:t>Table 5.22</w:t>
      </w:r>
      <w:r w:rsidR="008E5E35">
        <w:t>:</w:t>
      </w:r>
      <w:r>
        <w:tab/>
        <w:t xml:space="preserve">State of Victoria statement of changes in equity </w:t>
      </w:r>
      <w:r w:rsidR="006A017C">
        <w:br/>
      </w:r>
      <w:r>
        <w:t>for the financial year ended 30 June</w:t>
      </w:r>
      <w:r>
        <w:tab/>
        <w:t>($ million)</w:t>
      </w:r>
    </w:p>
    <w:tbl>
      <w:tblPr>
        <w:tblStyle w:val="DTFTable"/>
        <w:tblW w:w="7762" w:type="dxa"/>
        <w:tblInd w:w="45" w:type="dxa"/>
        <w:tblLayout w:type="fixed"/>
        <w:tblCellMar>
          <w:left w:w="45" w:type="dxa"/>
          <w:right w:w="45" w:type="dxa"/>
        </w:tblCellMar>
        <w:tblLook w:val="06E0" w:firstRow="1" w:lastRow="1" w:firstColumn="1" w:lastColumn="0" w:noHBand="1" w:noVBand="1"/>
      </w:tblPr>
      <w:tblGrid>
        <w:gridCol w:w="3402"/>
        <w:gridCol w:w="476"/>
        <w:gridCol w:w="800"/>
        <w:gridCol w:w="1559"/>
        <w:gridCol w:w="788"/>
        <w:gridCol w:w="737"/>
      </w:tblGrid>
      <w:tr w:rsidR="00A46DCA" w:rsidRPr="00023820" w:rsidTr="00D02086">
        <w:trPr>
          <w:cnfStyle w:val="100000000000" w:firstRow="1" w:lastRow="0" w:firstColumn="0" w:lastColumn="0" w:oddVBand="0" w:evenVBand="0" w:oddHBand="0" w:evenHBand="0" w:firstRowFirstColumn="0" w:firstRowLastColumn="0" w:lastRowFirstColumn="0" w:lastRowLastColumn="0"/>
          <w:trHeight w:val="242"/>
          <w:tblHeader/>
        </w:trPr>
        <w:tc>
          <w:tcPr>
            <w:cnfStyle w:val="001000000000" w:firstRow="0" w:lastRow="0" w:firstColumn="1" w:lastColumn="0" w:oddVBand="0" w:evenVBand="0" w:oddHBand="0" w:evenHBand="0" w:firstRowFirstColumn="0" w:firstRowLastColumn="0" w:lastRowFirstColumn="0" w:lastRowLastColumn="0"/>
            <w:tcW w:w="3402" w:type="dxa"/>
            <w:tcBorders>
              <w:top w:val="nil"/>
              <w:left w:val="nil"/>
              <w:bottom w:val="nil"/>
              <w:right w:val="nil"/>
            </w:tcBorders>
            <w:shd w:val="solid" w:color="000000" w:fill="auto"/>
          </w:tcPr>
          <w:p w:rsidR="00A46DCA" w:rsidRPr="00023820" w:rsidRDefault="00A46DCA" w:rsidP="00A26D04">
            <w:pPr>
              <w:autoSpaceDE w:val="0"/>
              <w:autoSpaceDN w:val="0"/>
              <w:adjustRightInd w:val="0"/>
              <w:rPr>
                <w:rFonts w:eastAsiaTheme="minorEastAsia" w:cs="Calibri"/>
                <w:iCs/>
                <w:color w:val="FFFFFF"/>
                <w:lang w:eastAsia="en-AU"/>
              </w:rPr>
            </w:pPr>
            <w:r w:rsidRPr="00023820">
              <w:rPr>
                <w:rFonts w:eastAsiaTheme="minorEastAsia" w:cs="Calibri"/>
                <w:iCs/>
                <w:color w:val="FFFFFF"/>
                <w:lang w:eastAsia="en-AU"/>
              </w:rPr>
              <w:t xml:space="preserve"> </w:t>
            </w:r>
          </w:p>
        </w:tc>
        <w:tc>
          <w:tcPr>
            <w:tcW w:w="1276" w:type="dxa"/>
            <w:gridSpan w:val="2"/>
            <w:tcBorders>
              <w:top w:val="nil"/>
              <w:left w:val="nil"/>
              <w:bottom w:val="nil"/>
              <w:right w:val="nil"/>
            </w:tcBorders>
            <w:shd w:val="solid" w:color="000000" w:fill="auto"/>
          </w:tcPr>
          <w:p w:rsidR="00A46DCA" w:rsidRPr="00023820" w:rsidRDefault="00A46DCA" w:rsidP="00A26D0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21"/>
                <w:lang w:eastAsia="en-AU"/>
              </w:rPr>
            </w:pPr>
            <w:r w:rsidRPr="00023820">
              <w:rPr>
                <w:rFonts w:eastAsiaTheme="minorEastAsia" w:cs="Calibri"/>
                <w:iCs/>
                <w:color w:val="FFFFFF"/>
                <w:szCs w:val="21"/>
                <w:lang w:eastAsia="en-AU"/>
              </w:rPr>
              <w:t>Accumulated surplus/(deficit)</w:t>
            </w:r>
          </w:p>
        </w:tc>
        <w:tc>
          <w:tcPr>
            <w:tcW w:w="1559" w:type="dxa"/>
            <w:tcBorders>
              <w:top w:val="nil"/>
              <w:left w:val="nil"/>
              <w:bottom w:val="nil"/>
              <w:right w:val="nil"/>
            </w:tcBorders>
            <w:shd w:val="solid" w:color="000000" w:fill="auto"/>
          </w:tcPr>
          <w:p w:rsidR="00A46DCA" w:rsidRPr="00023820" w:rsidRDefault="00A46DCA" w:rsidP="00A26D0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21"/>
                <w:lang w:eastAsia="en-AU"/>
              </w:rPr>
            </w:pPr>
            <w:r w:rsidRPr="00023820">
              <w:rPr>
                <w:rFonts w:eastAsiaTheme="minorEastAsia" w:cs="Calibri"/>
                <w:iCs/>
                <w:color w:val="FFFFFF"/>
                <w:szCs w:val="21"/>
                <w:lang w:eastAsia="en-AU"/>
              </w:rPr>
              <w:t>Non-financial assets revaluation surplus</w:t>
            </w:r>
          </w:p>
        </w:tc>
        <w:tc>
          <w:tcPr>
            <w:tcW w:w="788" w:type="dxa"/>
            <w:tcBorders>
              <w:top w:val="nil"/>
              <w:left w:val="nil"/>
              <w:bottom w:val="nil"/>
              <w:right w:val="nil"/>
            </w:tcBorders>
            <w:shd w:val="solid" w:color="000000" w:fill="auto"/>
          </w:tcPr>
          <w:p w:rsidR="00A46DCA" w:rsidRPr="00023820" w:rsidRDefault="00A46DCA" w:rsidP="00A26D0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21"/>
                <w:lang w:eastAsia="en-AU"/>
              </w:rPr>
            </w:pPr>
            <w:r w:rsidRPr="00023820">
              <w:rPr>
                <w:rFonts w:eastAsiaTheme="minorEastAsia" w:cs="Calibri"/>
                <w:iCs/>
                <w:color w:val="FFFFFF"/>
                <w:szCs w:val="21"/>
                <w:lang w:eastAsia="en-AU"/>
              </w:rPr>
              <w:t>Other reserves</w:t>
            </w:r>
          </w:p>
        </w:tc>
        <w:tc>
          <w:tcPr>
            <w:tcW w:w="737" w:type="dxa"/>
            <w:tcBorders>
              <w:top w:val="nil"/>
              <w:left w:val="nil"/>
              <w:bottom w:val="nil"/>
              <w:right w:val="nil"/>
            </w:tcBorders>
            <w:shd w:val="solid" w:color="000000" w:fill="auto"/>
          </w:tcPr>
          <w:p w:rsidR="00A46DCA" w:rsidRPr="00023820" w:rsidRDefault="00A46DCA" w:rsidP="00A26D0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21"/>
                <w:lang w:eastAsia="en-AU"/>
              </w:rPr>
            </w:pPr>
            <w:r w:rsidRPr="00023820">
              <w:rPr>
                <w:rFonts w:eastAsiaTheme="minorEastAsia" w:cs="Calibri"/>
                <w:iCs/>
                <w:color w:val="FFFFFF"/>
                <w:szCs w:val="21"/>
                <w:lang w:eastAsia="en-AU"/>
              </w:rPr>
              <w:t>Total</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3878" w:type="dxa"/>
            <w:gridSpan w:val="2"/>
            <w:tcBorders>
              <w:top w:val="nil"/>
              <w:left w:val="nil"/>
              <w:bottom w:val="nil"/>
              <w:right w:val="nil"/>
            </w:tcBorders>
          </w:tcPr>
          <w:p w:rsidR="00A46DCA" w:rsidRPr="00023820" w:rsidRDefault="00A46DCA" w:rsidP="00A26D04">
            <w:pPr>
              <w:keepLines w:val="0"/>
              <w:autoSpaceDE w:val="0"/>
              <w:autoSpaceDN w:val="0"/>
              <w:adjustRightInd w:val="0"/>
              <w:rPr>
                <w:rFonts w:eastAsiaTheme="minorEastAsia" w:cs="Calibri"/>
                <w:b/>
                <w:bCs/>
                <w:color w:val="000000"/>
                <w:szCs w:val="20"/>
                <w:vertAlign w:val="superscript"/>
                <w:lang w:eastAsia="en-AU"/>
              </w:rPr>
            </w:pPr>
            <w:r w:rsidRPr="00023820">
              <w:rPr>
                <w:rFonts w:eastAsiaTheme="minorEastAsia" w:cs="Calibri"/>
                <w:b/>
                <w:bCs/>
                <w:color w:val="000000"/>
                <w:szCs w:val="20"/>
                <w:lang w:eastAsia="en-AU"/>
              </w:rPr>
              <w:t xml:space="preserve">2017-18 budget </w:t>
            </w:r>
            <w:r w:rsidRPr="00023820">
              <w:rPr>
                <w:rFonts w:eastAsiaTheme="minorEastAsia" w:cs="Calibri"/>
                <w:b/>
                <w:bCs/>
                <w:color w:val="000000"/>
                <w:szCs w:val="20"/>
                <w:vertAlign w:val="superscript"/>
                <w:lang w:eastAsia="en-AU"/>
              </w:rPr>
              <w:t>(a)</w:t>
            </w:r>
          </w:p>
        </w:tc>
        <w:tc>
          <w:tcPr>
            <w:tcW w:w="80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1"/>
                <w:lang w:eastAsia="en-AU"/>
              </w:rPr>
            </w:pPr>
            <w:r w:rsidRPr="00023820">
              <w:rPr>
                <w:rFonts w:eastAsiaTheme="minorEastAsia" w:cs="Calibri"/>
                <w:b/>
                <w:bCs/>
                <w:color w:val="000000"/>
                <w:szCs w:val="21"/>
                <w:lang w:eastAsia="en-AU"/>
              </w:rPr>
              <w:t xml:space="preserve"> </w:t>
            </w:r>
          </w:p>
        </w:tc>
        <w:tc>
          <w:tcPr>
            <w:tcW w:w="1559"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023820">
              <w:rPr>
                <w:rFonts w:eastAsiaTheme="minorEastAsia" w:cs="Calibri"/>
                <w:b/>
                <w:bCs/>
                <w:color w:val="000000"/>
                <w:lang w:eastAsia="en-AU"/>
              </w:rPr>
              <w:t xml:space="preserve"> </w:t>
            </w:r>
          </w:p>
        </w:tc>
        <w:tc>
          <w:tcPr>
            <w:tcW w:w="788"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1"/>
                <w:lang w:eastAsia="en-AU"/>
              </w:rPr>
            </w:pPr>
            <w:r w:rsidRPr="00023820">
              <w:rPr>
                <w:rFonts w:eastAsiaTheme="minorEastAsia" w:cs="Calibri"/>
                <w:b/>
                <w:bCs/>
                <w:color w:val="000000"/>
                <w:szCs w:val="21"/>
                <w:lang w:eastAsia="en-AU"/>
              </w:rPr>
              <w:t xml:space="preserve"> </w:t>
            </w:r>
          </w:p>
        </w:tc>
        <w:tc>
          <w:tcPr>
            <w:tcW w:w="737"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1"/>
                <w:lang w:eastAsia="en-AU"/>
              </w:rPr>
            </w:pPr>
            <w:r w:rsidRPr="00023820">
              <w:rPr>
                <w:rFonts w:eastAsiaTheme="minorEastAsia" w:cs="Calibri"/>
                <w:b/>
                <w:bCs/>
                <w:color w:val="000000"/>
                <w:szCs w:val="21"/>
                <w:lang w:eastAsia="en-AU"/>
              </w:rPr>
              <w:t xml:space="preserve"> </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3878" w:type="dxa"/>
            <w:gridSpan w:val="2"/>
            <w:tcBorders>
              <w:top w:val="nil"/>
              <w:left w:val="nil"/>
              <w:bottom w:val="nil"/>
              <w:right w:val="nil"/>
            </w:tcBorders>
          </w:tcPr>
          <w:p w:rsidR="00A46DCA" w:rsidRPr="00023820" w:rsidRDefault="00A46DCA" w:rsidP="00A26D04">
            <w:pPr>
              <w:keepLines w:val="0"/>
              <w:autoSpaceDE w:val="0"/>
              <w:autoSpaceDN w:val="0"/>
              <w:adjustRightInd w:val="0"/>
              <w:rPr>
                <w:rFonts w:eastAsiaTheme="minorEastAsia" w:cs="Calibri"/>
                <w:color w:val="000000"/>
                <w:szCs w:val="21"/>
                <w:lang w:eastAsia="en-AU"/>
              </w:rPr>
            </w:pPr>
            <w:r w:rsidRPr="00023820">
              <w:rPr>
                <w:rFonts w:eastAsiaTheme="minorEastAsia" w:cs="Calibri"/>
                <w:color w:val="000000"/>
                <w:szCs w:val="21"/>
                <w:lang w:eastAsia="en-AU"/>
              </w:rPr>
              <w:t>Balance at 1 July 2017</w:t>
            </w:r>
          </w:p>
        </w:tc>
        <w:tc>
          <w:tcPr>
            <w:tcW w:w="80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75 141</w:t>
            </w:r>
          </w:p>
        </w:tc>
        <w:tc>
          <w:tcPr>
            <w:tcW w:w="1559"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95 897</w:t>
            </w:r>
          </w:p>
        </w:tc>
        <w:tc>
          <w:tcPr>
            <w:tcW w:w="788"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1 195</w:t>
            </w:r>
          </w:p>
        </w:tc>
        <w:tc>
          <w:tcPr>
            <w:tcW w:w="737"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172 234</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3878" w:type="dxa"/>
            <w:gridSpan w:val="2"/>
            <w:tcBorders>
              <w:top w:val="nil"/>
              <w:left w:val="nil"/>
              <w:bottom w:val="nil"/>
              <w:right w:val="nil"/>
            </w:tcBorders>
          </w:tcPr>
          <w:p w:rsidR="00A46DCA" w:rsidRPr="00023820" w:rsidRDefault="00A46DCA" w:rsidP="00A26D04">
            <w:pPr>
              <w:keepLines w:val="0"/>
              <w:autoSpaceDE w:val="0"/>
              <w:autoSpaceDN w:val="0"/>
              <w:adjustRightInd w:val="0"/>
              <w:rPr>
                <w:rFonts w:eastAsiaTheme="minorEastAsia" w:cs="Calibri"/>
                <w:color w:val="000000"/>
                <w:szCs w:val="20"/>
                <w:lang w:eastAsia="en-AU"/>
              </w:rPr>
            </w:pPr>
            <w:r w:rsidRPr="00023820">
              <w:rPr>
                <w:rFonts w:eastAsiaTheme="minorEastAsia" w:cs="Calibri"/>
                <w:color w:val="000000"/>
                <w:szCs w:val="21"/>
                <w:lang w:eastAsia="en-AU"/>
              </w:rPr>
              <w:t xml:space="preserve">Net result for </w:t>
            </w:r>
            <w:r w:rsidRPr="00023820">
              <w:rPr>
                <w:rFonts w:eastAsiaTheme="minorEastAsia" w:cs="Calibri"/>
                <w:color w:val="000000"/>
                <w:szCs w:val="20"/>
                <w:lang w:eastAsia="en-AU"/>
              </w:rPr>
              <w:t>the year</w:t>
            </w:r>
          </w:p>
        </w:tc>
        <w:tc>
          <w:tcPr>
            <w:tcW w:w="80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(455)</w:t>
            </w:r>
          </w:p>
        </w:tc>
        <w:tc>
          <w:tcPr>
            <w:tcW w:w="1559"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w:t>
            </w:r>
          </w:p>
        </w:tc>
        <w:tc>
          <w:tcPr>
            <w:tcW w:w="788"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w:t>
            </w:r>
          </w:p>
        </w:tc>
        <w:tc>
          <w:tcPr>
            <w:tcW w:w="737"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(455)</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3878" w:type="dxa"/>
            <w:gridSpan w:val="2"/>
            <w:tcBorders>
              <w:top w:val="nil"/>
              <w:left w:val="nil"/>
              <w:bottom w:val="nil"/>
              <w:right w:val="nil"/>
            </w:tcBorders>
          </w:tcPr>
          <w:p w:rsidR="00A46DCA" w:rsidRPr="00023820" w:rsidRDefault="00A46DCA" w:rsidP="00A26D04">
            <w:pPr>
              <w:keepLines w:val="0"/>
              <w:autoSpaceDE w:val="0"/>
              <w:autoSpaceDN w:val="0"/>
              <w:adjustRightInd w:val="0"/>
              <w:rPr>
                <w:rFonts w:eastAsiaTheme="minorEastAsia" w:cs="Calibri"/>
                <w:color w:val="000000"/>
                <w:szCs w:val="21"/>
                <w:lang w:eastAsia="en-AU"/>
              </w:rPr>
            </w:pPr>
            <w:r w:rsidRPr="00023820">
              <w:rPr>
                <w:rFonts w:eastAsiaTheme="minorEastAsia" w:cs="Calibri"/>
                <w:color w:val="000000"/>
                <w:szCs w:val="21"/>
                <w:lang w:eastAsia="en-AU"/>
              </w:rPr>
              <w:t>Other comprehensive income for the year</w:t>
            </w:r>
          </w:p>
        </w:tc>
        <w:tc>
          <w:tcPr>
            <w:tcW w:w="80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sidRPr="00023820">
              <w:rPr>
                <w:rFonts w:eastAsiaTheme="minorEastAsia" w:cs="Calibri"/>
                <w:color w:val="000000"/>
                <w:szCs w:val="21"/>
                <w:lang w:eastAsia="en-AU"/>
              </w:rPr>
              <w:t>878</w:t>
            </w:r>
          </w:p>
        </w:tc>
        <w:tc>
          <w:tcPr>
            <w:tcW w:w="1559"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3 661</w:t>
            </w:r>
          </w:p>
        </w:tc>
        <w:tc>
          <w:tcPr>
            <w:tcW w:w="788"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sidRPr="00023820">
              <w:rPr>
                <w:rFonts w:eastAsiaTheme="minorEastAsia" w:cs="Calibri"/>
                <w:color w:val="000000"/>
                <w:szCs w:val="21"/>
                <w:lang w:eastAsia="en-AU"/>
              </w:rPr>
              <w:t>23</w:t>
            </w:r>
          </w:p>
        </w:tc>
        <w:tc>
          <w:tcPr>
            <w:tcW w:w="737"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4 562</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3878" w:type="dxa"/>
            <w:gridSpan w:val="2"/>
            <w:tcBorders>
              <w:top w:val="nil"/>
              <w:left w:val="nil"/>
              <w:bottom w:val="nil"/>
              <w:right w:val="nil"/>
            </w:tcBorders>
          </w:tcPr>
          <w:p w:rsidR="00A46DCA" w:rsidRPr="00023820" w:rsidRDefault="00A46DCA" w:rsidP="00A26D04">
            <w:pPr>
              <w:keepLines w:val="0"/>
              <w:autoSpaceDE w:val="0"/>
              <w:autoSpaceDN w:val="0"/>
              <w:adjustRightInd w:val="0"/>
              <w:rPr>
                <w:rFonts w:eastAsiaTheme="minorEastAsia" w:cs="Calibri"/>
                <w:color w:val="000000"/>
                <w:szCs w:val="21"/>
                <w:lang w:eastAsia="en-AU"/>
              </w:rPr>
            </w:pPr>
            <w:r w:rsidRPr="00023820">
              <w:rPr>
                <w:rFonts w:eastAsiaTheme="minorEastAsia" w:cs="Calibri"/>
                <w:color w:val="000000"/>
                <w:szCs w:val="21"/>
                <w:lang w:eastAsia="en-AU"/>
              </w:rPr>
              <w:t>Transfer to/(from) accumulated surplus</w:t>
            </w:r>
          </w:p>
        </w:tc>
        <w:tc>
          <w:tcPr>
            <w:tcW w:w="80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w:t>
            </w:r>
          </w:p>
        </w:tc>
        <w:tc>
          <w:tcPr>
            <w:tcW w:w="1559"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w:t>
            </w:r>
          </w:p>
        </w:tc>
        <w:tc>
          <w:tcPr>
            <w:tcW w:w="788"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w:t>
            </w:r>
          </w:p>
        </w:tc>
        <w:tc>
          <w:tcPr>
            <w:tcW w:w="737"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3878" w:type="dxa"/>
            <w:gridSpan w:val="2"/>
            <w:tcBorders>
              <w:top w:val="single" w:sz="6" w:space="0" w:color="000000"/>
              <w:left w:val="nil"/>
              <w:bottom w:val="single" w:sz="12" w:space="0" w:color="000000"/>
              <w:right w:val="nil"/>
            </w:tcBorders>
          </w:tcPr>
          <w:p w:rsidR="00A46DCA" w:rsidRPr="00023820" w:rsidRDefault="00A46DCA" w:rsidP="00A26D04">
            <w:pPr>
              <w:keepLines w:val="0"/>
              <w:autoSpaceDE w:val="0"/>
              <w:autoSpaceDN w:val="0"/>
              <w:adjustRightInd w:val="0"/>
              <w:rPr>
                <w:rFonts w:eastAsiaTheme="minorEastAsia" w:cs="Calibri"/>
                <w:b/>
                <w:bCs/>
                <w:color w:val="000000"/>
                <w:szCs w:val="21"/>
                <w:lang w:eastAsia="en-AU"/>
              </w:rPr>
            </w:pPr>
            <w:r w:rsidRPr="00023820">
              <w:rPr>
                <w:rFonts w:eastAsiaTheme="minorEastAsia" w:cs="Calibri"/>
                <w:b/>
                <w:bCs/>
                <w:color w:val="000000"/>
                <w:szCs w:val="21"/>
                <w:lang w:eastAsia="en-AU"/>
              </w:rPr>
              <w:t>Total equity as at 30 June 2018</w:t>
            </w:r>
          </w:p>
        </w:tc>
        <w:tc>
          <w:tcPr>
            <w:tcW w:w="800" w:type="dxa"/>
            <w:tcBorders>
              <w:top w:val="single" w:sz="6" w:space="0" w:color="000000"/>
              <w:left w:val="nil"/>
              <w:bottom w:val="single" w:sz="12" w:space="0" w:color="000000"/>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1"/>
                <w:lang w:eastAsia="en-AU"/>
              </w:rPr>
            </w:pPr>
            <w:r>
              <w:rPr>
                <w:rFonts w:eastAsiaTheme="minorEastAsia" w:cs="Calibri"/>
                <w:b/>
                <w:bCs/>
                <w:color w:val="000000"/>
                <w:szCs w:val="21"/>
                <w:lang w:eastAsia="en-AU"/>
              </w:rPr>
              <w:t>75 564</w:t>
            </w:r>
          </w:p>
        </w:tc>
        <w:tc>
          <w:tcPr>
            <w:tcW w:w="1559" w:type="dxa"/>
            <w:tcBorders>
              <w:top w:val="single" w:sz="6" w:space="0" w:color="000000"/>
              <w:left w:val="nil"/>
              <w:bottom w:val="single" w:sz="12" w:space="0" w:color="000000"/>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1"/>
                <w:lang w:eastAsia="en-AU"/>
              </w:rPr>
            </w:pPr>
            <w:r>
              <w:rPr>
                <w:rFonts w:eastAsiaTheme="minorEastAsia" w:cs="Calibri"/>
                <w:b/>
                <w:bCs/>
                <w:color w:val="000000"/>
                <w:szCs w:val="21"/>
                <w:lang w:eastAsia="en-AU"/>
              </w:rPr>
              <w:t>99 558</w:t>
            </w:r>
          </w:p>
        </w:tc>
        <w:tc>
          <w:tcPr>
            <w:tcW w:w="788" w:type="dxa"/>
            <w:tcBorders>
              <w:top w:val="single" w:sz="6" w:space="0" w:color="000000"/>
              <w:left w:val="nil"/>
              <w:bottom w:val="single" w:sz="12" w:space="0" w:color="000000"/>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1"/>
                <w:lang w:eastAsia="en-AU"/>
              </w:rPr>
            </w:pPr>
            <w:r>
              <w:rPr>
                <w:rFonts w:eastAsiaTheme="minorEastAsia" w:cs="Calibri"/>
                <w:b/>
                <w:bCs/>
                <w:color w:val="000000"/>
                <w:szCs w:val="21"/>
                <w:lang w:eastAsia="en-AU"/>
              </w:rPr>
              <w:t>1 218</w:t>
            </w:r>
          </w:p>
        </w:tc>
        <w:tc>
          <w:tcPr>
            <w:tcW w:w="737" w:type="dxa"/>
            <w:tcBorders>
              <w:top w:val="single" w:sz="6" w:space="0" w:color="000000"/>
              <w:left w:val="nil"/>
              <w:bottom w:val="single" w:sz="12" w:space="0" w:color="000000"/>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1"/>
                <w:lang w:eastAsia="en-AU"/>
              </w:rPr>
            </w:pPr>
            <w:r>
              <w:rPr>
                <w:rFonts w:eastAsiaTheme="minorEastAsia" w:cs="Calibri"/>
                <w:b/>
                <w:bCs/>
                <w:color w:val="000000"/>
                <w:szCs w:val="21"/>
                <w:lang w:eastAsia="en-AU"/>
              </w:rPr>
              <w:t>176 341</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3878" w:type="dxa"/>
            <w:gridSpan w:val="2"/>
            <w:tcBorders>
              <w:top w:val="nil"/>
              <w:left w:val="nil"/>
              <w:bottom w:val="nil"/>
              <w:right w:val="nil"/>
            </w:tcBorders>
          </w:tcPr>
          <w:p w:rsidR="00A46DCA" w:rsidRPr="00023820" w:rsidRDefault="00A46DCA" w:rsidP="00A26D04">
            <w:pPr>
              <w:keepLines w:val="0"/>
              <w:autoSpaceDE w:val="0"/>
              <w:autoSpaceDN w:val="0"/>
              <w:adjustRightInd w:val="0"/>
              <w:rPr>
                <w:rFonts w:eastAsiaTheme="minorEastAsia" w:cs="Calibri"/>
                <w:b/>
                <w:bCs/>
                <w:color w:val="000000"/>
                <w:szCs w:val="20"/>
                <w:lang w:eastAsia="en-AU"/>
              </w:rPr>
            </w:pPr>
            <w:r w:rsidRPr="00023820">
              <w:rPr>
                <w:rFonts w:eastAsiaTheme="minorEastAsia" w:cs="Calibri"/>
                <w:b/>
                <w:bCs/>
                <w:color w:val="000000"/>
                <w:szCs w:val="20"/>
                <w:lang w:eastAsia="en-AU"/>
              </w:rPr>
              <w:t>2017-18 revised</w:t>
            </w:r>
          </w:p>
        </w:tc>
        <w:tc>
          <w:tcPr>
            <w:tcW w:w="80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1"/>
                <w:lang w:eastAsia="en-AU"/>
              </w:rPr>
            </w:pPr>
            <w:r w:rsidRPr="00023820">
              <w:rPr>
                <w:rFonts w:eastAsiaTheme="minorEastAsia" w:cs="Calibri"/>
                <w:b/>
                <w:bCs/>
                <w:color w:val="000000"/>
                <w:szCs w:val="21"/>
                <w:lang w:eastAsia="en-AU"/>
              </w:rPr>
              <w:t xml:space="preserve"> </w:t>
            </w:r>
          </w:p>
        </w:tc>
        <w:tc>
          <w:tcPr>
            <w:tcW w:w="1559"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023820">
              <w:rPr>
                <w:rFonts w:eastAsiaTheme="minorEastAsia" w:cs="Calibri"/>
                <w:b/>
                <w:bCs/>
                <w:color w:val="000000"/>
                <w:lang w:eastAsia="en-AU"/>
              </w:rPr>
              <w:t xml:space="preserve"> </w:t>
            </w:r>
          </w:p>
        </w:tc>
        <w:tc>
          <w:tcPr>
            <w:tcW w:w="788"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1"/>
                <w:lang w:eastAsia="en-AU"/>
              </w:rPr>
            </w:pPr>
            <w:r w:rsidRPr="00023820">
              <w:rPr>
                <w:rFonts w:eastAsiaTheme="minorEastAsia" w:cs="Calibri"/>
                <w:b/>
                <w:bCs/>
                <w:color w:val="000000"/>
                <w:szCs w:val="21"/>
                <w:lang w:eastAsia="en-AU"/>
              </w:rPr>
              <w:t xml:space="preserve"> </w:t>
            </w:r>
          </w:p>
        </w:tc>
        <w:tc>
          <w:tcPr>
            <w:tcW w:w="737"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1"/>
                <w:lang w:eastAsia="en-AU"/>
              </w:rPr>
            </w:pPr>
            <w:r w:rsidRPr="00023820">
              <w:rPr>
                <w:rFonts w:eastAsiaTheme="minorEastAsia" w:cs="Calibri"/>
                <w:b/>
                <w:bCs/>
                <w:color w:val="000000"/>
                <w:szCs w:val="21"/>
                <w:lang w:eastAsia="en-AU"/>
              </w:rPr>
              <w:t xml:space="preserve"> </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3878" w:type="dxa"/>
            <w:gridSpan w:val="2"/>
            <w:tcBorders>
              <w:top w:val="nil"/>
              <w:left w:val="nil"/>
              <w:bottom w:val="nil"/>
              <w:right w:val="nil"/>
            </w:tcBorders>
          </w:tcPr>
          <w:p w:rsidR="00A46DCA" w:rsidRPr="00023820" w:rsidRDefault="00A46DCA" w:rsidP="00A26D04">
            <w:pPr>
              <w:keepLines w:val="0"/>
              <w:autoSpaceDE w:val="0"/>
              <w:autoSpaceDN w:val="0"/>
              <w:adjustRightInd w:val="0"/>
              <w:rPr>
                <w:rFonts w:eastAsiaTheme="minorEastAsia" w:cs="Calibri"/>
                <w:color w:val="000000"/>
                <w:szCs w:val="21"/>
                <w:lang w:eastAsia="en-AU"/>
              </w:rPr>
            </w:pPr>
            <w:r w:rsidRPr="00023820">
              <w:rPr>
                <w:rFonts w:eastAsiaTheme="minorEastAsia" w:cs="Calibri"/>
                <w:color w:val="000000"/>
                <w:szCs w:val="21"/>
                <w:lang w:eastAsia="en-AU"/>
              </w:rPr>
              <w:t>Balance at 1 July 2017</w:t>
            </w:r>
          </w:p>
        </w:tc>
        <w:tc>
          <w:tcPr>
            <w:tcW w:w="80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75 141</w:t>
            </w:r>
          </w:p>
        </w:tc>
        <w:tc>
          <w:tcPr>
            <w:tcW w:w="1559"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95 897</w:t>
            </w:r>
          </w:p>
        </w:tc>
        <w:tc>
          <w:tcPr>
            <w:tcW w:w="788"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1 195</w:t>
            </w:r>
          </w:p>
        </w:tc>
        <w:tc>
          <w:tcPr>
            <w:tcW w:w="737"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172 234</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3878" w:type="dxa"/>
            <w:gridSpan w:val="2"/>
            <w:tcBorders>
              <w:top w:val="nil"/>
              <w:left w:val="nil"/>
              <w:bottom w:val="nil"/>
              <w:right w:val="nil"/>
            </w:tcBorders>
          </w:tcPr>
          <w:p w:rsidR="00A46DCA" w:rsidRPr="00023820" w:rsidRDefault="00A46DCA" w:rsidP="00A26D04">
            <w:pPr>
              <w:keepLines w:val="0"/>
              <w:autoSpaceDE w:val="0"/>
              <w:autoSpaceDN w:val="0"/>
              <w:adjustRightInd w:val="0"/>
              <w:rPr>
                <w:rFonts w:eastAsiaTheme="minorEastAsia" w:cs="Calibri"/>
                <w:color w:val="000000"/>
                <w:szCs w:val="20"/>
                <w:lang w:eastAsia="en-AU"/>
              </w:rPr>
            </w:pPr>
            <w:r w:rsidRPr="00023820">
              <w:rPr>
                <w:rFonts w:eastAsiaTheme="minorEastAsia" w:cs="Calibri"/>
                <w:color w:val="000000"/>
                <w:szCs w:val="21"/>
                <w:lang w:eastAsia="en-AU"/>
              </w:rPr>
              <w:t xml:space="preserve">Net result for </w:t>
            </w:r>
            <w:r w:rsidRPr="00023820">
              <w:rPr>
                <w:rFonts w:eastAsiaTheme="minorEastAsia" w:cs="Calibri"/>
                <w:color w:val="000000"/>
                <w:szCs w:val="20"/>
                <w:lang w:eastAsia="en-AU"/>
              </w:rPr>
              <w:t>the year</w:t>
            </w:r>
          </w:p>
        </w:tc>
        <w:tc>
          <w:tcPr>
            <w:tcW w:w="80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sidRPr="00023820">
              <w:rPr>
                <w:rFonts w:eastAsiaTheme="minorEastAsia" w:cs="Calibri"/>
                <w:color w:val="000000"/>
                <w:szCs w:val="21"/>
                <w:lang w:eastAsia="en-AU"/>
              </w:rPr>
              <w:t>854</w:t>
            </w:r>
          </w:p>
        </w:tc>
        <w:tc>
          <w:tcPr>
            <w:tcW w:w="1559"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w:t>
            </w:r>
          </w:p>
        </w:tc>
        <w:tc>
          <w:tcPr>
            <w:tcW w:w="788"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w:t>
            </w:r>
          </w:p>
        </w:tc>
        <w:tc>
          <w:tcPr>
            <w:tcW w:w="737"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sidRPr="00023820">
              <w:rPr>
                <w:rFonts w:eastAsiaTheme="minorEastAsia" w:cs="Calibri"/>
                <w:color w:val="000000"/>
                <w:szCs w:val="21"/>
                <w:lang w:eastAsia="en-AU"/>
              </w:rPr>
              <w:t>854</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3878" w:type="dxa"/>
            <w:gridSpan w:val="2"/>
            <w:tcBorders>
              <w:top w:val="nil"/>
              <w:left w:val="nil"/>
              <w:bottom w:val="nil"/>
              <w:right w:val="nil"/>
            </w:tcBorders>
          </w:tcPr>
          <w:p w:rsidR="00A46DCA" w:rsidRPr="00023820" w:rsidRDefault="00A46DCA" w:rsidP="00A26D04">
            <w:pPr>
              <w:keepLines w:val="0"/>
              <w:autoSpaceDE w:val="0"/>
              <w:autoSpaceDN w:val="0"/>
              <w:adjustRightInd w:val="0"/>
              <w:rPr>
                <w:rFonts w:eastAsiaTheme="minorEastAsia" w:cs="Calibri"/>
                <w:color w:val="000000"/>
                <w:szCs w:val="21"/>
                <w:lang w:eastAsia="en-AU"/>
              </w:rPr>
            </w:pPr>
            <w:r w:rsidRPr="00023820">
              <w:rPr>
                <w:rFonts w:eastAsiaTheme="minorEastAsia" w:cs="Calibri"/>
                <w:color w:val="000000"/>
                <w:szCs w:val="21"/>
                <w:lang w:eastAsia="en-AU"/>
              </w:rPr>
              <w:t>Other comprehensive income for the year</w:t>
            </w:r>
          </w:p>
        </w:tc>
        <w:tc>
          <w:tcPr>
            <w:tcW w:w="80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1 956</w:t>
            </w:r>
          </w:p>
        </w:tc>
        <w:tc>
          <w:tcPr>
            <w:tcW w:w="1559"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3 633</w:t>
            </w:r>
          </w:p>
        </w:tc>
        <w:tc>
          <w:tcPr>
            <w:tcW w:w="788"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sidRPr="00023820">
              <w:rPr>
                <w:rFonts w:eastAsiaTheme="minorEastAsia" w:cs="Calibri"/>
                <w:color w:val="000000"/>
                <w:szCs w:val="21"/>
                <w:lang w:eastAsia="en-AU"/>
              </w:rPr>
              <w:t>65</w:t>
            </w:r>
          </w:p>
        </w:tc>
        <w:tc>
          <w:tcPr>
            <w:tcW w:w="737"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5 654</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3878" w:type="dxa"/>
            <w:gridSpan w:val="2"/>
            <w:tcBorders>
              <w:top w:val="nil"/>
              <w:left w:val="nil"/>
              <w:bottom w:val="nil"/>
              <w:right w:val="nil"/>
            </w:tcBorders>
          </w:tcPr>
          <w:p w:rsidR="00A46DCA" w:rsidRPr="00023820" w:rsidRDefault="00A46DCA" w:rsidP="00A26D04">
            <w:pPr>
              <w:keepLines w:val="0"/>
              <w:autoSpaceDE w:val="0"/>
              <w:autoSpaceDN w:val="0"/>
              <w:adjustRightInd w:val="0"/>
              <w:rPr>
                <w:rFonts w:eastAsiaTheme="minorEastAsia" w:cs="Calibri"/>
                <w:color w:val="000000"/>
                <w:szCs w:val="21"/>
                <w:lang w:eastAsia="en-AU"/>
              </w:rPr>
            </w:pPr>
            <w:r w:rsidRPr="00023820">
              <w:rPr>
                <w:rFonts w:eastAsiaTheme="minorEastAsia" w:cs="Calibri"/>
                <w:color w:val="000000"/>
                <w:szCs w:val="21"/>
                <w:lang w:eastAsia="en-AU"/>
              </w:rPr>
              <w:t>Transfer to/(from) accumulated surplus</w:t>
            </w:r>
          </w:p>
        </w:tc>
        <w:tc>
          <w:tcPr>
            <w:tcW w:w="80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(48)</w:t>
            </w:r>
          </w:p>
        </w:tc>
        <w:tc>
          <w:tcPr>
            <w:tcW w:w="1559"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sidRPr="00023820">
              <w:rPr>
                <w:rFonts w:eastAsiaTheme="minorEastAsia" w:cs="Calibri"/>
                <w:color w:val="000000"/>
                <w:szCs w:val="21"/>
                <w:lang w:eastAsia="en-AU"/>
              </w:rPr>
              <w:t>48</w:t>
            </w:r>
          </w:p>
        </w:tc>
        <w:tc>
          <w:tcPr>
            <w:tcW w:w="788"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w:t>
            </w:r>
          </w:p>
        </w:tc>
        <w:tc>
          <w:tcPr>
            <w:tcW w:w="737"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3878" w:type="dxa"/>
            <w:gridSpan w:val="2"/>
            <w:tcBorders>
              <w:top w:val="single" w:sz="6" w:space="0" w:color="000000"/>
              <w:left w:val="nil"/>
              <w:bottom w:val="single" w:sz="12" w:space="0" w:color="000000"/>
              <w:right w:val="nil"/>
            </w:tcBorders>
          </w:tcPr>
          <w:p w:rsidR="00A46DCA" w:rsidRPr="00023820" w:rsidRDefault="00A46DCA" w:rsidP="00A26D04">
            <w:pPr>
              <w:keepLines w:val="0"/>
              <w:autoSpaceDE w:val="0"/>
              <w:autoSpaceDN w:val="0"/>
              <w:adjustRightInd w:val="0"/>
              <w:rPr>
                <w:rFonts w:eastAsiaTheme="minorEastAsia" w:cs="Calibri"/>
                <w:b/>
                <w:bCs/>
                <w:color w:val="000000"/>
                <w:szCs w:val="21"/>
                <w:lang w:eastAsia="en-AU"/>
              </w:rPr>
            </w:pPr>
            <w:r w:rsidRPr="00023820">
              <w:rPr>
                <w:rFonts w:eastAsiaTheme="minorEastAsia" w:cs="Calibri"/>
                <w:b/>
                <w:bCs/>
                <w:color w:val="000000"/>
                <w:szCs w:val="21"/>
                <w:lang w:eastAsia="en-AU"/>
              </w:rPr>
              <w:t>Total equity as at 30 June 2018</w:t>
            </w:r>
          </w:p>
        </w:tc>
        <w:tc>
          <w:tcPr>
            <w:tcW w:w="800" w:type="dxa"/>
            <w:tcBorders>
              <w:top w:val="single" w:sz="6" w:space="0" w:color="000000"/>
              <w:left w:val="nil"/>
              <w:bottom w:val="single" w:sz="12" w:space="0" w:color="000000"/>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1"/>
                <w:lang w:eastAsia="en-AU"/>
              </w:rPr>
            </w:pPr>
            <w:r>
              <w:rPr>
                <w:rFonts w:eastAsiaTheme="minorEastAsia" w:cs="Calibri"/>
                <w:b/>
                <w:bCs/>
                <w:color w:val="000000"/>
                <w:szCs w:val="21"/>
                <w:lang w:eastAsia="en-AU"/>
              </w:rPr>
              <w:t>77 903</w:t>
            </w:r>
          </w:p>
        </w:tc>
        <w:tc>
          <w:tcPr>
            <w:tcW w:w="1559" w:type="dxa"/>
            <w:tcBorders>
              <w:top w:val="single" w:sz="6" w:space="0" w:color="000000"/>
              <w:left w:val="nil"/>
              <w:bottom w:val="single" w:sz="12" w:space="0" w:color="000000"/>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1"/>
                <w:lang w:eastAsia="en-AU"/>
              </w:rPr>
            </w:pPr>
            <w:r>
              <w:rPr>
                <w:rFonts w:eastAsiaTheme="minorEastAsia" w:cs="Calibri"/>
                <w:b/>
                <w:bCs/>
                <w:color w:val="000000"/>
                <w:szCs w:val="21"/>
                <w:lang w:eastAsia="en-AU"/>
              </w:rPr>
              <w:t>99 578</w:t>
            </w:r>
          </w:p>
        </w:tc>
        <w:tc>
          <w:tcPr>
            <w:tcW w:w="788" w:type="dxa"/>
            <w:tcBorders>
              <w:top w:val="single" w:sz="6" w:space="0" w:color="000000"/>
              <w:left w:val="nil"/>
              <w:bottom w:val="single" w:sz="12" w:space="0" w:color="000000"/>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1"/>
                <w:lang w:eastAsia="en-AU"/>
              </w:rPr>
            </w:pPr>
            <w:r>
              <w:rPr>
                <w:rFonts w:eastAsiaTheme="minorEastAsia" w:cs="Calibri"/>
                <w:b/>
                <w:bCs/>
                <w:color w:val="000000"/>
                <w:szCs w:val="21"/>
                <w:lang w:eastAsia="en-AU"/>
              </w:rPr>
              <w:t>1 260</w:t>
            </w:r>
          </w:p>
        </w:tc>
        <w:tc>
          <w:tcPr>
            <w:tcW w:w="737" w:type="dxa"/>
            <w:tcBorders>
              <w:top w:val="single" w:sz="6" w:space="0" w:color="000000"/>
              <w:left w:val="nil"/>
              <w:bottom w:val="single" w:sz="12" w:space="0" w:color="000000"/>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1"/>
                <w:lang w:eastAsia="en-AU"/>
              </w:rPr>
            </w:pPr>
            <w:r>
              <w:rPr>
                <w:rFonts w:eastAsiaTheme="minorEastAsia" w:cs="Calibri"/>
                <w:b/>
                <w:bCs/>
                <w:color w:val="000000"/>
                <w:szCs w:val="21"/>
                <w:lang w:eastAsia="en-AU"/>
              </w:rPr>
              <w:t>178 742</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3878" w:type="dxa"/>
            <w:gridSpan w:val="2"/>
            <w:tcBorders>
              <w:top w:val="nil"/>
              <w:left w:val="nil"/>
              <w:bottom w:val="nil"/>
              <w:right w:val="nil"/>
            </w:tcBorders>
          </w:tcPr>
          <w:p w:rsidR="00A46DCA" w:rsidRPr="00023820" w:rsidRDefault="00A46DCA" w:rsidP="00A26D04">
            <w:pPr>
              <w:keepLines w:val="0"/>
              <w:autoSpaceDE w:val="0"/>
              <w:autoSpaceDN w:val="0"/>
              <w:adjustRightInd w:val="0"/>
              <w:rPr>
                <w:rFonts w:eastAsiaTheme="minorEastAsia" w:cs="Calibri"/>
                <w:b/>
                <w:bCs/>
                <w:color w:val="000000"/>
                <w:szCs w:val="20"/>
                <w:lang w:eastAsia="en-AU"/>
              </w:rPr>
            </w:pPr>
            <w:r w:rsidRPr="00023820">
              <w:rPr>
                <w:rFonts w:eastAsiaTheme="minorEastAsia" w:cs="Calibri"/>
                <w:b/>
                <w:bCs/>
                <w:color w:val="000000"/>
                <w:szCs w:val="20"/>
                <w:lang w:eastAsia="en-AU"/>
              </w:rPr>
              <w:t>2018-19 estimate</w:t>
            </w:r>
          </w:p>
        </w:tc>
        <w:tc>
          <w:tcPr>
            <w:tcW w:w="80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1"/>
                <w:lang w:eastAsia="en-AU"/>
              </w:rPr>
            </w:pPr>
            <w:r w:rsidRPr="00023820">
              <w:rPr>
                <w:rFonts w:eastAsiaTheme="minorEastAsia" w:cs="Calibri"/>
                <w:b/>
                <w:bCs/>
                <w:color w:val="000000"/>
                <w:szCs w:val="21"/>
                <w:lang w:eastAsia="en-AU"/>
              </w:rPr>
              <w:t xml:space="preserve"> </w:t>
            </w:r>
          </w:p>
        </w:tc>
        <w:tc>
          <w:tcPr>
            <w:tcW w:w="1559"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023820">
              <w:rPr>
                <w:rFonts w:eastAsiaTheme="minorEastAsia" w:cs="Calibri"/>
                <w:b/>
                <w:bCs/>
                <w:color w:val="000000"/>
                <w:lang w:eastAsia="en-AU"/>
              </w:rPr>
              <w:t xml:space="preserve"> </w:t>
            </w:r>
          </w:p>
        </w:tc>
        <w:tc>
          <w:tcPr>
            <w:tcW w:w="788"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1"/>
                <w:lang w:eastAsia="en-AU"/>
              </w:rPr>
            </w:pPr>
            <w:r w:rsidRPr="00023820">
              <w:rPr>
                <w:rFonts w:eastAsiaTheme="minorEastAsia" w:cs="Calibri"/>
                <w:b/>
                <w:bCs/>
                <w:color w:val="000000"/>
                <w:szCs w:val="21"/>
                <w:lang w:eastAsia="en-AU"/>
              </w:rPr>
              <w:t xml:space="preserve"> </w:t>
            </w:r>
          </w:p>
        </w:tc>
        <w:tc>
          <w:tcPr>
            <w:tcW w:w="737"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1"/>
                <w:lang w:eastAsia="en-AU"/>
              </w:rPr>
            </w:pPr>
            <w:r w:rsidRPr="00023820">
              <w:rPr>
                <w:rFonts w:eastAsiaTheme="minorEastAsia" w:cs="Calibri"/>
                <w:b/>
                <w:bCs/>
                <w:color w:val="000000"/>
                <w:szCs w:val="21"/>
                <w:lang w:eastAsia="en-AU"/>
              </w:rPr>
              <w:t xml:space="preserve"> </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3878" w:type="dxa"/>
            <w:gridSpan w:val="2"/>
            <w:tcBorders>
              <w:top w:val="nil"/>
              <w:left w:val="nil"/>
              <w:bottom w:val="nil"/>
              <w:right w:val="nil"/>
            </w:tcBorders>
          </w:tcPr>
          <w:p w:rsidR="00A46DCA" w:rsidRPr="00023820" w:rsidRDefault="00A46DCA" w:rsidP="00A26D04">
            <w:pPr>
              <w:keepLines w:val="0"/>
              <w:autoSpaceDE w:val="0"/>
              <w:autoSpaceDN w:val="0"/>
              <w:adjustRightInd w:val="0"/>
              <w:rPr>
                <w:rFonts w:eastAsiaTheme="minorEastAsia" w:cs="Calibri"/>
                <w:color w:val="000000"/>
                <w:szCs w:val="21"/>
                <w:lang w:eastAsia="en-AU"/>
              </w:rPr>
            </w:pPr>
            <w:r w:rsidRPr="00023820">
              <w:rPr>
                <w:rFonts w:eastAsiaTheme="minorEastAsia" w:cs="Calibri"/>
                <w:color w:val="000000"/>
                <w:szCs w:val="21"/>
                <w:lang w:eastAsia="en-AU"/>
              </w:rPr>
              <w:t>Balance at 1 July 2018</w:t>
            </w:r>
          </w:p>
        </w:tc>
        <w:tc>
          <w:tcPr>
            <w:tcW w:w="80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77 903</w:t>
            </w:r>
          </w:p>
        </w:tc>
        <w:tc>
          <w:tcPr>
            <w:tcW w:w="1559"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99 578</w:t>
            </w:r>
          </w:p>
        </w:tc>
        <w:tc>
          <w:tcPr>
            <w:tcW w:w="788"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1 260</w:t>
            </w:r>
          </w:p>
        </w:tc>
        <w:tc>
          <w:tcPr>
            <w:tcW w:w="737"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178 742</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3878" w:type="dxa"/>
            <w:gridSpan w:val="2"/>
            <w:tcBorders>
              <w:top w:val="nil"/>
              <w:left w:val="nil"/>
              <w:bottom w:val="nil"/>
              <w:right w:val="nil"/>
            </w:tcBorders>
          </w:tcPr>
          <w:p w:rsidR="00A46DCA" w:rsidRPr="00023820" w:rsidRDefault="00A46DCA" w:rsidP="00A26D04">
            <w:pPr>
              <w:keepLines w:val="0"/>
              <w:autoSpaceDE w:val="0"/>
              <w:autoSpaceDN w:val="0"/>
              <w:adjustRightInd w:val="0"/>
              <w:rPr>
                <w:rFonts w:eastAsiaTheme="minorEastAsia" w:cs="Calibri"/>
                <w:color w:val="000000"/>
                <w:szCs w:val="20"/>
                <w:lang w:eastAsia="en-AU"/>
              </w:rPr>
            </w:pPr>
            <w:r w:rsidRPr="00023820">
              <w:rPr>
                <w:rFonts w:eastAsiaTheme="minorEastAsia" w:cs="Calibri"/>
                <w:color w:val="000000"/>
                <w:szCs w:val="21"/>
                <w:lang w:eastAsia="en-AU"/>
              </w:rPr>
              <w:t xml:space="preserve">Net result for </w:t>
            </w:r>
            <w:r w:rsidRPr="00023820">
              <w:rPr>
                <w:rFonts w:eastAsiaTheme="minorEastAsia" w:cs="Calibri"/>
                <w:color w:val="000000"/>
                <w:szCs w:val="20"/>
                <w:lang w:eastAsia="en-AU"/>
              </w:rPr>
              <w:t>the year</w:t>
            </w:r>
          </w:p>
        </w:tc>
        <w:tc>
          <w:tcPr>
            <w:tcW w:w="80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1 119</w:t>
            </w:r>
          </w:p>
        </w:tc>
        <w:tc>
          <w:tcPr>
            <w:tcW w:w="1559"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w:t>
            </w:r>
          </w:p>
        </w:tc>
        <w:tc>
          <w:tcPr>
            <w:tcW w:w="788"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w:t>
            </w:r>
          </w:p>
        </w:tc>
        <w:tc>
          <w:tcPr>
            <w:tcW w:w="737"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1 119</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3878" w:type="dxa"/>
            <w:gridSpan w:val="2"/>
            <w:tcBorders>
              <w:top w:val="nil"/>
              <w:left w:val="nil"/>
              <w:bottom w:val="nil"/>
              <w:right w:val="nil"/>
            </w:tcBorders>
          </w:tcPr>
          <w:p w:rsidR="00A46DCA" w:rsidRPr="00023820" w:rsidRDefault="00A46DCA" w:rsidP="00A26D04">
            <w:pPr>
              <w:keepLines w:val="0"/>
              <w:autoSpaceDE w:val="0"/>
              <w:autoSpaceDN w:val="0"/>
              <w:adjustRightInd w:val="0"/>
              <w:rPr>
                <w:rFonts w:eastAsiaTheme="minorEastAsia" w:cs="Calibri"/>
                <w:color w:val="000000"/>
                <w:szCs w:val="21"/>
                <w:lang w:eastAsia="en-AU"/>
              </w:rPr>
            </w:pPr>
            <w:r w:rsidRPr="00023820">
              <w:rPr>
                <w:rFonts w:eastAsiaTheme="minorEastAsia" w:cs="Calibri"/>
                <w:color w:val="000000"/>
                <w:szCs w:val="21"/>
                <w:lang w:eastAsia="en-AU"/>
              </w:rPr>
              <w:t>Other comprehensive income for the year</w:t>
            </w:r>
          </w:p>
        </w:tc>
        <w:tc>
          <w:tcPr>
            <w:tcW w:w="80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sidRPr="00023820">
              <w:rPr>
                <w:rFonts w:eastAsiaTheme="minorEastAsia" w:cs="Calibri"/>
                <w:color w:val="000000"/>
                <w:szCs w:val="21"/>
                <w:lang w:eastAsia="en-AU"/>
              </w:rPr>
              <w:t>895</w:t>
            </w:r>
          </w:p>
        </w:tc>
        <w:tc>
          <w:tcPr>
            <w:tcW w:w="1559"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1 791</w:t>
            </w:r>
          </w:p>
        </w:tc>
        <w:tc>
          <w:tcPr>
            <w:tcW w:w="788"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sidRPr="00023820">
              <w:rPr>
                <w:rFonts w:eastAsiaTheme="minorEastAsia" w:cs="Calibri"/>
                <w:color w:val="000000"/>
                <w:szCs w:val="21"/>
                <w:lang w:eastAsia="en-AU"/>
              </w:rPr>
              <w:t>31</w:t>
            </w:r>
          </w:p>
        </w:tc>
        <w:tc>
          <w:tcPr>
            <w:tcW w:w="737"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2 717</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3878" w:type="dxa"/>
            <w:gridSpan w:val="2"/>
            <w:tcBorders>
              <w:top w:val="nil"/>
              <w:left w:val="nil"/>
              <w:bottom w:val="nil"/>
              <w:right w:val="nil"/>
            </w:tcBorders>
          </w:tcPr>
          <w:p w:rsidR="00A46DCA" w:rsidRPr="00023820" w:rsidRDefault="00A46DCA" w:rsidP="00A26D04">
            <w:pPr>
              <w:keepLines w:val="0"/>
              <w:autoSpaceDE w:val="0"/>
              <w:autoSpaceDN w:val="0"/>
              <w:adjustRightInd w:val="0"/>
              <w:rPr>
                <w:rFonts w:eastAsiaTheme="minorEastAsia" w:cs="Calibri"/>
                <w:color w:val="000000"/>
                <w:szCs w:val="21"/>
                <w:lang w:eastAsia="en-AU"/>
              </w:rPr>
            </w:pPr>
            <w:r w:rsidRPr="00023820">
              <w:rPr>
                <w:rFonts w:eastAsiaTheme="minorEastAsia" w:cs="Calibri"/>
                <w:color w:val="000000"/>
                <w:szCs w:val="21"/>
                <w:lang w:eastAsia="en-AU"/>
              </w:rPr>
              <w:t>Transfer to/(from) accumulated surplus</w:t>
            </w:r>
          </w:p>
        </w:tc>
        <w:tc>
          <w:tcPr>
            <w:tcW w:w="80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w:t>
            </w:r>
          </w:p>
        </w:tc>
        <w:tc>
          <w:tcPr>
            <w:tcW w:w="1559"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w:t>
            </w:r>
          </w:p>
        </w:tc>
        <w:tc>
          <w:tcPr>
            <w:tcW w:w="788"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w:t>
            </w:r>
          </w:p>
        </w:tc>
        <w:tc>
          <w:tcPr>
            <w:tcW w:w="737"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3878" w:type="dxa"/>
            <w:gridSpan w:val="2"/>
            <w:tcBorders>
              <w:top w:val="single" w:sz="6" w:space="0" w:color="000000"/>
              <w:left w:val="nil"/>
              <w:bottom w:val="single" w:sz="12" w:space="0" w:color="000000"/>
              <w:right w:val="nil"/>
            </w:tcBorders>
          </w:tcPr>
          <w:p w:rsidR="00A46DCA" w:rsidRPr="00023820" w:rsidRDefault="00A46DCA" w:rsidP="00A26D04">
            <w:pPr>
              <w:keepLines w:val="0"/>
              <w:autoSpaceDE w:val="0"/>
              <w:autoSpaceDN w:val="0"/>
              <w:adjustRightInd w:val="0"/>
              <w:rPr>
                <w:rFonts w:eastAsiaTheme="minorEastAsia" w:cs="Calibri"/>
                <w:b/>
                <w:bCs/>
                <w:color w:val="000000"/>
                <w:szCs w:val="21"/>
                <w:lang w:eastAsia="en-AU"/>
              </w:rPr>
            </w:pPr>
            <w:r w:rsidRPr="00023820">
              <w:rPr>
                <w:rFonts w:eastAsiaTheme="minorEastAsia" w:cs="Calibri"/>
                <w:b/>
                <w:bCs/>
                <w:color w:val="000000"/>
                <w:szCs w:val="21"/>
                <w:lang w:eastAsia="en-AU"/>
              </w:rPr>
              <w:t>Total equity as at 30 June 2019</w:t>
            </w:r>
          </w:p>
        </w:tc>
        <w:tc>
          <w:tcPr>
            <w:tcW w:w="800" w:type="dxa"/>
            <w:tcBorders>
              <w:top w:val="single" w:sz="6" w:space="0" w:color="000000"/>
              <w:left w:val="nil"/>
              <w:bottom w:val="single" w:sz="12" w:space="0" w:color="000000"/>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1"/>
                <w:lang w:eastAsia="en-AU"/>
              </w:rPr>
            </w:pPr>
            <w:r>
              <w:rPr>
                <w:rFonts w:eastAsiaTheme="minorEastAsia" w:cs="Calibri"/>
                <w:b/>
                <w:bCs/>
                <w:color w:val="000000"/>
                <w:szCs w:val="21"/>
                <w:lang w:eastAsia="en-AU"/>
              </w:rPr>
              <w:t>79 917</w:t>
            </w:r>
          </w:p>
        </w:tc>
        <w:tc>
          <w:tcPr>
            <w:tcW w:w="1559" w:type="dxa"/>
            <w:tcBorders>
              <w:top w:val="single" w:sz="6" w:space="0" w:color="000000"/>
              <w:left w:val="nil"/>
              <w:bottom w:val="single" w:sz="12" w:space="0" w:color="000000"/>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1"/>
                <w:lang w:eastAsia="en-AU"/>
              </w:rPr>
            </w:pPr>
            <w:r>
              <w:rPr>
                <w:rFonts w:eastAsiaTheme="minorEastAsia" w:cs="Calibri"/>
                <w:b/>
                <w:bCs/>
                <w:color w:val="000000"/>
                <w:szCs w:val="21"/>
                <w:lang w:eastAsia="en-AU"/>
              </w:rPr>
              <w:t>101 370</w:t>
            </w:r>
          </w:p>
        </w:tc>
        <w:tc>
          <w:tcPr>
            <w:tcW w:w="788" w:type="dxa"/>
            <w:tcBorders>
              <w:top w:val="single" w:sz="6" w:space="0" w:color="000000"/>
              <w:left w:val="nil"/>
              <w:bottom w:val="single" w:sz="12" w:space="0" w:color="000000"/>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1"/>
                <w:lang w:eastAsia="en-AU"/>
              </w:rPr>
            </w:pPr>
            <w:r>
              <w:rPr>
                <w:rFonts w:eastAsiaTheme="minorEastAsia" w:cs="Calibri"/>
                <w:b/>
                <w:bCs/>
                <w:color w:val="000000"/>
                <w:szCs w:val="21"/>
                <w:lang w:eastAsia="en-AU"/>
              </w:rPr>
              <w:t>1 291</w:t>
            </w:r>
          </w:p>
        </w:tc>
        <w:tc>
          <w:tcPr>
            <w:tcW w:w="737" w:type="dxa"/>
            <w:tcBorders>
              <w:top w:val="single" w:sz="6" w:space="0" w:color="000000"/>
              <w:left w:val="nil"/>
              <w:bottom w:val="single" w:sz="12" w:space="0" w:color="000000"/>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1"/>
                <w:lang w:eastAsia="en-AU"/>
              </w:rPr>
            </w:pPr>
            <w:r>
              <w:rPr>
                <w:rFonts w:eastAsiaTheme="minorEastAsia" w:cs="Calibri"/>
                <w:b/>
                <w:bCs/>
                <w:color w:val="000000"/>
                <w:szCs w:val="21"/>
                <w:lang w:eastAsia="en-AU"/>
              </w:rPr>
              <w:t>182 578</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3878" w:type="dxa"/>
            <w:gridSpan w:val="2"/>
            <w:tcBorders>
              <w:top w:val="nil"/>
              <w:left w:val="nil"/>
              <w:bottom w:val="nil"/>
              <w:right w:val="nil"/>
            </w:tcBorders>
          </w:tcPr>
          <w:p w:rsidR="00A46DCA" w:rsidRPr="00023820" w:rsidRDefault="00A46DCA" w:rsidP="00A26D04">
            <w:pPr>
              <w:keepLines w:val="0"/>
              <w:autoSpaceDE w:val="0"/>
              <w:autoSpaceDN w:val="0"/>
              <w:adjustRightInd w:val="0"/>
              <w:rPr>
                <w:rFonts w:eastAsiaTheme="minorEastAsia" w:cs="Calibri"/>
                <w:b/>
                <w:bCs/>
                <w:color w:val="000000"/>
                <w:szCs w:val="20"/>
                <w:lang w:eastAsia="en-AU"/>
              </w:rPr>
            </w:pPr>
            <w:r w:rsidRPr="00023820">
              <w:rPr>
                <w:rFonts w:eastAsiaTheme="minorEastAsia" w:cs="Calibri"/>
                <w:b/>
                <w:bCs/>
                <w:color w:val="000000"/>
                <w:szCs w:val="20"/>
                <w:lang w:eastAsia="en-AU"/>
              </w:rPr>
              <w:t>2019-20 estimate</w:t>
            </w:r>
          </w:p>
        </w:tc>
        <w:tc>
          <w:tcPr>
            <w:tcW w:w="80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1"/>
                <w:lang w:eastAsia="en-AU"/>
              </w:rPr>
            </w:pPr>
            <w:r w:rsidRPr="00023820">
              <w:rPr>
                <w:rFonts w:eastAsiaTheme="minorEastAsia" w:cs="Calibri"/>
                <w:b/>
                <w:bCs/>
                <w:color w:val="000000"/>
                <w:szCs w:val="21"/>
                <w:lang w:eastAsia="en-AU"/>
              </w:rPr>
              <w:t xml:space="preserve"> </w:t>
            </w:r>
          </w:p>
        </w:tc>
        <w:tc>
          <w:tcPr>
            <w:tcW w:w="1559"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023820">
              <w:rPr>
                <w:rFonts w:eastAsiaTheme="minorEastAsia" w:cs="Calibri"/>
                <w:b/>
                <w:bCs/>
                <w:color w:val="000000"/>
                <w:lang w:eastAsia="en-AU"/>
              </w:rPr>
              <w:t xml:space="preserve"> </w:t>
            </w:r>
          </w:p>
        </w:tc>
        <w:tc>
          <w:tcPr>
            <w:tcW w:w="788"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1"/>
                <w:lang w:eastAsia="en-AU"/>
              </w:rPr>
            </w:pPr>
            <w:r w:rsidRPr="00023820">
              <w:rPr>
                <w:rFonts w:eastAsiaTheme="minorEastAsia" w:cs="Calibri"/>
                <w:b/>
                <w:bCs/>
                <w:color w:val="000000"/>
                <w:szCs w:val="21"/>
                <w:lang w:eastAsia="en-AU"/>
              </w:rPr>
              <w:t xml:space="preserve"> </w:t>
            </w:r>
          </w:p>
        </w:tc>
        <w:tc>
          <w:tcPr>
            <w:tcW w:w="737"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1"/>
                <w:lang w:eastAsia="en-AU"/>
              </w:rPr>
            </w:pPr>
            <w:r w:rsidRPr="00023820">
              <w:rPr>
                <w:rFonts w:eastAsiaTheme="minorEastAsia" w:cs="Calibri"/>
                <w:b/>
                <w:bCs/>
                <w:color w:val="000000"/>
                <w:szCs w:val="21"/>
                <w:lang w:eastAsia="en-AU"/>
              </w:rPr>
              <w:t xml:space="preserve"> </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3878" w:type="dxa"/>
            <w:gridSpan w:val="2"/>
            <w:tcBorders>
              <w:top w:val="nil"/>
              <w:left w:val="nil"/>
              <w:bottom w:val="nil"/>
              <w:right w:val="nil"/>
            </w:tcBorders>
          </w:tcPr>
          <w:p w:rsidR="00A46DCA" w:rsidRPr="00023820" w:rsidRDefault="00A46DCA" w:rsidP="00A26D04">
            <w:pPr>
              <w:keepLines w:val="0"/>
              <w:autoSpaceDE w:val="0"/>
              <w:autoSpaceDN w:val="0"/>
              <w:adjustRightInd w:val="0"/>
              <w:rPr>
                <w:rFonts w:eastAsiaTheme="minorEastAsia" w:cs="Calibri"/>
                <w:color w:val="000000"/>
                <w:szCs w:val="21"/>
                <w:lang w:eastAsia="en-AU"/>
              </w:rPr>
            </w:pPr>
            <w:r w:rsidRPr="00023820">
              <w:rPr>
                <w:rFonts w:eastAsiaTheme="minorEastAsia" w:cs="Calibri"/>
                <w:color w:val="000000"/>
                <w:szCs w:val="21"/>
                <w:lang w:eastAsia="en-AU"/>
              </w:rPr>
              <w:t>Balance at 1 July 2019</w:t>
            </w:r>
          </w:p>
        </w:tc>
        <w:tc>
          <w:tcPr>
            <w:tcW w:w="80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79 917</w:t>
            </w:r>
          </w:p>
        </w:tc>
        <w:tc>
          <w:tcPr>
            <w:tcW w:w="1559"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101 370</w:t>
            </w:r>
          </w:p>
        </w:tc>
        <w:tc>
          <w:tcPr>
            <w:tcW w:w="788"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1 291</w:t>
            </w:r>
          </w:p>
        </w:tc>
        <w:tc>
          <w:tcPr>
            <w:tcW w:w="737"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182 578</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3878" w:type="dxa"/>
            <w:gridSpan w:val="2"/>
            <w:tcBorders>
              <w:top w:val="nil"/>
              <w:left w:val="nil"/>
              <w:bottom w:val="nil"/>
              <w:right w:val="nil"/>
            </w:tcBorders>
          </w:tcPr>
          <w:p w:rsidR="00A46DCA" w:rsidRPr="00023820" w:rsidRDefault="00A46DCA" w:rsidP="00A26D04">
            <w:pPr>
              <w:keepLines w:val="0"/>
              <w:autoSpaceDE w:val="0"/>
              <w:autoSpaceDN w:val="0"/>
              <w:adjustRightInd w:val="0"/>
              <w:rPr>
                <w:rFonts w:eastAsiaTheme="minorEastAsia" w:cs="Calibri"/>
                <w:color w:val="000000"/>
                <w:szCs w:val="20"/>
                <w:lang w:eastAsia="en-AU"/>
              </w:rPr>
            </w:pPr>
            <w:r w:rsidRPr="00023820">
              <w:rPr>
                <w:rFonts w:eastAsiaTheme="minorEastAsia" w:cs="Calibri"/>
                <w:color w:val="000000"/>
                <w:szCs w:val="21"/>
                <w:lang w:eastAsia="en-AU"/>
              </w:rPr>
              <w:t xml:space="preserve">Net result for </w:t>
            </w:r>
            <w:r w:rsidRPr="00023820">
              <w:rPr>
                <w:rFonts w:eastAsiaTheme="minorEastAsia" w:cs="Calibri"/>
                <w:color w:val="000000"/>
                <w:szCs w:val="20"/>
                <w:lang w:eastAsia="en-AU"/>
              </w:rPr>
              <w:t>the year</w:t>
            </w:r>
          </w:p>
        </w:tc>
        <w:tc>
          <w:tcPr>
            <w:tcW w:w="80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1 091</w:t>
            </w:r>
          </w:p>
        </w:tc>
        <w:tc>
          <w:tcPr>
            <w:tcW w:w="1559"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w:t>
            </w:r>
          </w:p>
        </w:tc>
        <w:tc>
          <w:tcPr>
            <w:tcW w:w="788"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w:t>
            </w:r>
          </w:p>
        </w:tc>
        <w:tc>
          <w:tcPr>
            <w:tcW w:w="737"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1 091</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3878" w:type="dxa"/>
            <w:gridSpan w:val="2"/>
            <w:tcBorders>
              <w:top w:val="nil"/>
              <w:left w:val="nil"/>
              <w:bottom w:val="nil"/>
              <w:right w:val="nil"/>
            </w:tcBorders>
          </w:tcPr>
          <w:p w:rsidR="00A46DCA" w:rsidRPr="00023820" w:rsidRDefault="00A46DCA" w:rsidP="00A26D04">
            <w:pPr>
              <w:keepLines w:val="0"/>
              <w:autoSpaceDE w:val="0"/>
              <w:autoSpaceDN w:val="0"/>
              <w:adjustRightInd w:val="0"/>
              <w:rPr>
                <w:rFonts w:eastAsiaTheme="minorEastAsia" w:cs="Calibri"/>
                <w:color w:val="000000"/>
                <w:szCs w:val="21"/>
                <w:lang w:eastAsia="en-AU"/>
              </w:rPr>
            </w:pPr>
            <w:r w:rsidRPr="00023820">
              <w:rPr>
                <w:rFonts w:eastAsiaTheme="minorEastAsia" w:cs="Calibri"/>
                <w:color w:val="000000"/>
                <w:szCs w:val="21"/>
                <w:lang w:eastAsia="en-AU"/>
              </w:rPr>
              <w:t>Other comprehensive income for the year</w:t>
            </w:r>
          </w:p>
        </w:tc>
        <w:tc>
          <w:tcPr>
            <w:tcW w:w="80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sidRPr="00023820">
              <w:rPr>
                <w:rFonts w:eastAsiaTheme="minorEastAsia" w:cs="Calibri"/>
                <w:color w:val="000000"/>
                <w:szCs w:val="21"/>
                <w:lang w:eastAsia="en-AU"/>
              </w:rPr>
              <w:t>870</w:t>
            </w:r>
          </w:p>
        </w:tc>
        <w:tc>
          <w:tcPr>
            <w:tcW w:w="1559"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9 454</w:t>
            </w:r>
          </w:p>
        </w:tc>
        <w:tc>
          <w:tcPr>
            <w:tcW w:w="788"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sidRPr="00023820">
              <w:rPr>
                <w:rFonts w:eastAsiaTheme="minorEastAsia" w:cs="Calibri"/>
                <w:color w:val="000000"/>
                <w:szCs w:val="21"/>
                <w:lang w:eastAsia="en-AU"/>
              </w:rPr>
              <w:t>44</w:t>
            </w:r>
          </w:p>
        </w:tc>
        <w:tc>
          <w:tcPr>
            <w:tcW w:w="737"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10 368</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3878" w:type="dxa"/>
            <w:gridSpan w:val="2"/>
            <w:tcBorders>
              <w:top w:val="nil"/>
              <w:left w:val="nil"/>
              <w:bottom w:val="nil"/>
              <w:right w:val="nil"/>
            </w:tcBorders>
          </w:tcPr>
          <w:p w:rsidR="00A46DCA" w:rsidRPr="00023820" w:rsidRDefault="00A46DCA" w:rsidP="00A26D04">
            <w:pPr>
              <w:keepLines w:val="0"/>
              <w:autoSpaceDE w:val="0"/>
              <w:autoSpaceDN w:val="0"/>
              <w:adjustRightInd w:val="0"/>
              <w:rPr>
                <w:rFonts w:eastAsiaTheme="minorEastAsia" w:cs="Calibri"/>
                <w:color w:val="000000"/>
                <w:szCs w:val="21"/>
                <w:lang w:eastAsia="en-AU"/>
              </w:rPr>
            </w:pPr>
            <w:r w:rsidRPr="00023820">
              <w:rPr>
                <w:rFonts w:eastAsiaTheme="minorEastAsia" w:cs="Calibri"/>
                <w:color w:val="000000"/>
                <w:szCs w:val="21"/>
                <w:lang w:eastAsia="en-AU"/>
              </w:rPr>
              <w:t>Transfer to/(from) accumulated surplus</w:t>
            </w:r>
          </w:p>
        </w:tc>
        <w:tc>
          <w:tcPr>
            <w:tcW w:w="80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w:t>
            </w:r>
          </w:p>
        </w:tc>
        <w:tc>
          <w:tcPr>
            <w:tcW w:w="1559"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w:t>
            </w:r>
          </w:p>
        </w:tc>
        <w:tc>
          <w:tcPr>
            <w:tcW w:w="788"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w:t>
            </w:r>
          </w:p>
        </w:tc>
        <w:tc>
          <w:tcPr>
            <w:tcW w:w="737"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3878" w:type="dxa"/>
            <w:gridSpan w:val="2"/>
            <w:tcBorders>
              <w:top w:val="single" w:sz="6" w:space="0" w:color="000000"/>
              <w:left w:val="nil"/>
              <w:bottom w:val="single" w:sz="12" w:space="0" w:color="000000"/>
              <w:right w:val="nil"/>
            </w:tcBorders>
          </w:tcPr>
          <w:p w:rsidR="00A46DCA" w:rsidRPr="00023820" w:rsidRDefault="00A46DCA" w:rsidP="00A26D04">
            <w:pPr>
              <w:keepLines w:val="0"/>
              <w:autoSpaceDE w:val="0"/>
              <w:autoSpaceDN w:val="0"/>
              <w:adjustRightInd w:val="0"/>
              <w:rPr>
                <w:rFonts w:eastAsiaTheme="minorEastAsia" w:cs="Calibri"/>
                <w:b/>
                <w:bCs/>
                <w:color w:val="000000"/>
                <w:szCs w:val="21"/>
                <w:lang w:eastAsia="en-AU"/>
              </w:rPr>
            </w:pPr>
            <w:r w:rsidRPr="00023820">
              <w:rPr>
                <w:rFonts w:eastAsiaTheme="minorEastAsia" w:cs="Calibri"/>
                <w:b/>
                <w:bCs/>
                <w:color w:val="000000"/>
                <w:szCs w:val="21"/>
                <w:lang w:eastAsia="en-AU"/>
              </w:rPr>
              <w:t>Total equity as at 30 June 2020</w:t>
            </w:r>
          </w:p>
        </w:tc>
        <w:tc>
          <w:tcPr>
            <w:tcW w:w="800" w:type="dxa"/>
            <w:tcBorders>
              <w:top w:val="single" w:sz="6" w:space="0" w:color="000000"/>
              <w:left w:val="nil"/>
              <w:bottom w:val="single" w:sz="12" w:space="0" w:color="000000"/>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1"/>
                <w:lang w:eastAsia="en-AU"/>
              </w:rPr>
            </w:pPr>
            <w:r>
              <w:rPr>
                <w:rFonts w:eastAsiaTheme="minorEastAsia" w:cs="Calibri"/>
                <w:b/>
                <w:bCs/>
                <w:color w:val="000000"/>
                <w:szCs w:val="21"/>
                <w:lang w:eastAsia="en-AU"/>
              </w:rPr>
              <w:t>81 879</w:t>
            </w:r>
          </w:p>
        </w:tc>
        <w:tc>
          <w:tcPr>
            <w:tcW w:w="1559" w:type="dxa"/>
            <w:tcBorders>
              <w:top w:val="single" w:sz="6" w:space="0" w:color="000000"/>
              <w:left w:val="nil"/>
              <w:bottom w:val="single" w:sz="12" w:space="0" w:color="000000"/>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1"/>
                <w:lang w:eastAsia="en-AU"/>
              </w:rPr>
            </w:pPr>
            <w:r>
              <w:rPr>
                <w:rFonts w:eastAsiaTheme="minorEastAsia" w:cs="Calibri"/>
                <w:b/>
                <w:bCs/>
                <w:color w:val="000000"/>
                <w:szCs w:val="21"/>
                <w:lang w:eastAsia="en-AU"/>
              </w:rPr>
              <w:t>110 823</w:t>
            </w:r>
          </w:p>
        </w:tc>
        <w:tc>
          <w:tcPr>
            <w:tcW w:w="788" w:type="dxa"/>
            <w:tcBorders>
              <w:top w:val="single" w:sz="6" w:space="0" w:color="000000"/>
              <w:left w:val="nil"/>
              <w:bottom w:val="single" w:sz="12" w:space="0" w:color="000000"/>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1"/>
                <w:lang w:eastAsia="en-AU"/>
              </w:rPr>
            </w:pPr>
            <w:r>
              <w:rPr>
                <w:rFonts w:eastAsiaTheme="minorEastAsia" w:cs="Calibri"/>
                <w:b/>
                <w:bCs/>
                <w:color w:val="000000"/>
                <w:szCs w:val="21"/>
                <w:lang w:eastAsia="en-AU"/>
              </w:rPr>
              <w:t>1 334</w:t>
            </w:r>
          </w:p>
        </w:tc>
        <w:tc>
          <w:tcPr>
            <w:tcW w:w="737" w:type="dxa"/>
            <w:tcBorders>
              <w:top w:val="single" w:sz="6" w:space="0" w:color="000000"/>
              <w:left w:val="nil"/>
              <w:bottom w:val="single" w:sz="12" w:space="0" w:color="000000"/>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1"/>
                <w:lang w:eastAsia="en-AU"/>
              </w:rPr>
            </w:pPr>
            <w:r>
              <w:rPr>
                <w:rFonts w:eastAsiaTheme="minorEastAsia" w:cs="Calibri"/>
                <w:b/>
                <w:bCs/>
                <w:color w:val="000000"/>
                <w:szCs w:val="21"/>
                <w:lang w:eastAsia="en-AU"/>
              </w:rPr>
              <w:t>194 037</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3878" w:type="dxa"/>
            <w:gridSpan w:val="2"/>
            <w:tcBorders>
              <w:top w:val="nil"/>
              <w:left w:val="nil"/>
              <w:bottom w:val="nil"/>
              <w:right w:val="nil"/>
            </w:tcBorders>
          </w:tcPr>
          <w:p w:rsidR="00A46DCA" w:rsidRPr="00023820" w:rsidRDefault="00A46DCA" w:rsidP="00A26D04">
            <w:pPr>
              <w:keepLines w:val="0"/>
              <w:autoSpaceDE w:val="0"/>
              <w:autoSpaceDN w:val="0"/>
              <w:adjustRightInd w:val="0"/>
              <w:rPr>
                <w:rFonts w:eastAsiaTheme="minorEastAsia" w:cs="Calibri"/>
                <w:b/>
                <w:bCs/>
                <w:color w:val="000000"/>
                <w:szCs w:val="20"/>
                <w:lang w:eastAsia="en-AU"/>
              </w:rPr>
            </w:pPr>
            <w:r w:rsidRPr="00023820">
              <w:rPr>
                <w:rFonts w:eastAsiaTheme="minorEastAsia" w:cs="Calibri"/>
                <w:b/>
                <w:bCs/>
                <w:color w:val="000000"/>
                <w:szCs w:val="20"/>
                <w:lang w:eastAsia="en-AU"/>
              </w:rPr>
              <w:t>2020-21 estimate</w:t>
            </w:r>
          </w:p>
        </w:tc>
        <w:tc>
          <w:tcPr>
            <w:tcW w:w="80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1"/>
                <w:lang w:eastAsia="en-AU"/>
              </w:rPr>
            </w:pPr>
            <w:r w:rsidRPr="00023820">
              <w:rPr>
                <w:rFonts w:eastAsiaTheme="minorEastAsia" w:cs="Calibri"/>
                <w:b/>
                <w:bCs/>
                <w:color w:val="000000"/>
                <w:szCs w:val="21"/>
                <w:lang w:eastAsia="en-AU"/>
              </w:rPr>
              <w:t xml:space="preserve"> </w:t>
            </w:r>
          </w:p>
        </w:tc>
        <w:tc>
          <w:tcPr>
            <w:tcW w:w="1559"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023820">
              <w:rPr>
                <w:rFonts w:eastAsiaTheme="minorEastAsia" w:cs="Calibri"/>
                <w:b/>
                <w:bCs/>
                <w:color w:val="000000"/>
                <w:lang w:eastAsia="en-AU"/>
              </w:rPr>
              <w:t xml:space="preserve"> </w:t>
            </w:r>
          </w:p>
        </w:tc>
        <w:tc>
          <w:tcPr>
            <w:tcW w:w="788"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1"/>
                <w:lang w:eastAsia="en-AU"/>
              </w:rPr>
            </w:pPr>
            <w:r w:rsidRPr="00023820">
              <w:rPr>
                <w:rFonts w:eastAsiaTheme="minorEastAsia" w:cs="Calibri"/>
                <w:b/>
                <w:bCs/>
                <w:color w:val="000000"/>
                <w:szCs w:val="21"/>
                <w:lang w:eastAsia="en-AU"/>
              </w:rPr>
              <w:t xml:space="preserve"> </w:t>
            </w:r>
          </w:p>
        </w:tc>
        <w:tc>
          <w:tcPr>
            <w:tcW w:w="737"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1"/>
                <w:lang w:eastAsia="en-AU"/>
              </w:rPr>
            </w:pPr>
            <w:r w:rsidRPr="00023820">
              <w:rPr>
                <w:rFonts w:eastAsiaTheme="minorEastAsia" w:cs="Calibri"/>
                <w:b/>
                <w:bCs/>
                <w:color w:val="000000"/>
                <w:szCs w:val="21"/>
                <w:lang w:eastAsia="en-AU"/>
              </w:rPr>
              <w:t xml:space="preserve"> </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3878" w:type="dxa"/>
            <w:gridSpan w:val="2"/>
            <w:tcBorders>
              <w:top w:val="nil"/>
              <w:left w:val="nil"/>
              <w:bottom w:val="nil"/>
              <w:right w:val="nil"/>
            </w:tcBorders>
          </w:tcPr>
          <w:p w:rsidR="00A46DCA" w:rsidRPr="00023820" w:rsidRDefault="00A46DCA" w:rsidP="00A26D04">
            <w:pPr>
              <w:keepLines w:val="0"/>
              <w:autoSpaceDE w:val="0"/>
              <w:autoSpaceDN w:val="0"/>
              <w:adjustRightInd w:val="0"/>
              <w:rPr>
                <w:rFonts w:eastAsiaTheme="minorEastAsia" w:cs="Calibri"/>
                <w:color w:val="000000"/>
                <w:szCs w:val="21"/>
                <w:lang w:eastAsia="en-AU"/>
              </w:rPr>
            </w:pPr>
            <w:r w:rsidRPr="00023820">
              <w:rPr>
                <w:rFonts w:eastAsiaTheme="minorEastAsia" w:cs="Calibri"/>
                <w:color w:val="000000"/>
                <w:szCs w:val="21"/>
                <w:lang w:eastAsia="en-AU"/>
              </w:rPr>
              <w:t>Balance at 1 July 2020</w:t>
            </w:r>
          </w:p>
        </w:tc>
        <w:tc>
          <w:tcPr>
            <w:tcW w:w="80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81 879</w:t>
            </w:r>
          </w:p>
        </w:tc>
        <w:tc>
          <w:tcPr>
            <w:tcW w:w="1559"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110 823</w:t>
            </w:r>
          </w:p>
        </w:tc>
        <w:tc>
          <w:tcPr>
            <w:tcW w:w="788"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1 334</w:t>
            </w:r>
          </w:p>
        </w:tc>
        <w:tc>
          <w:tcPr>
            <w:tcW w:w="737"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194 037</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3878" w:type="dxa"/>
            <w:gridSpan w:val="2"/>
            <w:tcBorders>
              <w:top w:val="nil"/>
              <w:left w:val="nil"/>
              <w:bottom w:val="nil"/>
              <w:right w:val="nil"/>
            </w:tcBorders>
          </w:tcPr>
          <w:p w:rsidR="00A46DCA" w:rsidRPr="00023820" w:rsidRDefault="00A46DCA" w:rsidP="00A26D04">
            <w:pPr>
              <w:keepLines w:val="0"/>
              <w:autoSpaceDE w:val="0"/>
              <w:autoSpaceDN w:val="0"/>
              <w:adjustRightInd w:val="0"/>
              <w:rPr>
                <w:rFonts w:eastAsiaTheme="minorEastAsia" w:cs="Calibri"/>
                <w:color w:val="000000"/>
                <w:szCs w:val="20"/>
                <w:lang w:eastAsia="en-AU"/>
              </w:rPr>
            </w:pPr>
            <w:r w:rsidRPr="00023820">
              <w:rPr>
                <w:rFonts w:eastAsiaTheme="minorEastAsia" w:cs="Calibri"/>
                <w:color w:val="000000"/>
                <w:szCs w:val="21"/>
                <w:lang w:eastAsia="en-AU"/>
              </w:rPr>
              <w:t xml:space="preserve">Net result for </w:t>
            </w:r>
            <w:r w:rsidRPr="00023820">
              <w:rPr>
                <w:rFonts w:eastAsiaTheme="minorEastAsia" w:cs="Calibri"/>
                <w:color w:val="000000"/>
                <w:szCs w:val="20"/>
                <w:lang w:eastAsia="en-AU"/>
              </w:rPr>
              <w:t>the year</w:t>
            </w:r>
          </w:p>
        </w:tc>
        <w:tc>
          <w:tcPr>
            <w:tcW w:w="80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1 334</w:t>
            </w:r>
          </w:p>
        </w:tc>
        <w:tc>
          <w:tcPr>
            <w:tcW w:w="1559"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w:t>
            </w:r>
          </w:p>
        </w:tc>
        <w:tc>
          <w:tcPr>
            <w:tcW w:w="788"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w:t>
            </w:r>
          </w:p>
        </w:tc>
        <w:tc>
          <w:tcPr>
            <w:tcW w:w="737"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1 334</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3878" w:type="dxa"/>
            <w:gridSpan w:val="2"/>
            <w:tcBorders>
              <w:top w:val="nil"/>
              <w:left w:val="nil"/>
              <w:bottom w:val="nil"/>
              <w:right w:val="nil"/>
            </w:tcBorders>
          </w:tcPr>
          <w:p w:rsidR="00A46DCA" w:rsidRPr="00023820" w:rsidRDefault="00A46DCA" w:rsidP="00A26D04">
            <w:pPr>
              <w:keepLines w:val="0"/>
              <w:autoSpaceDE w:val="0"/>
              <w:autoSpaceDN w:val="0"/>
              <w:adjustRightInd w:val="0"/>
              <w:rPr>
                <w:rFonts w:eastAsiaTheme="minorEastAsia" w:cs="Calibri"/>
                <w:color w:val="000000"/>
                <w:szCs w:val="21"/>
                <w:lang w:eastAsia="en-AU"/>
              </w:rPr>
            </w:pPr>
            <w:r w:rsidRPr="00023820">
              <w:rPr>
                <w:rFonts w:eastAsiaTheme="minorEastAsia" w:cs="Calibri"/>
                <w:color w:val="000000"/>
                <w:szCs w:val="21"/>
                <w:lang w:eastAsia="en-AU"/>
              </w:rPr>
              <w:t>Other comprehensive income for the year</w:t>
            </w:r>
          </w:p>
        </w:tc>
        <w:tc>
          <w:tcPr>
            <w:tcW w:w="80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sidRPr="00023820">
              <w:rPr>
                <w:rFonts w:eastAsiaTheme="minorEastAsia" w:cs="Calibri"/>
                <w:color w:val="000000"/>
                <w:szCs w:val="21"/>
                <w:lang w:eastAsia="en-AU"/>
              </w:rPr>
              <w:t>909</w:t>
            </w:r>
          </w:p>
        </w:tc>
        <w:tc>
          <w:tcPr>
            <w:tcW w:w="1559"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2 943</w:t>
            </w:r>
          </w:p>
        </w:tc>
        <w:tc>
          <w:tcPr>
            <w:tcW w:w="788"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sidRPr="00023820">
              <w:rPr>
                <w:rFonts w:eastAsiaTheme="minorEastAsia" w:cs="Calibri"/>
                <w:color w:val="000000"/>
                <w:szCs w:val="21"/>
                <w:lang w:eastAsia="en-AU"/>
              </w:rPr>
              <w:t>23</w:t>
            </w:r>
          </w:p>
        </w:tc>
        <w:tc>
          <w:tcPr>
            <w:tcW w:w="737"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3 875</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3878" w:type="dxa"/>
            <w:gridSpan w:val="2"/>
            <w:tcBorders>
              <w:top w:val="nil"/>
              <w:left w:val="nil"/>
              <w:bottom w:val="nil"/>
              <w:right w:val="nil"/>
            </w:tcBorders>
          </w:tcPr>
          <w:p w:rsidR="00A46DCA" w:rsidRPr="00023820" w:rsidRDefault="00A46DCA" w:rsidP="00A26D04">
            <w:pPr>
              <w:keepLines w:val="0"/>
              <w:autoSpaceDE w:val="0"/>
              <w:autoSpaceDN w:val="0"/>
              <w:adjustRightInd w:val="0"/>
              <w:rPr>
                <w:rFonts w:eastAsiaTheme="minorEastAsia" w:cs="Calibri"/>
                <w:color w:val="000000"/>
                <w:szCs w:val="21"/>
                <w:lang w:eastAsia="en-AU"/>
              </w:rPr>
            </w:pPr>
            <w:r w:rsidRPr="00023820">
              <w:rPr>
                <w:rFonts w:eastAsiaTheme="minorEastAsia" w:cs="Calibri"/>
                <w:color w:val="000000"/>
                <w:szCs w:val="21"/>
                <w:lang w:eastAsia="en-AU"/>
              </w:rPr>
              <w:t>Transfer to/(from) accumulated surplus</w:t>
            </w:r>
          </w:p>
        </w:tc>
        <w:tc>
          <w:tcPr>
            <w:tcW w:w="80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w:t>
            </w:r>
          </w:p>
        </w:tc>
        <w:tc>
          <w:tcPr>
            <w:tcW w:w="1559"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w:t>
            </w:r>
          </w:p>
        </w:tc>
        <w:tc>
          <w:tcPr>
            <w:tcW w:w="788"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w:t>
            </w:r>
          </w:p>
        </w:tc>
        <w:tc>
          <w:tcPr>
            <w:tcW w:w="737"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w:t>
            </w:r>
          </w:p>
        </w:tc>
      </w:tr>
      <w:tr w:rsidR="00A46DCA" w:rsidRPr="00023820" w:rsidTr="00A26D04">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8" w:type="dxa"/>
            <w:gridSpan w:val="2"/>
            <w:tcBorders>
              <w:top w:val="single" w:sz="6" w:space="0" w:color="000000"/>
              <w:bottom w:val="single" w:sz="12" w:space="0" w:color="000000"/>
            </w:tcBorders>
          </w:tcPr>
          <w:p w:rsidR="00A46DCA" w:rsidRPr="00023820" w:rsidRDefault="00A46DCA" w:rsidP="00A26D04">
            <w:pPr>
              <w:keepLines w:val="0"/>
              <w:autoSpaceDE w:val="0"/>
              <w:autoSpaceDN w:val="0"/>
              <w:adjustRightInd w:val="0"/>
              <w:rPr>
                <w:rFonts w:eastAsiaTheme="minorEastAsia" w:cs="Calibri"/>
                <w:bCs/>
                <w:color w:val="000000"/>
                <w:szCs w:val="21"/>
                <w:lang w:eastAsia="en-AU"/>
              </w:rPr>
            </w:pPr>
            <w:r w:rsidRPr="00023820">
              <w:rPr>
                <w:rFonts w:eastAsiaTheme="minorEastAsia" w:cs="Calibri"/>
                <w:bCs/>
                <w:color w:val="000000"/>
                <w:szCs w:val="21"/>
                <w:lang w:eastAsia="en-AU"/>
              </w:rPr>
              <w:t>Total equity as at 30 June 2021</w:t>
            </w:r>
          </w:p>
        </w:tc>
        <w:tc>
          <w:tcPr>
            <w:tcW w:w="800" w:type="dxa"/>
            <w:tcBorders>
              <w:top w:val="single" w:sz="6" w:space="0" w:color="000000"/>
              <w:bottom w:val="single" w:sz="12" w:space="0" w:color="000000"/>
            </w:tcBorders>
          </w:tcPr>
          <w:p w:rsidR="00A46DCA" w:rsidRPr="00023820" w:rsidRDefault="00A46DCA" w:rsidP="00A26D0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21"/>
                <w:lang w:eastAsia="en-AU"/>
              </w:rPr>
            </w:pPr>
            <w:r>
              <w:rPr>
                <w:rFonts w:eastAsiaTheme="minorEastAsia" w:cs="Calibri"/>
                <w:bCs/>
                <w:color w:val="000000"/>
                <w:szCs w:val="21"/>
                <w:lang w:eastAsia="en-AU"/>
              </w:rPr>
              <w:t>84 122</w:t>
            </w:r>
          </w:p>
        </w:tc>
        <w:tc>
          <w:tcPr>
            <w:tcW w:w="1559" w:type="dxa"/>
            <w:tcBorders>
              <w:top w:val="single" w:sz="6" w:space="0" w:color="000000"/>
              <w:bottom w:val="single" w:sz="12" w:space="0" w:color="000000"/>
            </w:tcBorders>
          </w:tcPr>
          <w:p w:rsidR="00A46DCA" w:rsidRPr="00023820" w:rsidRDefault="00A46DCA" w:rsidP="00A26D0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21"/>
                <w:lang w:eastAsia="en-AU"/>
              </w:rPr>
            </w:pPr>
            <w:r>
              <w:rPr>
                <w:rFonts w:eastAsiaTheme="minorEastAsia" w:cs="Calibri"/>
                <w:bCs/>
                <w:color w:val="000000"/>
                <w:szCs w:val="21"/>
                <w:lang w:eastAsia="en-AU"/>
              </w:rPr>
              <w:t>113 766</w:t>
            </w:r>
          </w:p>
        </w:tc>
        <w:tc>
          <w:tcPr>
            <w:tcW w:w="788" w:type="dxa"/>
            <w:tcBorders>
              <w:top w:val="single" w:sz="6" w:space="0" w:color="000000"/>
              <w:bottom w:val="single" w:sz="12" w:space="0" w:color="000000"/>
            </w:tcBorders>
          </w:tcPr>
          <w:p w:rsidR="00A46DCA" w:rsidRPr="00023820" w:rsidRDefault="00A46DCA" w:rsidP="00A26D0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21"/>
                <w:lang w:eastAsia="en-AU"/>
              </w:rPr>
            </w:pPr>
            <w:r>
              <w:rPr>
                <w:rFonts w:eastAsiaTheme="minorEastAsia" w:cs="Calibri"/>
                <w:bCs/>
                <w:color w:val="000000"/>
                <w:szCs w:val="21"/>
                <w:lang w:eastAsia="en-AU"/>
              </w:rPr>
              <w:t>1 357</w:t>
            </w:r>
          </w:p>
        </w:tc>
        <w:tc>
          <w:tcPr>
            <w:tcW w:w="737" w:type="dxa"/>
            <w:tcBorders>
              <w:top w:val="single" w:sz="6" w:space="0" w:color="000000"/>
              <w:bottom w:val="single" w:sz="12" w:space="0" w:color="000000"/>
            </w:tcBorders>
          </w:tcPr>
          <w:p w:rsidR="00A46DCA" w:rsidRPr="00023820" w:rsidRDefault="00A46DCA" w:rsidP="00A26D0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21"/>
                <w:lang w:eastAsia="en-AU"/>
              </w:rPr>
            </w:pPr>
            <w:r>
              <w:rPr>
                <w:rFonts w:eastAsiaTheme="minorEastAsia" w:cs="Calibri"/>
                <w:bCs/>
                <w:color w:val="000000"/>
                <w:szCs w:val="21"/>
                <w:lang w:eastAsia="en-AU"/>
              </w:rPr>
              <w:t>199 246</w:t>
            </w:r>
          </w:p>
        </w:tc>
      </w:tr>
    </w:tbl>
    <w:p w:rsidR="00A46DCA" w:rsidRPr="00203144" w:rsidRDefault="00A46DCA" w:rsidP="00A26D04">
      <w:pPr>
        <w:pStyle w:val="Source"/>
      </w:pPr>
      <w:r w:rsidRPr="00203144">
        <w:t>Source: Department of Treasury and Finance</w:t>
      </w:r>
    </w:p>
    <w:p w:rsidR="00A46DCA" w:rsidRPr="00203144" w:rsidRDefault="00A46DCA" w:rsidP="00A26D04">
      <w:pPr>
        <w:pStyle w:val="Note"/>
      </w:pPr>
      <w:r>
        <w:t>Note</w:t>
      </w:r>
      <w:r w:rsidRPr="00AB0006">
        <w:t>:</w:t>
      </w:r>
    </w:p>
    <w:p w:rsidR="00A46DCA" w:rsidRPr="009A256A" w:rsidRDefault="00A46DCA" w:rsidP="00A26D04">
      <w:pPr>
        <w:pStyle w:val="Note"/>
        <w:rPr>
          <w:rFonts w:cs="Times New Roman"/>
          <w:lang w:eastAsia="en-AU"/>
        </w:rPr>
      </w:pPr>
      <w:r w:rsidRPr="00FF76EB">
        <w:rPr>
          <w:rFonts w:cs="Times New Roman"/>
          <w:lang w:eastAsia="en-AU"/>
        </w:rPr>
        <w:t>(a)</w:t>
      </w:r>
      <w:r w:rsidRPr="00FF76EB">
        <w:rPr>
          <w:rFonts w:cs="Times New Roman"/>
          <w:lang w:eastAsia="en-AU"/>
        </w:rPr>
        <w:tab/>
      </w:r>
      <w:r w:rsidRPr="00203144">
        <w:rPr>
          <w:rFonts w:cs="Times New Roman"/>
          <w:lang w:eastAsia="en-AU"/>
        </w:rPr>
        <w:t>Balances represent actual opening balances at 1 July 2017 plus 2017-18 budgeted movements.</w:t>
      </w:r>
    </w:p>
    <w:p w:rsidR="00A46DCA" w:rsidRDefault="00A46DCA">
      <w:pPr>
        <w:keepLines w:val="0"/>
        <w:rPr>
          <w:rFonts w:asciiTheme="majorHAnsi" w:hAnsiTheme="majorHAnsi"/>
          <w:b/>
          <w:sz w:val="20"/>
          <w:szCs w:val="20"/>
        </w:rPr>
      </w:pPr>
      <w:r>
        <w:br w:type="page"/>
      </w:r>
    </w:p>
    <w:p w:rsidR="00A46DCA" w:rsidRPr="00023820" w:rsidRDefault="00A46DCA" w:rsidP="00A26D04">
      <w:pPr>
        <w:pStyle w:val="TableHeading"/>
        <w:rPr>
          <w:bCs/>
          <w:lang w:val="en-US"/>
        </w:rPr>
      </w:pPr>
      <w:r>
        <w:lastRenderedPageBreak/>
        <w:t>Table 5.23</w:t>
      </w:r>
      <w:r w:rsidR="00D02086">
        <w:t>:</w:t>
      </w:r>
      <w:r>
        <w:tab/>
        <w:t>Derivation of whole of State GFS cash surplus/(deficit)</w:t>
      </w:r>
      <w:r>
        <w:tab/>
        <w:t>($ million)</w:t>
      </w:r>
    </w:p>
    <w:tbl>
      <w:tblPr>
        <w:tblStyle w:val="DTFTable"/>
        <w:tblW w:w="7765" w:type="dxa"/>
        <w:tblInd w:w="45" w:type="dxa"/>
        <w:tblLayout w:type="fixed"/>
        <w:tblCellMar>
          <w:left w:w="45" w:type="dxa"/>
          <w:right w:w="45" w:type="dxa"/>
        </w:tblCellMar>
        <w:tblLook w:val="06E0" w:firstRow="1" w:lastRow="1" w:firstColumn="1" w:lastColumn="0" w:noHBand="1" w:noVBand="1"/>
      </w:tblPr>
      <w:tblGrid>
        <w:gridCol w:w="3515"/>
        <w:gridCol w:w="850"/>
        <w:gridCol w:w="850"/>
        <w:gridCol w:w="850"/>
        <w:gridCol w:w="850"/>
        <w:gridCol w:w="850"/>
      </w:tblGrid>
      <w:tr w:rsidR="00A26D04" w:rsidRPr="00023820" w:rsidTr="00D02086">
        <w:trPr>
          <w:cnfStyle w:val="100000000000" w:firstRow="1" w:lastRow="0" w:firstColumn="0" w:lastColumn="0" w:oddVBand="0" w:evenVBand="0" w:oddHBand="0" w:evenHBand="0" w:firstRowFirstColumn="0" w:firstRowLastColumn="0" w:lastRowFirstColumn="0" w:lastRowLastColumn="0"/>
          <w:trHeight w:val="197"/>
          <w:tblHeader/>
        </w:trPr>
        <w:tc>
          <w:tcPr>
            <w:cnfStyle w:val="001000000000" w:firstRow="0" w:lastRow="0" w:firstColumn="1" w:lastColumn="0" w:oddVBand="0" w:evenVBand="0" w:oddHBand="0" w:evenHBand="0" w:firstRowFirstColumn="0" w:firstRowLastColumn="0" w:lastRowFirstColumn="0" w:lastRowLastColumn="0"/>
            <w:tcW w:w="3515" w:type="dxa"/>
            <w:tcBorders>
              <w:top w:val="nil"/>
              <w:left w:val="nil"/>
              <w:right w:val="nil"/>
            </w:tcBorders>
            <w:shd w:val="solid" w:color="000000" w:fill="auto"/>
          </w:tcPr>
          <w:p w:rsidR="00A26D04" w:rsidRPr="00023820" w:rsidRDefault="00A26D04" w:rsidP="00A26D04">
            <w:pPr>
              <w:autoSpaceDE w:val="0"/>
              <w:autoSpaceDN w:val="0"/>
              <w:adjustRightInd w:val="0"/>
              <w:rPr>
                <w:rFonts w:eastAsiaTheme="minorEastAsia" w:cs="Calibri"/>
                <w:iCs/>
                <w:color w:val="FFFFFF"/>
                <w:lang w:eastAsia="en-AU"/>
              </w:rPr>
            </w:pPr>
            <w:r w:rsidRPr="00023820">
              <w:rPr>
                <w:rFonts w:eastAsiaTheme="minorEastAsia" w:cs="Calibri"/>
                <w:iCs/>
                <w:color w:val="FFFFFF"/>
                <w:lang w:eastAsia="en-AU"/>
              </w:rPr>
              <w:t xml:space="preserve">  </w:t>
            </w:r>
          </w:p>
        </w:tc>
        <w:tc>
          <w:tcPr>
            <w:tcW w:w="850" w:type="dxa"/>
            <w:tcBorders>
              <w:top w:val="nil"/>
              <w:left w:val="nil"/>
              <w:right w:val="nil"/>
            </w:tcBorders>
            <w:shd w:val="solid" w:color="000000" w:fill="auto"/>
          </w:tcPr>
          <w:p w:rsidR="00A26D04" w:rsidRPr="00023820" w:rsidRDefault="00A26D04" w:rsidP="00A26D0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023820">
              <w:rPr>
                <w:rFonts w:eastAsiaTheme="minorEastAsia" w:cs="Calibri"/>
                <w:iCs/>
                <w:color w:val="FFFFFF"/>
                <w:szCs w:val="16"/>
                <w:lang w:eastAsia="en-AU"/>
              </w:rPr>
              <w:t xml:space="preserve">2017-18 </w:t>
            </w:r>
            <w:r>
              <w:rPr>
                <w:rFonts w:eastAsiaTheme="minorEastAsia" w:cs="Calibri"/>
                <w:iCs/>
                <w:color w:val="FFFFFF"/>
                <w:szCs w:val="16"/>
                <w:lang w:eastAsia="en-AU"/>
              </w:rPr>
              <w:br/>
            </w:r>
            <w:r w:rsidRPr="00023820">
              <w:rPr>
                <w:rFonts w:eastAsiaTheme="minorEastAsia" w:cs="Calibri"/>
                <w:iCs/>
                <w:color w:val="FFFFFF"/>
                <w:szCs w:val="16"/>
                <w:lang w:eastAsia="en-AU"/>
              </w:rPr>
              <w:t>budget</w:t>
            </w:r>
          </w:p>
        </w:tc>
        <w:tc>
          <w:tcPr>
            <w:tcW w:w="850" w:type="dxa"/>
            <w:tcBorders>
              <w:top w:val="nil"/>
              <w:left w:val="nil"/>
              <w:right w:val="nil"/>
            </w:tcBorders>
            <w:shd w:val="solid" w:color="000000" w:fill="auto"/>
          </w:tcPr>
          <w:p w:rsidR="00A26D04" w:rsidRPr="00023820" w:rsidRDefault="00A26D04" w:rsidP="00A26D0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023820">
              <w:rPr>
                <w:rFonts w:eastAsiaTheme="minorEastAsia" w:cs="Calibri"/>
                <w:iCs/>
                <w:color w:val="FFFFFF"/>
                <w:szCs w:val="16"/>
                <w:lang w:eastAsia="en-AU"/>
              </w:rPr>
              <w:t xml:space="preserve">2017-18 </w:t>
            </w:r>
            <w:r>
              <w:rPr>
                <w:rFonts w:eastAsiaTheme="minorEastAsia" w:cs="Calibri"/>
                <w:iCs/>
                <w:color w:val="FFFFFF"/>
                <w:szCs w:val="16"/>
                <w:lang w:eastAsia="en-AU"/>
              </w:rPr>
              <w:br/>
            </w:r>
            <w:r w:rsidRPr="00023820">
              <w:rPr>
                <w:rFonts w:eastAsiaTheme="minorEastAsia" w:cs="Calibri"/>
                <w:iCs/>
                <w:color w:val="FFFFFF"/>
                <w:szCs w:val="16"/>
                <w:lang w:eastAsia="en-AU"/>
              </w:rPr>
              <w:t>revised</w:t>
            </w:r>
          </w:p>
        </w:tc>
        <w:tc>
          <w:tcPr>
            <w:tcW w:w="850" w:type="dxa"/>
            <w:tcBorders>
              <w:top w:val="nil"/>
              <w:left w:val="nil"/>
              <w:right w:val="nil"/>
            </w:tcBorders>
            <w:shd w:val="solid" w:color="000000" w:fill="auto"/>
          </w:tcPr>
          <w:p w:rsidR="00A26D04" w:rsidRPr="00023820" w:rsidRDefault="00A26D04" w:rsidP="00A26D0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023820">
              <w:rPr>
                <w:rFonts w:eastAsiaTheme="minorEastAsia" w:cs="Calibri"/>
                <w:iCs/>
                <w:color w:val="FFFFFF"/>
                <w:szCs w:val="16"/>
                <w:lang w:eastAsia="en-AU"/>
              </w:rPr>
              <w:t xml:space="preserve">2018-19 </w:t>
            </w:r>
            <w:r>
              <w:rPr>
                <w:rFonts w:eastAsiaTheme="minorEastAsia" w:cs="Calibri"/>
                <w:iCs/>
                <w:color w:val="FFFFFF"/>
                <w:szCs w:val="16"/>
                <w:lang w:eastAsia="en-AU"/>
              </w:rPr>
              <w:br/>
            </w:r>
            <w:r w:rsidRPr="00023820">
              <w:rPr>
                <w:rFonts w:eastAsiaTheme="minorEastAsia" w:cs="Calibri"/>
                <w:iCs/>
                <w:color w:val="FFFFFF"/>
                <w:szCs w:val="16"/>
                <w:lang w:eastAsia="en-AU"/>
              </w:rPr>
              <w:t>estimate</w:t>
            </w:r>
          </w:p>
        </w:tc>
        <w:tc>
          <w:tcPr>
            <w:tcW w:w="850" w:type="dxa"/>
            <w:tcBorders>
              <w:top w:val="nil"/>
              <w:left w:val="nil"/>
              <w:right w:val="nil"/>
            </w:tcBorders>
            <w:shd w:val="solid" w:color="000000" w:fill="auto"/>
          </w:tcPr>
          <w:p w:rsidR="00A26D04" w:rsidRPr="00023820" w:rsidRDefault="00A26D04" w:rsidP="00A26D0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023820">
              <w:rPr>
                <w:rFonts w:eastAsiaTheme="minorEastAsia" w:cs="Calibri"/>
                <w:iCs/>
                <w:color w:val="FFFFFF"/>
                <w:szCs w:val="16"/>
                <w:lang w:eastAsia="en-AU"/>
              </w:rPr>
              <w:t xml:space="preserve">2019-20 </w:t>
            </w:r>
            <w:r>
              <w:rPr>
                <w:rFonts w:eastAsiaTheme="minorEastAsia" w:cs="Calibri"/>
                <w:iCs/>
                <w:color w:val="FFFFFF"/>
                <w:szCs w:val="16"/>
                <w:lang w:eastAsia="en-AU"/>
              </w:rPr>
              <w:br/>
            </w:r>
            <w:r w:rsidRPr="00023820">
              <w:rPr>
                <w:rFonts w:eastAsiaTheme="minorEastAsia" w:cs="Calibri"/>
                <w:iCs/>
                <w:color w:val="FFFFFF"/>
                <w:szCs w:val="16"/>
                <w:lang w:eastAsia="en-AU"/>
              </w:rPr>
              <w:t>estimate</w:t>
            </w:r>
          </w:p>
        </w:tc>
        <w:tc>
          <w:tcPr>
            <w:tcW w:w="850" w:type="dxa"/>
            <w:tcBorders>
              <w:top w:val="nil"/>
              <w:left w:val="nil"/>
              <w:right w:val="nil"/>
            </w:tcBorders>
            <w:shd w:val="solid" w:color="000000" w:fill="auto"/>
          </w:tcPr>
          <w:p w:rsidR="00A26D04" w:rsidRPr="00023820" w:rsidRDefault="00A26D04" w:rsidP="00A26D0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023820">
              <w:rPr>
                <w:rFonts w:eastAsiaTheme="minorEastAsia" w:cs="Calibri"/>
                <w:iCs/>
                <w:color w:val="FFFFFF"/>
                <w:szCs w:val="16"/>
                <w:lang w:eastAsia="en-AU"/>
              </w:rPr>
              <w:t xml:space="preserve">2020-21 </w:t>
            </w:r>
            <w:r>
              <w:rPr>
                <w:rFonts w:eastAsiaTheme="minorEastAsia" w:cs="Calibri"/>
                <w:iCs/>
                <w:color w:val="FFFFFF"/>
                <w:szCs w:val="16"/>
                <w:lang w:eastAsia="en-AU"/>
              </w:rPr>
              <w:br/>
            </w:r>
            <w:r w:rsidRPr="00023820">
              <w:rPr>
                <w:rFonts w:eastAsiaTheme="minorEastAsia" w:cs="Calibri"/>
                <w:iCs/>
                <w:color w:val="FFFFFF"/>
                <w:szCs w:val="16"/>
                <w:lang w:eastAsia="en-AU"/>
              </w:rPr>
              <w:t>estimate</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A46DCA" w:rsidRPr="00023820" w:rsidRDefault="00A46DCA" w:rsidP="00A26D04">
            <w:pPr>
              <w:keepLines w:val="0"/>
              <w:autoSpaceDE w:val="0"/>
              <w:autoSpaceDN w:val="0"/>
              <w:adjustRightInd w:val="0"/>
              <w:rPr>
                <w:rFonts w:eastAsiaTheme="minorEastAsia" w:cs="Calibri"/>
                <w:b/>
                <w:bCs/>
                <w:color w:val="000000"/>
                <w:szCs w:val="16"/>
                <w:lang w:eastAsia="en-AU"/>
              </w:rPr>
            </w:pPr>
            <w:r w:rsidRPr="00023820">
              <w:rPr>
                <w:rFonts w:eastAsiaTheme="minorEastAsia" w:cs="Calibri"/>
                <w:b/>
                <w:bCs/>
                <w:color w:val="000000"/>
                <w:szCs w:val="16"/>
                <w:lang w:eastAsia="en-AU"/>
              </w:rPr>
              <w:t>Cash surplus/(deficit)</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Pr>
                <w:rFonts w:eastAsiaTheme="minorEastAsia" w:cs="Calibri"/>
                <w:b/>
                <w:bCs/>
                <w:color w:val="000000"/>
                <w:szCs w:val="16"/>
                <w:lang w:eastAsia="en-AU"/>
              </w:rPr>
              <w:t>(6 670)</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Pr>
                <w:rFonts w:eastAsiaTheme="minorEastAsia" w:cs="Calibri"/>
                <w:b/>
                <w:bCs/>
                <w:color w:val="000000"/>
                <w:szCs w:val="16"/>
                <w:lang w:eastAsia="en-AU"/>
              </w:rPr>
              <w:t>(6 857)</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Pr>
                <w:rFonts w:eastAsiaTheme="minorEastAsia" w:cs="Calibri"/>
                <w:b/>
                <w:bCs/>
                <w:color w:val="000000"/>
                <w:szCs w:val="16"/>
                <w:lang w:eastAsia="en-AU"/>
              </w:rPr>
              <w:t>(2 851)</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Pr>
                <w:rFonts w:eastAsiaTheme="minorEastAsia" w:cs="Calibri"/>
                <w:b/>
                <w:bCs/>
                <w:color w:val="000000"/>
                <w:szCs w:val="16"/>
                <w:lang w:eastAsia="en-AU"/>
              </w:rPr>
              <w:t>(3 236)</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Pr>
                <w:rFonts w:eastAsiaTheme="minorEastAsia" w:cs="Calibri"/>
                <w:b/>
                <w:bCs/>
                <w:color w:val="000000"/>
                <w:szCs w:val="16"/>
                <w:lang w:eastAsia="en-AU"/>
              </w:rPr>
              <w:t>(2 079)</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A46DCA" w:rsidRPr="00023820" w:rsidRDefault="00A46DCA" w:rsidP="00A26D04">
            <w:pPr>
              <w:keepLines w:val="0"/>
              <w:autoSpaceDE w:val="0"/>
              <w:autoSpaceDN w:val="0"/>
              <w:adjustRightInd w:val="0"/>
              <w:rPr>
                <w:rFonts w:eastAsiaTheme="minorEastAsia" w:cs="Calibri"/>
                <w:color w:val="000000"/>
                <w:szCs w:val="16"/>
                <w:lang w:eastAsia="en-AU"/>
              </w:rPr>
            </w:pPr>
            <w:r w:rsidRPr="00023820">
              <w:rPr>
                <w:rFonts w:eastAsiaTheme="minorEastAsia" w:cs="Calibri"/>
                <w:color w:val="000000"/>
                <w:szCs w:val="16"/>
                <w:lang w:eastAsia="en-AU"/>
              </w:rPr>
              <w:t>Convergence differences:</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023820">
              <w:rPr>
                <w:rFonts w:eastAsiaTheme="minorEastAsia" w:cs="Calibri"/>
                <w:color w:val="000000"/>
                <w:lang w:eastAsia="en-AU"/>
              </w:rPr>
              <w:t xml:space="preserve"> </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023820">
              <w:rPr>
                <w:rFonts w:eastAsiaTheme="minorEastAsia" w:cs="Calibri"/>
                <w:color w:val="000000"/>
                <w:lang w:eastAsia="en-AU"/>
              </w:rPr>
              <w:t xml:space="preserve"> </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023820">
              <w:rPr>
                <w:rFonts w:eastAsiaTheme="minorEastAsia" w:cs="Calibri"/>
                <w:color w:val="000000"/>
                <w:lang w:eastAsia="en-AU"/>
              </w:rPr>
              <w:t xml:space="preserve"> </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023820">
              <w:rPr>
                <w:rFonts w:eastAsiaTheme="minorEastAsia" w:cs="Calibri"/>
                <w:color w:val="000000"/>
                <w:lang w:eastAsia="en-AU"/>
              </w:rPr>
              <w:t xml:space="preserve"> </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023820">
              <w:rPr>
                <w:rFonts w:eastAsiaTheme="minorEastAsia" w:cs="Calibri"/>
                <w:color w:val="000000"/>
                <w:lang w:eastAsia="en-AU"/>
              </w:rPr>
              <w:t xml:space="preserve"> </w:t>
            </w:r>
          </w:p>
        </w:tc>
      </w:tr>
      <w:tr w:rsidR="00A46DCA" w:rsidRPr="00023820" w:rsidTr="00A26D04">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A46DCA" w:rsidRPr="00023820" w:rsidRDefault="00A46DCA" w:rsidP="00A26D04">
            <w:pPr>
              <w:keepLines w:val="0"/>
              <w:autoSpaceDE w:val="0"/>
              <w:autoSpaceDN w:val="0"/>
              <w:adjustRightInd w:val="0"/>
              <w:rPr>
                <w:rFonts w:eastAsiaTheme="minorEastAsia" w:cs="Calibri"/>
                <w:color w:val="000000"/>
                <w:szCs w:val="16"/>
                <w:vertAlign w:val="superscript"/>
                <w:lang w:eastAsia="en-AU"/>
              </w:rPr>
            </w:pPr>
            <w:r w:rsidRPr="00023820">
              <w:rPr>
                <w:rFonts w:eastAsiaTheme="minorEastAsia" w:cs="Calibri"/>
                <w:color w:val="000000"/>
                <w:szCs w:val="16"/>
                <w:lang w:eastAsia="en-AU"/>
              </w:rPr>
              <w:t xml:space="preserve">Acquisitions under finance leases and </w:t>
            </w:r>
            <w:r>
              <w:rPr>
                <w:rFonts w:eastAsiaTheme="minorEastAsia" w:cs="Calibri"/>
                <w:color w:val="000000"/>
                <w:szCs w:val="16"/>
                <w:lang w:eastAsia="en-AU"/>
              </w:rPr>
              <w:br/>
            </w:r>
            <w:r w:rsidRPr="00023820">
              <w:rPr>
                <w:rFonts w:eastAsiaTheme="minorEastAsia" w:cs="Calibri"/>
                <w:color w:val="000000"/>
                <w:szCs w:val="16"/>
                <w:lang w:eastAsia="en-AU"/>
              </w:rPr>
              <w:t xml:space="preserve">similar arrangements </w:t>
            </w:r>
            <w:r w:rsidRPr="00023820">
              <w:rPr>
                <w:rFonts w:eastAsiaTheme="minorEastAsia" w:cs="Calibri"/>
                <w:color w:val="000000"/>
                <w:szCs w:val="16"/>
                <w:vertAlign w:val="superscript"/>
                <w:lang w:eastAsia="en-AU"/>
              </w:rPr>
              <w:t>(a)</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(647)</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(647)</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(419)</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(315)</w:t>
            </w:r>
          </w:p>
        </w:tc>
        <w:tc>
          <w:tcPr>
            <w:tcW w:w="850" w:type="dxa"/>
            <w:tcBorders>
              <w:top w:val="nil"/>
              <w:left w:val="nil"/>
              <w:bottom w:val="nil"/>
              <w:right w:val="nil"/>
            </w:tcBorders>
          </w:tcPr>
          <w:p w:rsidR="00A46DCA" w:rsidRPr="00023820"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(1 022)</w:t>
            </w:r>
          </w:p>
        </w:tc>
      </w:tr>
      <w:tr w:rsidR="00A46DCA" w:rsidRPr="00023820" w:rsidTr="00A26D04">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5" w:type="dxa"/>
            <w:tcBorders>
              <w:top w:val="single" w:sz="6" w:space="0" w:color="000000"/>
              <w:bottom w:val="single" w:sz="12" w:space="0" w:color="000000"/>
            </w:tcBorders>
          </w:tcPr>
          <w:p w:rsidR="00A46DCA" w:rsidRPr="00023820" w:rsidRDefault="00A46DCA" w:rsidP="00A26D04">
            <w:pPr>
              <w:keepLines w:val="0"/>
              <w:autoSpaceDE w:val="0"/>
              <w:autoSpaceDN w:val="0"/>
              <w:adjustRightInd w:val="0"/>
              <w:rPr>
                <w:rFonts w:eastAsiaTheme="minorEastAsia" w:cs="Calibri"/>
                <w:bCs/>
                <w:color w:val="000000"/>
                <w:szCs w:val="16"/>
                <w:vertAlign w:val="superscript"/>
                <w:lang w:eastAsia="en-AU"/>
              </w:rPr>
            </w:pPr>
            <w:r w:rsidRPr="00023820">
              <w:rPr>
                <w:rFonts w:eastAsiaTheme="minorEastAsia" w:cs="Calibri"/>
                <w:bCs/>
                <w:color w:val="000000"/>
                <w:szCs w:val="16"/>
                <w:lang w:eastAsia="en-AU"/>
              </w:rPr>
              <w:t xml:space="preserve">GFS cash surplus/(deficit) </w:t>
            </w:r>
            <w:r w:rsidRPr="00023820">
              <w:rPr>
                <w:rFonts w:eastAsiaTheme="minorEastAsia" w:cs="Calibri"/>
                <w:bCs/>
                <w:color w:val="000000"/>
                <w:szCs w:val="16"/>
                <w:vertAlign w:val="superscript"/>
                <w:lang w:eastAsia="en-AU"/>
              </w:rPr>
              <w:t>(b)</w:t>
            </w:r>
          </w:p>
        </w:tc>
        <w:tc>
          <w:tcPr>
            <w:tcW w:w="850" w:type="dxa"/>
            <w:tcBorders>
              <w:top w:val="single" w:sz="6" w:space="0" w:color="000000"/>
              <w:bottom w:val="single" w:sz="12" w:space="0" w:color="000000"/>
            </w:tcBorders>
          </w:tcPr>
          <w:p w:rsidR="00A46DCA" w:rsidRPr="00023820" w:rsidRDefault="00A46DCA" w:rsidP="00A26D0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6"/>
                <w:lang w:eastAsia="en-AU"/>
              </w:rPr>
            </w:pPr>
            <w:r>
              <w:rPr>
                <w:rFonts w:eastAsiaTheme="minorEastAsia" w:cs="Calibri"/>
                <w:bCs/>
                <w:color w:val="000000"/>
                <w:szCs w:val="16"/>
                <w:lang w:eastAsia="en-AU"/>
              </w:rPr>
              <w:t>(7 317)</w:t>
            </w:r>
          </w:p>
        </w:tc>
        <w:tc>
          <w:tcPr>
            <w:tcW w:w="850" w:type="dxa"/>
            <w:tcBorders>
              <w:top w:val="single" w:sz="6" w:space="0" w:color="000000"/>
              <w:bottom w:val="single" w:sz="12" w:space="0" w:color="000000"/>
            </w:tcBorders>
          </w:tcPr>
          <w:p w:rsidR="00A46DCA" w:rsidRPr="00023820" w:rsidRDefault="00A46DCA" w:rsidP="00A26D0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6"/>
                <w:lang w:eastAsia="en-AU"/>
              </w:rPr>
            </w:pPr>
            <w:r>
              <w:rPr>
                <w:rFonts w:eastAsiaTheme="minorEastAsia" w:cs="Calibri"/>
                <w:bCs/>
                <w:color w:val="000000"/>
                <w:szCs w:val="16"/>
                <w:lang w:eastAsia="en-AU"/>
              </w:rPr>
              <w:t>(7 503)</w:t>
            </w:r>
          </w:p>
        </w:tc>
        <w:tc>
          <w:tcPr>
            <w:tcW w:w="850" w:type="dxa"/>
            <w:tcBorders>
              <w:top w:val="single" w:sz="6" w:space="0" w:color="000000"/>
              <w:bottom w:val="single" w:sz="12" w:space="0" w:color="000000"/>
            </w:tcBorders>
          </w:tcPr>
          <w:p w:rsidR="00A46DCA" w:rsidRPr="00023820" w:rsidRDefault="00A46DCA" w:rsidP="00A26D0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6"/>
                <w:lang w:eastAsia="en-AU"/>
              </w:rPr>
            </w:pPr>
            <w:r>
              <w:rPr>
                <w:rFonts w:eastAsiaTheme="minorEastAsia" w:cs="Calibri"/>
                <w:bCs/>
                <w:color w:val="000000"/>
                <w:szCs w:val="16"/>
                <w:lang w:eastAsia="en-AU"/>
              </w:rPr>
              <w:t>(3 270)</w:t>
            </w:r>
          </w:p>
        </w:tc>
        <w:tc>
          <w:tcPr>
            <w:tcW w:w="850" w:type="dxa"/>
            <w:tcBorders>
              <w:top w:val="single" w:sz="6" w:space="0" w:color="000000"/>
              <w:bottom w:val="single" w:sz="12" w:space="0" w:color="000000"/>
            </w:tcBorders>
          </w:tcPr>
          <w:p w:rsidR="00A46DCA" w:rsidRPr="00023820" w:rsidRDefault="00A46DCA" w:rsidP="00A26D0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6"/>
                <w:lang w:eastAsia="en-AU"/>
              </w:rPr>
            </w:pPr>
            <w:r>
              <w:rPr>
                <w:rFonts w:eastAsiaTheme="minorEastAsia" w:cs="Calibri"/>
                <w:bCs/>
                <w:color w:val="000000"/>
                <w:szCs w:val="16"/>
                <w:lang w:eastAsia="en-AU"/>
              </w:rPr>
              <w:t>(3 551)</w:t>
            </w:r>
          </w:p>
        </w:tc>
        <w:tc>
          <w:tcPr>
            <w:tcW w:w="850" w:type="dxa"/>
            <w:tcBorders>
              <w:top w:val="single" w:sz="6" w:space="0" w:color="000000"/>
              <w:bottom w:val="single" w:sz="12" w:space="0" w:color="000000"/>
            </w:tcBorders>
          </w:tcPr>
          <w:p w:rsidR="00A46DCA" w:rsidRPr="00023820" w:rsidRDefault="00A46DCA" w:rsidP="00A26D0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6"/>
                <w:lang w:eastAsia="en-AU"/>
              </w:rPr>
            </w:pPr>
            <w:r>
              <w:rPr>
                <w:rFonts w:eastAsiaTheme="minorEastAsia" w:cs="Calibri"/>
                <w:bCs/>
                <w:color w:val="000000"/>
                <w:szCs w:val="16"/>
                <w:lang w:eastAsia="en-AU"/>
              </w:rPr>
              <w:t>(3 101)</w:t>
            </w:r>
          </w:p>
        </w:tc>
      </w:tr>
    </w:tbl>
    <w:p w:rsidR="00A46DCA" w:rsidRPr="00203144" w:rsidRDefault="00A46DCA" w:rsidP="00A26D04">
      <w:pPr>
        <w:pStyle w:val="Source"/>
      </w:pPr>
      <w:r w:rsidRPr="006227F2">
        <w:t>Source</w:t>
      </w:r>
      <w:r w:rsidRPr="00203144">
        <w:t>: Department of Treasury and Finance</w:t>
      </w:r>
    </w:p>
    <w:p w:rsidR="00A46DCA" w:rsidRPr="00203144" w:rsidRDefault="00A46DCA" w:rsidP="00A26D04">
      <w:pPr>
        <w:pStyle w:val="Note"/>
      </w:pPr>
      <w:r w:rsidRPr="00AB0006">
        <w:t>Notes:</w:t>
      </w:r>
    </w:p>
    <w:p w:rsidR="00A46DCA" w:rsidRPr="00BE5010" w:rsidRDefault="00A46DCA" w:rsidP="00A26D04">
      <w:pPr>
        <w:pStyle w:val="Note"/>
      </w:pPr>
      <w:r w:rsidRPr="00BE5010">
        <w:t>(a</w:t>
      </w:r>
      <w:r>
        <w:t>)</w:t>
      </w:r>
      <w:r>
        <w:tab/>
      </w:r>
      <w:r w:rsidRPr="00BE5010">
        <w:t>The finance lease acquisition in 2017-18 relates to the Ravenhall Prison project, the new Bendigo Hospital project (stage 2)</w:t>
      </w:r>
      <w:r>
        <w:t xml:space="preserve"> </w:t>
      </w:r>
      <w:r w:rsidRPr="00BE5010">
        <w:t xml:space="preserve">and the New Schools PPP project (tranche 2). The 2018-19 and 2019-20 estimates relate to the High Capacity Metro Trains Project. The 2020-21 estimates relate to the High Capacity Metro Trains Project and the Western Roads </w:t>
      </w:r>
      <w:r>
        <w:t>Upgrade</w:t>
      </w:r>
      <w:r w:rsidRPr="00BE5010">
        <w:t>.</w:t>
      </w:r>
    </w:p>
    <w:p w:rsidR="00A46DCA" w:rsidRDefault="00A46DCA" w:rsidP="00A26D04">
      <w:pPr>
        <w:pStyle w:val="Note"/>
      </w:pPr>
      <w:r>
        <w:t>(b)</w:t>
      </w:r>
      <w:r>
        <w:tab/>
        <w:t>Determined in accordance with the ABS GFS manual.</w:t>
      </w:r>
    </w:p>
    <w:p w:rsidR="00A46DCA" w:rsidRDefault="00A46DCA" w:rsidP="00A26D04"/>
    <w:p w:rsidR="00A46DCA" w:rsidRDefault="00A46DCA" w:rsidP="00A26D04"/>
    <w:p w:rsidR="00A46DCA" w:rsidRPr="00B26CCE" w:rsidRDefault="00A46DCA" w:rsidP="00A26D04">
      <w:pPr>
        <w:pStyle w:val="TableHeading"/>
        <w:rPr>
          <w:bCs/>
          <w:lang w:val="en-US"/>
        </w:rPr>
      </w:pPr>
      <w:r>
        <w:t>Table 5.24</w:t>
      </w:r>
      <w:r w:rsidR="00D02086">
        <w:t>:</w:t>
      </w:r>
      <w:r>
        <w:tab/>
        <w:t xml:space="preserve">Net acquisition of non-financial assets – State of Victoria </w:t>
      </w:r>
      <w:r w:rsidRPr="00557C52">
        <w:rPr>
          <w:vertAlign w:val="superscript"/>
        </w:rPr>
        <w:t>(a)</w:t>
      </w:r>
      <w:r>
        <w:tab/>
        <w:t>($ million)</w:t>
      </w:r>
    </w:p>
    <w:tbl>
      <w:tblPr>
        <w:tblStyle w:val="DTFTable"/>
        <w:tblW w:w="7772" w:type="dxa"/>
        <w:tblInd w:w="45" w:type="dxa"/>
        <w:tblLayout w:type="fixed"/>
        <w:tblCellMar>
          <w:left w:w="45" w:type="dxa"/>
          <w:right w:w="45" w:type="dxa"/>
        </w:tblCellMar>
        <w:tblLook w:val="06A0" w:firstRow="1" w:lastRow="0" w:firstColumn="1" w:lastColumn="0" w:noHBand="1" w:noVBand="1"/>
      </w:tblPr>
      <w:tblGrid>
        <w:gridCol w:w="3838"/>
        <w:gridCol w:w="782"/>
        <w:gridCol w:w="788"/>
        <w:gridCol w:w="788"/>
        <w:gridCol w:w="788"/>
        <w:gridCol w:w="788"/>
      </w:tblGrid>
      <w:tr w:rsidR="00A26D04" w:rsidRPr="00B26CCE" w:rsidTr="00D02086">
        <w:trPr>
          <w:cnfStyle w:val="100000000000" w:firstRow="1" w:lastRow="0" w:firstColumn="0" w:lastColumn="0" w:oddVBand="0" w:evenVBand="0" w:oddHBand="0" w:evenHBand="0" w:firstRowFirstColumn="0" w:firstRowLastColumn="0" w:lastRowFirstColumn="0" w:lastRowLastColumn="0"/>
          <w:trHeight w:val="84"/>
          <w:tblHeader/>
        </w:trPr>
        <w:tc>
          <w:tcPr>
            <w:cnfStyle w:val="001000000000" w:firstRow="0" w:lastRow="0" w:firstColumn="1" w:lastColumn="0" w:oddVBand="0" w:evenVBand="0" w:oddHBand="0" w:evenHBand="0" w:firstRowFirstColumn="0" w:firstRowLastColumn="0" w:lastRowFirstColumn="0" w:lastRowLastColumn="0"/>
            <w:tcW w:w="3838" w:type="dxa"/>
            <w:tcBorders>
              <w:top w:val="nil"/>
              <w:left w:val="nil"/>
              <w:right w:val="nil"/>
            </w:tcBorders>
            <w:shd w:val="solid" w:color="000000" w:fill="auto"/>
          </w:tcPr>
          <w:p w:rsidR="00A26D04" w:rsidRPr="00B26CCE" w:rsidRDefault="00A26D04" w:rsidP="00A26D04">
            <w:pPr>
              <w:autoSpaceDE w:val="0"/>
              <w:autoSpaceDN w:val="0"/>
              <w:adjustRightInd w:val="0"/>
              <w:rPr>
                <w:rFonts w:eastAsiaTheme="minorEastAsia" w:cs="Calibri"/>
                <w:iCs/>
                <w:color w:val="FFFFFF"/>
                <w:lang w:eastAsia="en-AU"/>
              </w:rPr>
            </w:pPr>
            <w:r w:rsidRPr="00B26CCE">
              <w:rPr>
                <w:rFonts w:eastAsiaTheme="minorEastAsia" w:cs="Calibri"/>
                <w:iCs/>
                <w:color w:val="FFFFFF"/>
                <w:lang w:eastAsia="en-AU"/>
              </w:rPr>
              <w:t xml:space="preserve">  </w:t>
            </w:r>
          </w:p>
        </w:tc>
        <w:tc>
          <w:tcPr>
            <w:tcW w:w="782" w:type="dxa"/>
            <w:tcBorders>
              <w:top w:val="nil"/>
              <w:left w:val="nil"/>
              <w:right w:val="nil"/>
            </w:tcBorders>
            <w:shd w:val="solid" w:color="000000" w:fill="auto"/>
          </w:tcPr>
          <w:p w:rsidR="00A26D04" w:rsidRPr="00B26CCE" w:rsidRDefault="00A26D04" w:rsidP="00A26D0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B26CCE">
              <w:rPr>
                <w:rFonts w:eastAsiaTheme="minorEastAsia" w:cs="Calibri"/>
                <w:iCs/>
                <w:color w:val="FFFFFF"/>
                <w:szCs w:val="16"/>
                <w:lang w:eastAsia="en-AU"/>
              </w:rPr>
              <w:t xml:space="preserve">2017-18 </w:t>
            </w:r>
            <w:r>
              <w:rPr>
                <w:rFonts w:eastAsiaTheme="minorEastAsia" w:cs="Calibri"/>
                <w:iCs/>
                <w:color w:val="FFFFFF"/>
                <w:szCs w:val="16"/>
                <w:lang w:eastAsia="en-AU"/>
              </w:rPr>
              <w:br/>
            </w:r>
            <w:r w:rsidRPr="00B26CCE">
              <w:rPr>
                <w:rFonts w:eastAsiaTheme="minorEastAsia" w:cs="Calibri"/>
                <w:iCs/>
                <w:color w:val="FFFFFF"/>
                <w:szCs w:val="16"/>
                <w:lang w:eastAsia="en-AU"/>
              </w:rPr>
              <w:t>budget</w:t>
            </w:r>
          </w:p>
        </w:tc>
        <w:tc>
          <w:tcPr>
            <w:tcW w:w="788" w:type="dxa"/>
            <w:tcBorders>
              <w:top w:val="nil"/>
              <w:left w:val="nil"/>
              <w:right w:val="nil"/>
            </w:tcBorders>
            <w:shd w:val="solid" w:color="000000" w:fill="auto"/>
          </w:tcPr>
          <w:p w:rsidR="00A26D04" w:rsidRPr="00B26CCE" w:rsidRDefault="00A26D04" w:rsidP="00A26D0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B26CCE">
              <w:rPr>
                <w:rFonts w:eastAsiaTheme="minorEastAsia" w:cs="Calibri"/>
                <w:iCs/>
                <w:color w:val="FFFFFF"/>
                <w:szCs w:val="16"/>
                <w:lang w:eastAsia="en-AU"/>
              </w:rPr>
              <w:t xml:space="preserve">2017-18 </w:t>
            </w:r>
            <w:r>
              <w:rPr>
                <w:rFonts w:eastAsiaTheme="minorEastAsia" w:cs="Calibri"/>
                <w:iCs/>
                <w:color w:val="FFFFFF"/>
                <w:szCs w:val="16"/>
                <w:lang w:eastAsia="en-AU"/>
              </w:rPr>
              <w:br/>
            </w:r>
            <w:r w:rsidRPr="00B26CCE">
              <w:rPr>
                <w:rFonts w:eastAsiaTheme="minorEastAsia" w:cs="Calibri"/>
                <w:iCs/>
                <w:color w:val="FFFFFF"/>
                <w:szCs w:val="16"/>
                <w:lang w:eastAsia="en-AU"/>
              </w:rPr>
              <w:t>revised</w:t>
            </w:r>
          </w:p>
        </w:tc>
        <w:tc>
          <w:tcPr>
            <w:tcW w:w="788" w:type="dxa"/>
            <w:tcBorders>
              <w:top w:val="nil"/>
              <w:left w:val="nil"/>
              <w:right w:val="nil"/>
            </w:tcBorders>
            <w:shd w:val="solid" w:color="000000" w:fill="auto"/>
          </w:tcPr>
          <w:p w:rsidR="00A26D04" w:rsidRPr="00B26CCE" w:rsidRDefault="00A26D04" w:rsidP="00A26D0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B26CCE">
              <w:rPr>
                <w:rFonts w:eastAsiaTheme="minorEastAsia" w:cs="Calibri"/>
                <w:iCs/>
                <w:color w:val="FFFFFF"/>
                <w:szCs w:val="16"/>
                <w:lang w:eastAsia="en-AU"/>
              </w:rPr>
              <w:t xml:space="preserve">2018-19 </w:t>
            </w:r>
            <w:r>
              <w:rPr>
                <w:rFonts w:eastAsiaTheme="minorEastAsia" w:cs="Calibri"/>
                <w:iCs/>
                <w:color w:val="FFFFFF"/>
                <w:szCs w:val="16"/>
                <w:lang w:eastAsia="en-AU"/>
              </w:rPr>
              <w:br/>
            </w:r>
            <w:r w:rsidRPr="00B26CCE">
              <w:rPr>
                <w:rFonts w:eastAsiaTheme="minorEastAsia" w:cs="Calibri"/>
                <w:iCs/>
                <w:color w:val="FFFFFF"/>
                <w:szCs w:val="16"/>
                <w:lang w:eastAsia="en-AU"/>
              </w:rPr>
              <w:t>estimate</w:t>
            </w:r>
          </w:p>
        </w:tc>
        <w:tc>
          <w:tcPr>
            <w:tcW w:w="788" w:type="dxa"/>
            <w:tcBorders>
              <w:top w:val="nil"/>
              <w:left w:val="nil"/>
              <w:right w:val="nil"/>
            </w:tcBorders>
            <w:shd w:val="solid" w:color="000000" w:fill="auto"/>
          </w:tcPr>
          <w:p w:rsidR="00A26D04" w:rsidRPr="00B26CCE" w:rsidRDefault="00A26D04" w:rsidP="00A26D0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B26CCE">
              <w:rPr>
                <w:rFonts w:eastAsiaTheme="minorEastAsia" w:cs="Calibri"/>
                <w:iCs/>
                <w:color w:val="FFFFFF"/>
                <w:szCs w:val="16"/>
                <w:lang w:eastAsia="en-AU"/>
              </w:rPr>
              <w:t xml:space="preserve">2019-20 </w:t>
            </w:r>
            <w:r>
              <w:rPr>
                <w:rFonts w:eastAsiaTheme="minorEastAsia" w:cs="Calibri"/>
                <w:iCs/>
                <w:color w:val="FFFFFF"/>
                <w:szCs w:val="16"/>
                <w:lang w:eastAsia="en-AU"/>
              </w:rPr>
              <w:br/>
            </w:r>
            <w:r w:rsidRPr="00B26CCE">
              <w:rPr>
                <w:rFonts w:eastAsiaTheme="minorEastAsia" w:cs="Calibri"/>
                <w:iCs/>
                <w:color w:val="FFFFFF"/>
                <w:szCs w:val="16"/>
                <w:lang w:eastAsia="en-AU"/>
              </w:rPr>
              <w:t>estimate</w:t>
            </w:r>
          </w:p>
        </w:tc>
        <w:tc>
          <w:tcPr>
            <w:tcW w:w="788" w:type="dxa"/>
            <w:tcBorders>
              <w:top w:val="nil"/>
              <w:left w:val="nil"/>
              <w:right w:val="nil"/>
            </w:tcBorders>
            <w:shd w:val="solid" w:color="000000" w:fill="auto"/>
          </w:tcPr>
          <w:p w:rsidR="00A26D04" w:rsidRPr="00B26CCE" w:rsidRDefault="00A26D04" w:rsidP="00A26D0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B26CCE">
              <w:rPr>
                <w:rFonts w:eastAsiaTheme="minorEastAsia" w:cs="Calibri"/>
                <w:iCs/>
                <w:color w:val="FFFFFF"/>
                <w:szCs w:val="16"/>
                <w:lang w:eastAsia="en-AU"/>
              </w:rPr>
              <w:t xml:space="preserve">2020-21 </w:t>
            </w:r>
            <w:r>
              <w:rPr>
                <w:rFonts w:eastAsiaTheme="minorEastAsia" w:cs="Calibri"/>
                <w:iCs/>
                <w:color w:val="FFFFFF"/>
                <w:szCs w:val="16"/>
                <w:lang w:eastAsia="en-AU"/>
              </w:rPr>
              <w:br/>
            </w:r>
            <w:r w:rsidRPr="00B26CCE">
              <w:rPr>
                <w:rFonts w:eastAsiaTheme="minorEastAsia" w:cs="Calibri"/>
                <w:iCs/>
                <w:color w:val="FFFFFF"/>
                <w:szCs w:val="16"/>
                <w:lang w:eastAsia="en-AU"/>
              </w:rPr>
              <w:t>estimate</w:t>
            </w:r>
          </w:p>
        </w:tc>
      </w:tr>
      <w:tr w:rsidR="00A46DCA" w:rsidRPr="00B26CCE" w:rsidTr="00A26D04">
        <w:tc>
          <w:tcPr>
            <w:cnfStyle w:val="001000000000" w:firstRow="0" w:lastRow="0" w:firstColumn="1" w:lastColumn="0" w:oddVBand="0" w:evenVBand="0" w:oddHBand="0" w:evenHBand="0" w:firstRowFirstColumn="0" w:firstRowLastColumn="0" w:lastRowFirstColumn="0" w:lastRowLastColumn="0"/>
            <w:tcW w:w="3838" w:type="dxa"/>
            <w:tcBorders>
              <w:top w:val="nil"/>
              <w:left w:val="nil"/>
              <w:bottom w:val="nil"/>
              <w:right w:val="nil"/>
            </w:tcBorders>
          </w:tcPr>
          <w:p w:rsidR="00A46DCA" w:rsidRPr="00B26CCE" w:rsidRDefault="00A46DCA" w:rsidP="00A26D04">
            <w:pPr>
              <w:keepLines w:val="0"/>
              <w:autoSpaceDE w:val="0"/>
              <w:autoSpaceDN w:val="0"/>
              <w:adjustRightInd w:val="0"/>
              <w:rPr>
                <w:rFonts w:eastAsiaTheme="minorEastAsia" w:cs="Calibri"/>
                <w:color w:val="000000"/>
                <w:szCs w:val="16"/>
                <w:lang w:eastAsia="en-AU"/>
              </w:rPr>
            </w:pPr>
            <w:r w:rsidRPr="00B26CCE">
              <w:rPr>
                <w:rFonts w:eastAsiaTheme="minorEastAsia" w:cs="Calibri"/>
                <w:color w:val="000000"/>
                <w:szCs w:val="16"/>
                <w:lang w:eastAsia="en-AU"/>
              </w:rPr>
              <w:t xml:space="preserve">Purchases of non-financial assets (including change </w:t>
            </w:r>
            <w:r w:rsidR="006A017C">
              <w:rPr>
                <w:rFonts w:eastAsiaTheme="minorEastAsia" w:cs="Calibri"/>
                <w:color w:val="000000"/>
                <w:szCs w:val="16"/>
                <w:lang w:eastAsia="en-AU"/>
              </w:rPr>
              <w:br/>
            </w:r>
            <w:r w:rsidRPr="00B26CCE">
              <w:rPr>
                <w:rFonts w:eastAsiaTheme="minorEastAsia" w:cs="Calibri"/>
                <w:color w:val="000000"/>
                <w:szCs w:val="16"/>
                <w:lang w:eastAsia="en-AU"/>
              </w:rPr>
              <w:t>in inventory) less sales of non-financial assets</w:t>
            </w:r>
            <w:r>
              <w:rPr>
                <w:rFonts w:eastAsiaTheme="minorEastAsia" w:cs="Calibri"/>
                <w:color w:val="000000"/>
                <w:szCs w:val="16"/>
                <w:lang w:eastAsia="en-AU"/>
              </w:rPr>
              <w:t xml:space="preserve"> </w:t>
            </w:r>
          </w:p>
        </w:tc>
        <w:tc>
          <w:tcPr>
            <w:tcW w:w="782" w:type="dxa"/>
            <w:tcBorders>
              <w:top w:val="nil"/>
              <w:left w:val="nil"/>
              <w:bottom w:val="nil"/>
              <w:right w:val="nil"/>
            </w:tcBorders>
          </w:tcPr>
          <w:p w:rsidR="00A46DCA" w:rsidRPr="00B26CCE"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B26CCE">
              <w:rPr>
                <w:rFonts w:eastAsiaTheme="minorEastAsia" w:cs="Calibri"/>
                <w:color w:val="000000"/>
                <w:szCs w:val="16"/>
                <w:lang w:eastAsia="en-AU"/>
              </w:rPr>
              <w:t>11 378</w:t>
            </w:r>
          </w:p>
        </w:tc>
        <w:tc>
          <w:tcPr>
            <w:tcW w:w="788" w:type="dxa"/>
            <w:tcBorders>
              <w:top w:val="nil"/>
              <w:left w:val="nil"/>
              <w:bottom w:val="nil"/>
              <w:right w:val="nil"/>
            </w:tcBorders>
          </w:tcPr>
          <w:p w:rsidR="00A46DCA" w:rsidRPr="00B26CCE"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B26CCE">
              <w:rPr>
                <w:rFonts w:eastAsiaTheme="minorEastAsia" w:cs="Calibri"/>
                <w:color w:val="000000"/>
                <w:szCs w:val="16"/>
                <w:lang w:eastAsia="en-AU"/>
              </w:rPr>
              <w:t>11 610</w:t>
            </w:r>
          </w:p>
        </w:tc>
        <w:tc>
          <w:tcPr>
            <w:tcW w:w="788" w:type="dxa"/>
            <w:tcBorders>
              <w:top w:val="nil"/>
              <w:left w:val="nil"/>
              <w:bottom w:val="nil"/>
              <w:right w:val="nil"/>
            </w:tcBorders>
          </w:tcPr>
          <w:p w:rsidR="00A46DCA" w:rsidRPr="00B26CCE"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B26CCE">
              <w:rPr>
                <w:rFonts w:eastAsiaTheme="minorEastAsia" w:cs="Calibri"/>
                <w:color w:val="000000"/>
                <w:szCs w:val="16"/>
                <w:lang w:eastAsia="en-AU"/>
              </w:rPr>
              <w:t>10 686</w:t>
            </w:r>
          </w:p>
        </w:tc>
        <w:tc>
          <w:tcPr>
            <w:tcW w:w="788" w:type="dxa"/>
            <w:tcBorders>
              <w:top w:val="nil"/>
              <w:left w:val="nil"/>
              <w:bottom w:val="nil"/>
              <w:right w:val="nil"/>
            </w:tcBorders>
          </w:tcPr>
          <w:p w:rsidR="00A46DCA" w:rsidRPr="00B26CCE"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B26CCE">
              <w:rPr>
                <w:rFonts w:eastAsiaTheme="minorEastAsia" w:cs="Calibri"/>
                <w:color w:val="000000"/>
                <w:szCs w:val="16"/>
                <w:lang w:eastAsia="en-AU"/>
              </w:rPr>
              <w:t>9 410</w:t>
            </w:r>
          </w:p>
        </w:tc>
        <w:tc>
          <w:tcPr>
            <w:tcW w:w="788" w:type="dxa"/>
            <w:tcBorders>
              <w:top w:val="nil"/>
              <w:left w:val="nil"/>
              <w:bottom w:val="nil"/>
              <w:right w:val="nil"/>
            </w:tcBorders>
          </w:tcPr>
          <w:p w:rsidR="00A46DCA" w:rsidRPr="00B26CCE"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B26CCE">
              <w:rPr>
                <w:rFonts w:eastAsiaTheme="minorEastAsia" w:cs="Calibri"/>
                <w:color w:val="000000"/>
                <w:szCs w:val="16"/>
                <w:lang w:eastAsia="en-AU"/>
              </w:rPr>
              <w:t>9 040</w:t>
            </w:r>
          </w:p>
        </w:tc>
      </w:tr>
      <w:tr w:rsidR="00A46DCA" w:rsidRPr="00B26CCE" w:rsidTr="00A26D04">
        <w:tc>
          <w:tcPr>
            <w:cnfStyle w:val="001000000000" w:firstRow="0" w:lastRow="0" w:firstColumn="1" w:lastColumn="0" w:oddVBand="0" w:evenVBand="0" w:oddHBand="0" w:evenHBand="0" w:firstRowFirstColumn="0" w:firstRowLastColumn="0" w:lastRowFirstColumn="0" w:lastRowLastColumn="0"/>
            <w:tcW w:w="3838" w:type="dxa"/>
            <w:tcBorders>
              <w:top w:val="nil"/>
              <w:left w:val="nil"/>
              <w:bottom w:val="nil"/>
              <w:right w:val="nil"/>
            </w:tcBorders>
          </w:tcPr>
          <w:p w:rsidR="00A46DCA" w:rsidRPr="00B26CCE" w:rsidRDefault="00A46DCA" w:rsidP="00A26D04">
            <w:pPr>
              <w:keepLines w:val="0"/>
              <w:autoSpaceDE w:val="0"/>
              <w:autoSpaceDN w:val="0"/>
              <w:adjustRightInd w:val="0"/>
              <w:rPr>
                <w:rFonts w:eastAsiaTheme="minorEastAsia" w:cs="Calibri"/>
                <w:color w:val="000000"/>
                <w:szCs w:val="16"/>
                <w:lang w:eastAsia="en-AU"/>
              </w:rPr>
            </w:pPr>
            <w:r w:rsidRPr="00B26CCE">
              <w:rPr>
                <w:rFonts w:eastAsiaTheme="minorEastAsia" w:cs="Calibri"/>
                <w:color w:val="000000"/>
                <w:szCs w:val="16"/>
                <w:lang w:eastAsia="en-AU"/>
              </w:rPr>
              <w:t>Less: Depreciation</w:t>
            </w:r>
          </w:p>
        </w:tc>
        <w:tc>
          <w:tcPr>
            <w:tcW w:w="782" w:type="dxa"/>
            <w:tcBorders>
              <w:top w:val="nil"/>
              <w:left w:val="nil"/>
              <w:bottom w:val="nil"/>
              <w:right w:val="nil"/>
            </w:tcBorders>
          </w:tcPr>
          <w:p w:rsidR="00A46DCA" w:rsidRPr="00B26CCE"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(5 247)</w:t>
            </w:r>
          </w:p>
        </w:tc>
        <w:tc>
          <w:tcPr>
            <w:tcW w:w="788" w:type="dxa"/>
            <w:tcBorders>
              <w:top w:val="nil"/>
              <w:left w:val="nil"/>
              <w:bottom w:val="nil"/>
              <w:right w:val="nil"/>
            </w:tcBorders>
          </w:tcPr>
          <w:p w:rsidR="00A46DCA" w:rsidRPr="00B26CCE"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(5 056)</w:t>
            </w:r>
          </w:p>
        </w:tc>
        <w:tc>
          <w:tcPr>
            <w:tcW w:w="788" w:type="dxa"/>
            <w:tcBorders>
              <w:top w:val="nil"/>
              <w:left w:val="nil"/>
              <w:bottom w:val="nil"/>
              <w:right w:val="nil"/>
            </w:tcBorders>
          </w:tcPr>
          <w:p w:rsidR="00A46DCA" w:rsidRPr="00B26CCE"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(5 331)</w:t>
            </w:r>
          </w:p>
        </w:tc>
        <w:tc>
          <w:tcPr>
            <w:tcW w:w="788" w:type="dxa"/>
            <w:tcBorders>
              <w:top w:val="nil"/>
              <w:left w:val="nil"/>
              <w:bottom w:val="nil"/>
              <w:right w:val="nil"/>
            </w:tcBorders>
          </w:tcPr>
          <w:p w:rsidR="00A46DCA" w:rsidRPr="00B26CCE"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(5 689)</w:t>
            </w:r>
          </w:p>
        </w:tc>
        <w:tc>
          <w:tcPr>
            <w:tcW w:w="788" w:type="dxa"/>
            <w:tcBorders>
              <w:top w:val="nil"/>
              <w:left w:val="nil"/>
              <w:bottom w:val="nil"/>
              <w:right w:val="nil"/>
            </w:tcBorders>
          </w:tcPr>
          <w:p w:rsidR="00A46DCA" w:rsidRPr="00B26CCE"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(6 142)</w:t>
            </w:r>
          </w:p>
        </w:tc>
      </w:tr>
      <w:tr w:rsidR="00A46DCA" w:rsidRPr="00B26CCE" w:rsidTr="00A26D04">
        <w:tc>
          <w:tcPr>
            <w:cnfStyle w:val="001000000000" w:firstRow="0" w:lastRow="0" w:firstColumn="1" w:lastColumn="0" w:oddVBand="0" w:evenVBand="0" w:oddHBand="0" w:evenHBand="0" w:firstRowFirstColumn="0" w:firstRowLastColumn="0" w:lastRowFirstColumn="0" w:lastRowLastColumn="0"/>
            <w:tcW w:w="3838" w:type="dxa"/>
            <w:tcBorders>
              <w:top w:val="nil"/>
              <w:left w:val="nil"/>
              <w:bottom w:val="nil"/>
              <w:right w:val="nil"/>
            </w:tcBorders>
          </w:tcPr>
          <w:p w:rsidR="00A46DCA" w:rsidRPr="00B26CCE" w:rsidRDefault="00A46DCA" w:rsidP="00A26D04">
            <w:pPr>
              <w:keepLines w:val="0"/>
              <w:autoSpaceDE w:val="0"/>
              <w:autoSpaceDN w:val="0"/>
              <w:adjustRightInd w:val="0"/>
              <w:rPr>
                <w:rFonts w:eastAsiaTheme="minorEastAsia" w:cs="Calibri"/>
                <w:color w:val="000000"/>
                <w:szCs w:val="16"/>
                <w:vertAlign w:val="superscript"/>
                <w:lang w:eastAsia="en-AU"/>
              </w:rPr>
            </w:pPr>
            <w:r w:rsidRPr="00B26CCE">
              <w:rPr>
                <w:rFonts w:eastAsiaTheme="minorEastAsia" w:cs="Calibri"/>
                <w:color w:val="000000"/>
                <w:szCs w:val="16"/>
                <w:lang w:eastAsia="en-AU"/>
              </w:rPr>
              <w:t xml:space="preserve">Plus: Other movements in non-financial assets </w:t>
            </w:r>
            <w:r>
              <w:rPr>
                <w:rFonts w:eastAsiaTheme="minorEastAsia" w:cs="Calibri"/>
                <w:color w:val="000000"/>
                <w:szCs w:val="16"/>
                <w:vertAlign w:val="superscript"/>
                <w:lang w:eastAsia="en-AU"/>
              </w:rPr>
              <w:t>(b</w:t>
            </w:r>
            <w:r w:rsidRPr="00B26CCE">
              <w:rPr>
                <w:rFonts w:eastAsiaTheme="minorEastAsia" w:cs="Calibri"/>
                <w:color w:val="000000"/>
                <w:szCs w:val="16"/>
                <w:vertAlign w:val="superscript"/>
                <w:lang w:eastAsia="en-AU"/>
              </w:rPr>
              <w:t>)</w:t>
            </w:r>
          </w:p>
        </w:tc>
        <w:tc>
          <w:tcPr>
            <w:tcW w:w="782" w:type="dxa"/>
            <w:tcBorders>
              <w:top w:val="nil"/>
              <w:left w:val="nil"/>
              <w:bottom w:val="nil"/>
              <w:right w:val="nil"/>
            </w:tcBorders>
          </w:tcPr>
          <w:p w:rsidR="00A46DCA" w:rsidRPr="00B26CCE"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680</w:t>
            </w:r>
          </w:p>
        </w:tc>
        <w:tc>
          <w:tcPr>
            <w:tcW w:w="788" w:type="dxa"/>
            <w:tcBorders>
              <w:top w:val="nil"/>
              <w:left w:val="nil"/>
              <w:bottom w:val="nil"/>
              <w:right w:val="nil"/>
            </w:tcBorders>
          </w:tcPr>
          <w:p w:rsidR="00A46DCA" w:rsidRPr="00B26CCE"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703</w:t>
            </w:r>
          </w:p>
        </w:tc>
        <w:tc>
          <w:tcPr>
            <w:tcW w:w="788" w:type="dxa"/>
            <w:tcBorders>
              <w:top w:val="nil"/>
              <w:left w:val="nil"/>
              <w:bottom w:val="nil"/>
              <w:right w:val="nil"/>
            </w:tcBorders>
          </w:tcPr>
          <w:p w:rsidR="00A46DCA" w:rsidRPr="00B26CCE"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465</w:t>
            </w:r>
          </w:p>
        </w:tc>
        <w:tc>
          <w:tcPr>
            <w:tcW w:w="788" w:type="dxa"/>
            <w:tcBorders>
              <w:top w:val="nil"/>
              <w:left w:val="nil"/>
              <w:bottom w:val="nil"/>
              <w:right w:val="nil"/>
            </w:tcBorders>
          </w:tcPr>
          <w:p w:rsidR="00A46DCA" w:rsidRPr="00B26CCE"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429</w:t>
            </w:r>
          </w:p>
        </w:tc>
        <w:tc>
          <w:tcPr>
            <w:tcW w:w="788" w:type="dxa"/>
            <w:tcBorders>
              <w:top w:val="nil"/>
              <w:left w:val="nil"/>
              <w:bottom w:val="nil"/>
              <w:right w:val="nil"/>
            </w:tcBorders>
          </w:tcPr>
          <w:p w:rsidR="00A46DCA" w:rsidRPr="00B26CCE"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B26CCE">
              <w:rPr>
                <w:rFonts w:eastAsiaTheme="minorEastAsia" w:cs="Calibri"/>
                <w:color w:val="000000"/>
                <w:szCs w:val="16"/>
                <w:lang w:eastAsia="en-AU"/>
              </w:rPr>
              <w:t>1 179</w:t>
            </w:r>
          </w:p>
        </w:tc>
      </w:tr>
      <w:tr w:rsidR="00A46DCA" w:rsidRPr="00B26CCE" w:rsidTr="00A26D04">
        <w:tc>
          <w:tcPr>
            <w:cnfStyle w:val="001000000000" w:firstRow="0" w:lastRow="0" w:firstColumn="1" w:lastColumn="0" w:oddVBand="0" w:evenVBand="0" w:oddHBand="0" w:evenHBand="0" w:firstRowFirstColumn="0" w:firstRowLastColumn="0" w:lastRowFirstColumn="0" w:lastRowLastColumn="0"/>
            <w:tcW w:w="3838" w:type="dxa"/>
            <w:tcBorders>
              <w:top w:val="single" w:sz="6" w:space="0" w:color="000000"/>
              <w:left w:val="nil"/>
              <w:bottom w:val="single" w:sz="12" w:space="0" w:color="000000"/>
              <w:right w:val="nil"/>
            </w:tcBorders>
          </w:tcPr>
          <w:p w:rsidR="00A46DCA" w:rsidRPr="00B26CCE" w:rsidRDefault="00A46DCA" w:rsidP="00A26D04">
            <w:pPr>
              <w:keepLines w:val="0"/>
              <w:autoSpaceDE w:val="0"/>
              <w:autoSpaceDN w:val="0"/>
              <w:adjustRightInd w:val="0"/>
              <w:rPr>
                <w:rFonts w:eastAsiaTheme="minorEastAsia" w:cs="Calibri"/>
                <w:b/>
                <w:bCs/>
                <w:color w:val="000000"/>
                <w:szCs w:val="16"/>
                <w:lang w:eastAsia="en-AU"/>
              </w:rPr>
            </w:pPr>
            <w:r w:rsidRPr="00B26CCE">
              <w:rPr>
                <w:rFonts w:eastAsiaTheme="minorEastAsia" w:cs="Calibri"/>
                <w:b/>
                <w:bCs/>
                <w:color w:val="000000"/>
                <w:szCs w:val="16"/>
                <w:lang w:eastAsia="en-AU"/>
              </w:rPr>
              <w:t>Total net acquisition of non-financial assets</w:t>
            </w:r>
          </w:p>
        </w:tc>
        <w:tc>
          <w:tcPr>
            <w:tcW w:w="782" w:type="dxa"/>
            <w:tcBorders>
              <w:top w:val="single" w:sz="6" w:space="0" w:color="000000"/>
              <w:left w:val="nil"/>
              <w:bottom w:val="single" w:sz="12" w:space="0" w:color="000000"/>
              <w:right w:val="nil"/>
            </w:tcBorders>
          </w:tcPr>
          <w:p w:rsidR="00A46DCA" w:rsidRPr="00B26CCE"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B26CCE">
              <w:rPr>
                <w:rFonts w:eastAsiaTheme="minorEastAsia" w:cs="Calibri"/>
                <w:b/>
                <w:bCs/>
                <w:color w:val="000000"/>
                <w:szCs w:val="16"/>
                <w:lang w:eastAsia="en-AU"/>
              </w:rPr>
              <w:t>6 811</w:t>
            </w:r>
          </w:p>
        </w:tc>
        <w:tc>
          <w:tcPr>
            <w:tcW w:w="788" w:type="dxa"/>
            <w:tcBorders>
              <w:top w:val="single" w:sz="6" w:space="0" w:color="000000"/>
              <w:left w:val="nil"/>
              <w:bottom w:val="single" w:sz="12" w:space="0" w:color="000000"/>
              <w:right w:val="nil"/>
            </w:tcBorders>
          </w:tcPr>
          <w:p w:rsidR="00A46DCA" w:rsidRPr="00B26CCE"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B26CCE">
              <w:rPr>
                <w:rFonts w:eastAsiaTheme="minorEastAsia" w:cs="Calibri"/>
                <w:b/>
                <w:bCs/>
                <w:color w:val="000000"/>
                <w:szCs w:val="16"/>
                <w:lang w:eastAsia="en-AU"/>
              </w:rPr>
              <w:t>7 257</w:t>
            </w:r>
          </w:p>
        </w:tc>
        <w:tc>
          <w:tcPr>
            <w:tcW w:w="788" w:type="dxa"/>
            <w:tcBorders>
              <w:top w:val="single" w:sz="6" w:space="0" w:color="000000"/>
              <w:left w:val="nil"/>
              <w:bottom w:val="single" w:sz="12" w:space="0" w:color="000000"/>
              <w:right w:val="nil"/>
            </w:tcBorders>
          </w:tcPr>
          <w:p w:rsidR="00A46DCA" w:rsidRPr="00B26CCE"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B26CCE">
              <w:rPr>
                <w:rFonts w:eastAsiaTheme="minorEastAsia" w:cs="Calibri"/>
                <w:b/>
                <w:bCs/>
                <w:color w:val="000000"/>
                <w:szCs w:val="16"/>
                <w:lang w:eastAsia="en-AU"/>
              </w:rPr>
              <w:t>5 820</w:t>
            </w:r>
          </w:p>
        </w:tc>
        <w:tc>
          <w:tcPr>
            <w:tcW w:w="788" w:type="dxa"/>
            <w:tcBorders>
              <w:top w:val="single" w:sz="6" w:space="0" w:color="000000"/>
              <w:left w:val="nil"/>
              <w:bottom w:val="single" w:sz="12" w:space="0" w:color="000000"/>
              <w:right w:val="nil"/>
            </w:tcBorders>
          </w:tcPr>
          <w:p w:rsidR="00A46DCA" w:rsidRPr="00B26CCE"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B26CCE">
              <w:rPr>
                <w:rFonts w:eastAsiaTheme="minorEastAsia" w:cs="Calibri"/>
                <w:b/>
                <w:bCs/>
                <w:color w:val="000000"/>
                <w:szCs w:val="16"/>
                <w:lang w:eastAsia="en-AU"/>
              </w:rPr>
              <w:t>4 151</w:t>
            </w:r>
          </w:p>
        </w:tc>
        <w:tc>
          <w:tcPr>
            <w:tcW w:w="788" w:type="dxa"/>
            <w:tcBorders>
              <w:top w:val="single" w:sz="6" w:space="0" w:color="000000"/>
              <w:left w:val="nil"/>
              <w:bottom w:val="single" w:sz="12" w:space="0" w:color="000000"/>
              <w:right w:val="nil"/>
            </w:tcBorders>
          </w:tcPr>
          <w:p w:rsidR="00A46DCA" w:rsidRPr="00B26CCE"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B26CCE">
              <w:rPr>
                <w:rFonts w:eastAsiaTheme="minorEastAsia" w:cs="Calibri"/>
                <w:b/>
                <w:bCs/>
                <w:color w:val="000000"/>
                <w:szCs w:val="16"/>
                <w:lang w:eastAsia="en-AU"/>
              </w:rPr>
              <w:t>4 077</w:t>
            </w:r>
          </w:p>
        </w:tc>
      </w:tr>
    </w:tbl>
    <w:p w:rsidR="00A46DCA" w:rsidRPr="00203144" w:rsidRDefault="00A46DCA" w:rsidP="00A26D04">
      <w:pPr>
        <w:pStyle w:val="Source"/>
      </w:pPr>
      <w:r w:rsidRPr="00203144">
        <w:t>Source: Department of Treasury and Finance</w:t>
      </w:r>
    </w:p>
    <w:p w:rsidR="00A46DCA" w:rsidRPr="00203144" w:rsidRDefault="00A46DCA" w:rsidP="00A26D04">
      <w:pPr>
        <w:pStyle w:val="Note"/>
      </w:pPr>
      <w:r w:rsidRPr="00AB0006">
        <w:t>Notes:</w:t>
      </w:r>
    </w:p>
    <w:p w:rsidR="00A46DCA" w:rsidRPr="00995E6E" w:rsidRDefault="00A46DCA" w:rsidP="00A26D04">
      <w:pPr>
        <w:pStyle w:val="Note"/>
        <w:rPr>
          <w:rFonts w:cs="Times New Roman"/>
          <w:lang w:eastAsia="en-AU"/>
        </w:rPr>
      </w:pPr>
      <w:r w:rsidRPr="00995E6E">
        <w:rPr>
          <w:rFonts w:cs="Times New Roman"/>
          <w:lang w:eastAsia="en-AU"/>
        </w:rPr>
        <w:t>(a)</w:t>
      </w:r>
      <w:r w:rsidRPr="00995E6E">
        <w:rPr>
          <w:rFonts w:cs="Times New Roman"/>
          <w:lang w:eastAsia="en-AU"/>
        </w:rPr>
        <w:tab/>
        <w:t>Certain line items have been aggregated in the table above due to</w:t>
      </w:r>
      <w:r>
        <w:rPr>
          <w:rFonts w:cs="Times New Roman"/>
          <w:lang w:eastAsia="en-AU"/>
        </w:rPr>
        <w:t xml:space="preserve"> </w:t>
      </w:r>
      <w:r w:rsidRPr="00995E6E">
        <w:rPr>
          <w:rFonts w:cs="Times New Roman"/>
          <w:lang w:eastAsia="en-AU"/>
        </w:rPr>
        <w:t>commercial sensitivities.</w:t>
      </w:r>
    </w:p>
    <w:p w:rsidR="00A46DCA" w:rsidRPr="00995E6E" w:rsidRDefault="00A46DCA" w:rsidP="00A26D04">
      <w:pPr>
        <w:pStyle w:val="Note"/>
        <w:rPr>
          <w:rFonts w:cs="Times New Roman"/>
          <w:lang w:eastAsia="en-AU"/>
        </w:rPr>
      </w:pPr>
      <w:r>
        <w:rPr>
          <w:rFonts w:cs="Times New Roman"/>
          <w:lang w:eastAsia="en-AU"/>
        </w:rPr>
        <w:t>(b)</w:t>
      </w:r>
      <w:r>
        <w:rPr>
          <w:rFonts w:cs="Times New Roman"/>
          <w:lang w:eastAsia="en-AU"/>
        </w:rPr>
        <w:tab/>
      </w:r>
      <w:r w:rsidRPr="00995E6E">
        <w:rPr>
          <w:rFonts w:cs="Times New Roman"/>
          <w:lang w:eastAsia="en-AU"/>
        </w:rPr>
        <w:t>The other movements in non-financial assets in 2017-18 predominantly relates to the Ravenhall Prison project, the new Bendigo Hospital project (stage 2)</w:t>
      </w:r>
      <w:r>
        <w:rPr>
          <w:rFonts w:cs="Times New Roman"/>
          <w:lang w:eastAsia="en-AU"/>
        </w:rPr>
        <w:t xml:space="preserve"> </w:t>
      </w:r>
      <w:r w:rsidRPr="00995E6E">
        <w:rPr>
          <w:rFonts w:cs="Times New Roman"/>
          <w:lang w:eastAsia="en-AU"/>
        </w:rPr>
        <w:t xml:space="preserve">and the New Schools PPP project (tranche 2). The 2018-19 and 2019-20 estimates relate to the High Capacity Metro Trains Project. The 2020-21 estimates relate to the High Capacity Metro Trains Project and the Western Roads </w:t>
      </w:r>
      <w:r>
        <w:rPr>
          <w:rFonts w:cs="Times New Roman"/>
          <w:lang w:eastAsia="en-AU"/>
        </w:rPr>
        <w:t>Upgrade</w:t>
      </w:r>
      <w:r w:rsidRPr="00995E6E">
        <w:rPr>
          <w:rFonts w:cs="Times New Roman"/>
          <w:lang w:eastAsia="en-AU"/>
        </w:rPr>
        <w:t>.</w:t>
      </w:r>
    </w:p>
    <w:p w:rsidR="00A46DCA" w:rsidRDefault="00A46DCA">
      <w:pPr>
        <w:keepLines w:val="0"/>
        <w:rPr>
          <w:rFonts w:asciiTheme="majorHAnsi" w:eastAsiaTheme="majorEastAsia" w:hAnsiTheme="majorHAnsi" w:cstheme="majorBidi"/>
          <w:b/>
          <w:bCs/>
          <w:caps/>
          <w:spacing w:val="-2"/>
          <w:sz w:val="26"/>
          <w:szCs w:val="28"/>
        </w:rPr>
      </w:pPr>
      <w:r>
        <w:br w:type="page"/>
      </w:r>
    </w:p>
    <w:p w:rsidR="00A46DCA" w:rsidRDefault="00A46DCA" w:rsidP="00A26D04">
      <w:pPr>
        <w:pStyle w:val="Heading10"/>
      </w:pPr>
      <w:bookmarkStart w:id="60" w:name="_Toc500435579"/>
      <w:r>
        <w:lastRenderedPageBreak/>
        <w:t>Victoria’s loan council allocation</w:t>
      </w:r>
      <w:bookmarkEnd w:id="60"/>
    </w:p>
    <w:p w:rsidR="00A46DCA" w:rsidRDefault="00A46DCA" w:rsidP="00A26D04">
      <w:r>
        <w:t xml:space="preserve">Under the Uniform Presentation Framework (UPF), Victoria is required to publish the Loan Council Allocation (LCA) estimates. The LCA measures each government’s net call on financial markets in a given financial year to meet its budget obligations. The method of public release is the responsibility of each jurisdiction. Victoria discloses its LCA information through the Financial Report for the State of Victoria, Budget Paper No. 5 </w:t>
      </w:r>
      <w:r w:rsidRPr="00660524">
        <w:rPr>
          <w:i/>
        </w:rPr>
        <w:t>Statement of Finances</w:t>
      </w:r>
      <w:r>
        <w:t xml:space="preserve"> and Budget Update.</w:t>
      </w:r>
    </w:p>
    <w:p w:rsidR="00A46DCA" w:rsidRDefault="00A46DCA" w:rsidP="00A26D04">
      <w:r>
        <w:t xml:space="preserve">Table 5.25 compares the Victorian 2017-18 LCA nomination approved by the Loan Council in April 2017, with a revised LCA based upon </w:t>
      </w:r>
      <w:r w:rsidRPr="0027459D">
        <w:rPr>
          <w:i/>
        </w:rPr>
        <w:t>2017-18 Budget Update</w:t>
      </w:r>
      <w:r>
        <w:t xml:space="preserve"> estimates.</w:t>
      </w:r>
    </w:p>
    <w:p w:rsidR="00A46DCA" w:rsidRPr="00731399" w:rsidRDefault="00A46DCA" w:rsidP="00A26D04">
      <w:pPr>
        <w:pStyle w:val="TableHeading"/>
        <w:rPr>
          <w:bCs/>
          <w:lang w:val="en-US"/>
        </w:rPr>
      </w:pPr>
      <w:r>
        <w:t>Table 5.25</w:t>
      </w:r>
      <w:r w:rsidR="00D02086">
        <w:t>:</w:t>
      </w:r>
      <w:r>
        <w:tab/>
        <w:t>Loan Council Allocation</w:t>
      </w:r>
      <w:r>
        <w:tab/>
        <w:t>($ million)</w:t>
      </w:r>
    </w:p>
    <w:tbl>
      <w:tblPr>
        <w:tblStyle w:val="DTFTable"/>
        <w:tblW w:w="7766" w:type="dxa"/>
        <w:tblInd w:w="45" w:type="dxa"/>
        <w:tblLayout w:type="fixed"/>
        <w:tblCellMar>
          <w:left w:w="45" w:type="dxa"/>
          <w:right w:w="45" w:type="dxa"/>
        </w:tblCellMar>
        <w:tblLook w:val="06E0" w:firstRow="1" w:lastRow="1" w:firstColumn="1" w:lastColumn="0" w:noHBand="1" w:noVBand="1"/>
      </w:tblPr>
      <w:tblGrid>
        <w:gridCol w:w="5669"/>
        <w:gridCol w:w="1247"/>
        <w:gridCol w:w="850"/>
      </w:tblGrid>
      <w:tr w:rsidR="00A26D04" w:rsidRPr="00731399" w:rsidTr="00A26D04">
        <w:trPr>
          <w:cnfStyle w:val="100000000000" w:firstRow="1" w:lastRow="0" w:firstColumn="0" w:lastColumn="0" w:oddVBand="0" w:evenVBand="0" w:oddHBand="0" w:evenHBand="0" w:firstRowFirstColumn="0" w:firstRowLastColumn="0" w:lastRowFirstColumn="0" w:lastRowLastColumn="0"/>
          <w:trHeight w:val="465"/>
          <w:tblHeader/>
        </w:trPr>
        <w:tc>
          <w:tcPr>
            <w:cnfStyle w:val="001000000000" w:firstRow="0" w:lastRow="0" w:firstColumn="1" w:lastColumn="0" w:oddVBand="0" w:evenVBand="0" w:oddHBand="0" w:evenHBand="0" w:firstRowFirstColumn="0" w:firstRowLastColumn="0" w:lastRowFirstColumn="0" w:lastRowLastColumn="0"/>
            <w:tcW w:w="5669" w:type="dxa"/>
            <w:tcBorders>
              <w:top w:val="nil"/>
              <w:left w:val="nil"/>
              <w:right w:val="nil"/>
            </w:tcBorders>
            <w:shd w:val="solid" w:color="000000" w:fill="auto"/>
          </w:tcPr>
          <w:p w:rsidR="00A26D04" w:rsidRPr="00731399" w:rsidRDefault="00A26D04" w:rsidP="00A26D04">
            <w:pPr>
              <w:autoSpaceDE w:val="0"/>
              <w:autoSpaceDN w:val="0"/>
              <w:adjustRightInd w:val="0"/>
              <w:rPr>
                <w:rFonts w:eastAsiaTheme="minorEastAsia" w:cs="Calibri"/>
                <w:iCs/>
                <w:color w:val="FFFFFF"/>
                <w:szCs w:val="19"/>
                <w:lang w:eastAsia="en-AU"/>
              </w:rPr>
            </w:pPr>
            <w:r w:rsidRPr="00731399">
              <w:rPr>
                <w:rFonts w:eastAsiaTheme="minorEastAsia" w:cs="Calibri"/>
                <w:iCs/>
                <w:color w:val="FFFFFF"/>
                <w:szCs w:val="19"/>
                <w:lang w:eastAsia="en-AU"/>
              </w:rPr>
              <w:t xml:space="preserve">  </w:t>
            </w:r>
          </w:p>
        </w:tc>
        <w:tc>
          <w:tcPr>
            <w:tcW w:w="1247" w:type="dxa"/>
            <w:tcBorders>
              <w:top w:val="nil"/>
              <w:left w:val="nil"/>
              <w:right w:val="nil"/>
            </w:tcBorders>
            <w:shd w:val="solid" w:color="000000" w:fill="auto"/>
          </w:tcPr>
          <w:p w:rsidR="00A26D04" w:rsidRPr="00731399" w:rsidRDefault="00A26D04" w:rsidP="00A26D0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9"/>
                <w:lang w:eastAsia="en-AU"/>
              </w:rPr>
            </w:pPr>
            <w:r w:rsidRPr="00731399">
              <w:rPr>
                <w:rFonts w:eastAsiaTheme="minorEastAsia" w:cs="Calibri"/>
                <w:iCs/>
                <w:color w:val="FFFFFF"/>
                <w:szCs w:val="19"/>
                <w:lang w:eastAsia="en-AU"/>
              </w:rPr>
              <w:t>2017-18</w:t>
            </w:r>
            <w:r>
              <w:rPr>
                <w:rFonts w:eastAsiaTheme="minorEastAsia" w:cs="Calibri"/>
                <w:iCs/>
                <w:color w:val="FFFFFF"/>
                <w:szCs w:val="19"/>
                <w:lang w:eastAsia="en-AU"/>
              </w:rPr>
              <w:br/>
            </w:r>
            <w:r w:rsidRPr="00731399">
              <w:rPr>
                <w:rFonts w:eastAsiaTheme="minorEastAsia" w:cs="Calibri"/>
                <w:iCs/>
                <w:color w:val="FFFFFF"/>
                <w:szCs w:val="19"/>
                <w:lang w:eastAsia="en-AU"/>
              </w:rPr>
              <w:t>nomination</w:t>
            </w:r>
          </w:p>
        </w:tc>
        <w:tc>
          <w:tcPr>
            <w:tcW w:w="850" w:type="dxa"/>
            <w:tcBorders>
              <w:top w:val="nil"/>
              <w:left w:val="nil"/>
              <w:right w:val="nil"/>
            </w:tcBorders>
            <w:shd w:val="solid" w:color="000000" w:fill="auto"/>
          </w:tcPr>
          <w:p w:rsidR="00A26D04" w:rsidRPr="00731399" w:rsidRDefault="00A26D04" w:rsidP="00A26D0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9"/>
                <w:lang w:eastAsia="en-AU"/>
              </w:rPr>
            </w:pPr>
            <w:r w:rsidRPr="00731399">
              <w:rPr>
                <w:rFonts w:eastAsiaTheme="minorEastAsia" w:cs="Calibri"/>
                <w:iCs/>
                <w:color w:val="FFFFFF"/>
                <w:szCs w:val="19"/>
                <w:lang w:eastAsia="en-AU"/>
              </w:rPr>
              <w:t>2017-18</w:t>
            </w:r>
            <w:r>
              <w:rPr>
                <w:rFonts w:eastAsiaTheme="minorEastAsia" w:cs="Calibri"/>
                <w:iCs/>
                <w:color w:val="FFFFFF"/>
                <w:szCs w:val="19"/>
                <w:lang w:eastAsia="en-AU"/>
              </w:rPr>
              <w:br/>
            </w:r>
            <w:r w:rsidRPr="00731399">
              <w:rPr>
                <w:rFonts w:eastAsiaTheme="minorEastAsia" w:cs="Calibri"/>
                <w:iCs/>
                <w:color w:val="FFFFFF"/>
                <w:szCs w:val="19"/>
                <w:lang w:eastAsia="en-AU"/>
              </w:rPr>
              <w:t>revised</w:t>
            </w:r>
          </w:p>
        </w:tc>
      </w:tr>
      <w:tr w:rsidR="00A46DCA" w:rsidRPr="00731399" w:rsidTr="00A26D04">
        <w:tc>
          <w:tcPr>
            <w:cnfStyle w:val="001000000000" w:firstRow="0" w:lastRow="0" w:firstColumn="1" w:lastColumn="0" w:oddVBand="0" w:evenVBand="0" w:oddHBand="0" w:evenHBand="0" w:firstRowFirstColumn="0" w:firstRowLastColumn="0" w:lastRowFirstColumn="0" w:lastRowLastColumn="0"/>
            <w:tcW w:w="5669" w:type="dxa"/>
            <w:tcBorders>
              <w:top w:val="nil"/>
              <w:left w:val="nil"/>
              <w:bottom w:val="nil"/>
              <w:right w:val="nil"/>
            </w:tcBorders>
          </w:tcPr>
          <w:p w:rsidR="00A46DCA" w:rsidRPr="00731399" w:rsidRDefault="00A46DCA" w:rsidP="00A26D04">
            <w:pPr>
              <w:keepLines w:val="0"/>
              <w:autoSpaceDE w:val="0"/>
              <w:autoSpaceDN w:val="0"/>
              <w:adjustRightInd w:val="0"/>
              <w:rPr>
                <w:rFonts w:eastAsiaTheme="minorEastAsia" w:cs="Calibri"/>
                <w:color w:val="000000"/>
                <w:szCs w:val="19"/>
                <w:lang w:eastAsia="en-AU"/>
              </w:rPr>
            </w:pPr>
            <w:r w:rsidRPr="00731399">
              <w:rPr>
                <w:rFonts w:eastAsiaTheme="minorEastAsia" w:cs="Calibri"/>
                <w:color w:val="000000"/>
                <w:szCs w:val="19"/>
                <w:lang w:eastAsia="en-AU"/>
              </w:rPr>
              <w:t>General government cash deficit (+) or surplus (-)</w:t>
            </w:r>
          </w:p>
        </w:tc>
        <w:tc>
          <w:tcPr>
            <w:tcW w:w="1247" w:type="dxa"/>
            <w:tcBorders>
              <w:top w:val="nil"/>
              <w:left w:val="nil"/>
              <w:bottom w:val="nil"/>
              <w:right w:val="nil"/>
            </w:tcBorders>
          </w:tcPr>
          <w:p w:rsidR="00A46DCA" w:rsidRPr="00731399"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lang w:eastAsia="en-AU"/>
              </w:rPr>
            </w:pPr>
            <w:r>
              <w:rPr>
                <w:rFonts w:eastAsiaTheme="minorEastAsia" w:cs="Calibri"/>
                <w:color w:val="000000"/>
                <w:szCs w:val="19"/>
                <w:lang w:eastAsia="en-AU"/>
              </w:rPr>
              <w:t>3 412</w:t>
            </w:r>
          </w:p>
        </w:tc>
        <w:tc>
          <w:tcPr>
            <w:tcW w:w="850" w:type="dxa"/>
            <w:tcBorders>
              <w:top w:val="nil"/>
              <w:left w:val="nil"/>
              <w:bottom w:val="nil"/>
              <w:right w:val="nil"/>
            </w:tcBorders>
          </w:tcPr>
          <w:p w:rsidR="00A46DCA" w:rsidRPr="00731399"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lang w:eastAsia="en-AU"/>
              </w:rPr>
            </w:pPr>
            <w:r>
              <w:rPr>
                <w:rFonts w:eastAsiaTheme="minorEastAsia" w:cs="Calibri"/>
                <w:color w:val="000000"/>
                <w:szCs w:val="19"/>
                <w:lang w:eastAsia="en-AU"/>
              </w:rPr>
              <w:t>4 864</w:t>
            </w:r>
          </w:p>
        </w:tc>
      </w:tr>
      <w:tr w:rsidR="00A46DCA" w:rsidRPr="00731399" w:rsidTr="00A26D04">
        <w:tc>
          <w:tcPr>
            <w:cnfStyle w:val="001000000000" w:firstRow="0" w:lastRow="0" w:firstColumn="1" w:lastColumn="0" w:oddVBand="0" w:evenVBand="0" w:oddHBand="0" w:evenHBand="0" w:firstRowFirstColumn="0" w:firstRowLastColumn="0" w:lastRowFirstColumn="0" w:lastRowLastColumn="0"/>
            <w:tcW w:w="5669" w:type="dxa"/>
            <w:tcBorders>
              <w:top w:val="nil"/>
              <w:left w:val="nil"/>
              <w:bottom w:val="nil"/>
              <w:right w:val="nil"/>
            </w:tcBorders>
          </w:tcPr>
          <w:p w:rsidR="00A46DCA" w:rsidRPr="00731399" w:rsidRDefault="00A46DCA" w:rsidP="00A26D04">
            <w:pPr>
              <w:keepLines w:val="0"/>
              <w:autoSpaceDE w:val="0"/>
              <w:autoSpaceDN w:val="0"/>
              <w:adjustRightInd w:val="0"/>
              <w:rPr>
                <w:rFonts w:eastAsiaTheme="minorEastAsia" w:cs="Calibri"/>
                <w:color w:val="000000"/>
                <w:szCs w:val="19"/>
                <w:lang w:eastAsia="en-AU"/>
              </w:rPr>
            </w:pPr>
            <w:r w:rsidRPr="00731399">
              <w:rPr>
                <w:rFonts w:eastAsiaTheme="minorEastAsia" w:cs="Calibri"/>
                <w:color w:val="000000"/>
                <w:szCs w:val="19"/>
                <w:lang w:eastAsia="en-AU"/>
              </w:rPr>
              <w:t>Public non-financial corporations sector cash deficit (+) or surplus (-)</w:t>
            </w:r>
          </w:p>
        </w:tc>
        <w:tc>
          <w:tcPr>
            <w:tcW w:w="1247" w:type="dxa"/>
            <w:tcBorders>
              <w:top w:val="nil"/>
              <w:left w:val="nil"/>
              <w:bottom w:val="single" w:sz="6" w:space="0" w:color="auto"/>
              <w:right w:val="nil"/>
            </w:tcBorders>
          </w:tcPr>
          <w:p w:rsidR="00A46DCA" w:rsidRPr="00731399"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lang w:eastAsia="en-AU"/>
              </w:rPr>
            </w:pPr>
            <w:r>
              <w:rPr>
                <w:rFonts w:eastAsiaTheme="minorEastAsia" w:cs="Calibri"/>
                <w:color w:val="000000"/>
                <w:szCs w:val="19"/>
                <w:lang w:eastAsia="en-AU"/>
              </w:rPr>
              <w:t>1 395</w:t>
            </w:r>
          </w:p>
        </w:tc>
        <w:tc>
          <w:tcPr>
            <w:tcW w:w="850" w:type="dxa"/>
            <w:tcBorders>
              <w:top w:val="nil"/>
              <w:left w:val="nil"/>
              <w:bottom w:val="single" w:sz="6" w:space="0" w:color="auto"/>
              <w:right w:val="nil"/>
            </w:tcBorders>
          </w:tcPr>
          <w:p w:rsidR="00A46DCA" w:rsidRPr="00731399"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lang w:eastAsia="en-AU"/>
              </w:rPr>
            </w:pPr>
            <w:r>
              <w:rPr>
                <w:rFonts w:eastAsiaTheme="minorEastAsia" w:cs="Calibri"/>
                <w:color w:val="000000"/>
                <w:szCs w:val="19"/>
                <w:lang w:eastAsia="en-AU"/>
              </w:rPr>
              <w:t>1 773</w:t>
            </w:r>
          </w:p>
        </w:tc>
      </w:tr>
      <w:tr w:rsidR="00A46DCA" w:rsidRPr="00731399" w:rsidTr="00A26D04">
        <w:tc>
          <w:tcPr>
            <w:cnfStyle w:val="001000000000" w:firstRow="0" w:lastRow="0" w:firstColumn="1" w:lastColumn="0" w:oddVBand="0" w:evenVBand="0" w:oddHBand="0" w:evenHBand="0" w:firstRowFirstColumn="0" w:firstRowLastColumn="0" w:lastRowFirstColumn="0" w:lastRowLastColumn="0"/>
            <w:tcW w:w="5669" w:type="dxa"/>
            <w:tcBorders>
              <w:top w:val="single" w:sz="6" w:space="0" w:color="auto"/>
              <w:left w:val="nil"/>
              <w:bottom w:val="nil"/>
              <w:right w:val="nil"/>
            </w:tcBorders>
          </w:tcPr>
          <w:p w:rsidR="00A46DCA" w:rsidRPr="00731399" w:rsidRDefault="00A46DCA" w:rsidP="00A26D04">
            <w:pPr>
              <w:keepLines w:val="0"/>
              <w:autoSpaceDE w:val="0"/>
              <w:autoSpaceDN w:val="0"/>
              <w:adjustRightInd w:val="0"/>
              <w:rPr>
                <w:rFonts w:eastAsiaTheme="minorEastAsia" w:cs="Calibri"/>
                <w:color w:val="000000"/>
                <w:szCs w:val="19"/>
                <w:vertAlign w:val="superscript"/>
                <w:lang w:eastAsia="en-AU"/>
              </w:rPr>
            </w:pPr>
            <w:r w:rsidRPr="00731399">
              <w:rPr>
                <w:rFonts w:eastAsiaTheme="minorEastAsia" w:cs="Calibri"/>
                <w:color w:val="000000"/>
                <w:szCs w:val="19"/>
                <w:lang w:eastAsia="en-AU"/>
              </w:rPr>
              <w:t xml:space="preserve">Non-financial public sector cash deficit (+) or surplus (-) </w:t>
            </w:r>
            <w:r w:rsidRPr="00731399">
              <w:rPr>
                <w:rFonts w:eastAsiaTheme="minorEastAsia" w:cs="Calibri"/>
                <w:color w:val="000000"/>
                <w:szCs w:val="19"/>
                <w:vertAlign w:val="superscript"/>
                <w:lang w:eastAsia="en-AU"/>
              </w:rPr>
              <w:t>(a)</w:t>
            </w:r>
          </w:p>
        </w:tc>
        <w:tc>
          <w:tcPr>
            <w:tcW w:w="1247" w:type="dxa"/>
            <w:tcBorders>
              <w:top w:val="nil"/>
              <w:left w:val="nil"/>
              <w:bottom w:val="nil"/>
              <w:right w:val="nil"/>
            </w:tcBorders>
          </w:tcPr>
          <w:p w:rsidR="00A46DCA" w:rsidRPr="00731399"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lang w:eastAsia="en-AU"/>
              </w:rPr>
            </w:pPr>
            <w:r>
              <w:rPr>
                <w:rFonts w:eastAsiaTheme="minorEastAsia" w:cs="Calibri"/>
                <w:color w:val="000000"/>
                <w:szCs w:val="19"/>
                <w:lang w:eastAsia="en-AU"/>
              </w:rPr>
              <w:t>4 802</w:t>
            </w:r>
          </w:p>
        </w:tc>
        <w:tc>
          <w:tcPr>
            <w:tcW w:w="850" w:type="dxa"/>
            <w:tcBorders>
              <w:top w:val="nil"/>
              <w:left w:val="nil"/>
              <w:bottom w:val="nil"/>
              <w:right w:val="nil"/>
            </w:tcBorders>
          </w:tcPr>
          <w:p w:rsidR="00A46DCA" w:rsidRPr="00731399"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lang w:eastAsia="en-AU"/>
              </w:rPr>
            </w:pPr>
            <w:r>
              <w:rPr>
                <w:rFonts w:eastAsiaTheme="minorEastAsia" w:cs="Calibri"/>
                <w:color w:val="000000"/>
                <w:szCs w:val="19"/>
                <w:lang w:eastAsia="en-AU"/>
              </w:rPr>
              <w:t>6 633</w:t>
            </w:r>
          </w:p>
        </w:tc>
      </w:tr>
      <w:tr w:rsidR="00A46DCA" w:rsidRPr="00731399" w:rsidTr="00A26D04">
        <w:tc>
          <w:tcPr>
            <w:cnfStyle w:val="001000000000" w:firstRow="0" w:lastRow="0" w:firstColumn="1" w:lastColumn="0" w:oddVBand="0" w:evenVBand="0" w:oddHBand="0" w:evenHBand="0" w:firstRowFirstColumn="0" w:firstRowLastColumn="0" w:lastRowFirstColumn="0" w:lastRowLastColumn="0"/>
            <w:tcW w:w="5669" w:type="dxa"/>
            <w:tcBorders>
              <w:top w:val="nil"/>
              <w:left w:val="nil"/>
              <w:bottom w:val="nil"/>
              <w:right w:val="nil"/>
            </w:tcBorders>
          </w:tcPr>
          <w:p w:rsidR="00A46DCA" w:rsidRPr="00731399" w:rsidRDefault="00A46DCA" w:rsidP="00A26D04">
            <w:pPr>
              <w:keepLines w:val="0"/>
              <w:autoSpaceDE w:val="0"/>
              <w:autoSpaceDN w:val="0"/>
              <w:adjustRightInd w:val="0"/>
              <w:rPr>
                <w:rFonts w:eastAsiaTheme="minorEastAsia" w:cs="Calibri"/>
                <w:color w:val="000000"/>
                <w:szCs w:val="19"/>
                <w:lang w:eastAsia="en-AU"/>
              </w:rPr>
            </w:pPr>
            <w:r w:rsidRPr="00731399">
              <w:rPr>
                <w:rFonts w:eastAsiaTheme="minorEastAsia" w:cs="Calibri"/>
                <w:color w:val="000000"/>
                <w:szCs w:val="19"/>
                <w:lang w:eastAsia="en-AU"/>
              </w:rPr>
              <w:t>Acquisitions under finance leases and similar arrangements</w:t>
            </w:r>
          </w:p>
        </w:tc>
        <w:tc>
          <w:tcPr>
            <w:tcW w:w="1247" w:type="dxa"/>
            <w:tcBorders>
              <w:top w:val="nil"/>
              <w:left w:val="nil"/>
              <w:bottom w:val="single" w:sz="6" w:space="0" w:color="auto"/>
              <w:right w:val="nil"/>
            </w:tcBorders>
          </w:tcPr>
          <w:p w:rsidR="00A46DCA" w:rsidRPr="00731399"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lang w:eastAsia="en-AU"/>
              </w:rPr>
            </w:pPr>
            <w:r>
              <w:rPr>
                <w:rFonts w:eastAsiaTheme="minorEastAsia" w:cs="Calibri"/>
                <w:color w:val="000000"/>
                <w:szCs w:val="19"/>
                <w:lang w:eastAsia="en-AU"/>
              </w:rPr>
              <w:t>647</w:t>
            </w:r>
          </w:p>
        </w:tc>
        <w:tc>
          <w:tcPr>
            <w:tcW w:w="850" w:type="dxa"/>
            <w:tcBorders>
              <w:top w:val="nil"/>
              <w:left w:val="nil"/>
              <w:bottom w:val="single" w:sz="6" w:space="0" w:color="auto"/>
              <w:right w:val="nil"/>
            </w:tcBorders>
          </w:tcPr>
          <w:p w:rsidR="00A46DCA" w:rsidRPr="00731399"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lang w:eastAsia="en-AU"/>
              </w:rPr>
            </w:pPr>
            <w:r>
              <w:rPr>
                <w:rFonts w:eastAsiaTheme="minorEastAsia" w:cs="Calibri"/>
                <w:color w:val="000000"/>
                <w:szCs w:val="19"/>
                <w:lang w:eastAsia="en-AU"/>
              </w:rPr>
              <w:t>647</w:t>
            </w:r>
          </w:p>
        </w:tc>
      </w:tr>
      <w:tr w:rsidR="00A46DCA" w:rsidRPr="00731399" w:rsidTr="00A26D04">
        <w:tc>
          <w:tcPr>
            <w:cnfStyle w:val="001000000000" w:firstRow="0" w:lastRow="0" w:firstColumn="1" w:lastColumn="0" w:oddVBand="0" w:evenVBand="0" w:oddHBand="0" w:evenHBand="0" w:firstRowFirstColumn="0" w:firstRowLastColumn="0" w:lastRowFirstColumn="0" w:lastRowLastColumn="0"/>
            <w:tcW w:w="5669" w:type="dxa"/>
            <w:tcBorders>
              <w:top w:val="single" w:sz="6" w:space="0" w:color="auto"/>
              <w:left w:val="nil"/>
              <w:bottom w:val="nil"/>
              <w:right w:val="nil"/>
            </w:tcBorders>
          </w:tcPr>
          <w:p w:rsidR="00A46DCA" w:rsidRPr="00731399" w:rsidRDefault="00A46DCA" w:rsidP="00A26D04">
            <w:pPr>
              <w:keepLines w:val="0"/>
              <w:autoSpaceDE w:val="0"/>
              <w:autoSpaceDN w:val="0"/>
              <w:adjustRightInd w:val="0"/>
              <w:rPr>
                <w:rFonts w:eastAsiaTheme="minorEastAsia" w:cs="Calibri"/>
                <w:color w:val="000000"/>
                <w:szCs w:val="19"/>
                <w:lang w:eastAsia="en-AU"/>
              </w:rPr>
            </w:pPr>
            <w:r w:rsidRPr="00731399">
              <w:rPr>
                <w:rFonts w:eastAsiaTheme="minorEastAsia" w:cs="Calibri"/>
                <w:color w:val="000000"/>
                <w:szCs w:val="19"/>
                <w:lang w:eastAsia="en-AU"/>
              </w:rPr>
              <w:t>ABS GFS cash deficit (+) or surplus (-)</w:t>
            </w:r>
          </w:p>
        </w:tc>
        <w:tc>
          <w:tcPr>
            <w:tcW w:w="1247" w:type="dxa"/>
            <w:tcBorders>
              <w:top w:val="nil"/>
              <w:left w:val="nil"/>
              <w:bottom w:val="nil"/>
              <w:right w:val="nil"/>
            </w:tcBorders>
          </w:tcPr>
          <w:p w:rsidR="00A46DCA" w:rsidRPr="00731399"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lang w:eastAsia="en-AU"/>
              </w:rPr>
            </w:pPr>
            <w:r>
              <w:rPr>
                <w:rFonts w:eastAsiaTheme="minorEastAsia" w:cs="Calibri"/>
                <w:color w:val="000000"/>
                <w:szCs w:val="19"/>
                <w:lang w:eastAsia="en-AU"/>
              </w:rPr>
              <w:t>5 448</w:t>
            </w:r>
          </w:p>
        </w:tc>
        <w:tc>
          <w:tcPr>
            <w:tcW w:w="850" w:type="dxa"/>
            <w:tcBorders>
              <w:top w:val="nil"/>
              <w:left w:val="nil"/>
              <w:bottom w:val="nil"/>
              <w:right w:val="nil"/>
            </w:tcBorders>
          </w:tcPr>
          <w:p w:rsidR="00A46DCA" w:rsidRPr="00731399"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lang w:eastAsia="en-AU"/>
              </w:rPr>
            </w:pPr>
            <w:r>
              <w:rPr>
                <w:rFonts w:eastAsiaTheme="minorEastAsia" w:cs="Calibri"/>
                <w:color w:val="000000"/>
                <w:szCs w:val="19"/>
                <w:lang w:eastAsia="en-AU"/>
              </w:rPr>
              <w:t>7 280</w:t>
            </w:r>
          </w:p>
        </w:tc>
      </w:tr>
      <w:tr w:rsidR="00A46DCA" w:rsidRPr="00731399" w:rsidTr="00A26D04">
        <w:tc>
          <w:tcPr>
            <w:cnfStyle w:val="001000000000" w:firstRow="0" w:lastRow="0" w:firstColumn="1" w:lastColumn="0" w:oddVBand="0" w:evenVBand="0" w:oddHBand="0" w:evenHBand="0" w:firstRowFirstColumn="0" w:firstRowLastColumn="0" w:lastRowFirstColumn="0" w:lastRowLastColumn="0"/>
            <w:tcW w:w="5669" w:type="dxa"/>
            <w:tcBorders>
              <w:top w:val="nil"/>
              <w:left w:val="nil"/>
              <w:bottom w:val="nil"/>
              <w:right w:val="nil"/>
            </w:tcBorders>
          </w:tcPr>
          <w:p w:rsidR="00A46DCA" w:rsidRPr="00731399" w:rsidRDefault="00A46DCA" w:rsidP="00A26D04">
            <w:pPr>
              <w:keepLines w:val="0"/>
              <w:autoSpaceDE w:val="0"/>
              <w:autoSpaceDN w:val="0"/>
              <w:adjustRightInd w:val="0"/>
              <w:rPr>
                <w:rFonts w:eastAsiaTheme="minorEastAsia" w:cs="Calibri"/>
                <w:color w:val="000000"/>
                <w:szCs w:val="19"/>
                <w:vertAlign w:val="superscript"/>
                <w:lang w:eastAsia="en-AU"/>
              </w:rPr>
            </w:pPr>
            <w:r w:rsidRPr="00731399">
              <w:rPr>
                <w:rFonts w:eastAsiaTheme="minorEastAsia" w:cs="Calibri"/>
                <w:i/>
                <w:iCs/>
                <w:color w:val="000000"/>
                <w:szCs w:val="19"/>
                <w:lang w:eastAsia="en-AU"/>
              </w:rPr>
              <w:t xml:space="preserve">Less net cash flows from investments in financial assets for policy purposes </w:t>
            </w:r>
            <w:r w:rsidRPr="00731399">
              <w:rPr>
                <w:rFonts w:eastAsiaTheme="minorEastAsia" w:cs="Calibri"/>
                <w:color w:val="000000"/>
                <w:szCs w:val="19"/>
                <w:vertAlign w:val="superscript"/>
                <w:lang w:eastAsia="en-AU"/>
              </w:rPr>
              <w:t>(b)</w:t>
            </w:r>
          </w:p>
        </w:tc>
        <w:tc>
          <w:tcPr>
            <w:tcW w:w="1247" w:type="dxa"/>
            <w:tcBorders>
              <w:top w:val="nil"/>
              <w:left w:val="nil"/>
              <w:bottom w:val="nil"/>
              <w:right w:val="nil"/>
            </w:tcBorders>
          </w:tcPr>
          <w:p w:rsidR="00A46DCA" w:rsidRPr="00731399"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lang w:eastAsia="en-AU"/>
              </w:rPr>
            </w:pPr>
            <w:r>
              <w:rPr>
                <w:rFonts w:eastAsiaTheme="minorEastAsia" w:cs="Calibri"/>
                <w:color w:val="000000"/>
                <w:szCs w:val="19"/>
                <w:lang w:eastAsia="en-AU"/>
              </w:rPr>
              <w:t>733</w:t>
            </w:r>
          </w:p>
        </w:tc>
        <w:tc>
          <w:tcPr>
            <w:tcW w:w="850" w:type="dxa"/>
            <w:tcBorders>
              <w:top w:val="nil"/>
              <w:left w:val="nil"/>
              <w:bottom w:val="nil"/>
              <w:right w:val="nil"/>
            </w:tcBorders>
          </w:tcPr>
          <w:p w:rsidR="00A46DCA" w:rsidRPr="00731399"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lang w:eastAsia="en-AU"/>
              </w:rPr>
            </w:pPr>
            <w:r>
              <w:rPr>
                <w:rFonts w:eastAsiaTheme="minorEastAsia" w:cs="Calibri"/>
                <w:color w:val="000000"/>
                <w:szCs w:val="19"/>
                <w:lang w:eastAsia="en-AU"/>
              </w:rPr>
              <w:t>(69)</w:t>
            </w:r>
          </w:p>
        </w:tc>
      </w:tr>
      <w:tr w:rsidR="00A46DCA" w:rsidRPr="00731399" w:rsidTr="00A26D04">
        <w:tc>
          <w:tcPr>
            <w:cnfStyle w:val="001000000000" w:firstRow="0" w:lastRow="0" w:firstColumn="1" w:lastColumn="0" w:oddVBand="0" w:evenVBand="0" w:oddHBand="0" w:evenHBand="0" w:firstRowFirstColumn="0" w:firstRowLastColumn="0" w:lastRowFirstColumn="0" w:lastRowLastColumn="0"/>
            <w:tcW w:w="5669" w:type="dxa"/>
            <w:tcBorders>
              <w:top w:val="nil"/>
              <w:left w:val="nil"/>
              <w:bottom w:val="nil"/>
              <w:right w:val="nil"/>
            </w:tcBorders>
          </w:tcPr>
          <w:p w:rsidR="00A46DCA" w:rsidRPr="00731399" w:rsidRDefault="00A46DCA" w:rsidP="00A26D04">
            <w:pPr>
              <w:keepLines w:val="0"/>
              <w:autoSpaceDE w:val="0"/>
              <w:autoSpaceDN w:val="0"/>
              <w:adjustRightInd w:val="0"/>
              <w:rPr>
                <w:rFonts w:eastAsiaTheme="minorEastAsia" w:cs="Calibri"/>
                <w:color w:val="000000"/>
                <w:szCs w:val="19"/>
                <w:vertAlign w:val="superscript"/>
                <w:lang w:eastAsia="en-AU"/>
              </w:rPr>
            </w:pPr>
            <w:r w:rsidRPr="00731399">
              <w:rPr>
                <w:rFonts w:eastAsiaTheme="minorEastAsia" w:cs="Calibri"/>
                <w:i/>
                <w:iCs/>
                <w:color w:val="000000"/>
                <w:szCs w:val="19"/>
                <w:lang w:eastAsia="en-AU"/>
              </w:rPr>
              <w:t xml:space="preserve">Plus memorandum items </w:t>
            </w:r>
            <w:r w:rsidRPr="00731399">
              <w:rPr>
                <w:rFonts w:eastAsiaTheme="minorEastAsia" w:cs="Calibri"/>
                <w:color w:val="000000"/>
                <w:szCs w:val="19"/>
                <w:vertAlign w:val="superscript"/>
                <w:lang w:eastAsia="en-AU"/>
              </w:rPr>
              <w:t>(c)</w:t>
            </w:r>
          </w:p>
        </w:tc>
        <w:tc>
          <w:tcPr>
            <w:tcW w:w="1247" w:type="dxa"/>
            <w:tcBorders>
              <w:top w:val="nil"/>
              <w:left w:val="nil"/>
              <w:bottom w:val="nil"/>
              <w:right w:val="nil"/>
            </w:tcBorders>
          </w:tcPr>
          <w:p w:rsidR="00A46DCA" w:rsidRPr="00731399"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lang w:eastAsia="en-AU"/>
              </w:rPr>
            </w:pPr>
            <w:r>
              <w:rPr>
                <w:rFonts w:eastAsiaTheme="minorEastAsia" w:cs="Calibri"/>
                <w:color w:val="000000"/>
                <w:szCs w:val="19"/>
                <w:lang w:eastAsia="en-AU"/>
              </w:rPr>
              <w:t>291</w:t>
            </w:r>
          </w:p>
        </w:tc>
        <w:tc>
          <w:tcPr>
            <w:tcW w:w="850" w:type="dxa"/>
            <w:tcBorders>
              <w:top w:val="nil"/>
              <w:left w:val="nil"/>
              <w:bottom w:val="nil"/>
              <w:right w:val="nil"/>
            </w:tcBorders>
          </w:tcPr>
          <w:p w:rsidR="00A46DCA" w:rsidRPr="00731399"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lang w:eastAsia="en-AU"/>
              </w:rPr>
            </w:pPr>
            <w:r>
              <w:rPr>
                <w:rFonts w:eastAsiaTheme="minorEastAsia" w:cs="Calibri"/>
                <w:color w:val="000000"/>
                <w:szCs w:val="19"/>
                <w:lang w:eastAsia="en-AU"/>
              </w:rPr>
              <w:t>406</w:t>
            </w:r>
          </w:p>
        </w:tc>
      </w:tr>
      <w:tr w:rsidR="00A46DCA" w:rsidRPr="00731399" w:rsidTr="00A26D04">
        <w:tc>
          <w:tcPr>
            <w:cnfStyle w:val="001000000000" w:firstRow="0" w:lastRow="0" w:firstColumn="1" w:lastColumn="0" w:oddVBand="0" w:evenVBand="0" w:oddHBand="0" w:evenHBand="0" w:firstRowFirstColumn="0" w:firstRowLastColumn="0" w:lastRowFirstColumn="0" w:lastRowLastColumn="0"/>
            <w:tcW w:w="5669" w:type="dxa"/>
            <w:tcBorders>
              <w:top w:val="single" w:sz="6" w:space="0" w:color="auto"/>
              <w:left w:val="nil"/>
              <w:bottom w:val="single" w:sz="6" w:space="0" w:color="auto"/>
              <w:right w:val="nil"/>
            </w:tcBorders>
          </w:tcPr>
          <w:p w:rsidR="00A46DCA" w:rsidRPr="00731399" w:rsidRDefault="00A46DCA" w:rsidP="00A26D04">
            <w:pPr>
              <w:keepLines w:val="0"/>
              <w:autoSpaceDE w:val="0"/>
              <w:autoSpaceDN w:val="0"/>
              <w:adjustRightInd w:val="0"/>
              <w:rPr>
                <w:rFonts w:eastAsiaTheme="minorEastAsia" w:cs="Calibri"/>
                <w:b/>
                <w:bCs/>
                <w:color w:val="000000"/>
                <w:szCs w:val="19"/>
                <w:lang w:eastAsia="en-AU"/>
              </w:rPr>
            </w:pPr>
            <w:r w:rsidRPr="00731399">
              <w:rPr>
                <w:rFonts w:eastAsiaTheme="minorEastAsia" w:cs="Calibri"/>
                <w:b/>
                <w:bCs/>
                <w:color w:val="000000"/>
                <w:szCs w:val="19"/>
                <w:lang w:eastAsia="en-AU"/>
              </w:rPr>
              <w:t>Loan Council Allocation</w:t>
            </w:r>
          </w:p>
        </w:tc>
        <w:tc>
          <w:tcPr>
            <w:tcW w:w="1247" w:type="dxa"/>
            <w:tcBorders>
              <w:top w:val="single" w:sz="6" w:space="0" w:color="auto"/>
              <w:left w:val="nil"/>
              <w:bottom w:val="single" w:sz="6" w:space="0" w:color="auto"/>
              <w:right w:val="nil"/>
            </w:tcBorders>
            <w:shd w:val="solid" w:color="FFFFFF" w:fill="auto"/>
          </w:tcPr>
          <w:p w:rsidR="00A46DCA" w:rsidRPr="00731399"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9"/>
                <w:lang w:eastAsia="en-AU"/>
              </w:rPr>
            </w:pPr>
            <w:r>
              <w:rPr>
                <w:rFonts w:eastAsiaTheme="minorEastAsia" w:cs="Calibri"/>
                <w:b/>
                <w:bCs/>
                <w:color w:val="000000"/>
                <w:szCs w:val="19"/>
                <w:lang w:eastAsia="en-AU"/>
              </w:rPr>
              <w:t>5 007</w:t>
            </w:r>
          </w:p>
        </w:tc>
        <w:tc>
          <w:tcPr>
            <w:tcW w:w="850" w:type="dxa"/>
            <w:tcBorders>
              <w:top w:val="single" w:sz="6" w:space="0" w:color="auto"/>
              <w:left w:val="nil"/>
              <w:bottom w:val="single" w:sz="6" w:space="0" w:color="auto"/>
              <w:right w:val="nil"/>
            </w:tcBorders>
            <w:shd w:val="solid" w:color="FFFFFF" w:fill="auto"/>
          </w:tcPr>
          <w:p w:rsidR="00A46DCA" w:rsidRPr="00731399"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9"/>
                <w:lang w:eastAsia="en-AU"/>
              </w:rPr>
            </w:pPr>
            <w:r>
              <w:rPr>
                <w:rFonts w:eastAsiaTheme="minorEastAsia" w:cs="Calibri"/>
                <w:b/>
                <w:bCs/>
                <w:color w:val="000000"/>
                <w:szCs w:val="19"/>
                <w:lang w:eastAsia="en-AU"/>
              </w:rPr>
              <w:t>7 755</w:t>
            </w:r>
          </w:p>
        </w:tc>
      </w:tr>
      <w:tr w:rsidR="00A46DCA" w:rsidRPr="00731399" w:rsidTr="00A26D04">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9" w:type="dxa"/>
            <w:tcBorders>
              <w:top w:val="single" w:sz="6" w:space="0" w:color="auto"/>
              <w:bottom w:val="single" w:sz="12" w:space="0" w:color="auto"/>
            </w:tcBorders>
          </w:tcPr>
          <w:p w:rsidR="00A46DCA" w:rsidRPr="00731399" w:rsidRDefault="00A46DCA" w:rsidP="00A26D04">
            <w:pPr>
              <w:keepLines w:val="0"/>
              <w:autoSpaceDE w:val="0"/>
              <w:autoSpaceDN w:val="0"/>
              <w:adjustRightInd w:val="0"/>
              <w:rPr>
                <w:rFonts w:eastAsiaTheme="minorEastAsia" w:cs="Calibri"/>
                <w:color w:val="000000"/>
                <w:szCs w:val="19"/>
                <w:vertAlign w:val="superscript"/>
                <w:lang w:eastAsia="en-AU"/>
              </w:rPr>
            </w:pPr>
            <w:r w:rsidRPr="00731399">
              <w:rPr>
                <w:rFonts w:eastAsiaTheme="minorEastAsia" w:cs="Calibri"/>
                <w:color w:val="000000"/>
                <w:szCs w:val="19"/>
                <w:lang w:eastAsia="en-AU"/>
              </w:rPr>
              <w:t xml:space="preserve">Tolerance limit (2 per cent of non-financial public sector cash receipts from operating activities) </w:t>
            </w:r>
            <w:r w:rsidRPr="00731399">
              <w:rPr>
                <w:rFonts w:eastAsiaTheme="minorEastAsia" w:cs="Calibri"/>
                <w:color w:val="000000"/>
                <w:szCs w:val="19"/>
                <w:vertAlign w:val="superscript"/>
                <w:lang w:eastAsia="en-AU"/>
              </w:rPr>
              <w:t>(d)</w:t>
            </w:r>
          </w:p>
        </w:tc>
        <w:tc>
          <w:tcPr>
            <w:tcW w:w="1247" w:type="dxa"/>
            <w:tcBorders>
              <w:top w:val="single" w:sz="6" w:space="0" w:color="auto"/>
              <w:bottom w:val="single" w:sz="12" w:space="0" w:color="auto"/>
            </w:tcBorders>
            <w:shd w:val="solid" w:color="FFFFFF" w:fill="auto"/>
          </w:tcPr>
          <w:p w:rsidR="00A46DCA" w:rsidRPr="00731399" w:rsidRDefault="00A46DCA" w:rsidP="00A26D0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color w:val="000000"/>
                <w:szCs w:val="19"/>
                <w:lang w:eastAsia="en-AU"/>
              </w:rPr>
            </w:pPr>
            <w:r>
              <w:rPr>
                <w:rFonts w:eastAsiaTheme="minorEastAsia" w:cs="Calibri"/>
                <w:color w:val="000000"/>
                <w:szCs w:val="19"/>
                <w:lang w:eastAsia="en-AU"/>
              </w:rPr>
              <w:t>1 305</w:t>
            </w:r>
          </w:p>
        </w:tc>
        <w:tc>
          <w:tcPr>
            <w:tcW w:w="850" w:type="dxa"/>
            <w:tcBorders>
              <w:top w:val="single" w:sz="6" w:space="0" w:color="auto"/>
              <w:bottom w:val="single" w:sz="12" w:space="0" w:color="auto"/>
            </w:tcBorders>
            <w:shd w:val="solid" w:color="FFFFFF" w:fill="auto"/>
          </w:tcPr>
          <w:p w:rsidR="00A46DCA" w:rsidRPr="00731399" w:rsidRDefault="00A46DCA" w:rsidP="00A26D0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color w:val="000000"/>
                <w:szCs w:val="19"/>
                <w:lang w:eastAsia="en-AU"/>
              </w:rPr>
            </w:pPr>
            <w:r>
              <w:rPr>
                <w:rFonts w:eastAsiaTheme="minorEastAsia" w:cs="Calibri"/>
                <w:color w:val="000000"/>
                <w:szCs w:val="19"/>
                <w:lang w:eastAsia="en-AU"/>
              </w:rPr>
              <w:t>1 305</w:t>
            </w:r>
          </w:p>
        </w:tc>
      </w:tr>
    </w:tbl>
    <w:p w:rsidR="00A46DCA" w:rsidRPr="00203144" w:rsidRDefault="00A46DCA" w:rsidP="00A26D04">
      <w:pPr>
        <w:pStyle w:val="Source"/>
      </w:pPr>
      <w:r w:rsidRPr="00203144">
        <w:t>Source: Department of Treasury and Finance</w:t>
      </w:r>
    </w:p>
    <w:p w:rsidR="00A46DCA" w:rsidRDefault="00A46DCA" w:rsidP="00A26D04">
      <w:pPr>
        <w:pStyle w:val="Note"/>
      </w:pPr>
      <w:r w:rsidRPr="00AB0006">
        <w:t>Notes:</w:t>
      </w:r>
    </w:p>
    <w:p w:rsidR="00A46DCA" w:rsidRPr="003A6BA4" w:rsidRDefault="00A46DCA" w:rsidP="00A26D04">
      <w:pPr>
        <w:pStyle w:val="Note"/>
      </w:pPr>
      <w:r>
        <w:t>(a)</w:t>
      </w:r>
      <w:r>
        <w:tab/>
      </w:r>
      <w:r w:rsidRPr="003A6BA4">
        <w:t>The sum of the deficit of the general government and public non-financial corporation sectors does not directly equal the non-financial public sector cash deficit due to inter-sectoral transfers, which are netted out in the calculation of the non-financial public sector figure. The non-financial public sector cash deficit excludes finance lease acquisitions.</w:t>
      </w:r>
    </w:p>
    <w:p w:rsidR="00A46DCA" w:rsidRPr="003A6BA4" w:rsidRDefault="00A46DCA" w:rsidP="00A26D04">
      <w:pPr>
        <w:pStyle w:val="Note"/>
      </w:pPr>
      <w:r>
        <w:t>(b)</w:t>
      </w:r>
      <w:r>
        <w:tab/>
      </w:r>
      <w:r w:rsidRPr="003A6BA4">
        <w:t>The ABS GFS cash deficit is adjusted to include in the LCA the impact of net cash flows from investments in financial assets for policy purposes.</w:t>
      </w:r>
    </w:p>
    <w:p w:rsidR="00A46DCA" w:rsidRPr="003A6BA4" w:rsidRDefault="00A46DCA" w:rsidP="00A26D04">
      <w:pPr>
        <w:pStyle w:val="Note"/>
      </w:pPr>
      <w:r>
        <w:t>(c)</w:t>
      </w:r>
      <w:r>
        <w:tab/>
      </w:r>
      <w:r w:rsidRPr="003A6BA4">
        <w:t>The ABS GFS cash deficit is adjusted to include in the LCA the impact of memorandum items, which include certain transactions that have many of the characteristics of public sector borrowings but do not constitute formal borrowings (e.g. operating leases). They also include, where appropriate, transactions that the Loan Council has agreed should not be included in the LCA (e.g. the over/under funding of employers</w:t>
      </w:r>
      <w:r>
        <w:t>’</w:t>
      </w:r>
      <w:r w:rsidRPr="003A6BA4">
        <w:t xml:space="preserve"> emerging costs under public sector superannuation schemes, or borrowings by entities such as statutory marketing authorities).</w:t>
      </w:r>
    </w:p>
    <w:p w:rsidR="00A46DCA" w:rsidRPr="003A6BA4" w:rsidRDefault="00A46DCA" w:rsidP="00A26D04">
      <w:pPr>
        <w:pStyle w:val="Note"/>
      </w:pPr>
      <w:r>
        <w:t>(d)</w:t>
      </w:r>
      <w:r>
        <w:tab/>
      </w:r>
      <w:r w:rsidRPr="003A6BA4">
        <w:t>A tolerance limit equal to 2 per cent of total non-financial public sector cash receipt from operating activities applies to the movement between a jurisdiction</w:t>
      </w:r>
      <w:r>
        <w:t>’</w:t>
      </w:r>
      <w:r w:rsidRPr="003A6BA4">
        <w:t xml:space="preserve">s LCA budget estimate and LCA outcome (calculated using estimates in the </w:t>
      </w:r>
      <w:r w:rsidRPr="0027459D">
        <w:rPr>
          <w:i w:val="0"/>
        </w:rPr>
        <w:t>2017</w:t>
      </w:r>
      <w:r w:rsidRPr="0027459D">
        <w:rPr>
          <w:i w:val="0"/>
        </w:rPr>
        <w:noBreakHyphen/>
        <w:t>18 Budget Update</w:t>
      </w:r>
      <w:r w:rsidRPr="003A6BA4">
        <w:t>). The tolerance limit applying to the movemen</w:t>
      </w:r>
      <w:r>
        <w:t>t between Victoria’s 2017-18</w:t>
      </w:r>
      <w:r w:rsidRPr="003A6BA4">
        <w:t xml:space="preserve"> LCA nomination and its LCA revised budget estimate is </w:t>
      </w:r>
      <w:r w:rsidRPr="006B5AB2">
        <w:t>$1</w:t>
      </w:r>
      <w:r>
        <w:t> </w:t>
      </w:r>
      <w:r w:rsidRPr="006B5AB2">
        <w:t>305</w:t>
      </w:r>
      <w:r>
        <w:t> </w:t>
      </w:r>
      <w:r w:rsidRPr="006B5AB2">
        <w:t>million (2 per cent of $65 232 million).</w:t>
      </w:r>
    </w:p>
    <w:p w:rsidR="00A46DCA" w:rsidRDefault="00A46DCA" w:rsidP="00A26D04"/>
    <w:p w:rsidR="00A46DCA" w:rsidRPr="006F0CD6" w:rsidRDefault="00A46DCA" w:rsidP="00A26D04">
      <w:r w:rsidRPr="003F3951">
        <w:t xml:space="preserve">As part of the Loan Council arrangements, the Council has agreed that if at any time a state or territory finds it is likely to exceed its tolerance limit, in either direction, it is required to provide an explanation to the Council and, in line with the emphasis of increased transparency, to make the explanation public. </w:t>
      </w:r>
      <w:r w:rsidRPr="006D6EA6">
        <w:t>Victoria</w:t>
      </w:r>
      <w:r>
        <w:t>’</w:t>
      </w:r>
      <w:r w:rsidRPr="006D6EA6">
        <w:t>s 2017-18 revised LCA (a</w:t>
      </w:r>
      <w:r>
        <w:t> deficit of $7.8</w:t>
      </w:r>
      <w:r w:rsidRPr="006D6EA6">
        <w:t xml:space="preserve"> billion) exceeds the tolerance limit established under the LCA nomination process </w:t>
      </w:r>
      <w:r w:rsidRPr="00337546">
        <w:t xml:space="preserve">due to </w:t>
      </w:r>
      <w:r>
        <w:t xml:space="preserve">the increase in </w:t>
      </w:r>
      <w:r w:rsidRPr="00337546">
        <w:t>capital investment i</w:t>
      </w:r>
      <w:r>
        <w:t>n programs, mainly in the trans</w:t>
      </w:r>
      <w:r w:rsidRPr="00337546">
        <w:t>port sector</w:t>
      </w:r>
      <w:r w:rsidRPr="006D6EA6">
        <w:t>.</w:t>
      </w:r>
    </w:p>
    <w:p w:rsidR="00A46DCA" w:rsidRPr="005B4378" w:rsidRDefault="00A46DCA" w:rsidP="00A26D04">
      <w:pPr>
        <w:pStyle w:val="Heading10"/>
      </w:pPr>
      <w:bookmarkStart w:id="61" w:name="_Toc500435580"/>
      <w:r w:rsidRPr="005B4378">
        <w:lastRenderedPageBreak/>
        <w:t>New infrastructure projects with private sector involvement</w:t>
      </w:r>
      <w:bookmarkEnd w:id="61"/>
    </w:p>
    <w:p w:rsidR="00A46DCA" w:rsidRPr="00EB7792" w:rsidRDefault="00A46DCA" w:rsidP="00A26D04">
      <w:r>
        <w:t xml:space="preserve">For </w:t>
      </w:r>
      <w:r w:rsidRPr="00EB7792">
        <w:t>transparency,</w:t>
      </w:r>
      <w:r>
        <w:t xml:space="preserve"> under the Loan Council arrangements </w:t>
      </w:r>
      <w:r w:rsidRPr="00EB7792">
        <w:t>the State disclose</w:t>
      </w:r>
      <w:r>
        <w:t>s</w:t>
      </w:r>
      <w:r w:rsidRPr="00EB7792">
        <w:t xml:space="preserve"> the details of new </w:t>
      </w:r>
      <w:r>
        <w:t xml:space="preserve">major </w:t>
      </w:r>
      <w:r w:rsidRPr="00EB7792">
        <w:t>infrastructure projects with private sector involvement that are expected to be contracted during the LCA year</w:t>
      </w:r>
      <w:r>
        <w:t>, which have contingent exposure in the event of default by the private sector</w:t>
      </w:r>
      <w:r w:rsidRPr="00EB7792">
        <w:t>. Exposure is measured by the Government</w:t>
      </w:r>
      <w:r>
        <w:t>’</w:t>
      </w:r>
      <w:r w:rsidRPr="00EB7792">
        <w:t xml:space="preserve">s termination liabilities in a case of a private sector default and disclosed as a footnote to, rather than a component of, the LCA. The amount payable will not exceed the fair market value of the project (which is usually calculated by an independent </w:t>
      </w:r>
      <w:proofErr w:type="spellStart"/>
      <w:r w:rsidRPr="00EB7792">
        <w:t>valuer</w:t>
      </w:r>
      <w:proofErr w:type="spellEnd"/>
      <w:r w:rsidRPr="00EB7792">
        <w:t>) less any costs incurred by the Government as a result of the default.</w:t>
      </w:r>
    </w:p>
    <w:p w:rsidR="00A46DCA" w:rsidRPr="00EB7792" w:rsidRDefault="00A46DCA" w:rsidP="00A26D04">
      <w:r w:rsidRPr="00EB7792">
        <w:t>Listed below are the public private partnership (PPP) projects that are expec</w:t>
      </w:r>
      <w:r>
        <w:t>ted to be contracted in the 2017-18 financial year, for which the Government has financial exposure to in the case of private sector default.</w:t>
      </w:r>
    </w:p>
    <w:p w:rsidR="00A46DCA" w:rsidRDefault="00A46DCA" w:rsidP="00A26D04">
      <w:pPr>
        <w:pStyle w:val="Heading20"/>
      </w:pPr>
      <w:r>
        <w:t>Casey Hospital expansion</w:t>
      </w:r>
    </w:p>
    <w:p w:rsidR="00A46DCA" w:rsidRDefault="00A46DCA" w:rsidP="00A26D04">
      <w:r>
        <w:t xml:space="preserve">The Casey Hospital expansion will significantly increase the floor area of the existing facility through a new multi-storey tower that connects with the existing hospital. The expansion will add 128 beds, four new operating theatres and a new central sterile services department. The expansion will provide significant across-the-board benefits in improving local access for patients and providing an increased range of acute services, provide improved and sustainable patient outcomes, and improved operational efficiency. </w:t>
      </w:r>
    </w:p>
    <w:p w:rsidR="00A46DCA" w:rsidRPr="006F0CD6" w:rsidRDefault="00A46DCA" w:rsidP="00A26D04">
      <w:r w:rsidRPr="00A340F8">
        <w:t>The State entered into a contract with Plenary Health in September 2017 to expand the hospital as a modification under the existing Casey Hospital PPP</w:t>
      </w:r>
      <w:r>
        <w:t>. The expansion contract term aligns with the existing contract which expires in 2029. The expansion is expected to be operational in 2019.</w:t>
      </w:r>
    </w:p>
    <w:p w:rsidR="00A46DCA" w:rsidRDefault="00A46DCA" w:rsidP="00A26D04">
      <w:pPr>
        <w:pStyle w:val="Heading20"/>
      </w:pPr>
      <w:r>
        <w:t>Western Roads Upgrade</w:t>
      </w:r>
    </w:p>
    <w:p w:rsidR="00A46DCA" w:rsidRDefault="00A46DCA" w:rsidP="00A26D04">
      <w:r>
        <w:t>The Western Roads Upgrade (previously known as the Western Suburbs Roads Package) combines eight high-priority road upgrades with maintenance on more than 700 lane kilometres of road, stretching from Werribee to Footscray. The package will be procured as an availability PPP, which will ensure motorists benefit from new high quality roads, while the existing network is maintained to a high standard for years to come. The upgrades will involve both duplication and widening works to western arterial roads.</w:t>
      </w:r>
    </w:p>
    <w:p w:rsidR="00A46DCA" w:rsidRDefault="00A46DCA" w:rsidP="00A26D04">
      <w:r>
        <w:t>The project will transform the outer-western road network by boosting capacity and improving road pavement conditions with intersection upgrades, almost 30 kilometres of lane duplication, and road maintenance. These priority road upgrades and maintenance works will cut travel times, improve road safety and better connect communities in key growth corridors. The package will be delivered within five years, and the maintenance and rehabilitation contract will continue for a further 20 years. Construction is expected to begin in 2018.</w:t>
      </w:r>
    </w:p>
    <w:p w:rsidR="00A46DCA" w:rsidRPr="006F0CD6" w:rsidRDefault="00A46DCA" w:rsidP="00A26D04"/>
    <w:p w:rsidR="00A46DCA" w:rsidRDefault="00A46DCA" w:rsidP="00A26D04">
      <w:pPr>
        <w:pStyle w:val="Heading20"/>
      </w:pPr>
      <w:r>
        <w:lastRenderedPageBreak/>
        <w:t>Metro Tunnel – Tunnel and stations package</w:t>
      </w:r>
    </w:p>
    <w:p w:rsidR="00A46DCA" w:rsidRDefault="00A46DCA" w:rsidP="00A26D04">
      <w:r>
        <w:t>The Metro Tunnel project involves building twin nine-kilometre rail tunnels to create a new end-to-end rail line from Sunbury in the west to Cranbourne/Pakenham in the south</w:t>
      </w:r>
      <w:r w:rsidR="00576271">
        <w:noBreakHyphen/>
      </w:r>
      <w:r>
        <w:t>east. Five new underground stations will be built at North Melbourne, Parkville, State Library, Town Hall and Anzac (Domain), with the two new CBD stations directly connected to Flinders Street and Melbourne Central.</w:t>
      </w:r>
    </w:p>
    <w:p w:rsidR="00A46DCA" w:rsidRDefault="00A46DCA" w:rsidP="00A26D04">
      <w:r>
        <w:t xml:space="preserve">The Metro Tunnel is being built through a series of work packages. The Tunnel and Stations package valued at $6 billion is being procured as an availability-based PPP project. The successful consortium will be contracted to design, finance, construct and maintain the tunnels and provide defined asset management services at the stations. Construction is expected to begin in 2018. The contract term is for a 25-year operating period from Provisional Acceptance. Commercial opportunities for development above the Town Hall and State Library stations will be separately contracted. </w:t>
      </w:r>
    </w:p>
    <w:p w:rsidR="00A46DCA" w:rsidRDefault="00A46DCA" w:rsidP="00A26D04">
      <w:r>
        <w:t>To support increased frequency and network benefits, the other work packages will deliver early works, high capacity signalling and communication systems, and rail infrastructure upgrades in the corridor. Together with the PPP package above, the total funding allocated to the Metro Tunnel Project is $11.0 billion.</w:t>
      </w:r>
    </w:p>
    <w:p w:rsidR="00A46DCA" w:rsidRDefault="00A46DCA" w:rsidP="00480C94">
      <w:pPr>
        <w:keepLines w:val="0"/>
      </w:pPr>
      <w:r>
        <w:t>There are no other Partnerships Victoria contracts greater than $5 million that are currently expected to be signed during the 2017-18 financial year.</w:t>
      </w:r>
    </w:p>
    <w:p w:rsidR="00A46DCA" w:rsidRDefault="00A46DCA" w:rsidP="00480C94">
      <w:pPr>
        <w:keepLines w:val="0"/>
      </w:pPr>
    </w:p>
    <w:p w:rsidR="00A46DCA" w:rsidRDefault="00A46DCA" w:rsidP="00480C94">
      <w:pPr>
        <w:keepLines w:val="0"/>
        <w:sectPr w:rsidR="00A46DCA" w:rsidSect="00A26D04">
          <w:footerReference w:type="even" r:id="rId58"/>
          <w:footerReference w:type="default" r:id="rId59"/>
          <w:type w:val="continuous"/>
          <w:pgSz w:w="9979" w:h="14175" w:code="9"/>
          <w:pgMar w:top="850" w:right="1134" w:bottom="850" w:left="1134" w:header="624" w:footer="567" w:gutter="0"/>
          <w:cols w:sep="1" w:space="567"/>
          <w:docGrid w:linePitch="360"/>
        </w:sectPr>
      </w:pPr>
    </w:p>
    <w:p w:rsidR="00A46DCA" w:rsidRDefault="00A46DCA" w:rsidP="00480C94">
      <w:pPr>
        <w:keepLines w:val="0"/>
      </w:pPr>
    </w:p>
    <w:p w:rsidR="00A46DCA" w:rsidRDefault="00A46DCA" w:rsidP="00480C94">
      <w:pPr>
        <w:keepLines w:val="0"/>
        <w:sectPr w:rsidR="00A46DCA" w:rsidSect="00480C94">
          <w:footerReference w:type="even" r:id="rId60"/>
          <w:footerReference w:type="default" r:id="rId61"/>
          <w:type w:val="continuous"/>
          <w:pgSz w:w="9979" w:h="14175" w:code="9"/>
          <w:pgMar w:top="851" w:right="1134" w:bottom="851" w:left="1134" w:header="624" w:footer="567" w:gutter="0"/>
          <w:cols w:sep="1" w:space="567"/>
          <w:docGrid w:linePitch="360"/>
        </w:sectPr>
      </w:pPr>
    </w:p>
    <w:p w:rsidR="00A46DCA" w:rsidRDefault="00A46DCA" w:rsidP="000C43CD">
      <w:pPr>
        <w:pStyle w:val="Chapterheading"/>
      </w:pPr>
      <w:bookmarkStart w:id="62" w:name="_Toc500435581"/>
      <w:r>
        <w:lastRenderedPageBreak/>
        <w:t>Chapter 6 – Contingent assets and contingent liabilities</w:t>
      </w:r>
      <w:bookmarkEnd w:id="62"/>
    </w:p>
    <w:p w:rsidR="00A46DCA" w:rsidRDefault="00A46DCA" w:rsidP="00A26D04">
      <w:r>
        <w:t>This chapter contains information on contingent assets and liabilities for the general government sector and should be read in conjunction with Chapter 4</w:t>
      </w:r>
      <w:r w:rsidRPr="00EB7792">
        <w:t>.</w:t>
      </w:r>
    </w:p>
    <w:p w:rsidR="00A46DCA" w:rsidRDefault="00A46DCA" w:rsidP="00526B73">
      <w:pPr>
        <w:pStyle w:val="Heading10"/>
      </w:pPr>
      <w:bookmarkStart w:id="63" w:name="_Toc500435582"/>
      <w:r>
        <w:t>Contingent assets</w:t>
      </w:r>
      <w:bookmarkEnd w:id="63"/>
    </w:p>
    <w:p w:rsidR="00A46DCA" w:rsidRDefault="00A46DCA" w:rsidP="00A26D04">
      <w:r>
        <w:t>Contingent assets are possible assets that arise from past events, whose existence will be confirmed only by the occurrence or non-occurrence of one or more uncertain future events not wholly within the control of the entity.</w:t>
      </w:r>
    </w:p>
    <w:p w:rsidR="00A46DCA" w:rsidRDefault="00A46DCA" w:rsidP="00A26D04">
      <w:r>
        <w:t xml:space="preserve">These are classified as either quantifiable, where the potential economic benefit is known, or non-quantifiable. Table 6.1 below contains quantifiable contingent assets as at </w:t>
      </w:r>
      <w:r w:rsidRPr="007173EA">
        <w:t>29</w:t>
      </w:r>
      <w:r>
        <w:t> November 2017.</w:t>
      </w:r>
    </w:p>
    <w:p w:rsidR="00A46DCA" w:rsidRPr="00BA3D25" w:rsidRDefault="00A46DCA" w:rsidP="00A26D04">
      <w:pPr>
        <w:pStyle w:val="TableHeading"/>
        <w:rPr>
          <w:bCs/>
          <w:lang w:val="en-US"/>
        </w:rPr>
      </w:pPr>
      <w:r>
        <w:t>Table 6.1</w:t>
      </w:r>
      <w:r w:rsidR="00D02086">
        <w:t>:</w:t>
      </w:r>
      <w:r>
        <w:tab/>
        <w:t xml:space="preserve">Quantifiable contingent assets </w:t>
      </w:r>
      <w:r>
        <w:tab/>
        <w:t>(</w:t>
      </w:r>
      <w:r w:rsidR="00AD650A">
        <w:t xml:space="preserve">$ </w:t>
      </w:r>
      <w:r>
        <w:t>million)</w:t>
      </w:r>
    </w:p>
    <w:tbl>
      <w:tblPr>
        <w:tblStyle w:val="DTFTable"/>
        <w:tblW w:w="7767" w:type="dxa"/>
        <w:tblInd w:w="45" w:type="dxa"/>
        <w:tblLayout w:type="fixed"/>
        <w:tblCellMar>
          <w:left w:w="45" w:type="dxa"/>
          <w:right w:w="45" w:type="dxa"/>
        </w:tblCellMar>
        <w:tblLook w:val="06A0" w:firstRow="1" w:lastRow="0" w:firstColumn="1" w:lastColumn="0" w:noHBand="1" w:noVBand="1"/>
      </w:tblPr>
      <w:tblGrid>
        <w:gridCol w:w="5386"/>
        <w:gridCol w:w="850"/>
        <w:gridCol w:w="1531"/>
      </w:tblGrid>
      <w:tr w:rsidR="00A26D04" w:rsidRPr="00BA3D25" w:rsidTr="00D02086">
        <w:trPr>
          <w:cnfStyle w:val="100000000000" w:firstRow="1" w:lastRow="0" w:firstColumn="0" w:lastColumn="0" w:oddVBand="0" w:evenVBand="0" w:oddHBand="0" w:evenHBand="0" w:firstRowFirstColumn="0" w:firstRowLastColumn="0" w:lastRowFirstColumn="0" w:lastRowLastColumn="0"/>
          <w:trHeight w:val="70"/>
          <w:tblHeader/>
        </w:trPr>
        <w:tc>
          <w:tcPr>
            <w:cnfStyle w:val="001000000000" w:firstRow="0" w:lastRow="0" w:firstColumn="1" w:lastColumn="0" w:oddVBand="0" w:evenVBand="0" w:oddHBand="0" w:evenHBand="0" w:firstRowFirstColumn="0" w:firstRowLastColumn="0" w:lastRowFirstColumn="0" w:lastRowLastColumn="0"/>
            <w:tcW w:w="5386" w:type="dxa"/>
            <w:tcBorders>
              <w:top w:val="nil"/>
              <w:left w:val="nil"/>
              <w:right w:val="nil"/>
            </w:tcBorders>
            <w:shd w:val="solid" w:color="000000" w:fill="auto"/>
          </w:tcPr>
          <w:p w:rsidR="00A26D04" w:rsidRPr="00BA3D25" w:rsidRDefault="00A26D04" w:rsidP="00A26D04">
            <w:pPr>
              <w:autoSpaceDE w:val="0"/>
              <w:autoSpaceDN w:val="0"/>
              <w:adjustRightInd w:val="0"/>
              <w:rPr>
                <w:rFonts w:eastAsiaTheme="minorEastAsia" w:cs="Calibri"/>
                <w:iCs/>
                <w:color w:val="FFFFFF"/>
                <w:szCs w:val="19"/>
                <w:lang w:eastAsia="en-AU"/>
              </w:rPr>
            </w:pPr>
            <w:r w:rsidRPr="00BA3D25">
              <w:rPr>
                <w:rFonts w:eastAsiaTheme="minorEastAsia" w:cs="Calibri"/>
                <w:iCs/>
                <w:color w:val="FFFFFF"/>
                <w:szCs w:val="19"/>
                <w:lang w:eastAsia="en-AU"/>
              </w:rPr>
              <w:t xml:space="preserve">  </w:t>
            </w:r>
          </w:p>
        </w:tc>
        <w:tc>
          <w:tcPr>
            <w:tcW w:w="850" w:type="dxa"/>
            <w:tcBorders>
              <w:top w:val="nil"/>
              <w:left w:val="nil"/>
              <w:right w:val="nil"/>
            </w:tcBorders>
            <w:shd w:val="solid" w:color="000000" w:fill="auto"/>
          </w:tcPr>
          <w:p w:rsidR="00A26D04" w:rsidRPr="00BA3D25" w:rsidRDefault="00A26D04" w:rsidP="00A26D0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9"/>
                <w:lang w:eastAsia="en-AU"/>
              </w:rPr>
            </w:pPr>
            <w:r w:rsidRPr="00BA3D25">
              <w:rPr>
                <w:rFonts w:eastAsiaTheme="minorEastAsia" w:cs="Calibri"/>
                <w:iCs/>
                <w:color w:val="FFFFFF"/>
                <w:szCs w:val="19"/>
                <w:lang w:eastAsia="en-AU"/>
              </w:rPr>
              <w:t>As at</w:t>
            </w:r>
            <w:r>
              <w:rPr>
                <w:rFonts w:eastAsiaTheme="minorEastAsia" w:cs="Calibri"/>
                <w:iCs/>
                <w:color w:val="FFFFFF"/>
                <w:szCs w:val="19"/>
                <w:lang w:eastAsia="en-AU"/>
              </w:rPr>
              <w:br/>
            </w:r>
            <w:r w:rsidRPr="00BA3D25">
              <w:rPr>
                <w:rFonts w:eastAsiaTheme="minorEastAsia" w:cs="Calibri"/>
                <w:iCs/>
                <w:color w:val="FFFFFF"/>
                <w:szCs w:val="19"/>
                <w:lang w:eastAsia="en-AU"/>
              </w:rPr>
              <w:t>Dec 2017</w:t>
            </w:r>
          </w:p>
        </w:tc>
        <w:tc>
          <w:tcPr>
            <w:tcW w:w="1531" w:type="dxa"/>
            <w:tcBorders>
              <w:top w:val="nil"/>
              <w:left w:val="nil"/>
              <w:right w:val="nil"/>
            </w:tcBorders>
            <w:shd w:val="solid" w:color="000000" w:fill="auto"/>
          </w:tcPr>
          <w:p w:rsidR="00A26D04" w:rsidRPr="00BA3D25" w:rsidRDefault="00A26D04" w:rsidP="00A26D0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9"/>
                <w:lang w:eastAsia="en-AU"/>
              </w:rPr>
            </w:pPr>
            <w:r w:rsidRPr="00BA3D25">
              <w:rPr>
                <w:rFonts w:eastAsiaTheme="minorEastAsia" w:cs="Calibri"/>
                <w:iCs/>
                <w:color w:val="FFFFFF"/>
                <w:szCs w:val="19"/>
                <w:lang w:eastAsia="en-AU"/>
              </w:rPr>
              <w:t>Published budget</w:t>
            </w:r>
            <w:r>
              <w:rPr>
                <w:rFonts w:eastAsiaTheme="minorEastAsia" w:cs="Calibri"/>
                <w:iCs/>
                <w:color w:val="FFFFFF"/>
                <w:szCs w:val="19"/>
                <w:lang w:eastAsia="en-AU"/>
              </w:rPr>
              <w:br/>
            </w:r>
            <w:r w:rsidRPr="00BA3D25">
              <w:rPr>
                <w:rFonts w:eastAsiaTheme="minorEastAsia" w:cs="Calibri"/>
                <w:iCs/>
                <w:color w:val="FFFFFF"/>
                <w:szCs w:val="19"/>
                <w:lang w:eastAsia="en-AU"/>
              </w:rPr>
              <w:t xml:space="preserve">estimate </w:t>
            </w:r>
            <w:r w:rsidRPr="00BA3D25">
              <w:rPr>
                <w:rFonts w:eastAsiaTheme="minorEastAsia" w:cs="Calibri"/>
                <w:iCs/>
                <w:color w:val="FFFFFF"/>
                <w:szCs w:val="19"/>
                <w:vertAlign w:val="superscript"/>
                <w:lang w:eastAsia="en-AU"/>
              </w:rPr>
              <w:t>(a)</w:t>
            </w:r>
          </w:p>
        </w:tc>
      </w:tr>
      <w:tr w:rsidR="00A46DCA" w:rsidRPr="00BA3D25" w:rsidTr="00A26D04">
        <w:tc>
          <w:tcPr>
            <w:cnfStyle w:val="001000000000" w:firstRow="0" w:lastRow="0" w:firstColumn="1" w:lastColumn="0" w:oddVBand="0" w:evenVBand="0" w:oddHBand="0" w:evenHBand="0" w:firstRowFirstColumn="0" w:firstRowLastColumn="0" w:lastRowFirstColumn="0" w:lastRowLastColumn="0"/>
            <w:tcW w:w="5386" w:type="dxa"/>
            <w:tcBorders>
              <w:top w:val="nil"/>
              <w:left w:val="nil"/>
              <w:bottom w:val="nil"/>
              <w:right w:val="nil"/>
            </w:tcBorders>
          </w:tcPr>
          <w:p w:rsidR="00A46DCA" w:rsidRPr="00BA3D25" w:rsidRDefault="00A46DCA" w:rsidP="00A26D04">
            <w:pPr>
              <w:keepLines w:val="0"/>
              <w:autoSpaceDE w:val="0"/>
              <w:autoSpaceDN w:val="0"/>
              <w:adjustRightInd w:val="0"/>
              <w:rPr>
                <w:rFonts w:eastAsiaTheme="minorEastAsia" w:cs="Calibri"/>
                <w:color w:val="000000"/>
                <w:szCs w:val="19"/>
                <w:lang w:eastAsia="en-AU"/>
              </w:rPr>
            </w:pPr>
            <w:r w:rsidRPr="00BA3D25">
              <w:rPr>
                <w:rFonts w:eastAsiaTheme="minorEastAsia" w:cs="Calibri"/>
                <w:color w:val="000000"/>
                <w:szCs w:val="19"/>
                <w:lang w:eastAsia="en-AU"/>
              </w:rPr>
              <w:t>Guarantees, indemnities and warranties</w:t>
            </w:r>
          </w:p>
        </w:tc>
        <w:tc>
          <w:tcPr>
            <w:tcW w:w="850" w:type="dxa"/>
            <w:tcBorders>
              <w:top w:val="nil"/>
              <w:left w:val="nil"/>
              <w:bottom w:val="nil"/>
              <w:right w:val="nil"/>
            </w:tcBorders>
          </w:tcPr>
          <w:p w:rsidR="00A46DCA" w:rsidRPr="00BA3D25"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lang w:eastAsia="en-AU"/>
              </w:rPr>
            </w:pPr>
            <w:r>
              <w:rPr>
                <w:rFonts w:eastAsiaTheme="minorEastAsia" w:cs="Calibri"/>
                <w:color w:val="000000"/>
                <w:szCs w:val="19"/>
                <w:lang w:eastAsia="en-AU"/>
              </w:rPr>
              <w:t>44</w:t>
            </w:r>
          </w:p>
        </w:tc>
        <w:tc>
          <w:tcPr>
            <w:tcW w:w="1531" w:type="dxa"/>
            <w:tcBorders>
              <w:top w:val="nil"/>
              <w:left w:val="nil"/>
              <w:bottom w:val="nil"/>
              <w:right w:val="nil"/>
            </w:tcBorders>
          </w:tcPr>
          <w:p w:rsidR="00A46DCA" w:rsidRPr="00BA3D25"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lang w:eastAsia="en-AU"/>
              </w:rPr>
            </w:pPr>
            <w:r>
              <w:rPr>
                <w:rFonts w:eastAsiaTheme="minorEastAsia" w:cs="Calibri"/>
                <w:color w:val="000000"/>
                <w:szCs w:val="19"/>
                <w:lang w:eastAsia="en-AU"/>
              </w:rPr>
              <w:t>16</w:t>
            </w:r>
          </w:p>
        </w:tc>
      </w:tr>
      <w:tr w:rsidR="00A46DCA" w:rsidRPr="00BA3D25" w:rsidTr="00A26D04">
        <w:tc>
          <w:tcPr>
            <w:cnfStyle w:val="001000000000" w:firstRow="0" w:lastRow="0" w:firstColumn="1" w:lastColumn="0" w:oddVBand="0" w:evenVBand="0" w:oddHBand="0" w:evenHBand="0" w:firstRowFirstColumn="0" w:firstRowLastColumn="0" w:lastRowFirstColumn="0" w:lastRowLastColumn="0"/>
            <w:tcW w:w="5386" w:type="dxa"/>
            <w:tcBorders>
              <w:top w:val="nil"/>
              <w:left w:val="nil"/>
              <w:bottom w:val="nil"/>
              <w:right w:val="nil"/>
            </w:tcBorders>
          </w:tcPr>
          <w:p w:rsidR="00A46DCA" w:rsidRPr="00BA3D25" w:rsidRDefault="00A46DCA" w:rsidP="00A26D04">
            <w:pPr>
              <w:keepLines w:val="0"/>
              <w:autoSpaceDE w:val="0"/>
              <w:autoSpaceDN w:val="0"/>
              <w:adjustRightInd w:val="0"/>
              <w:rPr>
                <w:rFonts w:eastAsiaTheme="minorEastAsia" w:cs="Calibri"/>
                <w:color w:val="000000"/>
                <w:szCs w:val="19"/>
                <w:lang w:eastAsia="en-AU"/>
              </w:rPr>
            </w:pPr>
            <w:r w:rsidRPr="00BA3D25">
              <w:rPr>
                <w:rFonts w:eastAsiaTheme="minorEastAsia" w:cs="Calibri"/>
                <w:color w:val="000000"/>
                <w:szCs w:val="19"/>
                <w:lang w:eastAsia="en-AU"/>
              </w:rPr>
              <w:t>Legal proceedings and disputes</w:t>
            </w:r>
          </w:p>
        </w:tc>
        <w:tc>
          <w:tcPr>
            <w:tcW w:w="850" w:type="dxa"/>
            <w:tcBorders>
              <w:top w:val="nil"/>
              <w:left w:val="nil"/>
              <w:bottom w:val="nil"/>
              <w:right w:val="nil"/>
            </w:tcBorders>
          </w:tcPr>
          <w:p w:rsidR="00A46DCA" w:rsidRPr="00BA3D25"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lang w:eastAsia="en-AU"/>
              </w:rPr>
            </w:pPr>
            <w:r>
              <w:rPr>
                <w:rFonts w:eastAsiaTheme="minorEastAsia" w:cs="Calibri"/>
                <w:color w:val="000000"/>
                <w:szCs w:val="19"/>
                <w:lang w:eastAsia="en-AU"/>
              </w:rPr>
              <w:t>9</w:t>
            </w:r>
          </w:p>
        </w:tc>
        <w:tc>
          <w:tcPr>
            <w:tcW w:w="1531" w:type="dxa"/>
            <w:tcBorders>
              <w:top w:val="nil"/>
              <w:left w:val="nil"/>
              <w:bottom w:val="nil"/>
              <w:right w:val="nil"/>
            </w:tcBorders>
          </w:tcPr>
          <w:p w:rsidR="00A46DCA" w:rsidRPr="00BA3D25"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lang w:eastAsia="en-AU"/>
              </w:rPr>
            </w:pPr>
            <w:r>
              <w:rPr>
                <w:rFonts w:eastAsiaTheme="minorEastAsia" w:cs="Calibri"/>
                <w:color w:val="000000"/>
                <w:szCs w:val="19"/>
                <w:lang w:eastAsia="en-AU"/>
              </w:rPr>
              <w:t>10</w:t>
            </w:r>
          </w:p>
        </w:tc>
      </w:tr>
      <w:tr w:rsidR="00A46DCA" w:rsidRPr="00BA3D25" w:rsidTr="00A26D04">
        <w:tc>
          <w:tcPr>
            <w:cnfStyle w:val="001000000000" w:firstRow="0" w:lastRow="0" w:firstColumn="1" w:lastColumn="0" w:oddVBand="0" w:evenVBand="0" w:oddHBand="0" w:evenHBand="0" w:firstRowFirstColumn="0" w:firstRowLastColumn="0" w:lastRowFirstColumn="0" w:lastRowLastColumn="0"/>
            <w:tcW w:w="5386" w:type="dxa"/>
            <w:tcBorders>
              <w:top w:val="nil"/>
              <w:left w:val="nil"/>
              <w:bottom w:val="nil"/>
              <w:right w:val="nil"/>
            </w:tcBorders>
          </w:tcPr>
          <w:p w:rsidR="00A46DCA" w:rsidRPr="00BA3D25" w:rsidRDefault="00A46DCA" w:rsidP="00A26D04">
            <w:pPr>
              <w:keepLines w:val="0"/>
              <w:autoSpaceDE w:val="0"/>
              <w:autoSpaceDN w:val="0"/>
              <w:adjustRightInd w:val="0"/>
              <w:rPr>
                <w:rFonts w:eastAsiaTheme="minorEastAsia" w:cs="Calibri"/>
                <w:color w:val="000000"/>
                <w:szCs w:val="19"/>
                <w:vertAlign w:val="superscript"/>
                <w:lang w:eastAsia="en-AU"/>
              </w:rPr>
            </w:pPr>
            <w:r w:rsidRPr="00BA3D25">
              <w:rPr>
                <w:rFonts w:eastAsiaTheme="minorEastAsia" w:cs="Calibri"/>
                <w:color w:val="000000"/>
                <w:szCs w:val="19"/>
                <w:lang w:eastAsia="en-AU"/>
              </w:rPr>
              <w:t xml:space="preserve">Other </w:t>
            </w:r>
            <w:r w:rsidRPr="00BA3D25">
              <w:rPr>
                <w:rFonts w:eastAsiaTheme="minorEastAsia" w:cs="Calibri"/>
                <w:color w:val="000000"/>
                <w:szCs w:val="19"/>
                <w:vertAlign w:val="superscript"/>
                <w:lang w:eastAsia="en-AU"/>
              </w:rPr>
              <w:t>(b)</w:t>
            </w:r>
          </w:p>
        </w:tc>
        <w:tc>
          <w:tcPr>
            <w:tcW w:w="850" w:type="dxa"/>
            <w:tcBorders>
              <w:top w:val="nil"/>
              <w:left w:val="nil"/>
              <w:bottom w:val="nil"/>
              <w:right w:val="nil"/>
            </w:tcBorders>
          </w:tcPr>
          <w:p w:rsidR="00A46DCA" w:rsidRPr="00BA3D25"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lang w:eastAsia="en-AU"/>
              </w:rPr>
            </w:pPr>
            <w:r>
              <w:rPr>
                <w:rFonts w:eastAsiaTheme="minorEastAsia" w:cs="Calibri"/>
                <w:color w:val="000000"/>
                <w:szCs w:val="19"/>
                <w:lang w:eastAsia="en-AU"/>
              </w:rPr>
              <w:t>100</w:t>
            </w:r>
          </w:p>
        </w:tc>
        <w:tc>
          <w:tcPr>
            <w:tcW w:w="1531" w:type="dxa"/>
            <w:tcBorders>
              <w:top w:val="nil"/>
              <w:left w:val="nil"/>
              <w:bottom w:val="nil"/>
              <w:right w:val="nil"/>
            </w:tcBorders>
          </w:tcPr>
          <w:p w:rsidR="00A46DCA" w:rsidRPr="00BA3D25"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lang w:eastAsia="en-AU"/>
              </w:rPr>
            </w:pPr>
            <w:r>
              <w:rPr>
                <w:rFonts w:eastAsiaTheme="minorEastAsia" w:cs="Calibri"/>
                <w:color w:val="000000"/>
                <w:szCs w:val="19"/>
                <w:lang w:eastAsia="en-AU"/>
              </w:rPr>
              <w:t>103</w:t>
            </w:r>
          </w:p>
        </w:tc>
      </w:tr>
      <w:tr w:rsidR="00A46DCA" w:rsidRPr="00BA3D25" w:rsidTr="00A26D04">
        <w:tc>
          <w:tcPr>
            <w:cnfStyle w:val="001000000000" w:firstRow="0" w:lastRow="0" w:firstColumn="1" w:lastColumn="0" w:oddVBand="0" w:evenVBand="0" w:oddHBand="0" w:evenHBand="0" w:firstRowFirstColumn="0" w:firstRowLastColumn="0" w:lastRowFirstColumn="0" w:lastRowLastColumn="0"/>
            <w:tcW w:w="5386" w:type="dxa"/>
            <w:tcBorders>
              <w:top w:val="single" w:sz="6" w:space="0" w:color="auto"/>
              <w:left w:val="nil"/>
              <w:bottom w:val="single" w:sz="12" w:space="0" w:color="auto"/>
              <w:right w:val="nil"/>
            </w:tcBorders>
          </w:tcPr>
          <w:p w:rsidR="00A46DCA" w:rsidRPr="00BA3D25" w:rsidRDefault="00A46DCA" w:rsidP="00A26D04">
            <w:pPr>
              <w:keepLines w:val="0"/>
              <w:autoSpaceDE w:val="0"/>
              <w:autoSpaceDN w:val="0"/>
              <w:adjustRightInd w:val="0"/>
              <w:rPr>
                <w:rFonts w:eastAsiaTheme="minorEastAsia" w:cs="Calibri"/>
                <w:b/>
                <w:bCs/>
                <w:color w:val="000000"/>
                <w:szCs w:val="19"/>
                <w:lang w:eastAsia="en-AU"/>
              </w:rPr>
            </w:pPr>
            <w:r w:rsidRPr="00BA3D25">
              <w:rPr>
                <w:rFonts w:eastAsiaTheme="minorEastAsia" w:cs="Calibri"/>
                <w:b/>
                <w:bCs/>
                <w:color w:val="000000"/>
                <w:szCs w:val="19"/>
                <w:lang w:eastAsia="en-AU"/>
              </w:rPr>
              <w:t>Total contingent assets</w:t>
            </w:r>
          </w:p>
        </w:tc>
        <w:tc>
          <w:tcPr>
            <w:tcW w:w="850" w:type="dxa"/>
            <w:tcBorders>
              <w:top w:val="single" w:sz="6" w:space="0" w:color="auto"/>
              <w:left w:val="nil"/>
              <w:bottom w:val="single" w:sz="12" w:space="0" w:color="auto"/>
              <w:right w:val="nil"/>
            </w:tcBorders>
          </w:tcPr>
          <w:p w:rsidR="00A46DCA" w:rsidRPr="00443421"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9"/>
                <w:lang w:eastAsia="en-AU"/>
              </w:rPr>
            </w:pPr>
            <w:r w:rsidRPr="00443421">
              <w:rPr>
                <w:rFonts w:eastAsiaTheme="minorEastAsia" w:cs="Calibri"/>
                <w:b/>
                <w:bCs/>
                <w:color w:val="000000"/>
                <w:szCs w:val="19"/>
                <w:lang w:eastAsia="en-AU"/>
              </w:rPr>
              <w:t>152</w:t>
            </w:r>
          </w:p>
        </w:tc>
        <w:tc>
          <w:tcPr>
            <w:tcW w:w="1531" w:type="dxa"/>
            <w:tcBorders>
              <w:top w:val="single" w:sz="6" w:space="0" w:color="auto"/>
              <w:left w:val="nil"/>
              <w:bottom w:val="single" w:sz="12" w:space="0" w:color="auto"/>
              <w:right w:val="nil"/>
            </w:tcBorders>
          </w:tcPr>
          <w:p w:rsidR="00A46DCA" w:rsidRPr="00443421"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9"/>
                <w:lang w:eastAsia="en-AU"/>
              </w:rPr>
            </w:pPr>
            <w:r w:rsidRPr="00443421">
              <w:rPr>
                <w:rFonts w:eastAsiaTheme="minorEastAsia" w:cs="Calibri"/>
                <w:b/>
                <w:bCs/>
                <w:color w:val="000000"/>
                <w:szCs w:val="19"/>
                <w:lang w:eastAsia="en-AU"/>
              </w:rPr>
              <w:t>128</w:t>
            </w:r>
          </w:p>
        </w:tc>
      </w:tr>
    </w:tbl>
    <w:p w:rsidR="00A46DCA" w:rsidRDefault="00A46DCA" w:rsidP="00A26D04">
      <w:pPr>
        <w:pStyle w:val="Note"/>
      </w:pPr>
      <w:r>
        <w:t>Source: Department of Treasury and Finance</w:t>
      </w:r>
    </w:p>
    <w:p w:rsidR="00A46DCA" w:rsidRDefault="00A46DCA" w:rsidP="00A26D04">
      <w:pPr>
        <w:pStyle w:val="Note"/>
      </w:pPr>
    </w:p>
    <w:p w:rsidR="00A46DCA" w:rsidRDefault="00A46DCA" w:rsidP="00A26D04">
      <w:pPr>
        <w:pStyle w:val="Note"/>
      </w:pPr>
      <w:r>
        <w:t>Notes:</w:t>
      </w:r>
    </w:p>
    <w:p w:rsidR="00A46DCA" w:rsidRDefault="00A46DCA" w:rsidP="00A26D04">
      <w:pPr>
        <w:pStyle w:val="Note"/>
      </w:pPr>
      <w:r>
        <w:t xml:space="preserve">(a) </w:t>
      </w:r>
      <w:r>
        <w:tab/>
        <w:t xml:space="preserve">As published in the </w:t>
      </w:r>
      <w:r w:rsidRPr="007A5E4A">
        <w:rPr>
          <w:i w:val="0"/>
        </w:rPr>
        <w:t>2017</w:t>
      </w:r>
      <w:r>
        <w:rPr>
          <w:i w:val="0"/>
        </w:rPr>
        <w:t>-18</w:t>
      </w:r>
      <w:r w:rsidRPr="007A5E4A">
        <w:rPr>
          <w:i w:val="0"/>
        </w:rPr>
        <w:t xml:space="preserve"> Budget</w:t>
      </w:r>
      <w:r>
        <w:t>.</w:t>
      </w:r>
    </w:p>
    <w:p w:rsidR="00A46DCA" w:rsidRPr="00B723BB" w:rsidRDefault="00A46DCA" w:rsidP="00A26D04">
      <w:pPr>
        <w:pStyle w:val="Note"/>
      </w:pPr>
      <w:r>
        <w:t xml:space="preserve">(b) </w:t>
      </w:r>
      <w:r>
        <w:tab/>
        <w:t>Other contingent assets in the general government sector consists of a contingent payment for Crown Melbourne licence amendments that may be payable in the 2022 calendar year.</w:t>
      </w:r>
    </w:p>
    <w:p w:rsidR="00A46DCA" w:rsidRDefault="00A46DCA">
      <w:pPr>
        <w:keepLines w:val="0"/>
        <w:rPr>
          <w:rFonts w:asciiTheme="majorHAnsi" w:eastAsiaTheme="majorEastAsia" w:hAnsiTheme="majorHAnsi" w:cstheme="majorBidi"/>
          <w:b/>
          <w:spacing w:val="-2"/>
          <w:sz w:val="26"/>
          <w:szCs w:val="26"/>
        </w:rPr>
      </w:pPr>
      <w:r>
        <w:br w:type="page"/>
      </w:r>
    </w:p>
    <w:p w:rsidR="00A46DCA" w:rsidRDefault="00A46DCA" w:rsidP="00A26D04">
      <w:pPr>
        <w:pStyle w:val="Heading20"/>
      </w:pPr>
      <w:r>
        <w:lastRenderedPageBreak/>
        <w:t>Non-quantifiable contingent assets</w:t>
      </w:r>
    </w:p>
    <w:p w:rsidR="00A46DCA" w:rsidRPr="001E7FBA" w:rsidRDefault="00A46DCA" w:rsidP="00A26D04">
      <w:pPr>
        <w:pStyle w:val="Heading30"/>
      </w:pPr>
      <w:proofErr w:type="spellStart"/>
      <w:r w:rsidRPr="001E7FBA">
        <w:t>CityLink</w:t>
      </w:r>
      <w:proofErr w:type="spellEnd"/>
      <w:r w:rsidRPr="001E7FBA">
        <w:t xml:space="preserve"> compensable enhancement claims</w:t>
      </w:r>
    </w:p>
    <w:p w:rsidR="00A46DCA" w:rsidRPr="001E7FBA" w:rsidRDefault="00A46DCA" w:rsidP="00A26D04">
      <w:r w:rsidRPr="001E7FBA">
        <w:t>The Melbourne City Link Concession Deed contains compensable enhancement provisions that enable the State of Victoria to claim 50 per cent of additional revenue derived</w:t>
      </w:r>
      <w:r>
        <w:t xml:space="preserve"> by </w:t>
      </w:r>
      <w:proofErr w:type="spellStart"/>
      <w:r>
        <w:t>CityLink</w:t>
      </w:r>
      <w:proofErr w:type="spellEnd"/>
      <w:r>
        <w:t xml:space="preserve"> Melbourne Limited</w:t>
      </w:r>
      <w:r w:rsidRPr="001E7FBA">
        <w:t xml:space="preserve"> as a result of certain events that particularly benefit </w:t>
      </w:r>
      <w:proofErr w:type="spellStart"/>
      <w:r w:rsidRPr="001E7FBA">
        <w:t>CityLink</w:t>
      </w:r>
      <w:proofErr w:type="spellEnd"/>
      <w:r w:rsidRPr="001E7FBA">
        <w:t>, including changes to the adjoining road network.</w:t>
      </w:r>
    </w:p>
    <w:p w:rsidR="00A46DCA" w:rsidRDefault="00A46DCA" w:rsidP="00A26D04">
      <w:r w:rsidRPr="001E7FBA">
        <w:t xml:space="preserve">Compensable enhancement claims have previously been lodged in respect of works for improving traffic flows on the West Gate Freeway between Lorimer and Montague Streets, and in the vicinity of the intersection of the Bulla Road and the Tullamarine Freeway. The claims were lodged on 20 May 2005 and 29 September 2006 respectively, and </w:t>
      </w:r>
      <w:r>
        <w:t>are still</w:t>
      </w:r>
      <w:r w:rsidRPr="001E7FBA">
        <w:t xml:space="preserve"> outstanding.</w:t>
      </w:r>
    </w:p>
    <w:p w:rsidR="00A46DCA" w:rsidRPr="00EA1A49" w:rsidRDefault="00A46DCA" w:rsidP="00A26D04">
      <w:pPr>
        <w:pStyle w:val="Heading30"/>
      </w:pPr>
      <w:r w:rsidRPr="00EA1A49">
        <w:t>Peninsula Link compensable enhancement claim</w:t>
      </w:r>
    </w:p>
    <w:p w:rsidR="00A46DCA" w:rsidRDefault="00A46DCA" w:rsidP="00A26D04">
      <w:r>
        <w:t xml:space="preserve">The </w:t>
      </w:r>
      <w:proofErr w:type="spellStart"/>
      <w:r>
        <w:t>EastLink</w:t>
      </w:r>
      <w:proofErr w:type="spellEnd"/>
      <w:r>
        <w:t xml:space="preserve"> Concession Deed contains compensable enhancement provisions that enable the State to claim 50 per cent of any additional revenue derived by </w:t>
      </w:r>
      <w:proofErr w:type="spellStart"/>
      <w:r>
        <w:t>ConnectEast</w:t>
      </w:r>
      <w:proofErr w:type="spellEnd"/>
      <w:r>
        <w:t xml:space="preserve"> Pty Ltd (</w:t>
      </w:r>
      <w:proofErr w:type="spellStart"/>
      <w:r>
        <w:t>ConnectEast</w:t>
      </w:r>
      <w:proofErr w:type="spellEnd"/>
      <w:r>
        <w:t xml:space="preserve">) as a result of certain events that particularly benefit </w:t>
      </w:r>
      <w:proofErr w:type="spellStart"/>
      <w:r>
        <w:t>EastLink</w:t>
      </w:r>
      <w:proofErr w:type="spellEnd"/>
      <w:r>
        <w:t>, including changes to the adjoining road network.</w:t>
      </w:r>
    </w:p>
    <w:p w:rsidR="00A46DCA" w:rsidRDefault="00A46DCA" w:rsidP="00A26D04">
      <w:r>
        <w:t>On 2 January 2014, the State lodged a compensable enhancement claim as a result of opening Peninsula Link. The claim remains outstanding.</w:t>
      </w:r>
    </w:p>
    <w:p w:rsidR="00A46DCA" w:rsidRDefault="00A46DCA" w:rsidP="00A26D04">
      <w:pPr>
        <w:pStyle w:val="Heading10"/>
      </w:pPr>
      <w:bookmarkStart w:id="64" w:name="_Toc500435583"/>
      <w:r>
        <w:t>Contingent liabilities</w:t>
      </w:r>
      <w:bookmarkEnd w:id="64"/>
    </w:p>
    <w:p w:rsidR="00A46DCA" w:rsidRDefault="00A46DCA" w:rsidP="00A26D04">
      <w:r>
        <w:t>Contingent liabilities are:</w:t>
      </w:r>
    </w:p>
    <w:p w:rsidR="00A46DCA" w:rsidRDefault="00A46DCA" w:rsidP="00A26D04">
      <w:pPr>
        <w:pStyle w:val="ListBullet"/>
        <w:numPr>
          <w:ilvl w:val="0"/>
          <w:numId w:val="24"/>
        </w:numPr>
      </w:pPr>
      <w:r>
        <w:t>possible obligations that arise from past events, whose existence will be confirmed only by the occurrence or non-occurrence of one or more uncertain future events not wholly within the control of the entity; or</w:t>
      </w:r>
    </w:p>
    <w:p w:rsidR="00A46DCA" w:rsidRDefault="00A46DCA" w:rsidP="00A26D04">
      <w:pPr>
        <w:pStyle w:val="ListBullet"/>
        <w:numPr>
          <w:ilvl w:val="0"/>
          <w:numId w:val="24"/>
        </w:numPr>
      </w:pPr>
      <w:r>
        <w:t>present obligations that arise from past events but are not recognised because:</w:t>
      </w:r>
    </w:p>
    <w:p w:rsidR="00A46DCA" w:rsidRPr="00716A8E" w:rsidRDefault="00A46DCA" w:rsidP="00A26D04">
      <w:pPr>
        <w:pStyle w:val="ListBullet2"/>
        <w:numPr>
          <w:ilvl w:val="1"/>
          <w:numId w:val="24"/>
        </w:numPr>
      </w:pPr>
      <w:r w:rsidRPr="00716A8E">
        <w:t xml:space="preserve">it is not probable that an outflow of resources embodying economic benefits will be required to settle the obligations; or </w:t>
      </w:r>
    </w:p>
    <w:p w:rsidR="00A46DCA" w:rsidRPr="00716A8E" w:rsidRDefault="00A46DCA" w:rsidP="00A26D04">
      <w:pPr>
        <w:pStyle w:val="ListBullet2"/>
        <w:numPr>
          <w:ilvl w:val="1"/>
          <w:numId w:val="24"/>
        </w:numPr>
      </w:pPr>
      <w:r w:rsidRPr="00716A8E">
        <w:t>the amount of the obligations cannot be measured with sufficient reliability.</w:t>
      </w:r>
    </w:p>
    <w:p w:rsidR="00A46DCA" w:rsidRDefault="00A46DCA" w:rsidP="00A26D04">
      <w:r>
        <w:t>Contingent liabilities are also classified as either quantifiable or non-quantifiable.</w:t>
      </w:r>
    </w:p>
    <w:p w:rsidR="00A46DCA" w:rsidRDefault="00A46DCA">
      <w:pPr>
        <w:keepLines w:val="0"/>
      </w:pPr>
      <w:r>
        <w:br w:type="page"/>
      </w:r>
    </w:p>
    <w:p w:rsidR="00A46DCA" w:rsidRDefault="00A46DCA" w:rsidP="00A26D04">
      <w:r>
        <w:lastRenderedPageBreak/>
        <w:t xml:space="preserve">The table below contains quantifiable contingent liabilities as at </w:t>
      </w:r>
      <w:r w:rsidRPr="007173EA">
        <w:t>29</w:t>
      </w:r>
      <w:r>
        <w:t xml:space="preserve"> November 2017.</w:t>
      </w:r>
    </w:p>
    <w:p w:rsidR="00A46DCA" w:rsidRPr="00BA3D25" w:rsidRDefault="00A46DCA" w:rsidP="00A26D04">
      <w:pPr>
        <w:pStyle w:val="TableHeading"/>
        <w:rPr>
          <w:bCs/>
          <w:lang w:val="en-US"/>
        </w:rPr>
      </w:pPr>
      <w:r>
        <w:t>Table 6.2:</w:t>
      </w:r>
      <w:r>
        <w:tab/>
        <w:t>Quantifiable contingent liabilities</w:t>
      </w:r>
      <w:r>
        <w:tab/>
        <w:t>($ million)</w:t>
      </w:r>
    </w:p>
    <w:tbl>
      <w:tblPr>
        <w:tblStyle w:val="DTFTable"/>
        <w:tblW w:w="7767" w:type="dxa"/>
        <w:tblInd w:w="45" w:type="dxa"/>
        <w:tblLayout w:type="fixed"/>
        <w:tblCellMar>
          <w:left w:w="45" w:type="dxa"/>
          <w:right w:w="45" w:type="dxa"/>
        </w:tblCellMar>
        <w:tblLook w:val="06A0" w:firstRow="1" w:lastRow="0" w:firstColumn="1" w:lastColumn="0" w:noHBand="1" w:noVBand="1"/>
      </w:tblPr>
      <w:tblGrid>
        <w:gridCol w:w="5244"/>
        <w:gridCol w:w="992"/>
        <w:gridCol w:w="1531"/>
      </w:tblGrid>
      <w:tr w:rsidR="00A26D04" w:rsidRPr="00BA3D25" w:rsidTr="00D02086">
        <w:trPr>
          <w:cnfStyle w:val="100000000000" w:firstRow="1" w:lastRow="0" w:firstColumn="0" w:lastColumn="0" w:oddVBand="0" w:evenVBand="0" w:oddHBand="0" w:evenHBand="0" w:firstRowFirstColumn="0" w:firstRowLastColumn="0" w:lastRowFirstColumn="0" w:lastRowLastColumn="0"/>
          <w:trHeight w:val="145"/>
          <w:tblHeader/>
        </w:trPr>
        <w:tc>
          <w:tcPr>
            <w:cnfStyle w:val="001000000000" w:firstRow="0" w:lastRow="0" w:firstColumn="1" w:lastColumn="0" w:oddVBand="0" w:evenVBand="0" w:oddHBand="0" w:evenHBand="0" w:firstRowFirstColumn="0" w:firstRowLastColumn="0" w:lastRowFirstColumn="0" w:lastRowLastColumn="0"/>
            <w:tcW w:w="5244" w:type="dxa"/>
            <w:tcBorders>
              <w:top w:val="nil"/>
              <w:left w:val="nil"/>
              <w:right w:val="nil"/>
            </w:tcBorders>
            <w:shd w:val="solid" w:color="000000" w:fill="auto"/>
          </w:tcPr>
          <w:p w:rsidR="00A26D04" w:rsidRPr="00BA3D25" w:rsidRDefault="00A26D04" w:rsidP="00A26D04">
            <w:pPr>
              <w:autoSpaceDE w:val="0"/>
              <w:autoSpaceDN w:val="0"/>
              <w:adjustRightInd w:val="0"/>
              <w:rPr>
                <w:rFonts w:eastAsiaTheme="minorEastAsia" w:cs="Calibri"/>
                <w:iCs/>
                <w:color w:val="FFFFFF"/>
                <w:szCs w:val="19"/>
                <w:lang w:eastAsia="en-AU"/>
              </w:rPr>
            </w:pPr>
            <w:r w:rsidRPr="00BA3D25">
              <w:rPr>
                <w:rFonts w:eastAsiaTheme="minorEastAsia" w:cs="Calibri"/>
                <w:iCs/>
                <w:color w:val="FFFFFF"/>
                <w:szCs w:val="19"/>
                <w:lang w:eastAsia="en-AU"/>
              </w:rPr>
              <w:t xml:space="preserve">  </w:t>
            </w:r>
          </w:p>
        </w:tc>
        <w:tc>
          <w:tcPr>
            <w:tcW w:w="992" w:type="dxa"/>
            <w:tcBorders>
              <w:top w:val="nil"/>
              <w:left w:val="nil"/>
              <w:right w:val="nil"/>
            </w:tcBorders>
            <w:shd w:val="solid" w:color="000000" w:fill="auto"/>
          </w:tcPr>
          <w:p w:rsidR="00A26D04" w:rsidRPr="00BA3D25" w:rsidRDefault="00A26D04" w:rsidP="00A26D0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9"/>
                <w:lang w:eastAsia="en-AU"/>
              </w:rPr>
            </w:pPr>
            <w:r w:rsidRPr="00BA3D25">
              <w:rPr>
                <w:rFonts w:eastAsiaTheme="minorEastAsia" w:cs="Calibri"/>
                <w:iCs/>
                <w:color w:val="FFFFFF"/>
                <w:szCs w:val="19"/>
                <w:lang w:eastAsia="en-AU"/>
              </w:rPr>
              <w:t xml:space="preserve">As at </w:t>
            </w:r>
            <w:r>
              <w:rPr>
                <w:rFonts w:eastAsiaTheme="minorEastAsia" w:cs="Calibri"/>
                <w:iCs/>
                <w:color w:val="FFFFFF"/>
                <w:szCs w:val="19"/>
                <w:lang w:eastAsia="en-AU"/>
              </w:rPr>
              <w:br/>
            </w:r>
            <w:r w:rsidRPr="00BA3D25">
              <w:rPr>
                <w:rFonts w:eastAsiaTheme="minorEastAsia" w:cs="Calibri"/>
                <w:iCs/>
                <w:color w:val="FFFFFF"/>
                <w:szCs w:val="19"/>
                <w:lang w:eastAsia="en-AU"/>
              </w:rPr>
              <w:t>Dec 2017</w:t>
            </w:r>
          </w:p>
        </w:tc>
        <w:tc>
          <w:tcPr>
            <w:tcW w:w="1531" w:type="dxa"/>
            <w:tcBorders>
              <w:top w:val="nil"/>
              <w:left w:val="nil"/>
              <w:right w:val="nil"/>
            </w:tcBorders>
            <w:shd w:val="solid" w:color="000000" w:fill="auto"/>
          </w:tcPr>
          <w:p w:rsidR="00A26D04" w:rsidRPr="00BA3D25" w:rsidRDefault="00A26D04" w:rsidP="00A26D0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9"/>
                <w:lang w:eastAsia="en-AU"/>
              </w:rPr>
            </w:pPr>
            <w:r w:rsidRPr="00BA3D25">
              <w:rPr>
                <w:rFonts w:eastAsiaTheme="minorEastAsia" w:cs="Calibri"/>
                <w:iCs/>
                <w:color w:val="FFFFFF"/>
                <w:szCs w:val="19"/>
                <w:lang w:eastAsia="en-AU"/>
              </w:rPr>
              <w:t xml:space="preserve">Published budget </w:t>
            </w:r>
            <w:r>
              <w:rPr>
                <w:rFonts w:eastAsiaTheme="minorEastAsia" w:cs="Calibri"/>
                <w:iCs/>
                <w:color w:val="FFFFFF"/>
                <w:szCs w:val="19"/>
                <w:lang w:eastAsia="en-AU"/>
              </w:rPr>
              <w:br/>
            </w:r>
            <w:r w:rsidRPr="00BA3D25">
              <w:rPr>
                <w:rFonts w:eastAsiaTheme="minorEastAsia" w:cs="Calibri"/>
                <w:iCs/>
                <w:color w:val="FFFFFF"/>
                <w:szCs w:val="19"/>
                <w:lang w:eastAsia="en-AU"/>
              </w:rPr>
              <w:t xml:space="preserve">estimate </w:t>
            </w:r>
            <w:r w:rsidRPr="00BA3D25">
              <w:rPr>
                <w:rFonts w:eastAsiaTheme="minorEastAsia" w:cs="Calibri"/>
                <w:iCs/>
                <w:color w:val="FFFFFF"/>
                <w:szCs w:val="19"/>
                <w:vertAlign w:val="superscript"/>
                <w:lang w:eastAsia="en-AU"/>
              </w:rPr>
              <w:t>(a)</w:t>
            </w:r>
          </w:p>
        </w:tc>
      </w:tr>
      <w:tr w:rsidR="00A46DCA" w:rsidRPr="00BA3D25" w:rsidTr="00A26D04">
        <w:tc>
          <w:tcPr>
            <w:cnfStyle w:val="001000000000" w:firstRow="0" w:lastRow="0" w:firstColumn="1" w:lastColumn="0" w:oddVBand="0" w:evenVBand="0" w:oddHBand="0" w:evenHBand="0" w:firstRowFirstColumn="0" w:firstRowLastColumn="0" w:lastRowFirstColumn="0" w:lastRowLastColumn="0"/>
            <w:tcW w:w="5244" w:type="dxa"/>
            <w:tcBorders>
              <w:top w:val="nil"/>
              <w:left w:val="nil"/>
              <w:bottom w:val="nil"/>
              <w:right w:val="nil"/>
            </w:tcBorders>
          </w:tcPr>
          <w:p w:rsidR="00A46DCA" w:rsidRPr="00BA3D25" w:rsidRDefault="00A46DCA" w:rsidP="00A26D04">
            <w:pPr>
              <w:keepLines w:val="0"/>
              <w:autoSpaceDE w:val="0"/>
              <w:autoSpaceDN w:val="0"/>
              <w:adjustRightInd w:val="0"/>
              <w:rPr>
                <w:rFonts w:eastAsiaTheme="minorEastAsia" w:cs="Calibri"/>
                <w:color w:val="000000"/>
                <w:szCs w:val="19"/>
                <w:lang w:eastAsia="en-AU"/>
              </w:rPr>
            </w:pPr>
            <w:r w:rsidRPr="00BA3D25">
              <w:rPr>
                <w:rFonts w:eastAsiaTheme="minorEastAsia" w:cs="Calibri"/>
                <w:color w:val="000000"/>
                <w:szCs w:val="19"/>
                <w:lang w:eastAsia="en-AU"/>
              </w:rPr>
              <w:t>Guarantees, indemnities and warranties</w:t>
            </w:r>
          </w:p>
        </w:tc>
        <w:tc>
          <w:tcPr>
            <w:tcW w:w="992" w:type="dxa"/>
            <w:tcBorders>
              <w:top w:val="nil"/>
              <w:left w:val="nil"/>
              <w:bottom w:val="nil"/>
              <w:right w:val="nil"/>
            </w:tcBorders>
          </w:tcPr>
          <w:p w:rsidR="00A46DCA" w:rsidRPr="00BA3D25"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lang w:eastAsia="en-AU"/>
              </w:rPr>
            </w:pPr>
            <w:r>
              <w:rPr>
                <w:rFonts w:eastAsiaTheme="minorEastAsia" w:cs="Calibri"/>
                <w:color w:val="000000"/>
                <w:szCs w:val="19"/>
                <w:lang w:eastAsia="en-AU"/>
              </w:rPr>
              <w:t>234</w:t>
            </w:r>
          </w:p>
        </w:tc>
        <w:tc>
          <w:tcPr>
            <w:tcW w:w="1531" w:type="dxa"/>
            <w:tcBorders>
              <w:top w:val="nil"/>
              <w:left w:val="nil"/>
              <w:bottom w:val="nil"/>
              <w:right w:val="nil"/>
            </w:tcBorders>
          </w:tcPr>
          <w:p w:rsidR="00A46DCA" w:rsidRPr="00BA3D25"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lang w:eastAsia="en-AU"/>
              </w:rPr>
            </w:pPr>
            <w:r>
              <w:rPr>
                <w:rFonts w:eastAsiaTheme="minorEastAsia" w:cs="Calibri"/>
                <w:color w:val="000000"/>
                <w:szCs w:val="19"/>
                <w:lang w:eastAsia="en-AU"/>
              </w:rPr>
              <w:t>257</w:t>
            </w:r>
          </w:p>
        </w:tc>
      </w:tr>
      <w:tr w:rsidR="00A46DCA" w:rsidRPr="00BA3D25" w:rsidTr="00A26D04">
        <w:tc>
          <w:tcPr>
            <w:cnfStyle w:val="001000000000" w:firstRow="0" w:lastRow="0" w:firstColumn="1" w:lastColumn="0" w:oddVBand="0" w:evenVBand="0" w:oddHBand="0" w:evenHBand="0" w:firstRowFirstColumn="0" w:firstRowLastColumn="0" w:lastRowFirstColumn="0" w:lastRowLastColumn="0"/>
            <w:tcW w:w="5244" w:type="dxa"/>
            <w:tcBorders>
              <w:top w:val="nil"/>
              <w:left w:val="nil"/>
              <w:bottom w:val="nil"/>
              <w:right w:val="nil"/>
            </w:tcBorders>
          </w:tcPr>
          <w:p w:rsidR="00A46DCA" w:rsidRPr="00BA3D25" w:rsidRDefault="00A46DCA" w:rsidP="00A26D04">
            <w:pPr>
              <w:keepLines w:val="0"/>
              <w:autoSpaceDE w:val="0"/>
              <w:autoSpaceDN w:val="0"/>
              <w:adjustRightInd w:val="0"/>
              <w:rPr>
                <w:rFonts w:eastAsiaTheme="minorEastAsia" w:cs="Calibri"/>
                <w:color w:val="000000"/>
                <w:szCs w:val="19"/>
                <w:lang w:eastAsia="en-AU"/>
              </w:rPr>
            </w:pPr>
            <w:r w:rsidRPr="00BA3D25">
              <w:rPr>
                <w:rFonts w:eastAsiaTheme="minorEastAsia" w:cs="Calibri"/>
                <w:color w:val="000000"/>
                <w:szCs w:val="19"/>
                <w:lang w:eastAsia="en-AU"/>
              </w:rPr>
              <w:t>Legal proceedings and disputes</w:t>
            </w:r>
          </w:p>
        </w:tc>
        <w:tc>
          <w:tcPr>
            <w:tcW w:w="992" w:type="dxa"/>
            <w:tcBorders>
              <w:top w:val="nil"/>
              <w:left w:val="nil"/>
              <w:bottom w:val="nil"/>
              <w:right w:val="nil"/>
            </w:tcBorders>
          </w:tcPr>
          <w:p w:rsidR="00A46DCA" w:rsidRPr="00BA3D25"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lang w:eastAsia="en-AU"/>
              </w:rPr>
            </w:pPr>
            <w:r>
              <w:rPr>
                <w:rFonts w:eastAsiaTheme="minorEastAsia" w:cs="Calibri"/>
                <w:color w:val="000000"/>
                <w:szCs w:val="19"/>
                <w:lang w:eastAsia="en-AU"/>
              </w:rPr>
              <w:t>128</w:t>
            </w:r>
          </w:p>
        </w:tc>
        <w:tc>
          <w:tcPr>
            <w:tcW w:w="1531" w:type="dxa"/>
            <w:tcBorders>
              <w:top w:val="nil"/>
              <w:left w:val="nil"/>
              <w:bottom w:val="nil"/>
              <w:right w:val="nil"/>
            </w:tcBorders>
          </w:tcPr>
          <w:p w:rsidR="00A46DCA" w:rsidRPr="00BA3D25"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lang w:eastAsia="en-AU"/>
              </w:rPr>
            </w:pPr>
            <w:r>
              <w:rPr>
                <w:rFonts w:eastAsiaTheme="minorEastAsia" w:cs="Calibri"/>
                <w:color w:val="000000"/>
                <w:szCs w:val="19"/>
                <w:lang w:eastAsia="en-AU"/>
              </w:rPr>
              <w:t>172</w:t>
            </w:r>
          </w:p>
        </w:tc>
      </w:tr>
      <w:tr w:rsidR="00A46DCA" w:rsidRPr="00BA3D25" w:rsidTr="00A26D04">
        <w:tc>
          <w:tcPr>
            <w:cnfStyle w:val="001000000000" w:firstRow="0" w:lastRow="0" w:firstColumn="1" w:lastColumn="0" w:oddVBand="0" w:evenVBand="0" w:oddHBand="0" w:evenHBand="0" w:firstRowFirstColumn="0" w:firstRowLastColumn="0" w:lastRowFirstColumn="0" w:lastRowLastColumn="0"/>
            <w:tcW w:w="5244" w:type="dxa"/>
            <w:tcBorders>
              <w:top w:val="nil"/>
              <w:left w:val="nil"/>
              <w:bottom w:val="nil"/>
              <w:right w:val="nil"/>
            </w:tcBorders>
          </w:tcPr>
          <w:p w:rsidR="00A46DCA" w:rsidRPr="00BA3D25" w:rsidRDefault="00A46DCA" w:rsidP="00A26D04">
            <w:pPr>
              <w:keepLines w:val="0"/>
              <w:autoSpaceDE w:val="0"/>
              <w:autoSpaceDN w:val="0"/>
              <w:adjustRightInd w:val="0"/>
              <w:rPr>
                <w:rFonts w:eastAsiaTheme="minorEastAsia" w:cs="Calibri"/>
                <w:color w:val="000000"/>
                <w:szCs w:val="19"/>
                <w:lang w:eastAsia="en-AU"/>
              </w:rPr>
            </w:pPr>
            <w:r w:rsidRPr="00BA3D25">
              <w:rPr>
                <w:rFonts w:eastAsiaTheme="minorEastAsia" w:cs="Calibri"/>
                <w:color w:val="000000"/>
                <w:szCs w:val="19"/>
                <w:lang w:eastAsia="en-AU"/>
              </w:rPr>
              <w:t>Other</w:t>
            </w:r>
          </w:p>
        </w:tc>
        <w:tc>
          <w:tcPr>
            <w:tcW w:w="992" w:type="dxa"/>
            <w:tcBorders>
              <w:top w:val="nil"/>
              <w:left w:val="nil"/>
              <w:bottom w:val="nil"/>
              <w:right w:val="nil"/>
            </w:tcBorders>
          </w:tcPr>
          <w:p w:rsidR="00A46DCA" w:rsidRPr="00BA3D25"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lang w:eastAsia="en-AU"/>
              </w:rPr>
            </w:pPr>
            <w:r>
              <w:rPr>
                <w:rFonts w:eastAsiaTheme="minorEastAsia" w:cs="Calibri"/>
                <w:color w:val="000000"/>
                <w:szCs w:val="19"/>
                <w:lang w:eastAsia="en-AU"/>
              </w:rPr>
              <w:t>42</w:t>
            </w:r>
          </w:p>
        </w:tc>
        <w:tc>
          <w:tcPr>
            <w:tcW w:w="1531" w:type="dxa"/>
            <w:tcBorders>
              <w:top w:val="nil"/>
              <w:left w:val="nil"/>
              <w:bottom w:val="nil"/>
              <w:right w:val="nil"/>
            </w:tcBorders>
          </w:tcPr>
          <w:p w:rsidR="00A46DCA" w:rsidRPr="00BA3D25"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lang w:eastAsia="en-AU"/>
              </w:rPr>
            </w:pPr>
            <w:r>
              <w:rPr>
                <w:rFonts w:eastAsiaTheme="minorEastAsia" w:cs="Calibri"/>
                <w:color w:val="000000"/>
                <w:szCs w:val="19"/>
                <w:lang w:eastAsia="en-AU"/>
              </w:rPr>
              <w:t>113</w:t>
            </w:r>
          </w:p>
        </w:tc>
      </w:tr>
      <w:tr w:rsidR="00A46DCA" w:rsidRPr="00BA3D25" w:rsidTr="00A26D04">
        <w:tc>
          <w:tcPr>
            <w:cnfStyle w:val="001000000000" w:firstRow="0" w:lastRow="0" w:firstColumn="1" w:lastColumn="0" w:oddVBand="0" w:evenVBand="0" w:oddHBand="0" w:evenHBand="0" w:firstRowFirstColumn="0" w:firstRowLastColumn="0" w:lastRowFirstColumn="0" w:lastRowLastColumn="0"/>
            <w:tcW w:w="5244" w:type="dxa"/>
            <w:tcBorders>
              <w:top w:val="nil"/>
              <w:left w:val="nil"/>
              <w:bottom w:val="nil"/>
              <w:right w:val="nil"/>
            </w:tcBorders>
          </w:tcPr>
          <w:p w:rsidR="00A46DCA" w:rsidRPr="00BA3D25" w:rsidRDefault="00A46DCA" w:rsidP="00A26D04">
            <w:pPr>
              <w:keepLines w:val="0"/>
              <w:autoSpaceDE w:val="0"/>
              <w:autoSpaceDN w:val="0"/>
              <w:adjustRightInd w:val="0"/>
              <w:rPr>
                <w:rFonts w:eastAsiaTheme="minorEastAsia" w:cs="Calibri"/>
                <w:color w:val="000000"/>
                <w:szCs w:val="19"/>
                <w:vertAlign w:val="superscript"/>
                <w:lang w:eastAsia="en-AU"/>
              </w:rPr>
            </w:pPr>
            <w:r w:rsidRPr="00BA3D25">
              <w:rPr>
                <w:rFonts w:eastAsiaTheme="minorEastAsia" w:cs="Calibri"/>
                <w:color w:val="000000"/>
                <w:szCs w:val="19"/>
                <w:lang w:eastAsia="en-AU"/>
              </w:rPr>
              <w:t xml:space="preserve">Non-general government debt </w:t>
            </w:r>
            <w:r w:rsidRPr="00BA3D25">
              <w:rPr>
                <w:rFonts w:eastAsiaTheme="minorEastAsia" w:cs="Calibri"/>
                <w:color w:val="000000"/>
                <w:szCs w:val="19"/>
                <w:vertAlign w:val="superscript"/>
                <w:lang w:eastAsia="en-AU"/>
              </w:rPr>
              <w:t>(b)</w:t>
            </w:r>
          </w:p>
        </w:tc>
        <w:tc>
          <w:tcPr>
            <w:tcW w:w="992" w:type="dxa"/>
            <w:tcBorders>
              <w:top w:val="nil"/>
              <w:left w:val="nil"/>
              <w:bottom w:val="nil"/>
              <w:right w:val="nil"/>
            </w:tcBorders>
          </w:tcPr>
          <w:p w:rsidR="00A46DCA" w:rsidRPr="00BA3D25"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lang w:eastAsia="en-AU"/>
              </w:rPr>
            </w:pPr>
            <w:r w:rsidRPr="00BA3D25">
              <w:rPr>
                <w:rFonts w:eastAsiaTheme="minorEastAsia" w:cs="Calibri"/>
                <w:color w:val="000000"/>
                <w:szCs w:val="19"/>
                <w:lang w:eastAsia="en-AU"/>
              </w:rPr>
              <w:t>11 239</w:t>
            </w:r>
          </w:p>
        </w:tc>
        <w:tc>
          <w:tcPr>
            <w:tcW w:w="1531" w:type="dxa"/>
            <w:tcBorders>
              <w:top w:val="nil"/>
              <w:left w:val="nil"/>
              <w:bottom w:val="nil"/>
              <w:right w:val="nil"/>
            </w:tcBorders>
          </w:tcPr>
          <w:p w:rsidR="00A46DCA" w:rsidRPr="00BA3D25"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lang w:eastAsia="en-AU"/>
              </w:rPr>
            </w:pPr>
            <w:r w:rsidRPr="00BA3D25">
              <w:rPr>
                <w:rFonts w:eastAsiaTheme="minorEastAsia" w:cs="Calibri"/>
                <w:color w:val="000000"/>
                <w:szCs w:val="19"/>
                <w:lang w:eastAsia="en-AU"/>
              </w:rPr>
              <w:t>11 128</w:t>
            </w:r>
          </w:p>
        </w:tc>
      </w:tr>
      <w:tr w:rsidR="00A46DCA" w:rsidRPr="00BA3D25" w:rsidTr="00A26D04">
        <w:tc>
          <w:tcPr>
            <w:cnfStyle w:val="001000000000" w:firstRow="0" w:lastRow="0" w:firstColumn="1" w:lastColumn="0" w:oddVBand="0" w:evenVBand="0" w:oddHBand="0" w:evenHBand="0" w:firstRowFirstColumn="0" w:firstRowLastColumn="0" w:lastRowFirstColumn="0" w:lastRowLastColumn="0"/>
            <w:tcW w:w="5244" w:type="dxa"/>
            <w:tcBorders>
              <w:top w:val="single" w:sz="6" w:space="0" w:color="auto"/>
              <w:left w:val="nil"/>
              <w:bottom w:val="single" w:sz="12" w:space="0" w:color="auto"/>
              <w:right w:val="nil"/>
            </w:tcBorders>
          </w:tcPr>
          <w:p w:rsidR="00A46DCA" w:rsidRPr="00BA3D25" w:rsidRDefault="00A46DCA" w:rsidP="00A26D04">
            <w:pPr>
              <w:keepLines w:val="0"/>
              <w:autoSpaceDE w:val="0"/>
              <w:autoSpaceDN w:val="0"/>
              <w:adjustRightInd w:val="0"/>
              <w:rPr>
                <w:rFonts w:eastAsiaTheme="minorEastAsia" w:cs="Calibri"/>
                <w:b/>
                <w:bCs/>
                <w:color w:val="000000"/>
                <w:szCs w:val="19"/>
                <w:lang w:eastAsia="en-AU"/>
              </w:rPr>
            </w:pPr>
            <w:r w:rsidRPr="00BA3D25">
              <w:rPr>
                <w:rFonts w:eastAsiaTheme="minorEastAsia" w:cs="Calibri"/>
                <w:b/>
                <w:bCs/>
                <w:color w:val="000000"/>
                <w:szCs w:val="19"/>
                <w:lang w:eastAsia="en-AU"/>
              </w:rPr>
              <w:t>Total contingent liabilities</w:t>
            </w:r>
          </w:p>
        </w:tc>
        <w:tc>
          <w:tcPr>
            <w:tcW w:w="992" w:type="dxa"/>
            <w:tcBorders>
              <w:top w:val="single" w:sz="6" w:space="0" w:color="auto"/>
              <w:left w:val="nil"/>
              <w:bottom w:val="single" w:sz="12" w:space="0" w:color="auto"/>
              <w:right w:val="nil"/>
            </w:tcBorders>
          </w:tcPr>
          <w:p w:rsidR="00A46DCA" w:rsidRPr="00BA3D25"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9"/>
                <w:lang w:eastAsia="en-AU"/>
              </w:rPr>
            </w:pPr>
            <w:r w:rsidRPr="00BA3D25">
              <w:rPr>
                <w:rFonts w:eastAsiaTheme="minorEastAsia" w:cs="Calibri"/>
                <w:b/>
                <w:bCs/>
                <w:color w:val="000000"/>
                <w:szCs w:val="19"/>
                <w:lang w:eastAsia="en-AU"/>
              </w:rPr>
              <w:t>11 643</w:t>
            </w:r>
          </w:p>
        </w:tc>
        <w:tc>
          <w:tcPr>
            <w:tcW w:w="1531" w:type="dxa"/>
            <w:tcBorders>
              <w:top w:val="single" w:sz="6" w:space="0" w:color="auto"/>
              <w:left w:val="nil"/>
              <w:bottom w:val="single" w:sz="12" w:space="0" w:color="auto"/>
              <w:right w:val="nil"/>
            </w:tcBorders>
          </w:tcPr>
          <w:p w:rsidR="00A46DCA" w:rsidRPr="00BA3D25"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9"/>
                <w:lang w:eastAsia="en-AU"/>
              </w:rPr>
            </w:pPr>
            <w:r w:rsidRPr="00BA3D25">
              <w:rPr>
                <w:rFonts w:eastAsiaTheme="minorEastAsia" w:cs="Calibri"/>
                <w:b/>
                <w:bCs/>
                <w:color w:val="000000"/>
                <w:szCs w:val="19"/>
                <w:lang w:eastAsia="en-AU"/>
              </w:rPr>
              <w:t>11 670</w:t>
            </w:r>
          </w:p>
        </w:tc>
      </w:tr>
    </w:tbl>
    <w:p w:rsidR="00A46DCA" w:rsidRDefault="00A46DCA" w:rsidP="00A26D04">
      <w:pPr>
        <w:pStyle w:val="Source"/>
      </w:pPr>
      <w:r>
        <w:t>Source: Department of Treasury and Finance</w:t>
      </w:r>
    </w:p>
    <w:p w:rsidR="00A46DCA" w:rsidRDefault="00A46DCA" w:rsidP="00A26D04">
      <w:pPr>
        <w:pStyle w:val="Note"/>
      </w:pPr>
      <w:r>
        <w:t>Notes:</w:t>
      </w:r>
    </w:p>
    <w:p w:rsidR="00A46DCA" w:rsidRDefault="00A46DCA" w:rsidP="00A26D04">
      <w:pPr>
        <w:pStyle w:val="Note"/>
      </w:pPr>
      <w:r>
        <w:t>(a)</w:t>
      </w:r>
      <w:r>
        <w:tab/>
        <w:t xml:space="preserve">As published in the </w:t>
      </w:r>
      <w:r w:rsidRPr="007A5E4A">
        <w:rPr>
          <w:i w:val="0"/>
        </w:rPr>
        <w:t>2017</w:t>
      </w:r>
      <w:r>
        <w:rPr>
          <w:i w:val="0"/>
        </w:rPr>
        <w:t>-18</w:t>
      </w:r>
      <w:r w:rsidRPr="007A5E4A">
        <w:rPr>
          <w:i w:val="0"/>
        </w:rPr>
        <w:t xml:space="preserve"> Budget</w:t>
      </w:r>
      <w:r>
        <w:t>.</w:t>
      </w:r>
    </w:p>
    <w:p w:rsidR="00A46DCA" w:rsidRDefault="00A46DCA" w:rsidP="00A26D04">
      <w:pPr>
        <w:pStyle w:val="Note"/>
      </w:pPr>
      <w:r>
        <w:t>(b)</w:t>
      </w:r>
      <w:r>
        <w:tab/>
        <w:t>Mainly represents the guarantee of borrowings provided by the Treasurer for the public sector borrowings portfolio.</w:t>
      </w:r>
    </w:p>
    <w:p w:rsidR="00A46DCA" w:rsidRDefault="00A46DCA" w:rsidP="00A26D04">
      <w:pPr>
        <w:pStyle w:val="Heading20"/>
      </w:pPr>
      <w:r>
        <w:t>Non-quantifiable contingent liabilities</w:t>
      </w:r>
    </w:p>
    <w:p w:rsidR="00A46DCA" w:rsidRDefault="00A46DCA" w:rsidP="00A26D04">
      <w:r>
        <w:t>A number of potential obligations are non-quantifiable at this time arising from:</w:t>
      </w:r>
    </w:p>
    <w:p w:rsidR="00A46DCA" w:rsidRPr="00BC5659" w:rsidRDefault="00A46DCA" w:rsidP="00A26D04">
      <w:pPr>
        <w:pStyle w:val="ListBullet"/>
        <w:numPr>
          <w:ilvl w:val="0"/>
          <w:numId w:val="24"/>
        </w:numPr>
      </w:pPr>
      <w:r w:rsidRPr="00BC5659">
        <w:t>indemnities relatin</w:t>
      </w:r>
      <w:r>
        <w:t>g</w:t>
      </w:r>
      <w:r w:rsidRPr="00BC5659">
        <w:t xml:space="preserve"> to transactions, including financial arrangements and consultancy services, as well as for directors and administrators;</w:t>
      </w:r>
    </w:p>
    <w:p w:rsidR="00A46DCA" w:rsidRPr="00BC5659" w:rsidRDefault="00A46DCA" w:rsidP="00A26D04">
      <w:pPr>
        <w:pStyle w:val="ListBullet"/>
        <w:numPr>
          <w:ilvl w:val="0"/>
          <w:numId w:val="24"/>
        </w:numPr>
      </w:pPr>
      <w:r w:rsidRPr="00BC5659">
        <w:t>performance guarantees, warranties, letters of comfort and the like;</w:t>
      </w:r>
    </w:p>
    <w:p w:rsidR="00A46DCA" w:rsidRPr="00BC5659" w:rsidRDefault="00A46DCA" w:rsidP="00A26D04">
      <w:pPr>
        <w:pStyle w:val="ListBullet"/>
        <w:numPr>
          <w:ilvl w:val="0"/>
          <w:numId w:val="24"/>
        </w:numPr>
      </w:pPr>
      <w:r w:rsidRPr="00BC5659">
        <w:t>deeds in respect of certain obligations; and</w:t>
      </w:r>
    </w:p>
    <w:p w:rsidR="00A46DCA" w:rsidRPr="00BC5659" w:rsidRDefault="00A46DCA" w:rsidP="00A26D04">
      <w:pPr>
        <w:pStyle w:val="ListBullet"/>
        <w:numPr>
          <w:ilvl w:val="0"/>
          <w:numId w:val="24"/>
        </w:numPr>
      </w:pPr>
      <w:r w:rsidRPr="00BC5659">
        <w:t>unclaimed monies, which may be subject to future claims by the general public against the State.</w:t>
      </w:r>
    </w:p>
    <w:p w:rsidR="00A46DCA" w:rsidRDefault="00A46DCA" w:rsidP="00A26D04">
      <w:r>
        <w:t>An overview of the more significant non-quantifiable liabilities follows.</w:t>
      </w:r>
    </w:p>
    <w:p w:rsidR="00A46DCA" w:rsidRPr="00316FB2" w:rsidRDefault="00A46DCA" w:rsidP="00A26D04">
      <w:pPr>
        <w:pStyle w:val="Heading30"/>
      </w:pPr>
      <w:proofErr w:type="spellStart"/>
      <w:r w:rsidRPr="00316FB2">
        <w:t>AgriBio</w:t>
      </w:r>
      <w:proofErr w:type="spellEnd"/>
      <w:r w:rsidRPr="00316FB2">
        <w:t xml:space="preserve"> Centre for </w:t>
      </w:r>
      <w:proofErr w:type="spellStart"/>
      <w:r w:rsidRPr="00316FB2">
        <w:t>AgriBioscience</w:t>
      </w:r>
      <w:proofErr w:type="spellEnd"/>
      <w:r w:rsidRPr="00316FB2">
        <w:t xml:space="preserve"> (formerly known as The Biosciences Research Centre)</w:t>
      </w:r>
    </w:p>
    <w:p w:rsidR="00A46DCA" w:rsidRDefault="00A46DCA" w:rsidP="00A26D04">
      <w:r>
        <w:t xml:space="preserve">The quarterly service fee payment obligations of the </w:t>
      </w:r>
      <w:proofErr w:type="spellStart"/>
      <w:r>
        <w:t>AgriBio</w:t>
      </w:r>
      <w:proofErr w:type="spellEnd"/>
      <w:r>
        <w:t xml:space="preserve"> Centre for </w:t>
      </w:r>
      <w:proofErr w:type="spellStart"/>
      <w:r>
        <w:t>AgriBioscience</w:t>
      </w:r>
      <w:proofErr w:type="spellEnd"/>
      <w:r>
        <w:t xml:space="preserve"> on behalf of the joint venture participants (Department of Economic Development, Jobs, Transport and Resources, and La Trobe University) are backed by the State of Victoria under a State Support Deed. Under this Deed, the State ensures the joint venture participants have severally the financial capacity to meet their payment obligations to Biosciences Research Centre Pty Ltd (BRC), thereby enabling BRC to meet its obligations to pay the service fee to the concessionaire pursuant to the project agreement. The State underwrites the risk of any default by BRC.</w:t>
      </w:r>
    </w:p>
    <w:p w:rsidR="00A46DCA" w:rsidRDefault="00A46DCA">
      <w:pPr>
        <w:keepLines w:val="0"/>
        <w:rPr>
          <w:rFonts w:asciiTheme="majorHAnsi" w:eastAsiaTheme="majorEastAsia" w:hAnsiTheme="majorHAnsi" w:cstheme="majorBidi"/>
          <w:b/>
          <w:bCs/>
          <w:spacing w:val="-2"/>
          <w:szCs w:val="26"/>
        </w:rPr>
      </w:pPr>
      <w:r>
        <w:br w:type="page"/>
      </w:r>
    </w:p>
    <w:p w:rsidR="00A46DCA" w:rsidRPr="00316FB2" w:rsidRDefault="00A46DCA" w:rsidP="00A26D04">
      <w:pPr>
        <w:pStyle w:val="Heading30"/>
      </w:pPr>
      <w:r w:rsidRPr="00316FB2">
        <w:lastRenderedPageBreak/>
        <w:t>Department of Education and Training</w:t>
      </w:r>
    </w:p>
    <w:p w:rsidR="00A46DCA" w:rsidRDefault="00A46DCA" w:rsidP="00A26D04">
      <w:r>
        <w:t>The Department has a number of unquantifiable contingent liabilities, arising from indemnities provided by it, as follows:</w:t>
      </w:r>
    </w:p>
    <w:p w:rsidR="00A46DCA" w:rsidRDefault="00A46DCA" w:rsidP="00A26D04">
      <w:pPr>
        <w:pStyle w:val="ListBullet"/>
        <w:numPr>
          <w:ilvl w:val="0"/>
          <w:numId w:val="24"/>
        </w:numPr>
      </w:pPr>
      <w:r>
        <w:t xml:space="preserve">volunteer school workers and volunteer student workers: the </w:t>
      </w:r>
      <w:r w:rsidRPr="00BB4C88">
        <w:rPr>
          <w:i/>
        </w:rPr>
        <w:t>Education and Training Reform Act 2006</w:t>
      </w:r>
      <w:r>
        <w:t xml:space="preserve"> provides a specific indemnity for personal injuries suffered by volunteer school workers and volunteer student workers arising out of or in the course of engaging in school work or community work respectively.</w:t>
      </w:r>
    </w:p>
    <w:p w:rsidR="00A46DCA" w:rsidRDefault="00A46DCA" w:rsidP="00A26D04">
      <w:pPr>
        <w:pStyle w:val="ListBullet"/>
        <w:numPr>
          <w:ilvl w:val="0"/>
          <w:numId w:val="24"/>
        </w:numPr>
      </w:pPr>
      <w:r>
        <w:t xml:space="preserve">members of school councils: the </w:t>
      </w:r>
      <w:r w:rsidRPr="00BB4C88">
        <w:rPr>
          <w:i/>
        </w:rPr>
        <w:t>Education and Training Reform Act 2006</w:t>
      </w:r>
      <w:r>
        <w:t xml:space="preserve"> provides an indemnity to members of school councils for any legal liability, whether in contract, negligence or defamation.</w:t>
      </w:r>
    </w:p>
    <w:p w:rsidR="00A46DCA" w:rsidRDefault="00A46DCA" w:rsidP="00A26D04">
      <w:pPr>
        <w:pStyle w:val="ListBullet"/>
        <w:numPr>
          <w:ilvl w:val="0"/>
          <w:numId w:val="24"/>
        </w:numPr>
      </w:pPr>
      <w:r>
        <w:t>teachers: if a teacher is named as a defendant in a student personal injury claim, any costs and damages will generally be paid by the Department provided the teacher was not under the influence of illicit drugs or alcohol or engaging in a criminal offence and the behaviour was not outrageous and was related to their employment.</w:t>
      </w:r>
    </w:p>
    <w:p w:rsidR="00A46DCA" w:rsidRDefault="00A46DCA" w:rsidP="00A26D04">
      <w:pPr>
        <w:pStyle w:val="ListBullet"/>
        <w:numPr>
          <w:ilvl w:val="0"/>
          <w:numId w:val="24"/>
        </w:numPr>
      </w:pPr>
      <w:r>
        <w:t xml:space="preserve">school councils: the Department will usually indemnify school councils in claims of common law negligence, and will often indemnify in relation to employment disputes, for the cost of settlement and legal representation. The Department will take into account the impact of payment upon the school’s educational program and any insurance cover for the school council, and will likely indemnify if the Department is satisfied that: </w:t>
      </w:r>
    </w:p>
    <w:p w:rsidR="00A46DCA" w:rsidRDefault="00A46DCA" w:rsidP="00A26D04">
      <w:pPr>
        <w:pStyle w:val="ListBullet2"/>
        <w:numPr>
          <w:ilvl w:val="1"/>
          <w:numId w:val="24"/>
        </w:numPr>
      </w:pPr>
      <w:r>
        <w:t>the school council acted in good faith and according to issued guidelines and directions; and</w:t>
      </w:r>
    </w:p>
    <w:p w:rsidR="00A46DCA" w:rsidRDefault="00A46DCA" w:rsidP="00A26D04">
      <w:pPr>
        <w:pStyle w:val="ListBullet2"/>
        <w:numPr>
          <w:ilvl w:val="1"/>
          <w:numId w:val="24"/>
        </w:numPr>
      </w:pPr>
      <w:r>
        <w:t>the school council has insufficient funds to pay the claim.</w:t>
      </w:r>
    </w:p>
    <w:p w:rsidR="00A46DCA" w:rsidRPr="00316FB2" w:rsidRDefault="00A46DCA" w:rsidP="00A26D04">
      <w:pPr>
        <w:pStyle w:val="Heading30"/>
      </w:pPr>
      <w:r w:rsidRPr="00316FB2">
        <w:t xml:space="preserve">Public acquisition overlays for the future development of rail and road infrastructure </w:t>
      </w:r>
    </w:p>
    <w:p w:rsidR="00A46DCA" w:rsidRDefault="00A46DCA" w:rsidP="00A26D04">
      <w:r>
        <w:t xml:space="preserve">Public acquisition overlays are in place to reserve certain areas of land for future development of rail and road infrastructure. Under Section 98 of the </w:t>
      </w:r>
      <w:r w:rsidRPr="00BB4C88">
        <w:rPr>
          <w:i/>
        </w:rPr>
        <w:t>Planning and Environment Act 1987</w:t>
      </w:r>
      <w:r>
        <w:t>, the State has a legislative responsibility to compensate eligible land and property owners who face either:</w:t>
      </w:r>
    </w:p>
    <w:p w:rsidR="00A46DCA" w:rsidRDefault="00A46DCA" w:rsidP="00A26D04">
      <w:pPr>
        <w:pStyle w:val="ListBullet"/>
        <w:numPr>
          <w:ilvl w:val="0"/>
          <w:numId w:val="24"/>
        </w:numPr>
      </w:pPr>
      <w:r>
        <w:t>loss on sale – an eligible landowner is entitled to compensation for the incremental loss on sale when a property affected by a public acquisition overlay is sold for less than its market value; or</w:t>
      </w:r>
    </w:p>
    <w:p w:rsidR="00A46DCA" w:rsidRDefault="00A46DCA" w:rsidP="00A26D04">
      <w:pPr>
        <w:pStyle w:val="ListBullet"/>
        <w:numPr>
          <w:ilvl w:val="0"/>
          <w:numId w:val="24"/>
        </w:numPr>
      </w:pPr>
      <w:r>
        <w:t>financial loss – the entitlement to financial loss compensation is triggered when a development permit is refused because the property is required for a public purpose.</w:t>
      </w:r>
    </w:p>
    <w:p w:rsidR="00A46DCA" w:rsidRDefault="00A46DCA" w:rsidP="00A26D04">
      <w:r>
        <w:t xml:space="preserve">Compensation and purchase claims occur as a result of claims by land owners. The future liability depends on factors including the number of claims received and the prevailing value of land at the time the claim is made, which cannot be reliably quantified. </w:t>
      </w:r>
    </w:p>
    <w:p w:rsidR="00A46DCA" w:rsidRDefault="00A46DCA">
      <w:pPr>
        <w:keepLines w:val="0"/>
        <w:rPr>
          <w:rFonts w:asciiTheme="majorHAnsi" w:eastAsiaTheme="majorEastAsia" w:hAnsiTheme="majorHAnsi" w:cstheme="majorBidi"/>
          <w:b/>
          <w:bCs/>
          <w:spacing w:val="-2"/>
          <w:szCs w:val="26"/>
        </w:rPr>
      </w:pPr>
      <w:r>
        <w:br w:type="page"/>
      </w:r>
    </w:p>
    <w:p w:rsidR="00A46DCA" w:rsidRPr="00316FB2" w:rsidRDefault="00A46DCA" w:rsidP="00A26D04">
      <w:pPr>
        <w:pStyle w:val="Heading30"/>
        <w:spacing w:before="200"/>
      </w:pPr>
      <w:r w:rsidRPr="00316FB2">
        <w:lastRenderedPageBreak/>
        <w:t>Public transport rail partnership agreements</w:t>
      </w:r>
    </w:p>
    <w:p w:rsidR="00A46DCA" w:rsidRDefault="00A46DCA" w:rsidP="006A017C">
      <w:pPr>
        <w:spacing w:before="100"/>
      </w:pPr>
      <w:r>
        <w:t>Public Transport Victoria (PTV) is party to contractual arrangements with franchisees to operate metropolitan rail transport services in the State, from 30 November 2017 until 30 November 2024. The major contingent liabilities arising in the event of early termination or expiry of the contract are:</w:t>
      </w:r>
    </w:p>
    <w:p w:rsidR="00A46DCA" w:rsidRDefault="00A46DCA" w:rsidP="006A017C">
      <w:pPr>
        <w:pStyle w:val="ListBullet"/>
        <w:numPr>
          <w:ilvl w:val="0"/>
          <w:numId w:val="24"/>
        </w:numPr>
        <w:spacing w:before="40"/>
      </w:pPr>
      <w:r>
        <w:t>partnership assets – to maintain continuity of services, at early termination or expiry of the franchise contract, assets will revert to PTV or a successor. In the case of some assets, a reversion back to PTV would entail those assets being purchased; and</w:t>
      </w:r>
    </w:p>
    <w:p w:rsidR="00A46DCA" w:rsidRDefault="00A46DCA" w:rsidP="006A017C">
      <w:pPr>
        <w:pStyle w:val="ListBullet"/>
        <w:numPr>
          <w:ilvl w:val="0"/>
          <w:numId w:val="24"/>
        </w:numPr>
        <w:spacing w:before="40"/>
      </w:pPr>
      <w:r>
        <w:t xml:space="preserve">unfunded superannuation – at the early termination or expiry of the contract, PTV will assume any unfunded superannuation amounts (apart from contributions the operator is required to pay over the contract term) to the extent that the State becomes the successor operator. </w:t>
      </w:r>
    </w:p>
    <w:p w:rsidR="00A46DCA" w:rsidRPr="00316FB2" w:rsidRDefault="00A46DCA" w:rsidP="006A017C">
      <w:pPr>
        <w:pStyle w:val="Heading30"/>
        <w:spacing w:before="160"/>
      </w:pPr>
      <w:r w:rsidRPr="00316FB2">
        <w:t>Level Crossing Removal Program</w:t>
      </w:r>
    </w:p>
    <w:p w:rsidR="00A46DCA" w:rsidRDefault="00A46DCA" w:rsidP="006A017C">
      <w:pPr>
        <w:spacing w:before="100"/>
      </w:pPr>
      <w:r>
        <w:t>The State has introduced a voluntary purchase scheme for residential properties directly impacted by the Caulfield–Dandenong component of the Level Crossing Removal Program. The scheme commenced on 29 March 2016. The Level Crossing Removal Authority is anticipating future claims by property owners for either outright purchase and associated costs or costs related to landscaping if property owners choose to stay. Due to the uncertainty of the take-up of the offer, it is not feasible to quantify the value of the liability at this stage.</w:t>
      </w:r>
    </w:p>
    <w:p w:rsidR="00A46DCA" w:rsidRPr="00316FB2" w:rsidRDefault="00A46DCA" w:rsidP="006A017C">
      <w:pPr>
        <w:pStyle w:val="Heading30"/>
        <w:spacing w:before="160"/>
      </w:pPr>
      <w:proofErr w:type="spellStart"/>
      <w:r w:rsidRPr="00316FB2">
        <w:t>Fiskville</w:t>
      </w:r>
      <w:proofErr w:type="spellEnd"/>
      <w:r w:rsidRPr="00316FB2">
        <w:t xml:space="preserve"> independent investigation and closure of training college</w:t>
      </w:r>
    </w:p>
    <w:p w:rsidR="00A46DCA" w:rsidRDefault="00A46DCA" w:rsidP="006A017C">
      <w:pPr>
        <w:spacing w:before="100"/>
      </w:pPr>
      <w:r>
        <w:t xml:space="preserve">An independent investigation was undertaken into the historical use of chemicals for live firefighting training at </w:t>
      </w:r>
      <w:proofErr w:type="spellStart"/>
      <w:r>
        <w:t>Fiskville</w:t>
      </w:r>
      <w:proofErr w:type="spellEnd"/>
      <w:r>
        <w:t xml:space="preserve"> Training College (</w:t>
      </w:r>
      <w:proofErr w:type="spellStart"/>
      <w:r>
        <w:t>Fiskville</w:t>
      </w:r>
      <w:proofErr w:type="spellEnd"/>
      <w:r>
        <w:t xml:space="preserve">) between 1971 and 1999. The report of the independent investigation has been released and the Country Fire Authority (CFA) has accepted all of the facts, recommendations and conclusions and is committed to implementing all recommendations. </w:t>
      </w:r>
    </w:p>
    <w:p w:rsidR="00A46DCA" w:rsidRDefault="00A46DCA" w:rsidP="006A017C">
      <w:pPr>
        <w:spacing w:before="100"/>
      </w:pPr>
      <w:r>
        <w:t xml:space="preserve">In August 2012, the CFA established a program office to manage the implementation of the report’s recommendations and an additional 11 management initiatives to which the CFA Board committed in its response to the report. </w:t>
      </w:r>
    </w:p>
    <w:p w:rsidR="00A46DCA" w:rsidRDefault="00A46DCA" w:rsidP="006A017C">
      <w:pPr>
        <w:spacing w:before="100"/>
      </w:pPr>
      <w:r>
        <w:t xml:space="preserve">On 26 March 2015, the Government announced the permanent closure of </w:t>
      </w:r>
      <w:proofErr w:type="spellStart"/>
      <w:r>
        <w:t>Fiskville</w:t>
      </w:r>
      <w:proofErr w:type="spellEnd"/>
      <w:r>
        <w:t xml:space="preserve">. </w:t>
      </w:r>
      <w:proofErr w:type="spellStart"/>
      <w:r>
        <w:t>Fiskville</w:t>
      </w:r>
      <w:proofErr w:type="spellEnd"/>
      <w:r>
        <w:t xml:space="preserve"> and Victorian Emergency Management Training Centre training grounds owned by CFA at the Penshurst, Bangholme, West Sale, Wangaratta, Huntly, and </w:t>
      </w:r>
      <w:proofErr w:type="spellStart"/>
      <w:r>
        <w:t>Longerenong</w:t>
      </w:r>
      <w:proofErr w:type="spellEnd"/>
      <w:r>
        <w:t xml:space="preserve"> have been the subject of notices issued by the Environment Protection Authority (EPA).</w:t>
      </w:r>
    </w:p>
    <w:p w:rsidR="00A46DCA" w:rsidRDefault="00A46DCA" w:rsidP="006A017C">
      <w:pPr>
        <w:spacing w:before="100"/>
      </w:pPr>
      <w:r>
        <w:t xml:space="preserve">The CFA has a number of contingent liabilities arising from the closure of </w:t>
      </w:r>
      <w:proofErr w:type="spellStart"/>
      <w:r>
        <w:t>Fiskville</w:t>
      </w:r>
      <w:proofErr w:type="spellEnd"/>
      <w:r>
        <w:t xml:space="preserve"> and the notices issued by EPA. These relate to any further notices that may be issued by EPA, any regulatory infringements that may be imposed by EPA, compensation that may be sought, any legal claims that may be made, recommendations made by the Victorian Parliamentary Inquiry into the CFA Training College at </w:t>
      </w:r>
      <w:proofErr w:type="spellStart"/>
      <w:r>
        <w:t>Fiskville</w:t>
      </w:r>
      <w:proofErr w:type="spellEnd"/>
      <w:r>
        <w:t xml:space="preserve"> and the costs of relocating the Firefighters’ Memorial previously located at </w:t>
      </w:r>
      <w:proofErr w:type="spellStart"/>
      <w:r>
        <w:t>Fiskville</w:t>
      </w:r>
      <w:proofErr w:type="spellEnd"/>
      <w:r>
        <w:t>.</w:t>
      </w:r>
    </w:p>
    <w:p w:rsidR="00A46DCA" w:rsidRDefault="00A46DCA" w:rsidP="006A017C">
      <w:pPr>
        <w:spacing w:before="100"/>
        <w:ind w:right="-71"/>
      </w:pPr>
      <w:r>
        <w:t xml:space="preserve">The Government response to the </w:t>
      </w:r>
      <w:proofErr w:type="spellStart"/>
      <w:r>
        <w:t>Fiskville</w:t>
      </w:r>
      <w:proofErr w:type="spellEnd"/>
      <w:r>
        <w:t xml:space="preserve"> Inquiry was tabled in Parliament on 24 November 2016. The response supports all of the 31 recommendations of the inquiry, either in full, in principle or in part.</w:t>
      </w:r>
    </w:p>
    <w:p w:rsidR="00A46DCA" w:rsidRDefault="00A46DCA" w:rsidP="006A017C">
      <w:pPr>
        <w:spacing w:before="100"/>
      </w:pPr>
      <w:r>
        <w:t>The exact financial implications of the Government’s response are yet to be quantified.</w:t>
      </w:r>
    </w:p>
    <w:p w:rsidR="00A46DCA" w:rsidRPr="00316FB2" w:rsidRDefault="00A46DCA" w:rsidP="00A26D04">
      <w:pPr>
        <w:pStyle w:val="Heading30"/>
        <w:spacing w:before="200"/>
      </w:pPr>
      <w:r w:rsidRPr="00316FB2">
        <w:lastRenderedPageBreak/>
        <w:t>Compulsory property acquisitions</w:t>
      </w:r>
    </w:p>
    <w:p w:rsidR="00A46DCA" w:rsidRDefault="00A46DCA" w:rsidP="00A26D04">
      <w:r>
        <w:t xml:space="preserve">The State has compulsorily acquired a number of properties (residential and commercial) through the </w:t>
      </w:r>
      <w:r w:rsidRPr="00BB4C88">
        <w:rPr>
          <w:i/>
        </w:rPr>
        <w:t>Land Acquisition and Compensation Act 1986</w:t>
      </w:r>
      <w:r>
        <w:t xml:space="preserve"> to facilitate delivery of various projects. Possible future claims for compensation arising from the compulsory acquisition of these properties cannot be quantified at this stage.</w:t>
      </w:r>
    </w:p>
    <w:p w:rsidR="00A46DCA" w:rsidRPr="00316FB2" w:rsidRDefault="00A46DCA" w:rsidP="00A26D04">
      <w:pPr>
        <w:pStyle w:val="Heading30"/>
        <w:spacing w:before="200"/>
      </w:pPr>
      <w:r w:rsidRPr="00316FB2">
        <w:t>Land remediation – environmental concerns</w:t>
      </w:r>
    </w:p>
    <w:p w:rsidR="00A46DCA" w:rsidRDefault="00A46DCA" w:rsidP="00A26D04">
      <w:r>
        <w:t xml:space="preserve">In addition to properties for which remediation costs have been provided in the State’s financial statements, certain other properties have been identified as potentially contaminated sites. The State does not admit any liability in respect of these sites. However, remedial expenditure may be incurred to restore the sites to an acceptable environmental standard in the event that contamination is identified. </w:t>
      </w:r>
    </w:p>
    <w:p w:rsidR="00A46DCA" w:rsidRPr="00316FB2" w:rsidRDefault="00A46DCA" w:rsidP="00A26D04">
      <w:pPr>
        <w:pStyle w:val="Heading30"/>
        <w:spacing w:before="200"/>
      </w:pPr>
      <w:r w:rsidRPr="00316FB2">
        <w:t>Native Title</w:t>
      </w:r>
    </w:p>
    <w:p w:rsidR="00A46DCA" w:rsidRDefault="00A46DCA" w:rsidP="00A26D04">
      <w:r>
        <w:t xml:space="preserve">A number of claims that affect Victoria have been filed with the Federal Court under the Commonwealth </w:t>
      </w:r>
      <w:r w:rsidRPr="00BB4C88">
        <w:rPr>
          <w:i/>
        </w:rPr>
        <w:t>Native Title Act 1993</w:t>
      </w:r>
      <w:r>
        <w:t xml:space="preserve">. It is not feasible at this time to quantify any future liability. </w:t>
      </w:r>
    </w:p>
    <w:p w:rsidR="00A46DCA" w:rsidRPr="00316FB2" w:rsidRDefault="00A46DCA" w:rsidP="00A26D04">
      <w:pPr>
        <w:pStyle w:val="Heading30"/>
        <w:spacing w:before="200"/>
      </w:pPr>
      <w:r w:rsidRPr="00316FB2">
        <w:t>Royal Melbourne Showgrounds redevelopment</w:t>
      </w:r>
    </w:p>
    <w:p w:rsidR="00A46DCA" w:rsidRDefault="00A46DCA" w:rsidP="00A26D04">
      <w:r>
        <w:t>Under the State’s commitment to the Royal Agricultural Society of Victoria (RASV), the State backs certain obligations of RASV that may arise out of the joint venture agreement. Under the State’s commitment to RASV, the State will pay (in the form of a loan) the amount requested by RASV. If any outstanding loan amount remains unpaid at the date which is 25 years after the commencement of the operation term, RASV will be obliged to satisfy the outstanding loan amount. This may take the form of a transfer to the State of the whole of the RASV participating interest in the joint venture.</w:t>
      </w:r>
    </w:p>
    <w:p w:rsidR="00A46DCA" w:rsidRDefault="00A46DCA" w:rsidP="00A26D04">
      <w:r>
        <w:t xml:space="preserve">Under the State Support Deed – Core Land, the State has undertaken to ensure the performance of the payment obligations in favour of the Concessionaire and the performance of the joint venture financial obligations in favour of the security trustee. </w:t>
      </w:r>
    </w:p>
    <w:p w:rsidR="00A46DCA" w:rsidRDefault="00A46DCA" w:rsidP="00A26D04">
      <w:r>
        <w:t xml:space="preserve">The State has also entered into the State Support Deed – Non Core Land with Showgrounds Retail Developments Pty Ltd and the RASV, whereby the State guarantees certain payment obligations of the RASV under the non-core development agreement. </w:t>
      </w:r>
    </w:p>
    <w:p w:rsidR="00A46DCA" w:rsidRPr="00316FB2" w:rsidRDefault="00A46DCA" w:rsidP="00A26D04">
      <w:pPr>
        <w:pStyle w:val="Heading30"/>
      </w:pPr>
      <w:r w:rsidRPr="00316FB2">
        <w:t>Victorian Managed Insurance Authority – insurance cover</w:t>
      </w:r>
    </w:p>
    <w:p w:rsidR="00A46DCA" w:rsidRDefault="00A46DCA" w:rsidP="00A26D04">
      <w:r>
        <w:t xml:space="preserve">The Victorian Managed Insurance Authority (VMIA) was established in 1996 as an insurer for state government departments, participating bodies and other entities as defined under the </w:t>
      </w:r>
      <w:r w:rsidRPr="00BB4C88">
        <w:rPr>
          <w:i/>
        </w:rPr>
        <w:t>Victorian Managed Insurance Authority Act 1996</w:t>
      </w:r>
      <w:r>
        <w:t xml:space="preserve">. The VMIA insures its clients for property, public and products liability, professional indemnity, contract works and domestic building insurance for the Victorian residential builders. The VMIA reinsures in the private market for losses above $50 million arising out of any one occurrence, up to a limit of $1 billion for public and products liability, and for losses above $50 million arising out of any one event, up to a limit of $3.6 billion for property. Further, VMIA reinsures in the private market for losses above $10 million arising out of any one event, up to a limit of $1.5 billion for terrorism. The risk of losses above these reinsured levels in borne by the State. </w:t>
      </w:r>
    </w:p>
    <w:p w:rsidR="00A46DCA" w:rsidRDefault="00A46DCA" w:rsidP="00A26D04">
      <w:r>
        <w:lastRenderedPageBreak/>
        <w:t>The VMIA also insures the Department of Health and Human Services for all public sector medical indemnity claims incurred in each policy year from 1 July 1993, regardless of when claims are finally settled. Under the indemnity deed to provide stop loss protection for the VMIA, the Department of Treasury and Finance has agreed to reimburse the VMIA if the ultimate claims payouts in any policy year from 1 July 2003 exceed by more than 20 per cent of the initial estimate on which the risk premium was based.</w:t>
      </w:r>
    </w:p>
    <w:p w:rsidR="00A46DCA" w:rsidRPr="00316FB2" w:rsidRDefault="00A46DCA" w:rsidP="00A26D04">
      <w:pPr>
        <w:pStyle w:val="Heading30"/>
      </w:pPr>
      <w:r w:rsidRPr="00316FB2">
        <w:t>2016 flood and storm events</w:t>
      </w:r>
    </w:p>
    <w:p w:rsidR="00A46DCA" w:rsidRPr="005648BD" w:rsidRDefault="00A46DCA" w:rsidP="00A26D04">
      <w:r w:rsidRPr="005648BD">
        <w:t>In September 2016 a sever</w:t>
      </w:r>
      <w:r>
        <w:t>e</w:t>
      </w:r>
      <w:r w:rsidRPr="005648BD">
        <w:t xml:space="preserve"> flood and storm event impacted 51 local government areas across Victoria. The State of Victoria formally activated the Commonwealth Government-State Natural Disaster Relief and Recovery Arrangements (NDRRA) </w:t>
      </w:r>
      <w:r w:rsidRPr="000D70CA">
        <w:rPr>
          <w:spacing w:val="-2"/>
        </w:rPr>
        <w:t>following this event. Local councils have commenced</w:t>
      </w:r>
      <w:r w:rsidRPr="005648BD">
        <w:t xml:space="preserve"> the restoration of damaged essential assets. To date the e</w:t>
      </w:r>
      <w:r>
        <w:t xml:space="preserve">stimated cost of damage is $194 million. </w:t>
      </w:r>
      <w:r w:rsidRPr="005648BD">
        <w:t>Financial assistance is provided jointly by the Victorian and Commonwealth governments under the NDRRA. It is not possible to quantify the cost to the State until all claims have been received.</w:t>
      </w:r>
    </w:p>
    <w:p w:rsidR="00A46DCA" w:rsidRDefault="00A46DCA" w:rsidP="00A26D04">
      <w:r w:rsidRPr="005648BD">
        <w:t>The State also activated NDRRA for a number of storm and flood events from July</w:t>
      </w:r>
      <w:r>
        <w:t> </w:t>
      </w:r>
      <w:r w:rsidRPr="005648BD">
        <w:t>2016 up to April 2017</w:t>
      </w:r>
      <w:r>
        <w:t>.</w:t>
      </w:r>
      <w:r w:rsidRPr="005648BD">
        <w:t xml:space="preserve"> </w:t>
      </w:r>
      <w:r>
        <w:t>H</w:t>
      </w:r>
      <w:r w:rsidRPr="005648BD">
        <w:t xml:space="preserve">owever, the financial impact of these events is still being assessed and </w:t>
      </w:r>
      <w:r>
        <w:t>is</w:t>
      </w:r>
      <w:r w:rsidRPr="005648BD">
        <w:t xml:space="preserve"> not expected to be as significant as the September 2016 events.</w:t>
      </w:r>
    </w:p>
    <w:p w:rsidR="00A46DCA" w:rsidRDefault="00A46DCA" w:rsidP="00A26D04">
      <w:pPr>
        <w:pStyle w:val="Heading20"/>
      </w:pPr>
      <w:r>
        <w:t>Other commitments</w:t>
      </w:r>
    </w:p>
    <w:p w:rsidR="00A46DCA" w:rsidRPr="00316FB2" w:rsidRDefault="00A46DCA" w:rsidP="00A26D04">
      <w:pPr>
        <w:pStyle w:val="Heading30"/>
      </w:pPr>
      <w:r w:rsidRPr="00316FB2">
        <w:t>Alcoa contribution and advance facility</w:t>
      </w:r>
    </w:p>
    <w:p w:rsidR="00A46DCA" w:rsidRDefault="00A46DCA" w:rsidP="00A26D04">
      <w:r>
        <w:t>The State has entered into a funding agreement effective 2017-18 that may require provision of financial support to a Victorian smelter</w:t>
      </w:r>
      <w:r w:rsidRPr="00873AB6">
        <w:t>.</w:t>
      </w:r>
    </w:p>
    <w:p w:rsidR="00A46DCA" w:rsidRDefault="00A46DCA" w:rsidP="00A26D04"/>
    <w:p w:rsidR="00A46DCA" w:rsidRDefault="00A46DCA">
      <w:pPr>
        <w:keepLines w:val="0"/>
      </w:pPr>
      <w:r>
        <w:br w:type="page"/>
      </w:r>
    </w:p>
    <w:p w:rsidR="00A46DCA" w:rsidRDefault="00A46DCA" w:rsidP="00A26D04">
      <w:pPr>
        <w:sectPr w:rsidR="00A46DCA" w:rsidSect="00480C94">
          <w:headerReference w:type="even" r:id="rId62"/>
          <w:headerReference w:type="default" r:id="rId63"/>
          <w:footerReference w:type="even" r:id="rId64"/>
          <w:footerReference w:type="default" r:id="rId65"/>
          <w:headerReference w:type="first" r:id="rId66"/>
          <w:footerReference w:type="first" r:id="rId67"/>
          <w:type w:val="continuous"/>
          <w:pgSz w:w="9979" w:h="14175" w:code="9"/>
          <w:pgMar w:top="851" w:right="1134" w:bottom="851" w:left="1134" w:header="624" w:footer="567" w:gutter="0"/>
          <w:cols w:sep="1" w:space="567"/>
          <w:docGrid w:linePitch="360"/>
        </w:sectPr>
      </w:pPr>
    </w:p>
    <w:p w:rsidR="00A46DCA" w:rsidRDefault="00A46DCA" w:rsidP="00480C94">
      <w:pPr>
        <w:sectPr w:rsidR="00A46DCA" w:rsidSect="00480C94">
          <w:headerReference w:type="even" r:id="rId68"/>
          <w:headerReference w:type="default" r:id="rId69"/>
          <w:footerReference w:type="even" r:id="rId70"/>
          <w:footerReference w:type="default" r:id="rId71"/>
          <w:headerReference w:type="first" r:id="rId72"/>
          <w:footerReference w:type="first" r:id="rId73"/>
          <w:type w:val="continuous"/>
          <w:pgSz w:w="9979" w:h="14175" w:code="34"/>
          <w:pgMar w:top="851" w:right="1134" w:bottom="851" w:left="1134" w:header="624" w:footer="567" w:gutter="0"/>
          <w:cols w:sep="1" w:space="567"/>
          <w:docGrid w:linePitch="360"/>
        </w:sectPr>
      </w:pPr>
    </w:p>
    <w:p w:rsidR="00A46DCA" w:rsidRDefault="00A46DCA" w:rsidP="000C43CD">
      <w:pPr>
        <w:pStyle w:val="Chapterheading"/>
      </w:pPr>
      <w:bookmarkStart w:id="65" w:name="_Toc500179542"/>
      <w:bookmarkStart w:id="66" w:name="_Toc500435584"/>
      <w:r>
        <w:lastRenderedPageBreak/>
        <w:t>Appendix A – Specific policy initiatives affecting the budget position</w:t>
      </w:r>
      <w:bookmarkEnd w:id="65"/>
      <w:bookmarkEnd w:id="66"/>
    </w:p>
    <w:p w:rsidR="00A46DCA" w:rsidRDefault="00A46DCA" w:rsidP="00A26D04">
      <w:r>
        <w:t xml:space="preserve">Appendix A outlines specific policy initiatives that affect outputs and assets, including Treasurer’s Advances, agreed by the Government since the </w:t>
      </w:r>
      <w:r>
        <w:rPr>
          <w:i/>
        </w:rPr>
        <w:t>2017-18 Budget</w:t>
      </w:r>
      <w:r>
        <w:t>.</w:t>
      </w:r>
    </w:p>
    <w:p w:rsidR="00A46DCA" w:rsidRDefault="00A46DCA" w:rsidP="00A26D04">
      <w:r>
        <w:t>The following tables provide details of:</w:t>
      </w:r>
    </w:p>
    <w:p w:rsidR="00A46DCA" w:rsidRDefault="00A46DCA" w:rsidP="00A26D04">
      <w:pPr>
        <w:pStyle w:val="ListBullet"/>
        <w:numPr>
          <w:ilvl w:val="0"/>
          <w:numId w:val="25"/>
        </w:numPr>
      </w:pPr>
      <w:r>
        <w:t>revenue initiatives; and</w:t>
      </w:r>
    </w:p>
    <w:p w:rsidR="00A46DCA" w:rsidRDefault="00A46DCA" w:rsidP="00A26D04">
      <w:pPr>
        <w:pStyle w:val="ListBullet"/>
        <w:numPr>
          <w:ilvl w:val="0"/>
          <w:numId w:val="25"/>
        </w:numPr>
      </w:pPr>
      <w:r>
        <w:t>output and asset initiatives for departments.</w:t>
      </w:r>
    </w:p>
    <w:p w:rsidR="00A46DCA" w:rsidRDefault="00A46DCA" w:rsidP="00A26D04">
      <w:r>
        <w:t>Appendix A also includes a cross reference between initiatives and their relevant departmental outputs, which indicates the impact of policy decisions on relevant portfolios.</w:t>
      </w:r>
    </w:p>
    <w:p w:rsidR="00A46DCA" w:rsidRDefault="00A46DCA" w:rsidP="00A26D04">
      <w:r>
        <w:t>The figures included are the gross costs of decisions. Funding from reprioritisation and other sources has not been deducted from the total cost of new initiatives.</w:t>
      </w:r>
    </w:p>
    <w:p w:rsidR="00A46DCA" w:rsidRDefault="00A46DCA" w:rsidP="00A26D04">
      <w:pPr>
        <w:pStyle w:val="ListBullet2"/>
        <w:numPr>
          <w:ilvl w:val="1"/>
          <w:numId w:val="25"/>
        </w:numPr>
      </w:pPr>
      <w:r>
        <w:br w:type="page"/>
      </w:r>
    </w:p>
    <w:p w:rsidR="00A46DCA" w:rsidRDefault="00A46DCA" w:rsidP="00A26D04">
      <w:pPr>
        <w:pStyle w:val="Heading10"/>
      </w:pPr>
      <w:bookmarkStart w:id="67" w:name="_Toc500179543"/>
      <w:bookmarkStart w:id="68" w:name="_Toc500435585"/>
      <w:r>
        <w:lastRenderedPageBreak/>
        <w:t>Revenue initiatives</w:t>
      </w:r>
      <w:bookmarkEnd w:id="67"/>
      <w:bookmarkEnd w:id="68"/>
    </w:p>
    <w:p w:rsidR="00A46DCA" w:rsidRPr="00DC33D3" w:rsidRDefault="00A46DCA" w:rsidP="00A26D04">
      <w:pPr>
        <w:pStyle w:val="TableHeading"/>
        <w:rPr>
          <w:bCs/>
          <w:lang w:val="en-US"/>
        </w:rPr>
      </w:pPr>
      <w:r>
        <w:t>Table A.1:</w:t>
      </w:r>
      <w:r>
        <w:tab/>
      </w:r>
      <w:r w:rsidRPr="000B1621">
        <w:t>Revenue initiatives</w:t>
      </w:r>
      <w:r>
        <w:tab/>
        <w:t xml:space="preserve">($ </w:t>
      </w:r>
      <w:r w:rsidRPr="003B755F">
        <w:t>million</w:t>
      </w:r>
      <w:r>
        <w:t>)</w:t>
      </w:r>
    </w:p>
    <w:tbl>
      <w:tblPr>
        <w:tblStyle w:val="DTFTable"/>
        <w:tblW w:w="7766" w:type="dxa"/>
        <w:tblInd w:w="45" w:type="dxa"/>
        <w:tblLayout w:type="fixed"/>
        <w:tblCellMar>
          <w:left w:w="45" w:type="dxa"/>
          <w:right w:w="45" w:type="dxa"/>
        </w:tblCellMar>
        <w:tblLook w:val="06A0" w:firstRow="1" w:lastRow="0" w:firstColumn="1" w:lastColumn="0" w:noHBand="1" w:noVBand="1"/>
      </w:tblPr>
      <w:tblGrid>
        <w:gridCol w:w="4439"/>
        <w:gridCol w:w="96"/>
        <w:gridCol w:w="681"/>
        <w:gridCol w:w="850"/>
        <w:gridCol w:w="850"/>
        <w:gridCol w:w="850"/>
      </w:tblGrid>
      <w:tr w:rsidR="00A46DCA" w:rsidRPr="00DC33D3" w:rsidTr="004906A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439" w:type="dxa"/>
            <w:tcBorders>
              <w:top w:val="nil"/>
              <w:left w:val="nil"/>
              <w:bottom w:val="nil"/>
              <w:right w:val="nil"/>
            </w:tcBorders>
            <w:shd w:val="solid" w:color="000000" w:fill="auto"/>
          </w:tcPr>
          <w:p w:rsidR="00A46DCA" w:rsidRPr="00DC33D3" w:rsidRDefault="00A46DCA" w:rsidP="00A26D04">
            <w:pPr>
              <w:autoSpaceDE w:val="0"/>
              <w:autoSpaceDN w:val="0"/>
              <w:adjustRightInd w:val="0"/>
              <w:rPr>
                <w:rFonts w:eastAsiaTheme="minorEastAsia" w:cs="Calibri"/>
                <w:color w:val="FFFFFF"/>
                <w:szCs w:val="20"/>
                <w:lang w:eastAsia="en-AU"/>
              </w:rPr>
            </w:pPr>
            <w:r w:rsidRPr="00DC33D3">
              <w:rPr>
                <w:rFonts w:eastAsiaTheme="minorEastAsia" w:cs="Calibri"/>
                <w:color w:val="FFFFFF"/>
                <w:szCs w:val="20"/>
                <w:lang w:eastAsia="en-AU"/>
              </w:rPr>
              <w:t xml:space="preserve"> </w:t>
            </w:r>
          </w:p>
        </w:tc>
        <w:tc>
          <w:tcPr>
            <w:tcW w:w="777" w:type="dxa"/>
            <w:gridSpan w:val="2"/>
            <w:tcBorders>
              <w:top w:val="nil"/>
              <w:left w:val="nil"/>
              <w:bottom w:val="nil"/>
              <w:right w:val="nil"/>
            </w:tcBorders>
            <w:shd w:val="solid" w:color="000000" w:fill="auto"/>
          </w:tcPr>
          <w:p w:rsidR="00A46DCA" w:rsidRPr="00DC33D3" w:rsidRDefault="00A46DCA" w:rsidP="00A26D0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20"/>
                <w:lang w:eastAsia="en-AU"/>
              </w:rPr>
            </w:pPr>
            <w:r w:rsidRPr="00DC33D3">
              <w:rPr>
                <w:rFonts w:eastAsiaTheme="minorEastAsia" w:cs="Calibri"/>
                <w:iCs/>
                <w:color w:val="FFFFFF"/>
                <w:szCs w:val="20"/>
                <w:lang w:eastAsia="en-AU"/>
              </w:rPr>
              <w:t>2017-18</w:t>
            </w:r>
          </w:p>
        </w:tc>
        <w:tc>
          <w:tcPr>
            <w:tcW w:w="850" w:type="dxa"/>
            <w:tcBorders>
              <w:top w:val="nil"/>
              <w:left w:val="nil"/>
              <w:bottom w:val="nil"/>
              <w:right w:val="nil"/>
            </w:tcBorders>
            <w:shd w:val="solid" w:color="000000" w:fill="auto"/>
          </w:tcPr>
          <w:p w:rsidR="00A46DCA" w:rsidRPr="00DC33D3" w:rsidRDefault="00A46DCA" w:rsidP="00A26D0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20"/>
                <w:lang w:eastAsia="en-AU"/>
              </w:rPr>
            </w:pPr>
            <w:r w:rsidRPr="00DC33D3">
              <w:rPr>
                <w:rFonts w:eastAsiaTheme="minorEastAsia" w:cs="Calibri"/>
                <w:iCs/>
                <w:color w:val="FFFFFF"/>
                <w:szCs w:val="20"/>
                <w:lang w:eastAsia="en-AU"/>
              </w:rPr>
              <w:t>2018-19</w:t>
            </w:r>
          </w:p>
        </w:tc>
        <w:tc>
          <w:tcPr>
            <w:tcW w:w="850" w:type="dxa"/>
            <w:tcBorders>
              <w:top w:val="nil"/>
              <w:left w:val="nil"/>
              <w:bottom w:val="nil"/>
              <w:right w:val="nil"/>
            </w:tcBorders>
            <w:shd w:val="solid" w:color="000000" w:fill="auto"/>
          </w:tcPr>
          <w:p w:rsidR="00A46DCA" w:rsidRPr="00DC33D3" w:rsidRDefault="00A46DCA" w:rsidP="00A26D0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20"/>
                <w:lang w:eastAsia="en-AU"/>
              </w:rPr>
            </w:pPr>
            <w:r w:rsidRPr="00DC33D3">
              <w:rPr>
                <w:rFonts w:eastAsiaTheme="minorEastAsia" w:cs="Calibri"/>
                <w:iCs/>
                <w:color w:val="FFFFFF"/>
                <w:szCs w:val="20"/>
                <w:lang w:eastAsia="en-AU"/>
              </w:rPr>
              <w:t>2019-20</w:t>
            </w:r>
          </w:p>
        </w:tc>
        <w:tc>
          <w:tcPr>
            <w:tcW w:w="850" w:type="dxa"/>
            <w:tcBorders>
              <w:top w:val="nil"/>
              <w:left w:val="nil"/>
              <w:bottom w:val="nil"/>
              <w:right w:val="nil"/>
            </w:tcBorders>
            <w:shd w:val="solid" w:color="000000" w:fill="auto"/>
          </w:tcPr>
          <w:p w:rsidR="00A46DCA" w:rsidRPr="00DC33D3" w:rsidRDefault="00A46DCA" w:rsidP="00A26D0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20"/>
                <w:lang w:eastAsia="en-AU"/>
              </w:rPr>
            </w:pPr>
            <w:r w:rsidRPr="00DC33D3">
              <w:rPr>
                <w:rFonts w:eastAsiaTheme="minorEastAsia" w:cs="Calibri"/>
                <w:iCs/>
                <w:color w:val="FFFFFF"/>
                <w:szCs w:val="20"/>
                <w:lang w:eastAsia="en-AU"/>
              </w:rPr>
              <w:t>2020-21</w:t>
            </w:r>
          </w:p>
        </w:tc>
      </w:tr>
      <w:tr w:rsidR="00A46DCA" w:rsidRPr="00DC33D3" w:rsidTr="004906A4">
        <w:tc>
          <w:tcPr>
            <w:cnfStyle w:val="001000000000" w:firstRow="0" w:lastRow="0" w:firstColumn="1" w:lastColumn="0" w:oddVBand="0" w:evenVBand="0" w:oddHBand="0" w:evenHBand="0" w:firstRowFirstColumn="0" w:firstRowLastColumn="0" w:lastRowFirstColumn="0" w:lastRowLastColumn="0"/>
            <w:tcW w:w="4439" w:type="dxa"/>
            <w:tcBorders>
              <w:top w:val="nil"/>
              <w:left w:val="nil"/>
              <w:bottom w:val="nil"/>
              <w:right w:val="nil"/>
            </w:tcBorders>
          </w:tcPr>
          <w:p w:rsidR="00A46DCA" w:rsidRPr="00DC33D3" w:rsidRDefault="00A46DCA" w:rsidP="00A26D04">
            <w:pPr>
              <w:keepLines w:val="0"/>
              <w:autoSpaceDE w:val="0"/>
              <w:autoSpaceDN w:val="0"/>
              <w:adjustRightInd w:val="0"/>
              <w:rPr>
                <w:rFonts w:eastAsiaTheme="minorEastAsia" w:cs="Calibri"/>
                <w:color w:val="000000"/>
                <w:szCs w:val="20"/>
                <w:lang w:eastAsia="en-AU"/>
              </w:rPr>
            </w:pPr>
            <w:r w:rsidRPr="00DC33D3">
              <w:rPr>
                <w:rFonts w:eastAsiaTheme="minorEastAsia" w:cs="Calibri"/>
                <w:color w:val="000000"/>
                <w:szCs w:val="20"/>
                <w:lang w:eastAsia="en-AU"/>
              </w:rPr>
              <w:t xml:space="preserve">Land tax absentee owner surcharge exemption for </w:t>
            </w:r>
            <w:r w:rsidR="004906A4">
              <w:rPr>
                <w:rFonts w:eastAsiaTheme="minorEastAsia" w:cs="Calibri"/>
                <w:color w:val="000000"/>
                <w:szCs w:val="20"/>
                <w:lang w:eastAsia="en-AU"/>
              </w:rPr>
              <w:br/>
            </w:r>
            <w:r w:rsidRPr="00DC33D3">
              <w:rPr>
                <w:rFonts w:eastAsiaTheme="minorEastAsia" w:cs="Calibri"/>
                <w:color w:val="000000"/>
                <w:szCs w:val="20"/>
                <w:lang w:eastAsia="en-AU"/>
              </w:rPr>
              <w:t>absentee trusts</w:t>
            </w:r>
          </w:p>
        </w:tc>
        <w:tc>
          <w:tcPr>
            <w:tcW w:w="777" w:type="dxa"/>
            <w:gridSpan w:val="2"/>
            <w:tcBorders>
              <w:top w:val="nil"/>
              <w:left w:val="nil"/>
              <w:bottom w:val="nil"/>
              <w:right w:val="nil"/>
            </w:tcBorders>
          </w:tcPr>
          <w:p w:rsidR="00A46DCA" w:rsidRPr="00DC33D3"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DC33D3">
              <w:rPr>
                <w:rFonts w:eastAsiaTheme="minorEastAsia" w:cs="Calibri"/>
                <w:color w:val="000000"/>
                <w:szCs w:val="20"/>
                <w:lang w:eastAsia="en-AU"/>
              </w:rPr>
              <w:t>(6.0)</w:t>
            </w:r>
          </w:p>
        </w:tc>
        <w:tc>
          <w:tcPr>
            <w:tcW w:w="850" w:type="dxa"/>
            <w:tcBorders>
              <w:top w:val="nil"/>
              <w:left w:val="nil"/>
              <w:bottom w:val="nil"/>
              <w:right w:val="nil"/>
            </w:tcBorders>
          </w:tcPr>
          <w:p w:rsidR="00A46DCA" w:rsidRPr="00DC33D3"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DC33D3">
              <w:rPr>
                <w:rFonts w:eastAsiaTheme="minorEastAsia" w:cs="Calibri"/>
                <w:color w:val="000000"/>
                <w:szCs w:val="20"/>
                <w:lang w:eastAsia="en-AU"/>
              </w:rPr>
              <w:t>(7.0)</w:t>
            </w:r>
          </w:p>
        </w:tc>
        <w:tc>
          <w:tcPr>
            <w:tcW w:w="850" w:type="dxa"/>
            <w:tcBorders>
              <w:top w:val="nil"/>
              <w:left w:val="nil"/>
              <w:bottom w:val="nil"/>
              <w:right w:val="nil"/>
            </w:tcBorders>
          </w:tcPr>
          <w:p w:rsidR="00A46DCA" w:rsidRPr="00DC33D3"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DC33D3">
              <w:rPr>
                <w:rFonts w:eastAsiaTheme="minorEastAsia" w:cs="Calibri"/>
                <w:color w:val="000000"/>
                <w:szCs w:val="20"/>
                <w:lang w:eastAsia="en-AU"/>
              </w:rPr>
              <w:t>(7.0)</w:t>
            </w:r>
          </w:p>
        </w:tc>
        <w:tc>
          <w:tcPr>
            <w:tcW w:w="850" w:type="dxa"/>
            <w:tcBorders>
              <w:top w:val="nil"/>
              <w:left w:val="nil"/>
              <w:bottom w:val="nil"/>
              <w:right w:val="nil"/>
            </w:tcBorders>
          </w:tcPr>
          <w:p w:rsidR="00A46DCA" w:rsidRPr="00DC33D3"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DC33D3">
              <w:rPr>
                <w:rFonts w:eastAsiaTheme="minorEastAsia" w:cs="Calibri"/>
                <w:color w:val="000000"/>
                <w:szCs w:val="20"/>
                <w:lang w:eastAsia="en-AU"/>
              </w:rPr>
              <w:t>(7.0)</w:t>
            </w:r>
          </w:p>
        </w:tc>
      </w:tr>
      <w:tr w:rsidR="00A46DCA" w:rsidRPr="00DC33D3" w:rsidTr="00A26D04">
        <w:tc>
          <w:tcPr>
            <w:cnfStyle w:val="001000000000" w:firstRow="0" w:lastRow="0" w:firstColumn="1" w:lastColumn="0" w:oddVBand="0" w:evenVBand="0" w:oddHBand="0" w:evenHBand="0" w:firstRowFirstColumn="0" w:firstRowLastColumn="0" w:lastRowFirstColumn="0" w:lastRowLastColumn="0"/>
            <w:tcW w:w="4535" w:type="dxa"/>
            <w:gridSpan w:val="2"/>
            <w:tcBorders>
              <w:top w:val="nil"/>
              <w:left w:val="nil"/>
              <w:bottom w:val="nil"/>
              <w:right w:val="nil"/>
            </w:tcBorders>
          </w:tcPr>
          <w:p w:rsidR="00A46DCA" w:rsidRPr="00DC33D3" w:rsidRDefault="00A46DCA" w:rsidP="00A26D04">
            <w:pPr>
              <w:keepLines w:val="0"/>
              <w:autoSpaceDE w:val="0"/>
              <w:autoSpaceDN w:val="0"/>
              <w:adjustRightInd w:val="0"/>
              <w:rPr>
                <w:rFonts w:eastAsiaTheme="minorEastAsia" w:cs="Calibri"/>
                <w:color w:val="000000"/>
                <w:szCs w:val="20"/>
                <w:lang w:eastAsia="en-AU"/>
              </w:rPr>
            </w:pPr>
            <w:r w:rsidRPr="00DC33D3">
              <w:rPr>
                <w:rFonts w:eastAsiaTheme="minorEastAsia" w:cs="Calibri"/>
                <w:color w:val="000000"/>
                <w:szCs w:val="20"/>
                <w:lang w:eastAsia="en-AU"/>
              </w:rPr>
              <w:t>Payroll tax exemption for approved group training organisations</w:t>
            </w:r>
          </w:p>
        </w:tc>
        <w:tc>
          <w:tcPr>
            <w:tcW w:w="680" w:type="dxa"/>
            <w:tcBorders>
              <w:top w:val="nil"/>
              <w:left w:val="nil"/>
              <w:bottom w:val="nil"/>
              <w:right w:val="nil"/>
            </w:tcBorders>
          </w:tcPr>
          <w:p w:rsidR="00A46DCA" w:rsidRPr="00DC33D3"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DC33D3">
              <w:rPr>
                <w:rFonts w:eastAsiaTheme="minorEastAsia" w:cs="Calibri"/>
                <w:color w:val="000000"/>
                <w:szCs w:val="20"/>
                <w:lang w:eastAsia="en-AU"/>
              </w:rPr>
              <w:t>..</w:t>
            </w:r>
          </w:p>
        </w:tc>
        <w:tc>
          <w:tcPr>
            <w:tcW w:w="850" w:type="dxa"/>
            <w:tcBorders>
              <w:top w:val="nil"/>
              <w:left w:val="nil"/>
              <w:bottom w:val="nil"/>
              <w:right w:val="nil"/>
            </w:tcBorders>
          </w:tcPr>
          <w:p w:rsidR="00A46DCA" w:rsidRPr="00DC33D3"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DC33D3">
              <w:rPr>
                <w:rFonts w:eastAsiaTheme="minorEastAsia" w:cs="Calibri"/>
                <w:color w:val="000000"/>
                <w:szCs w:val="20"/>
                <w:lang w:eastAsia="en-AU"/>
              </w:rPr>
              <w:t>(4.0)</w:t>
            </w:r>
          </w:p>
        </w:tc>
        <w:tc>
          <w:tcPr>
            <w:tcW w:w="850" w:type="dxa"/>
            <w:tcBorders>
              <w:top w:val="nil"/>
              <w:left w:val="nil"/>
              <w:bottom w:val="nil"/>
              <w:right w:val="nil"/>
            </w:tcBorders>
          </w:tcPr>
          <w:p w:rsidR="00A46DCA" w:rsidRPr="00DC33D3"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DC33D3">
              <w:rPr>
                <w:rFonts w:eastAsiaTheme="minorEastAsia" w:cs="Calibri"/>
                <w:color w:val="000000"/>
                <w:szCs w:val="20"/>
                <w:lang w:eastAsia="en-AU"/>
              </w:rPr>
              <w:t>(4.3)</w:t>
            </w:r>
          </w:p>
        </w:tc>
        <w:tc>
          <w:tcPr>
            <w:tcW w:w="850" w:type="dxa"/>
            <w:tcBorders>
              <w:top w:val="nil"/>
              <w:left w:val="nil"/>
              <w:bottom w:val="nil"/>
              <w:right w:val="nil"/>
            </w:tcBorders>
          </w:tcPr>
          <w:p w:rsidR="00A46DCA" w:rsidRPr="00DC33D3"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DC33D3">
              <w:rPr>
                <w:rFonts w:eastAsiaTheme="minorEastAsia" w:cs="Calibri"/>
                <w:color w:val="000000"/>
                <w:szCs w:val="20"/>
                <w:lang w:eastAsia="en-AU"/>
              </w:rPr>
              <w:t>(4.5)</w:t>
            </w:r>
          </w:p>
        </w:tc>
      </w:tr>
      <w:tr w:rsidR="00A46DCA" w:rsidRPr="00DC33D3" w:rsidTr="00A26D04">
        <w:tc>
          <w:tcPr>
            <w:cnfStyle w:val="001000000000" w:firstRow="0" w:lastRow="0" w:firstColumn="1" w:lastColumn="0" w:oddVBand="0" w:evenVBand="0" w:oddHBand="0" w:evenHBand="0" w:firstRowFirstColumn="0" w:firstRowLastColumn="0" w:lastRowFirstColumn="0" w:lastRowLastColumn="0"/>
            <w:tcW w:w="4439" w:type="dxa"/>
            <w:tcBorders>
              <w:top w:val="nil"/>
              <w:left w:val="nil"/>
              <w:bottom w:val="nil"/>
              <w:right w:val="nil"/>
            </w:tcBorders>
          </w:tcPr>
          <w:p w:rsidR="00A46DCA" w:rsidRPr="00DC33D3" w:rsidRDefault="00A46DCA" w:rsidP="00A26D04">
            <w:pPr>
              <w:keepLines w:val="0"/>
              <w:autoSpaceDE w:val="0"/>
              <w:autoSpaceDN w:val="0"/>
              <w:adjustRightInd w:val="0"/>
              <w:rPr>
                <w:rFonts w:eastAsiaTheme="minorEastAsia" w:cs="Calibri"/>
                <w:color w:val="000000"/>
                <w:szCs w:val="20"/>
                <w:lang w:eastAsia="en-AU"/>
              </w:rPr>
            </w:pPr>
            <w:r w:rsidRPr="00DC33D3">
              <w:rPr>
                <w:rFonts w:eastAsiaTheme="minorEastAsia" w:cs="Calibri"/>
                <w:color w:val="000000"/>
                <w:szCs w:val="20"/>
                <w:lang w:eastAsia="en-AU"/>
              </w:rPr>
              <w:t>Short term registration for light vehicles</w:t>
            </w:r>
          </w:p>
        </w:tc>
        <w:tc>
          <w:tcPr>
            <w:tcW w:w="777" w:type="dxa"/>
            <w:gridSpan w:val="2"/>
            <w:tcBorders>
              <w:top w:val="nil"/>
              <w:left w:val="nil"/>
              <w:bottom w:val="nil"/>
              <w:right w:val="nil"/>
            </w:tcBorders>
          </w:tcPr>
          <w:p w:rsidR="00A46DCA" w:rsidRPr="00DC33D3"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DC33D3">
              <w:rPr>
                <w:rFonts w:eastAsiaTheme="minorEastAsia" w:cs="Calibri"/>
                <w:color w:val="000000"/>
                <w:szCs w:val="20"/>
                <w:lang w:eastAsia="en-AU"/>
              </w:rPr>
              <w:t>(186.7)</w:t>
            </w:r>
          </w:p>
        </w:tc>
        <w:tc>
          <w:tcPr>
            <w:tcW w:w="850" w:type="dxa"/>
            <w:tcBorders>
              <w:top w:val="nil"/>
              <w:left w:val="nil"/>
              <w:bottom w:val="nil"/>
              <w:right w:val="nil"/>
            </w:tcBorders>
          </w:tcPr>
          <w:p w:rsidR="00A46DCA" w:rsidRPr="00DC33D3"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DC33D3">
              <w:rPr>
                <w:rFonts w:eastAsiaTheme="minorEastAsia" w:cs="Calibri"/>
                <w:color w:val="000000"/>
                <w:szCs w:val="20"/>
                <w:lang w:eastAsia="en-AU"/>
              </w:rPr>
              <w:t>(25.5)</w:t>
            </w:r>
          </w:p>
        </w:tc>
        <w:tc>
          <w:tcPr>
            <w:tcW w:w="850" w:type="dxa"/>
            <w:tcBorders>
              <w:top w:val="nil"/>
              <w:left w:val="nil"/>
              <w:bottom w:val="nil"/>
              <w:right w:val="nil"/>
            </w:tcBorders>
          </w:tcPr>
          <w:p w:rsidR="00A46DCA" w:rsidRPr="00DC33D3"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DC33D3">
              <w:rPr>
                <w:rFonts w:eastAsiaTheme="minorEastAsia" w:cs="Calibri"/>
                <w:color w:val="000000"/>
                <w:szCs w:val="20"/>
                <w:lang w:eastAsia="en-AU"/>
              </w:rPr>
              <w:t>10.5</w:t>
            </w:r>
          </w:p>
        </w:tc>
        <w:tc>
          <w:tcPr>
            <w:tcW w:w="850" w:type="dxa"/>
            <w:tcBorders>
              <w:top w:val="nil"/>
              <w:left w:val="nil"/>
              <w:bottom w:val="nil"/>
              <w:right w:val="nil"/>
            </w:tcBorders>
          </w:tcPr>
          <w:p w:rsidR="00A46DCA" w:rsidRPr="00DC33D3"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DC33D3">
              <w:rPr>
                <w:rFonts w:eastAsiaTheme="minorEastAsia" w:cs="Calibri"/>
                <w:color w:val="000000"/>
                <w:szCs w:val="20"/>
                <w:lang w:eastAsia="en-AU"/>
              </w:rPr>
              <w:t>11.1</w:t>
            </w:r>
          </w:p>
        </w:tc>
      </w:tr>
      <w:tr w:rsidR="00A46DCA" w:rsidRPr="00DC33D3" w:rsidTr="00A26D04">
        <w:tc>
          <w:tcPr>
            <w:cnfStyle w:val="001000000000" w:firstRow="0" w:lastRow="0" w:firstColumn="1" w:lastColumn="0" w:oddVBand="0" w:evenVBand="0" w:oddHBand="0" w:evenHBand="0" w:firstRowFirstColumn="0" w:firstRowLastColumn="0" w:lastRowFirstColumn="0" w:lastRowLastColumn="0"/>
            <w:tcW w:w="4439" w:type="dxa"/>
            <w:tcBorders>
              <w:top w:val="single" w:sz="6" w:space="0" w:color="auto"/>
              <w:left w:val="nil"/>
              <w:bottom w:val="single" w:sz="12" w:space="0" w:color="auto"/>
              <w:right w:val="nil"/>
            </w:tcBorders>
            <w:shd w:val="solid" w:color="FFFFFF" w:fill="auto"/>
          </w:tcPr>
          <w:p w:rsidR="00A46DCA" w:rsidRPr="00DC33D3" w:rsidRDefault="00A46DCA" w:rsidP="00A26D04">
            <w:pPr>
              <w:keepLines w:val="0"/>
              <w:autoSpaceDE w:val="0"/>
              <w:autoSpaceDN w:val="0"/>
              <w:adjustRightInd w:val="0"/>
              <w:rPr>
                <w:rFonts w:eastAsiaTheme="minorEastAsia" w:cs="Calibri"/>
                <w:b/>
                <w:bCs/>
                <w:color w:val="000000"/>
                <w:szCs w:val="20"/>
                <w:lang w:eastAsia="en-AU"/>
              </w:rPr>
            </w:pPr>
            <w:r w:rsidRPr="00DC33D3">
              <w:rPr>
                <w:rFonts w:eastAsiaTheme="minorEastAsia" w:cs="Calibri"/>
                <w:b/>
                <w:bCs/>
                <w:color w:val="000000"/>
                <w:szCs w:val="20"/>
                <w:lang w:eastAsia="en-AU"/>
              </w:rPr>
              <w:t>Total revenue initiatives</w:t>
            </w:r>
          </w:p>
        </w:tc>
        <w:tc>
          <w:tcPr>
            <w:tcW w:w="777" w:type="dxa"/>
            <w:gridSpan w:val="2"/>
            <w:tcBorders>
              <w:top w:val="single" w:sz="6" w:space="0" w:color="auto"/>
              <w:left w:val="nil"/>
              <w:bottom w:val="single" w:sz="12" w:space="0" w:color="auto"/>
              <w:right w:val="nil"/>
            </w:tcBorders>
          </w:tcPr>
          <w:p w:rsidR="00A46DCA" w:rsidRPr="00DC33D3"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0"/>
                <w:lang w:eastAsia="en-AU"/>
              </w:rPr>
            </w:pPr>
            <w:r w:rsidRPr="00DC33D3">
              <w:rPr>
                <w:rFonts w:eastAsiaTheme="minorEastAsia" w:cs="Calibri"/>
                <w:b/>
                <w:bCs/>
                <w:color w:val="000000"/>
                <w:szCs w:val="20"/>
                <w:lang w:eastAsia="en-AU"/>
              </w:rPr>
              <w:t>(192.7)</w:t>
            </w:r>
          </w:p>
        </w:tc>
        <w:tc>
          <w:tcPr>
            <w:tcW w:w="850" w:type="dxa"/>
            <w:tcBorders>
              <w:top w:val="single" w:sz="6" w:space="0" w:color="auto"/>
              <w:left w:val="nil"/>
              <w:bottom w:val="single" w:sz="12" w:space="0" w:color="auto"/>
              <w:right w:val="nil"/>
            </w:tcBorders>
          </w:tcPr>
          <w:p w:rsidR="00A46DCA" w:rsidRPr="00DC33D3"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0"/>
                <w:lang w:eastAsia="en-AU"/>
              </w:rPr>
            </w:pPr>
            <w:r w:rsidRPr="00DC33D3">
              <w:rPr>
                <w:rFonts w:eastAsiaTheme="minorEastAsia" w:cs="Calibri"/>
                <w:b/>
                <w:bCs/>
                <w:color w:val="000000"/>
                <w:szCs w:val="20"/>
                <w:lang w:eastAsia="en-AU"/>
              </w:rPr>
              <w:t>(36.5)</w:t>
            </w:r>
          </w:p>
        </w:tc>
        <w:tc>
          <w:tcPr>
            <w:tcW w:w="850" w:type="dxa"/>
            <w:tcBorders>
              <w:top w:val="single" w:sz="6" w:space="0" w:color="auto"/>
              <w:left w:val="nil"/>
              <w:bottom w:val="single" w:sz="12" w:space="0" w:color="auto"/>
              <w:right w:val="nil"/>
            </w:tcBorders>
          </w:tcPr>
          <w:p w:rsidR="00A46DCA" w:rsidRPr="00DC33D3"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0"/>
                <w:lang w:eastAsia="en-AU"/>
              </w:rPr>
            </w:pPr>
            <w:r w:rsidRPr="00DC33D3">
              <w:rPr>
                <w:rFonts w:eastAsiaTheme="minorEastAsia" w:cs="Calibri"/>
                <w:b/>
                <w:bCs/>
                <w:color w:val="000000"/>
                <w:szCs w:val="20"/>
                <w:lang w:eastAsia="en-AU"/>
              </w:rPr>
              <w:t>(0.8)</w:t>
            </w:r>
          </w:p>
        </w:tc>
        <w:tc>
          <w:tcPr>
            <w:tcW w:w="850" w:type="dxa"/>
            <w:tcBorders>
              <w:top w:val="single" w:sz="6" w:space="0" w:color="auto"/>
              <w:left w:val="nil"/>
              <w:bottom w:val="single" w:sz="12" w:space="0" w:color="auto"/>
              <w:right w:val="nil"/>
            </w:tcBorders>
          </w:tcPr>
          <w:p w:rsidR="00A46DCA" w:rsidRPr="00DC33D3"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0"/>
                <w:lang w:eastAsia="en-AU"/>
              </w:rPr>
            </w:pPr>
            <w:r w:rsidRPr="00DC33D3">
              <w:rPr>
                <w:rFonts w:eastAsiaTheme="minorEastAsia" w:cs="Calibri"/>
                <w:b/>
                <w:bCs/>
                <w:color w:val="000000"/>
                <w:szCs w:val="20"/>
                <w:lang w:eastAsia="en-AU"/>
              </w:rPr>
              <w:t>(0.4)</w:t>
            </w:r>
          </w:p>
        </w:tc>
      </w:tr>
    </w:tbl>
    <w:p w:rsidR="00A46DCA" w:rsidRDefault="00A46DCA" w:rsidP="00A26D04">
      <w:pPr>
        <w:pStyle w:val="Heading30"/>
      </w:pPr>
      <w:r w:rsidRPr="00330CC4">
        <w:t>Land</w:t>
      </w:r>
      <w:r w:rsidRPr="00A077E0">
        <w:rPr>
          <w:rFonts w:eastAsiaTheme="minorHAnsi"/>
        </w:rPr>
        <w:t xml:space="preserve"> tax absentee owner surcharge exemption for absentee trusts</w:t>
      </w:r>
    </w:p>
    <w:p w:rsidR="00A46DCA" w:rsidRPr="00FB7E54" w:rsidRDefault="00A46DCA" w:rsidP="00A26D04">
      <w:r>
        <w:t>There is currently an exemption to the land tax absentee owner surcharge for Australian-based absentee corporations that conduct a commercial operation in Australia and whose commercial activities make a significant contribution to the Victorian economy. This initiative will extend the exemption to land owners that are trustees of absentee trusts, subject to the same requirements as absentee corporations as set out in the Treasurer’s Guidelines.</w:t>
      </w:r>
    </w:p>
    <w:p w:rsidR="00A46DCA" w:rsidRPr="00A077E0" w:rsidRDefault="00A46DCA" w:rsidP="00A26D04">
      <w:pPr>
        <w:pStyle w:val="Heading30"/>
        <w:rPr>
          <w:lang w:eastAsia="en-AU"/>
        </w:rPr>
      </w:pPr>
      <w:r w:rsidRPr="00A077E0">
        <w:rPr>
          <w:lang w:eastAsia="en-AU"/>
        </w:rPr>
        <w:t>Payroll tax exemption for approved group training organisations</w:t>
      </w:r>
    </w:p>
    <w:p w:rsidR="00A46DCA" w:rsidRDefault="00A46DCA" w:rsidP="00A26D04">
      <w:pPr>
        <w:rPr>
          <w:b/>
          <w:bCs/>
        </w:rPr>
      </w:pPr>
      <w:r w:rsidRPr="008B0EFB">
        <w:t>The current payroll tax exemption for wages paid to apprentices and trainees under an approved training scheme by no</w:t>
      </w:r>
      <w:r>
        <w:t>t</w:t>
      </w:r>
      <w:r w:rsidRPr="008B0EFB">
        <w:t xml:space="preserve">-for-profit group training organisations, will </w:t>
      </w:r>
      <w:r>
        <w:t>be extended</w:t>
      </w:r>
      <w:r w:rsidRPr="008B0EFB">
        <w:t xml:space="preserve"> to include for-profit group training organisations.</w:t>
      </w:r>
    </w:p>
    <w:p w:rsidR="00A46DCA" w:rsidRPr="00330CC4" w:rsidRDefault="00A46DCA" w:rsidP="00A26D04">
      <w:pPr>
        <w:pStyle w:val="Heading30"/>
      </w:pPr>
      <w:r w:rsidRPr="00330CC4">
        <w:t>Short-term registration for light vehicles</w:t>
      </w:r>
    </w:p>
    <w:p w:rsidR="00A46DCA" w:rsidRPr="00DA04AF" w:rsidRDefault="00A46DCA" w:rsidP="00A26D04">
      <w:r>
        <w:t xml:space="preserve">Quarterly and six monthly </w:t>
      </w:r>
      <w:r w:rsidRPr="00DA04AF">
        <w:t>options for new light vehicle registrations and registration renewals will be introduced</w:t>
      </w:r>
      <w:r>
        <w:t xml:space="preserve"> </w:t>
      </w:r>
      <w:r w:rsidRPr="00DA04AF">
        <w:t xml:space="preserve">from 1 January 2018. </w:t>
      </w:r>
      <w:r>
        <w:t xml:space="preserve">This </w:t>
      </w:r>
      <w:r w:rsidRPr="00DA04AF">
        <w:t xml:space="preserve">will </w:t>
      </w:r>
      <w:r>
        <w:t>provide Victorian motorists with greater choice and flexibility in payment and registration.</w:t>
      </w:r>
    </w:p>
    <w:p w:rsidR="00A46DCA" w:rsidRPr="00DA04AF" w:rsidRDefault="00A46DCA" w:rsidP="00A26D04">
      <w:r w:rsidRPr="00DA04AF">
        <w:t>This initiative contributes to the Department of Economic Development, Jobs Transport and Resources</w:t>
      </w:r>
      <w:r>
        <w:t>’</w:t>
      </w:r>
      <w:r w:rsidRPr="00DA04AF">
        <w:t xml:space="preserve"> Transport Safety, Security and Emergency Management output.</w:t>
      </w:r>
    </w:p>
    <w:p w:rsidR="00A46DCA" w:rsidRDefault="00A46DCA" w:rsidP="00A26D04">
      <w:pPr>
        <w:keepLines w:val="0"/>
        <w:rPr>
          <w:b/>
        </w:rPr>
      </w:pPr>
      <w:r>
        <w:br w:type="page"/>
      </w:r>
    </w:p>
    <w:p w:rsidR="00A46DCA" w:rsidRDefault="00A46DCA" w:rsidP="00A26D04">
      <w:pPr>
        <w:pStyle w:val="Heading10"/>
      </w:pPr>
      <w:bookmarkStart w:id="69" w:name="_Toc500179544"/>
      <w:bookmarkStart w:id="70" w:name="_Toc500435586"/>
      <w:r>
        <w:lastRenderedPageBreak/>
        <w:t xml:space="preserve">Department of Economic Development, Jobs, Transport </w:t>
      </w:r>
      <w:r w:rsidR="003D2236">
        <w:br/>
      </w:r>
      <w:r>
        <w:t>and Resources</w:t>
      </w:r>
      <w:bookmarkEnd w:id="69"/>
      <w:bookmarkEnd w:id="70"/>
    </w:p>
    <w:p w:rsidR="00A46DCA" w:rsidRDefault="00A46DCA" w:rsidP="00A26D04">
      <w:pPr>
        <w:pStyle w:val="Heading20"/>
      </w:pPr>
      <w:r>
        <w:t>Output initiatives</w:t>
      </w:r>
    </w:p>
    <w:p w:rsidR="00A46DCA" w:rsidRPr="00596FBC" w:rsidRDefault="00A46DCA" w:rsidP="00A26D04">
      <w:pPr>
        <w:pStyle w:val="TableHeading"/>
        <w:rPr>
          <w:bCs/>
          <w:lang w:val="en-US"/>
        </w:rPr>
      </w:pPr>
      <w:r>
        <w:t>Table A.2:</w:t>
      </w:r>
      <w:r>
        <w:tab/>
        <w:t xml:space="preserve">Output initiatives – Department of Economic Development, Jobs, </w:t>
      </w:r>
      <w:r>
        <w:br/>
        <w:t>Transport and Resources</w:t>
      </w:r>
      <w:r>
        <w:tab/>
        <w:t>($ million)</w:t>
      </w:r>
    </w:p>
    <w:tbl>
      <w:tblPr>
        <w:tblStyle w:val="DTFTable"/>
        <w:tblW w:w="7773" w:type="dxa"/>
        <w:tblInd w:w="45" w:type="dxa"/>
        <w:tblLayout w:type="fixed"/>
        <w:tblCellMar>
          <w:left w:w="45" w:type="dxa"/>
          <w:right w:w="45" w:type="dxa"/>
        </w:tblCellMar>
        <w:tblLook w:val="06A0" w:firstRow="1" w:lastRow="0" w:firstColumn="1" w:lastColumn="0" w:noHBand="1" w:noVBand="1"/>
      </w:tblPr>
      <w:tblGrid>
        <w:gridCol w:w="4706"/>
        <w:gridCol w:w="703"/>
        <w:gridCol w:w="788"/>
        <w:gridCol w:w="788"/>
        <w:gridCol w:w="788"/>
      </w:tblGrid>
      <w:tr w:rsidR="00A46DCA" w:rsidRPr="00596FBC" w:rsidTr="004906A4">
        <w:trPr>
          <w:cnfStyle w:val="100000000000" w:firstRow="1" w:lastRow="0" w:firstColumn="0" w:lastColumn="0" w:oddVBand="0" w:evenVBand="0" w:oddHBand="0" w:evenHBand="0" w:firstRowFirstColumn="0" w:firstRowLastColumn="0" w:lastRowFirstColumn="0" w:lastRowLastColumn="0"/>
          <w:trHeight w:val="76"/>
          <w:tblHeader/>
        </w:trPr>
        <w:tc>
          <w:tcPr>
            <w:cnfStyle w:val="001000000000" w:firstRow="0" w:lastRow="0" w:firstColumn="1" w:lastColumn="0" w:oddVBand="0" w:evenVBand="0" w:oddHBand="0" w:evenHBand="0" w:firstRowFirstColumn="0" w:firstRowLastColumn="0" w:lastRowFirstColumn="0" w:lastRowLastColumn="0"/>
            <w:tcW w:w="4706" w:type="dxa"/>
            <w:tcBorders>
              <w:top w:val="nil"/>
              <w:left w:val="nil"/>
              <w:bottom w:val="nil"/>
              <w:right w:val="nil"/>
            </w:tcBorders>
            <w:shd w:val="solid" w:color="000000" w:fill="auto"/>
          </w:tcPr>
          <w:p w:rsidR="00A46DCA" w:rsidRPr="00596FBC" w:rsidRDefault="00A46DCA" w:rsidP="00A26D04">
            <w:pPr>
              <w:autoSpaceDE w:val="0"/>
              <w:autoSpaceDN w:val="0"/>
              <w:adjustRightInd w:val="0"/>
              <w:rPr>
                <w:rFonts w:eastAsiaTheme="minorEastAsia" w:cs="Calibri"/>
                <w:color w:val="FFFFFF"/>
                <w:szCs w:val="20"/>
                <w:lang w:eastAsia="en-AU"/>
              </w:rPr>
            </w:pPr>
            <w:r w:rsidRPr="00596FBC">
              <w:rPr>
                <w:rFonts w:eastAsiaTheme="minorEastAsia" w:cs="Calibri"/>
                <w:color w:val="FFFFFF"/>
                <w:szCs w:val="20"/>
                <w:lang w:eastAsia="en-AU"/>
              </w:rPr>
              <w:t xml:space="preserve"> </w:t>
            </w:r>
          </w:p>
        </w:tc>
        <w:tc>
          <w:tcPr>
            <w:tcW w:w="703" w:type="dxa"/>
            <w:tcBorders>
              <w:top w:val="nil"/>
              <w:left w:val="nil"/>
              <w:bottom w:val="nil"/>
              <w:right w:val="nil"/>
            </w:tcBorders>
            <w:shd w:val="solid" w:color="000000" w:fill="auto"/>
          </w:tcPr>
          <w:p w:rsidR="00A46DCA" w:rsidRPr="00596FBC" w:rsidRDefault="00A46DCA" w:rsidP="00A26D0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20"/>
                <w:lang w:eastAsia="en-AU"/>
              </w:rPr>
            </w:pPr>
            <w:r w:rsidRPr="00596FBC">
              <w:rPr>
                <w:rFonts w:eastAsiaTheme="minorEastAsia" w:cs="Calibri"/>
                <w:iCs/>
                <w:color w:val="FFFFFF"/>
                <w:szCs w:val="20"/>
                <w:lang w:eastAsia="en-AU"/>
              </w:rPr>
              <w:t>2017-18</w:t>
            </w:r>
          </w:p>
        </w:tc>
        <w:tc>
          <w:tcPr>
            <w:tcW w:w="788" w:type="dxa"/>
            <w:tcBorders>
              <w:top w:val="nil"/>
              <w:left w:val="nil"/>
              <w:bottom w:val="nil"/>
              <w:right w:val="nil"/>
            </w:tcBorders>
            <w:shd w:val="solid" w:color="000000" w:fill="auto"/>
          </w:tcPr>
          <w:p w:rsidR="00A46DCA" w:rsidRPr="00596FBC" w:rsidRDefault="00A46DCA" w:rsidP="00A26D0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20"/>
                <w:lang w:eastAsia="en-AU"/>
              </w:rPr>
            </w:pPr>
            <w:r w:rsidRPr="00596FBC">
              <w:rPr>
                <w:rFonts w:eastAsiaTheme="minorEastAsia" w:cs="Calibri"/>
                <w:iCs/>
                <w:color w:val="FFFFFF"/>
                <w:szCs w:val="20"/>
                <w:lang w:eastAsia="en-AU"/>
              </w:rPr>
              <w:t>2018-19</w:t>
            </w:r>
          </w:p>
        </w:tc>
        <w:tc>
          <w:tcPr>
            <w:tcW w:w="788" w:type="dxa"/>
            <w:tcBorders>
              <w:top w:val="nil"/>
              <w:left w:val="nil"/>
              <w:bottom w:val="nil"/>
              <w:right w:val="nil"/>
            </w:tcBorders>
            <w:shd w:val="solid" w:color="000000" w:fill="auto"/>
          </w:tcPr>
          <w:p w:rsidR="00A46DCA" w:rsidRPr="00596FBC" w:rsidRDefault="00A46DCA" w:rsidP="00A26D0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20"/>
                <w:lang w:eastAsia="en-AU"/>
              </w:rPr>
            </w:pPr>
            <w:r w:rsidRPr="00596FBC">
              <w:rPr>
                <w:rFonts w:eastAsiaTheme="minorEastAsia" w:cs="Calibri"/>
                <w:iCs/>
                <w:color w:val="FFFFFF"/>
                <w:szCs w:val="20"/>
                <w:lang w:eastAsia="en-AU"/>
              </w:rPr>
              <w:t>2019-20</w:t>
            </w:r>
          </w:p>
        </w:tc>
        <w:tc>
          <w:tcPr>
            <w:tcW w:w="788" w:type="dxa"/>
            <w:tcBorders>
              <w:top w:val="nil"/>
              <w:left w:val="nil"/>
              <w:bottom w:val="nil"/>
              <w:right w:val="nil"/>
            </w:tcBorders>
            <w:shd w:val="solid" w:color="000000" w:fill="auto"/>
          </w:tcPr>
          <w:p w:rsidR="00A46DCA" w:rsidRPr="00596FBC" w:rsidRDefault="00A46DCA" w:rsidP="00A26D0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20"/>
                <w:lang w:eastAsia="en-AU"/>
              </w:rPr>
            </w:pPr>
            <w:r w:rsidRPr="00596FBC">
              <w:rPr>
                <w:rFonts w:eastAsiaTheme="minorEastAsia" w:cs="Calibri"/>
                <w:iCs/>
                <w:color w:val="FFFFFF"/>
                <w:szCs w:val="20"/>
                <w:lang w:eastAsia="en-AU"/>
              </w:rPr>
              <w:t>2020-21</w:t>
            </w:r>
          </w:p>
        </w:tc>
      </w:tr>
      <w:tr w:rsidR="00A46DCA" w:rsidRPr="00596FBC" w:rsidTr="004906A4">
        <w:tc>
          <w:tcPr>
            <w:cnfStyle w:val="001000000000" w:firstRow="0" w:lastRow="0" w:firstColumn="1" w:lastColumn="0" w:oddVBand="0" w:evenVBand="0" w:oddHBand="0" w:evenHBand="0" w:firstRowFirstColumn="0" w:firstRowLastColumn="0" w:lastRowFirstColumn="0" w:lastRowLastColumn="0"/>
            <w:tcW w:w="4706" w:type="dxa"/>
            <w:tcBorders>
              <w:top w:val="nil"/>
              <w:left w:val="nil"/>
              <w:bottom w:val="nil"/>
              <w:right w:val="nil"/>
            </w:tcBorders>
          </w:tcPr>
          <w:p w:rsidR="00A46DCA" w:rsidRPr="00596FBC" w:rsidRDefault="00A46DCA" w:rsidP="00A26D04">
            <w:pPr>
              <w:keepLines w:val="0"/>
              <w:autoSpaceDE w:val="0"/>
              <w:autoSpaceDN w:val="0"/>
              <w:adjustRightInd w:val="0"/>
              <w:rPr>
                <w:rFonts w:eastAsiaTheme="minorEastAsia" w:cs="Calibri"/>
                <w:color w:val="000000"/>
                <w:szCs w:val="20"/>
                <w:vertAlign w:val="superscript"/>
                <w:lang w:eastAsia="en-AU"/>
              </w:rPr>
            </w:pPr>
            <w:r w:rsidRPr="00596FBC">
              <w:rPr>
                <w:rFonts w:eastAsiaTheme="minorEastAsia" w:cs="Calibri"/>
                <w:color w:val="000000"/>
                <w:szCs w:val="20"/>
                <w:lang w:eastAsia="en-AU"/>
              </w:rPr>
              <w:t xml:space="preserve">Great Alpine Road improvement works </w:t>
            </w:r>
            <w:r w:rsidRPr="00596FBC">
              <w:rPr>
                <w:rFonts w:eastAsiaTheme="minorEastAsia" w:cs="Calibri"/>
                <w:color w:val="000000"/>
                <w:szCs w:val="20"/>
                <w:vertAlign w:val="superscript"/>
                <w:lang w:eastAsia="en-AU"/>
              </w:rPr>
              <w:t>(a)</w:t>
            </w:r>
          </w:p>
        </w:tc>
        <w:tc>
          <w:tcPr>
            <w:tcW w:w="703" w:type="dxa"/>
            <w:tcBorders>
              <w:top w:val="nil"/>
              <w:left w:val="nil"/>
              <w:bottom w:val="nil"/>
              <w:right w:val="nil"/>
            </w:tcBorders>
          </w:tcPr>
          <w:p w:rsidR="00A46DCA" w:rsidRPr="00596FBC"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596FBC">
              <w:rPr>
                <w:rFonts w:eastAsiaTheme="minorEastAsia" w:cs="Calibri"/>
                <w:color w:val="000000"/>
                <w:szCs w:val="20"/>
                <w:lang w:eastAsia="en-AU"/>
              </w:rPr>
              <w:t>0.1</w:t>
            </w:r>
          </w:p>
        </w:tc>
        <w:tc>
          <w:tcPr>
            <w:tcW w:w="788" w:type="dxa"/>
            <w:tcBorders>
              <w:top w:val="nil"/>
              <w:left w:val="nil"/>
              <w:bottom w:val="nil"/>
              <w:right w:val="nil"/>
            </w:tcBorders>
          </w:tcPr>
          <w:p w:rsidR="00A46DCA" w:rsidRPr="00596FBC"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596FBC">
              <w:rPr>
                <w:rFonts w:eastAsiaTheme="minorEastAsia" w:cs="Calibri"/>
                <w:color w:val="000000"/>
                <w:szCs w:val="20"/>
                <w:lang w:eastAsia="en-AU"/>
              </w:rPr>
              <w:t>0.3</w:t>
            </w:r>
          </w:p>
        </w:tc>
        <w:tc>
          <w:tcPr>
            <w:tcW w:w="788" w:type="dxa"/>
            <w:tcBorders>
              <w:top w:val="nil"/>
              <w:left w:val="nil"/>
              <w:bottom w:val="nil"/>
              <w:right w:val="nil"/>
            </w:tcBorders>
          </w:tcPr>
          <w:p w:rsidR="00A46DCA" w:rsidRPr="00596FBC"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596FBC">
              <w:rPr>
                <w:rFonts w:eastAsiaTheme="minorEastAsia" w:cs="Calibri"/>
                <w:color w:val="000000"/>
                <w:szCs w:val="20"/>
                <w:lang w:eastAsia="en-AU"/>
              </w:rPr>
              <w:t>0.2</w:t>
            </w:r>
          </w:p>
        </w:tc>
        <w:tc>
          <w:tcPr>
            <w:tcW w:w="788" w:type="dxa"/>
            <w:tcBorders>
              <w:top w:val="nil"/>
              <w:left w:val="nil"/>
              <w:bottom w:val="nil"/>
              <w:right w:val="nil"/>
            </w:tcBorders>
          </w:tcPr>
          <w:p w:rsidR="00A46DCA" w:rsidRPr="00596FBC"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596FBC">
              <w:rPr>
                <w:rFonts w:eastAsiaTheme="minorEastAsia" w:cs="Calibri"/>
                <w:color w:val="000000"/>
                <w:szCs w:val="20"/>
                <w:lang w:eastAsia="en-AU"/>
              </w:rPr>
              <w:t>0.1</w:t>
            </w:r>
          </w:p>
        </w:tc>
      </w:tr>
      <w:tr w:rsidR="00A46DCA" w:rsidRPr="00596FBC" w:rsidTr="00A26D04">
        <w:tc>
          <w:tcPr>
            <w:cnfStyle w:val="001000000000" w:firstRow="0" w:lastRow="0" w:firstColumn="1" w:lastColumn="0" w:oddVBand="0" w:evenVBand="0" w:oddHBand="0" w:evenHBand="0" w:firstRowFirstColumn="0" w:firstRowLastColumn="0" w:lastRowFirstColumn="0" w:lastRowLastColumn="0"/>
            <w:tcW w:w="4706" w:type="dxa"/>
            <w:tcBorders>
              <w:top w:val="nil"/>
              <w:left w:val="nil"/>
              <w:bottom w:val="nil"/>
              <w:right w:val="nil"/>
            </w:tcBorders>
          </w:tcPr>
          <w:p w:rsidR="00A46DCA" w:rsidRPr="00596FBC" w:rsidRDefault="00A46DCA" w:rsidP="00A26D04">
            <w:pPr>
              <w:keepLines w:val="0"/>
              <w:autoSpaceDE w:val="0"/>
              <w:autoSpaceDN w:val="0"/>
              <w:adjustRightInd w:val="0"/>
              <w:rPr>
                <w:rFonts w:eastAsiaTheme="minorEastAsia" w:cs="Calibri"/>
                <w:color w:val="000000"/>
                <w:szCs w:val="20"/>
                <w:vertAlign w:val="superscript"/>
                <w:lang w:eastAsia="en-AU"/>
              </w:rPr>
            </w:pPr>
            <w:r w:rsidRPr="00596FBC">
              <w:rPr>
                <w:rFonts w:eastAsiaTheme="minorEastAsia" w:cs="Calibri"/>
                <w:color w:val="000000"/>
                <w:szCs w:val="20"/>
                <w:lang w:eastAsia="en-AU"/>
              </w:rPr>
              <w:t xml:space="preserve">Great Ocean Road improvement works </w:t>
            </w:r>
            <w:r w:rsidRPr="00596FBC">
              <w:rPr>
                <w:rFonts w:eastAsiaTheme="minorEastAsia" w:cs="Calibri"/>
                <w:color w:val="000000"/>
                <w:szCs w:val="20"/>
                <w:vertAlign w:val="superscript"/>
                <w:lang w:eastAsia="en-AU"/>
              </w:rPr>
              <w:t>(b)</w:t>
            </w:r>
          </w:p>
        </w:tc>
        <w:tc>
          <w:tcPr>
            <w:tcW w:w="703" w:type="dxa"/>
            <w:tcBorders>
              <w:top w:val="nil"/>
              <w:left w:val="nil"/>
              <w:bottom w:val="nil"/>
              <w:right w:val="nil"/>
            </w:tcBorders>
          </w:tcPr>
          <w:p w:rsidR="00A46DCA" w:rsidRPr="00596FBC"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596FBC">
              <w:rPr>
                <w:rFonts w:eastAsiaTheme="minorEastAsia" w:cs="Calibri"/>
                <w:color w:val="000000"/>
                <w:szCs w:val="20"/>
                <w:lang w:eastAsia="en-AU"/>
              </w:rPr>
              <w:t>0.2</w:t>
            </w:r>
          </w:p>
        </w:tc>
        <w:tc>
          <w:tcPr>
            <w:tcW w:w="788" w:type="dxa"/>
            <w:tcBorders>
              <w:top w:val="nil"/>
              <w:left w:val="nil"/>
              <w:bottom w:val="nil"/>
              <w:right w:val="nil"/>
            </w:tcBorders>
          </w:tcPr>
          <w:p w:rsidR="00A46DCA" w:rsidRPr="00596FBC"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596FBC">
              <w:rPr>
                <w:rFonts w:eastAsiaTheme="minorEastAsia" w:cs="Calibri"/>
                <w:color w:val="000000"/>
                <w:szCs w:val="20"/>
                <w:lang w:eastAsia="en-AU"/>
              </w:rPr>
              <w:t>0.4</w:t>
            </w:r>
          </w:p>
        </w:tc>
        <w:tc>
          <w:tcPr>
            <w:tcW w:w="788" w:type="dxa"/>
            <w:tcBorders>
              <w:top w:val="nil"/>
              <w:left w:val="nil"/>
              <w:bottom w:val="nil"/>
              <w:right w:val="nil"/>
            </w:tcBorders>
          </w:tcPr>
          <w:p w:rsidR="00A46DCA" w:rsidRPr="00596FBC"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596FBC">
              <w:rPr>
                <w:rFonts w:eastAsiaTheme="minorEastAsia" w:cs="Calibri"/>
                <w:color w:val="000000"/>
                <w:szCs w:val="20"/>
                <w:lang w:eastAsia="en-AU"/>
              </w:rPr>
              <w:t>0.4</w:t>
            </w:r>
          </w:p>
        </w:tc>
        <w:tc>
          <w:tcPr>
            <w:tcW w:w="788" w:type="dxa"/>
            <w:tcBorders>
              <w:top w:val="nil"/>
              <w:left w:val="nil"/>
              <w:bottom w:val="nil"/>
              <w:right w:val="nil"/>
            </w:tcBorders>
          </w:tcPr>
          <w:p w:rsidR="00A46DCA" w:rsidRPr="00596FBC"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596FBC">
              <w:rPr>
                <w:rFonts w:eastAsiaTheme="minorEastAsia" w:cs="Calibri"/>
                <w:color w:val="000000"/>
                <w:szCs w:val="20"/>
                <w:lang w:eastAsia="en-AU"/>
              </w:rPr>
              <w:t>0.4</w:t>
            </w:r>
          </w:p>
        </w:tc>
      </w:tr>
      <w:tr w:rsidR="00A46DCA" w:rsidRPr="00596FBC" w:rsidTr="00A26D04">
        <w:tc>
          <w:tcPr>
            <w:cnfStyle w:val="001000000000" w:firstRow="0" w:lastRow="0" w:firstColumn="1" w:lastColumn="0" w:oddVBand="0" w:evenVBand="0" w:oddHBand="0" w:evenHBand="0" w:firstRowFirstColumn="0" w:firstRowLastColumn="0" w:lastRowFirstColumn="0" w:lastRowLastColumn="0"/>
            <w:tcW w:w="4706" w:type="dxa"/>
            <w:tcBorders>
              <w:top w:val="nil"/>
              <w:left w:val="nil"/>
              <w:bottom w:val="nil"/>
              <w:right w:val="nil"/>
            </w:tcBorders>
          </w:tcPr>
          <w:p w:rsidR="00A46DCA" w:rsidRPr="00596FBC" w:rsidRDefault="00A46DCA" w:rsidP="00A26D04">
            <w:pPr>
              <w:keepLines w:val="0"/>
              <w:autoSpaceDE w:val="0"/>
              <w:autoSpaceDN w:val="0"/>
              <w:adjustRightInd w:val="0"/>
              <w:rPr>
                <w:rFonts w:eastAsiaTheme="minorEastAsia" w:cs="Calibri"/>
                <w:color w:val="000000"/>
                <w:szCs w:val="20"/>
                <w:vertAlign w:val="superscript"/>
                <w:lang w:eastAsia="en-AU"/>
              </w:rPr>
            </w:pPr>
            <w:r w:rsidRPr="00596FBC">
              <w:rPr>
                <w:rFonts w:eastAsiaTheme="minorEastAsia" w:cs="Calibri"/>
                <w:color w:val="000000"/>
                <w:szCs w:val="20"/>
                <w:lang w:eastAsia="en-AU"/>
              </w:rPr>
              <w:t xml:space="preserve">Green Triangle Package </w:t>
            </w:r>
            <w:r w:rsidRPr="00596FBC">
              <w:rPr>
                <w:rFonts w:eastAsiaTheme="minorEastAsia" w:cs="Calibri"/>
                <w:color w:val="000000"/>
                <w:szCs w:val="20"/>
                <w:vertAlign w:val="superscript"/>
                <w:lang w:eastAsia="en-AU"/>
              </w:rPr>
              <w:t>(c)</w:t>
            </w:r>
          </w:p>
        </w:tc>
        <w:tc>
          <w:tcPr>
            <w:tcW w:w="703" w:type="dxa"/>
            <w:tcBorders>
              <w:top w:val="nil"/>
              <w:left w:val="nil"/>
              <w:bottom w:val="nil"/>
              <w:right w:val="nil"/>
            </w:tcBorders>
          </w:tcPr>
          <w:p w:rsidR="00A46DCA" w:rsidRPr="00596FBC"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596FBC">
              <w:rPr>
                <w:rFonts w:eastAsiaTheme="minorEastAsia" w:cs="Calibri"/>
                <w:color w:val="000000"/>
                <w:szCs w:val="20"/>
                <w:lang w:eastAsia="en-AU"/>
              </w:rPr>
              <w:t>0.4</w:t>
            </w:r>
          </w:p>
        </w:tc>
        <w:tc>
          <w:tcPr>
            <w:tcW w:w="788" w:type="dxa"/>
            <w:tcBorders>
              <w:top w:val="nil"/>
              <w:left w:val="nil"/>
              <w:bottom w:val="nil"/>
              <w:right w:val="nil"/>
            </w:tcBorders>
          </w:tcPr>
          <w:p w:rsidR="00A46DCA" w:rsidRPr="00596FBC"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596FBC">
              <w:rPr>
                <w:rFonts w:eastAsiaTheme="minorEastAsia" w:cs="Calibri"/>
                <w:color w:val="000000"/>
                <w:szCs w:val="20"/>
                <w:lang w:eastAsia="en-AU"/>
              </w:rPr>
              <w:t>0.4</w:t>
            </w:r>
          </w:p>
        </w:tc>
        <w:tc>
          <w:tcPr>
            <w:tcW w:w="788" w:type="dxa"/>
            <w:tcBorders>
              <w:top w:val="nil"/>
              <w:left w:val="nil"/>
              <w:bottom w:val="nil"/>
              <w:right w:val="nil"/>
            </w:tcBorders>
          </w:tcPr>
          <w:p w:rsidR="00A46DCA" w:rsidRPr="00596FBC"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596FBC">
              <w:rPr>
                <w:rFonts w:eastAsiaTheme="minorEastAsia" w:cs="Calibri"/>
                <w:color w:val="000000"/>
                <w:szCs w:val="20"/>
                <w:lang w:eastAsia="en-AU"/>
              </w:rPr>
              <w:t>0.4</w:t>
            </w:r>
          </w:p>
        </w:tc>
        <w:tc>
          <w:tcPr>
            <w:tcW w:w="788" w:type="dxa"/>
            <w:tcBorders>
              <w:top w:val="nil"/>
              <w:left w:val="nil"/>
              <w:bottom w:val="nil"/>
              <w:right w:val="nil"/>
            </w:tcBorders>
          </w:tcPr>
          <w:p w:rsidR="00A46DCA" w:rsidRPr="00596FBC"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596FBC">
              <w:rPr>
                <w:rFonts w:eastAsiaTheme="minorEastAsia" w:cs="Calibri"/>
                <w:color w:val="000000"/>
                <w:szCs w:val="20"/>
                <w:lang w:eastAsia="en-AU"/>
              </w:rPr>
              <w:t>..</w:t>
            </w:r>
          </w:p>
        </w:tc>
      </w:tr>
      <w:tr w:rsidR="00A46DCA" w:rsidRPr="00596FBC" w:rsidTr="00A26D04">
        <w:tc>
          <w:tcPr>
            <w:cnfStyle w:val="001000000000" w:firstRow="0" w:lastRow="0" w:firstColumn="1" w:lastColumn="0" w:oddVBand="0" w:evenVBand="0" w:oddHBand="0" w:evenHBand="0" w:firstRowFirstColumn="0" w:firstRowLastColumn="0" w:lastRowFirstColumn="0" w:lastRowLastColumn="0"/>
            <w:tcW w:w="4706" w:type="dxa"/>
            <w:tcBorders>
              <w:top w:val="nil"/>
              <w:left w:val="nil"/>
              <w:bottom w:val="nil"/>
              <w:right w:val="nil"/>
            </w:tcBorders>
          </w:tcPr>
          <w:p w:rsidR="00A46DCA" w:rsidRPr="00596FBC" w:rsidRDefault="00A46DCA" w:rsidP="00A26D04">
            <w:pPr>
              <w:keepLines w:val="0"/>
              <w:autoSpaceDE w:val="0"/>
              <w:autoSpaceDN w:val="0"/>
              <w:adjustRightInd w:val="0"/>
              <w:rPr>
                <w:rFonts w:eastAsiaTheme="minorEastAsia" w:cs="Calibri"/>
                <w:color w:val="000000"/>
                <w:szCs w:val="20"/>
                <w:vertAlign w:val="superscript"/>
                <w:lang w:eastAsia="en-AU"/>
              </w:rPr>
            </w:pPr>
            <w:r w:rsidRPr="00596FBC">
              <w:rPr>
                <w:rFonts w:eastAsiaTheme="minorEastAsia" w:cs="Calibri"/>
                <w:color w:val="000000"/>
                <w:szCs w:val="20"/>
                <w:lang w:eastAsia="en-AU"/>
              </w:rPr>
              <w:t>Hyland Highway Road improvement works</w:t>
            </w:r>
            <w:r w:rsidR="004906A4">
              <w:rPr>
                <w:rFonts w:eastAsiaTheme="minorEastAsia" w:cs="Calibri"/>
                <w:color w:val="000000"/>
                <w:szCs w:val="20"/>
                <w:lang w:eastAsia="en-AU"/>
              </w:rPr>
              <w:t xml:space="preserve"> </w:t>
            </w:r>
            <w:r>
              <w:rPr>
                <w:rFonts w:eastAsiaTheme="minorEastAsia" w:cs="Calibri"/>
                <w:color w:val="000000"/>
                <w:szCs w:val="20"/>
                <w:vertAlign w:val="superscript"/>
                <w:lang w:eastAsia="en-AU"/>
              </w:rPr>
              <w:t>(d)(</w:t>
            </w:r>
            <w:r w:rsidRPr="00596FBC">
              <w:rPr>
                <w:rFonts w:eastAsiaTheme="minorEastAsia" w:cs="Calibri"/>
                <w:color w:val="000000"/>
                <w:szCs w:val="20"/>
                <w:vertAlign w:val="superscript"/>
                <w:lang w:eastAsia="en-AU"/>
              </w:rPr>
              <w:t>e)</w:t>
            </w:r>
          </w:p>
        </w:tc>
        <w:tc>
          <w:tcPr>
            <w:tcW w:w="703" w:type="dxa"/>
            <w:tcBorders>
              <w:top w:val="nil"/>
              <w:left w:val="nil"/>
              <w:bottom w:val="nil"/>
              <w:right w:val="nil"/>
            </w:tcBorders>
          </w:tcPr>
          <w:p w:rsidR="00A46DCA" w:rsidRPr="00596FBC"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596FBC">
              <w:rPr>
                <w:rFonts w:eastAsiaTheme="minorEastAsia" w:cs="Calibri"/>
                <w:color w:val="000000"/>
                <w:szCs w:val="20"/>
                <w:lang w:eastAsia="en-AU"/>
              </w:rPr>
              <w:t>0.1</w:t>
            </w:r>
          </w:p>
        </w:tc>
        <w:tc>
          <w:tcPr>
            <w:tcW w:w="788" w:type="dxa"/>
            <w:tcBorders>
              <w:top w:val="nil"/>
              <w:left w:val="nil"/>
              <w:bottom w:val="nil"/>
              <w:right w:val="nil"/>
            </w:tcBorders>
          </w:tcPr>
          <w:p w:rsidR="00A46DCA" w:rsidRPr="00596FBC"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596FBC">
              <w:rPr>
                <w:rFonts w:eastAsiaTheme="minorEastAsia" w:cs="Calibri"/>
                <w:color w:val="000000"/>
                <w:szCs w:val="20"/>
                <w:lang w:eastAsia="en-AU"/>
              </w:rPr>
              <w:t>0.2</w:t>
            </w:r>
          </w:p>
        </w:tc>
        <w:tc>
          <w:tcPr>
            <w:tcW w:w="788" w:type="dxa"/>
            <w:tcBorders>
              <w:top w:val="nil"/>
              <w:left w:val="nil"/>
              <w:bottom w:val="nil"/>
              <w:right w:val="nil"/>
            </w:tcBorders>
          </w:tcPr>
          <w:p w:rsidR="00A46DCA" w:rsidRPr="00596FBC"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596FBC">
              <w:rPr>
                <w:rFonts w:eastAsiaTheme="minorEastAsia" w:cs="Calibri"/>
                <w:color w:val="000000"/>
                <w:szCs w:val="20"/>
                <w:lang w:eastAsia="en-AU"/>
              </w:rPr>
              <w:t>0.1</w:t>
            </w:r>
          </w:p>
        </w:tc>
        <w:tc>
          <w:tcPr>
            <w:tcW w:w="788" w:type="dxa"/>
            <w:tcBorders>
              <w:top w:val="nil"/>
              <w:left w:val="nil"/>
              <w:bottom w:val="nil"/>
              <w:right w:val="nil"/>
            </w:tcBorders>
          </w:tcPr>
          <w:p w:rsidR="00A46DCA" w:rsidRPr="00596FBC"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Pr>
                <w:rFonts w:eastAsiaTheme="minorEastAsia" w:cs="Calibri"/>
                <w:color w:val="000000"/>
                <w:szCs w:val="20"/>
                <w:lang w:eastAsia="en-AU"/>
              </w:rPr>
              <w:t>0.0</w:t>
            </w:r>
          </w:p>
        </w:tc>
      </w:tr>
      <w:tr w:rsidR="00A46DCA" w:rsidRPr="00596FBC" w:rsidTr="00A26D04">
        <w:tc>
          <w:tcPr>
            <w:cnfStyle w:val="001000000000" w:firstRow="0" w:lastRow="0" w:firstColumn="1" w:lastColumn="0" w:oddVBand="0" w:evenVBand="0" w:oddHBand="0" w:evenHBand="0" w:firstRowFirstColumn="0" w:firstRowLastColumn="0" w:lastRowFirstColumn="0" w:lastRowLastColumn="0"/>
            <w:tcW w:w="4706" w:type="dxa"/>
            <w:tcBorders>
              <w:top w:val="nil"/>
              <w:left w:val="nil"/>
              <w:bottom w:val="nil"/>
              <w:right w:val="nil"/>
            </w:tcBorders>
          </w:tcPr>
          <w:p w:rsidR="00A46DCA" w:rsidRPr="00596FBC" w:rsidRDefault="00A46DCA" w:rsidP="00A26D04">
            <w:pPr>
              <w:keepLines w:val="0"/>
              <w:autoSpaceDE w:val="0"/>
              <w:autoSpaceDN w:val="0"/>
              <w:adjustRightInd w:val="0"/>
              <w:rPr>
                <w:rFonts w:eastAsiaTheme="minorEastAsia" w:cs="Calibri"/>
                <w:color w:val="000000"/>
                <w:szCs w:val="20"/>
                <w:lang w:eastAsia="en-AU"/>
              </w:rPr>
            </w:pPr>
            <w:r w:rsidRPr="00596FBC">
              <w:rPr>
                <w:rFonts w:eastAsiaTheme="minorEastAsia" w:cs="Calibri"/>
                <w:color w:val="000000"/>
                <w:szCs w:val="20"/>
                <w:lang w:eastAsia="en-AU"/>
              </w:rPr>
              <w:t>Labour Hire Licensing Authority</w:t>
            </w:r>
          </w:p>
        </w:tc>
        <w:tc>
          <w:tcPr>
            <w:tcW w:w="703" w:type="dxa"/>
            <w:tcBorders>
              <w:top w:val="nil"/>
              <w:left w:val="nil"/>
              <w:bottom w:val="nil"/>
              <w:right w:val="nil"/>
            </w:tcBorders>
          </w:tcPr>
          <w:p w:rsidR="00A46DCA" w:rsidRPr="00596FBC"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596FBC">
              <w:rPr>
                <w:rFonts w:eastAsiaTheme="minorEastAsia" w:cs="Calibri"/>
                <w:color w:val="000000"/>
                <w:szCs w:val="20"/>
                <w:lang w:eastAsia="en-AU"/>
              </w:rPr>
              <w:t>2.7</w:t>
            </w:r>
          </w:p>
        </w:tc>
        <w:tc>
          <w:tcPr>
            <w:tcW w:w="788" w:type="dxa"/>
            <w:tcBorders>
              <w:top w:val="nil"/>
              <w:left w:val="nil"/>
              <w:bottom w:val="nil"/>
              <w:right w:val="nil"/>
            </w:tcBorders>
          </w:tcPr>
          <w:p w:rsidR="00A46DCA" w:rsidRPr="00596FBC"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596FBC">
              <w:rPr>
                <w:rFonts w:eastAsiaTheme="minorEastAsia" w:cs="Calibri"/>
                <w:color w:val="000000"/>
                <w:szCs w:val="20"/>
                <w:lang w:eastAsia="en-AU"/>
              </w:rPr>
              <w:t>4.1</w:t>
            </w:r>
          </w:p>
        </w:tc>
        <w:tc>
          <w:tcPr>
            <w:tcW w:w="788" w:type="dxa"/>
            <w:tcBorders>
              <w:top w:val="nil"/>
              <w:left w:val="nil"/>
              <w:bottom w:val="nil"/>
              <w:right w:val="nil"/>
            </w:tcBorders>
          </w:tcPr>
          <w:p w:rsidR="00A46DCA" w:rsidRPr="00596FBC"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596FBC">
              <w:rPr>
                <w:rFonts w:eastAsiaTheme="minorEastAsia" w:cs="Calibri"/>
                <w:color w:val="000000"/>
                <w:szCs w:val="20"/>
                <w:lang w:eastAsia="en-AU"/>
              </w:rPr>
              <w:t>1.2</w:t>
            </w:r>
          </w:p>
        </w:tc>
        <w:tc>
          <w:tcPr>
            <w:tcW w:w="788" w:type="dxa"/>
            <w:tcBorders>
              <w:top w:val="nil"/>
              <w:left w:val="nil"/>
              <w:bottom w:val="nil"/>
              <w:right w:val="nil"/>
            </w:tcBorders>
          </w:tcPr>
          <w:p w:rsidR="00A46DCA" w:rsidRPr="00596FBC"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596FBC">
              <w:rPr>
                <w:rFonts w:eastAsiaTheme="minorEastAsia" w:cs="Calibri"/>
                <w:color w:val="000000"/>
                <w:szCs w:val="20"/>
                <w:lang w:eastAsia="en-AU"/>
              </w:rPr>
              <w:t>0.6</w:t>
            </w:r>
          </w:p>
        </w:tc>
      </w:tr>
      <w:tr w:rsidR="00A46DCA" w:rsidRPr="00596FBC" w:rsidTr="00A26D04">
        <w:tc>
          <w:tcPr>
            <w:cnfStyle w:val="001000000000" w:firstRow="0" w:lastRow="0" w:firstColumn="1" w:lastColumn="0" w:oddVBand="0" w:evenVBand="0" w:oddHBand="0" w:evenHBand="0" w:firstRowFirstColumn="0" w:firstRowLastColumn="0" w:lastRowFirstColumn="0" w:lastRowLastColumn="0"/>
            <w:tcW w:w="4706" w:type="dxa"/>
            <w:tcBorders>
              <w:top w:val="nil"/>
              <w:left w:val="nil"/>
              <w:bottom w:val="nil"/>
              <w:right w:val="nil"/>
            </w:tcBorders>
          </w:tcPr>
          <w:p w:rsidR="00A46DCA" w:rsidRPr="00596FBC" w:rsidRDefault="00A46DCA" w:rsidP="00A26D04">
            <w:pPr>
              <w:keepLines w:val="0"/>
              <w:autoSpaceDE w:val="0"/>
              <w:autoSpaceDN w:val="0"/>
              <w:adjustRightInd w:val="0"/>
              <w:rPr>
                <w:rFonts w:eastAsiaTheme="minorEastAsia" w:cs="Calibri"/>
                <w:color w:val="000000"/>
                <w:szCs w:val="20"/>
                <w:vertAlign w:val="superscript"/>
                <w:lang w:eastAsia="en-AU"/>
              </w:rPr>
            </w:pPr>
            <w:r w:rsidRPr="00596FBC">
              <w:rPr>
                <w:rFonts w:eastAsiaTheme="minorEastAsia" w:cs="Calibri"/>
                <w:color w:val="000000"/>
                <w:szCs w:val="20"/>
                <w:lang w:eastAsia="en-AU"/>
              </w:rPr>
              <w:t>Metropolitan train and tram franchise agreements</w:t>
            </w:r>
            <w:r w:rsidR="004906A4">
              <w:rPr>
                <w:rFonts w:eastAsiaTheme="minorEastAsia" w:cs="Calibri"/>
                <w:color w:val="000000"/>
                <w:szCs w:val="20"/>
                <w:lang w:eastAsia="en-AU"/>
              </w:rPr>
              <w:t xml:space="preserve"> </w:t>
            </w:r>
            <w:r w:rsidRPr="00596FBC">
              <w:rPr>
                <w:rFonts w:eastAsiaTheme="minorEastAsia" w:cs="Calibri"/>
                <w:color w:val="000000"/>
                <w:szCs w:val="20"/>
                <w:vertAlign w:val="superscript"/>
                <w:lang w:eastAsia="en-AU"/>
              </w:rPr>
              <w:t>(f)</w:t>
            </w:r>
          </w:p>
        </w:tc>
        <w:tc>
          <w:tcPr>
            <w:tcW w:w="703" w:type="dxa"/>
            <w:tcBorders>
              <w:top w:val="nil"/>
              <w:left w:val="nil"/>
              <w:bottom w:val="nil"/>
              <w:right w:val="nil"/>
            </w:tcBorders>
          </w:tcPr>
          <w:p w:rsidR="00A46DCA" w:rsidRPr="00596FBC"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596FBC">
              <w:rPr>
                <w:rFonts w:eastAsiaTheme="minorEastAsia" w:cs="Calibri"/>
                <w:color w:val="000000"/>
                <w:szCs w:val="20"/>
                <w:lang w:eastAsia="en-AU"/>
              </w:rPr>
              <w:t>191.3</w:t>
            </w:r>
          </w:p>
        </w:tc>
        <w:tc>
          <w:tcPr>
            <w:tcW w:w="788" w:type="dxa"/>
            <w:tcBorders>
              <w:top w:val="nil"/>
              <w:left w:val="nil"/>
              <w:bottom w:val="nil"/>
              <w:right w:val="nil"/>
            </w:tcBorders>
          </w:tcPr>
          <w:p w:rsidR="00A46DCA" w:rsidRPr="00596FBC"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596FBC">
              <w:rPr>
                <w:rFonts w:eastAsiaTheme="minorEastAsia" w:cs="Calibri"/>
                <w:color w:val="000000"/>
                <w:szCs w:val="20"/>
                <w:lang w:eastAsia="en-AU"/>
              </w:rPr>
              <w:t>353.0</w:t>
            </w:r>
          </w:p>
        </w:tc>
        <w:tc>
          <w:tcPr>
            <w:tcW w:w="788" w:type="dxa"/>
            <w:tcBorders>
              <w:top w:val="nil"/>
              <w:left w:val="nil"/>
              <w:bottom w:val="nil"/>
              <w:right w:val="nil"/>
            </w:tcBorders>
          </w:tcPr>
          <w:p w:rsidR="00A46DCA" w:rsidRPr="00596FBC"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596FBC">
              <w:rPr>
                <w:rFonts w:eastAsiaTheme="minorEastAsia" w:cs="Calibri"/>
                <w:color w:val="000000"/>
                <w:szCs w:val="20"/>
                <w:lang w:eastAsia="en-AU"/>
              </w:rPr>
              <w:t>303.9</w:t>
            </w:r>
          </w:p>
        </w:tc>
        <w:tc>
          <w:tcPr>
            <w:tcW w:w="788" w:type="dxa"/>
            <w:tcBorders>
              <w:top w:val="nil"/>
              <w:left w:val="nil"/>
              <w:bottom w:val="nil"/>
              <w:right w:val="nil"/>
            </w:tcBorders>
          </w:tcPr>
          <w:p w:rsidR="00A46DCA" w:rsidRPr="00596FBC"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596FBC">
              <w:rPr>
                <w:rFonts w:eastAsiaTheme="minorEastAsia" w:cs="Calibri"/>
                <w:color w:val="000000"/>
                <w:szCs w:val="20"/>
                <w:lang w:eastAsia="en-AU"/>
              </w:rPr>
              <w:t>179.7</w:t>
            </w:r>
          </w:p>
        </w:tc>
      </w:tr>
      <w:tr w:rsidR="00A46DCA" w:rsidRPr="00596FBC" w:rsidTr="00A26D04">
        <w:tc>
          <w:tcPr>
            <w:cnfStyle w:val="001000000000" w:firstRow="0" w:lastRow="0" w:firstColumn="1" w:lastColumn="0" w:oddVBand="0" w:evenVBand="0" w:oddHBand="0" w:evenHBand="0" w:firstRowFirstColumn="0" w:firstRowLastColumn="0" w:lastRowFirstColumn="0" w:lastRowLastColumn="0"/>
            <w:tcW w:w="4706" w:type="dxa"/>
            <w:tcBorders>
              <w:top w:val="nil"/>
              <w:left w:val="nil"/>
              <w:bottom w:val="nil"/>
              <w:right w:val="nil"/>
            </w:tcBorders>
          </w:tcPr>
          <w:p w:rsidR="00A46DCA" w:rsidRPr="00596FBC" w:rsidRDefault="00A46DCA" w:rsidP="00A26D04">
            <w:pPr>
              <w:keepLines w:val="0"/>
              <w:autoSpaceDE w:val="0"/>
              <w:autoSpaceDN w:val="0"/>
              <w:adjustRightInd w:val="0"/>
              <w:rPr>
                <w:rFonts w:eastAsiaTheme="minorEastAsia" w:cs="Calibri"/>
                <w:color w:val="000000"/>
                <w:szCs w:val="20"/>
                <w:vertAlign w:val="superscript"/>
                <w:lang w:eastAsia="en-AU"/>
              </w:rPr>
            </w:pPr>
            <w:r w:rsidRPr="00596FBC">
              <w:rPr>
                <w:rFonts w:eastAsiaTheme="minorEastAsia" w:cs="Calibri"/>
                <w:color w:val="000000"/>
                <w:szCs w:val="20"/>
                <w:lang w:eastAsia="en-AU"/>
              </w:rPr>
              <w:t xml:space="preserve">Monaro Highway road improvement works </w:t>
            </w:r>
            <w:r>
              <w:rPr>
                <w:rFonts w:eastAsiaTheme="minorEastAsia" w:cs="Calibri"/>
                <w:color w:val="000000"/>
                <w:szCs w:val="20"/>
                <w:vertAlign w:val="superscript"/>
                <w:lang w:eastAsia="en-AU"/>
              </w:rPr>
              <w:t>(g)(</w:t>
            </w:r>
            <w:r w:rsidRPr="00596FBC">
              <w:rPr>
                <w:rFonts w:eastAsiaTheme="minorEastAsia" w:cs="Calibri"/>
                <w:color w:val="000000"/>
                <w:szCs w:val="20"/>
                <w:vertAlign w:val="superscript"/>
                <w:lang w:eastAsia="en-AU"/>
              </w:rPr>
              <w:t>e)</w:t>
            </w:r>
          </w:p>
        </w:tc>
        <w:tc>
          <w:tcPr>
            <w:tcW w:w="703" w:type="dxa"/>
            <w:tcBorders>
              <w:top w:val="nil"/>
              <w:left w:val="nil"/>
              <w:bottom w:val="nil"/>
              <w:right w:val="nil"/>
            </w:tcBorders>
          </w:tcPr>
          <w:p w:rsidR="00A46DCA" w:rsidRPr="00596FBC"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596FBC">
              <w:rPr>
                <w:rFonts w:eastAsiaTheme="minorEastAsia" w:cs="Calibri"/>
                <w:color w:val="000000"/>
                <w:szCs w:val="20"/>
                <w:lang w:eastAsia="en-AU"/>
              </w:rPr>
              <w:t>0.1</w:t>
            </w:r>
          </w:p>
        </w:tc>
        <w:tc>
          <w:tcPr>
            <w:tcW w:w="788" w:type="dxa"/>
            <w:tcBorders>
              <w:top w:val="nil"/>
              <w:left w:val="nil"/>
              <w:bottom w:val="nil"/>
              <w:right w:val="nil"/>
            </w:tcBorders>
          </w:tcPr>
          <w:p w:rsidR="00A46DCA" w:rsidRPr="00596FBC"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596FBC">
              <w:rPr>
                <w:rFonts w:eastAsiaTheme="minorEastAsia" w:cs="Calibri"/>
                <w:color w:val="000000"/>
                <w:szCs w:val="20"/>
                <w:lang w:eastAsia="en-AU"/>
              </w:rPr>
              <w:t>0.2</w:t>
            </w:r>
          </w:p>
        </w:tc>
        <w:tc>
          <w:tcPr>
            <w:tcW w:w="788" w:type="dxa"/>
            <w:tcBorders>
              <w:top w:val="nil"/>
              <w:left w:val="nil"/>
              <w:bottom w:val="nil"/>
              <w:right w:val="nil"/>
            </w:tcBorders>
          </w:tcPr>
          <w:p w:rsidR="00A46DCA" w:rsidRPr="00596FBC"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596FBC">
              <w:rPr>
                <w:rFonts w:eastAsiaTheme="minorEastAsia" w:cs="Calibri"/>
                <w:color w:val="000000"/>
                <w:szCs w:val="20"/>
                <w:lang w:eastAsia="en-AU"/>
              </w:rPr>
              <w:t>0.1</w:t>
            </w:r>
          </w:p>
        </w:tc>
        <w:tc>
          <w:tcPr>
            <w:tcW w:w="788" w:type="dxa"/>
            <w:tcBorders>
              <w:top w:val="nil"/>
              <w:left w:val="nil"/>
              <w:bottom w:val="nil"/>
              <w:right w:val="nil"/>
            </w:tcBorders>
          </w:tcPr>
          <w:p w:rsidR="00A46DCA" w:rsidRPr="00596FBC"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Pr>
                <w:rFonts w:eastAsiaTheme="minorEastAsia" w:cs="Calibri"/>
                <w:color w:val="000000"/>
                <w:szCs w:val="20"/>
                <w:lang w:eastAsia="en-AU"/>
              </w:rPr>
              <w:t>0.0</w:t>
            </w:r>
          </w:p>
        </w:tc>
      </w:tr>
      <w:tr w:rsidR="00A46DCA" w:rsidRPr="00596FBC" w:rsidTr="00A26D04">
        <w:tc>
          <w:tcPr>
            <w:cnfStyle w:val="001000000000" w:firstRow="0" w:lastRow="0" w:firstColumn="1" w:lastColumn="0" w:oddVBand="0" w:evenVBand="0" w:oddHBand="0" w:evenHBand="0" w:firstRowFirstColumn="0" w:firstRowLastColumn="0" w:lastRowFirstColumn="0" w:lastRowLastColumn="0"/>
            <w:tcW w:w="4706" w:type="dxa"/>
            <w:tcBorders>
              <w:top w:val="nil"/>
              <w:left w:val="nil"/>
              <w:bottom w:val="nil"/>
              <w:right w:val="nil"/>
            </w:tcBorders>
          </w:tcPr>
          <w:p w:rsidR="00A46DCA" w:rsidRPr="00596FBC" w:rsidRDefault="00A46DCA" w:rsidP="00A26D04">
            <w:pPr>
              <w:keepLines w:val="0"/>
              <w:autoSpaceDE w:val="0"/>
              <w:autoSpaceDN w:val="0"/>
              <w:adjustRightInd w:val="0"/>
              <w:rPr>
                <w:rFonts w:eastAsiaTheme="minorEastAsia" w:cs="Calibri"/>
                <w:color w:val="000000"/>
                <w:szCs w:val="20"/>
                <w:vertAlign w:val="superscript"/>
                <w:lang w:eastAsia="en-AU"/>
              </w:rPr>
            </w:pPr>
            <w:r w:rsidRPr="00596FBC">
              <w:rPr>
                <w:rFonts w:eastAsiaTheme="minorEastAsia" w:cs="Calibri"/>
                <w:color w:val="000000"/>
                <w:szCs w:val="20"/>
                <w:lang w:eastAsia="en-AU"/>
              </w:rPr>
              <w:t xml:space="preserve">Murray Valley Highway upgrade </w:t>
            </w:r>
            <w:r w:rsidRPr="00596FBC">
              <w:rPr>
                <w:rFonts w:eastAsiaTheme="minorEastAsia" w:cs="Calibri"/>
                <w:color w:val="000000"/>
                <w:szCs w:val="20"/>
                <w:vertAlign w:val="superscript"/>
                <w:lang w:eastAsia="en-AU"/>
              </w:rPr>
              <w:t>(h)</w:t>
            </w:r>
          </w:p>
        </w:tc>
        <w:tc>
          <w:tcPr>
            <w:tcW w:w="703" w:type="dxa"/>
            <w:tcBorders>
              <w:top w:val="nil"/>
              <w:left w:val="nil"/>
              <w:bottom w:val="nil"/>
              <w:right w:val="nil"/>
            </w:tcBorders>
          </w:tcPr>
          <w:p w:rsidR="00A46DCA" w:rsidRPr="00596FBC"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596FBC">
              <w:rPr>
                <w:rFonts w:eastAsiaTheme="minorEastAsia" w:cs="Calibri"/>
                <w:color w:val="000000"/>
                <w:szCs w:val="20"/>
                <w:lang w:eastAsia="en-AU"/>
              </w:rPr>
              <w:t>0.1</w:t>
            </w:r>
          </w:p>
        </w:tc>
        <w:tc>
          <w:tcPr>
            <w:tcW w:w="788" w:type="dxa"/>
            <w:tcBorders>
              <w:top w:val="nil"/>
              <w:left w:val="nil"/>
              <w:bottom w:val="nil"/>
              <w:right w:val="nil"/>
            </w:tcBorders>
          </w:tcPr>
          <w:p w:rsidR="00A46DCA" w:rsidRPr="00596FBC"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596FBC">
              <w:rPr>
                <w:rFonts w:eastAsiaTheme="minorEastAsia" w:cs="Calibri"/>
                <w:color w:val="000000"/>
                <w:szCs w:val="20"/>
                <w:lang w:eastAsia="en-AU"/>
              </w:rPr>
              <w:t>0.3</w:t>
            </w:r>
          </w:p>
        </w:tc>
        <w:tc>
          <w:tcPr>
            <w:tcW w:w="788" w:type="dxa"/>
            <w:tcBorders>
              <w:top w:val="nil"/>
              <w:left w:val="nil"/>
              <w:bottom w:val="nil"/>
              <w:right w:val="nil"/>
            </w:tcBorders>
          </w:tcPr>
          <w:p w:rsidR="00A46DCA" w:rsidRPr="00596FBC"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596FBC">
              <w:rPr>
                <w:rFonts w:eastAsiaTheme="minorEastAsia" w:cs="Calibri"/>
                <w:color w:val="000000"/>
                <w:szCs w:val="20"/>
                <w:lang w:eastAsia="en-AU"/>
              </w:rPr>
              <w:t>0.3</w:t>
            </w:r>
          </w:p>
        </w:tc>
        <w:tc>
          <w:tcPr>
            <w:tcW w:w="788" w:type="dxa"/>
            <w:tcBorders>
              <w:top w:val="nil"/>
              <w:left w:val="nil"/>
              <w:bottom w:val="nil"/>
              <w:right w:val="nil"/>
            </w:tcBorders>
          </w:tcPr>
          <w:p w:rsidR="00A46DCA" w:rsidRPr="00596FBC"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596FBC">
              <w:rPr>
                <w:rFonts w:eastAsiaTheme="minorEastAsia" w:cs="Calibri"/>
                <w:color w:val="000000"/>
                <w:szCs w:val="20"/>
                <w:lang w:eastAsia="en-AU"/>
              </w:rPr>
              <w:t>..</w:t>
            </w:r>
          </w:p>
        </w:tc>
      </w:tr>
      <w:tr w:rsidR="00A46DCA" w:rsidRPr="00596FBC" w:rsidTr="00A26D04">
        <w:tc>
          <w:tcPr>
            <w:cnfStyle w:val="001000000000" w:firstRow="0" w:lastRow="0" w:firstColumn="1" w:lastColumn="0" w:oddVBand="0" w:evenVBand="0" w:oddHBand="0" w:evenHBand="0" w:firstRowFirstColumn="0" w:firstRowLastColumn="0" w:lastRowFirstColumn="0" w:lastRowLastColumn="0"/>
            <w:tcW w:w="4706" w:type="dxa"/>
            <w:tcBorders>
              <w:top w:val="nil"/>
              <w:left w:val="nil"/>
              <w:bottom w:val="nil"/>
              <w:right w:val="nil"/>
            </w:tcBorders>
          </w:tcPr>
          <w:p w:rsidR="00A46DCA" w:rsidRPr="00596FBC" w:rsidRDefault="00A46DCA" w:rsidP="00A26D04">
            <w:pPr>
              <w:keepLines w:val="0"/>
              <w:autoSpaceDE w:val="0"/>
              <w:autoSpaceDN w:val="0"/>
              <w:adjustRightInd w:val="0"/>
              <w:rPr>
                <w:rFonts w:eastAsiaTheme="minorEastAsia" w:cs="Calibri"/>
                <w:color w:val="000000"/>
                <w:szCs w:val="20"/>
                <w:lang w:eastAsia="en-AU"/>
              </w:rPr>
            </w:pPr>
            <w:r w:rsidRPr="00596FBC">
              <w:rPr>
                <w:rFonts w:eastAsiaTheme="minorEastAsia" w:cs="Calibri"/>
                <w:color w:val="000000"/>
                <w:szCs w:val="20"/>
                <w:lang w:eastAsia="en-AU"/>
              </w:rPr>
              <w:t>Port Phillip Ferries</w:t>
            </w:r>
          </w:p>
        </w:tc>
        <w:tc>
          <w:tcPr>
            <w:tcW w:w="703" w:type="dxa"/>
            <w:tcBorders>
              <w:top w:val="nil"/>
              <w:left w:val="nil"/>
              <w:bottom w:val="nil"/>
              <w:right w:val="nil"/>
            </w:tcBorders>
          </w:tcPr>
          <w:p w:rsidR="00A46DCA" w:rsidRPr="00596FBC"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596FBC">
              <w:rPr>
                <w:rFonts w:eastAsiaTheme="minorEastAsia" w:cs="Calibri"/>
                <w:color w:val="000000"/>
                <w:szCs w:val="20"/>
                <w:lang w:eastAsia="en-AU"/>
              </w:rPr>
              <w:t>2.1</w:t>
            </w:r>
          </w:p>
        </w:tc>
        <w:tc>
          <w:tcPr>
            <w:tcW w:w="788" w:type="dxa"/>
            <w:tcBorders>
              <w:top w:val="nil"/>
              <w:left w:val="nil"/>
              <w:bottom w:val="nil"/>
              <w:right w:val="nil"/>
            </w:tcBorders>
          </w:tcPr>
          <w:p w:rsidR="00A46DCA" w:rsidRPr="00596FBC"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596FBC">
              <w:rPr>
                <w:rFonts w:eastAsiaTheme="minorEastAsia" w:cs="Calibri"/>
                <w:color w:val="000000"/>
                <w:szCs w:val="20"/>
                <w:lang w:eastAsia="en-AU"/>
              </w:rPr>
              <w:t>1.7</w:t>
            </w:r>
          </w:p>
        </w:tc>
        <w:tc>
          <w:tcPr>
            <w:tcW w:w="788" w:type="dxa"/>
            <w:tcBorders>
              <w:top w:val="nil"/>
              <w:left w:val="nil"/>
              <w:bottom w:val="nil"/>
              <w:right w:val="nil"/>
            </w:tcBorders>
          </w:tcPr>
          <w:p w:rsidR="00A46DCA" w:rsidRPr="00596FBC"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596FBC">
              <w:rPr>
                <w:rFonts w:eastAsiaTheme="minorEastAsia" w:cs="Calibri"/>
                <w:color w:val="000000"/>
                <w:szCs w:val="20"/>
                <w:lang w:eastAsia="en-AU"/>
              </w:rPr>
              <w:t>1.3</w:t>
            </w:r>
          </w:p>
        </w:tc>
        <w:tc>
          <w:tcPr>
            <w:tcW w:w="788" w:type="dxa"/>
            <w:tcBorders>
              <w:top w:val="nil"/>
              <w:left w:val="nil"/>
              <w:bottom w:val="nil"/>
              <w:right w:val="nil"/>
            </w:tcBorders>
          </w:tcPr>
          <w:p w:rsidR="00A46DCA" w:rsidRPr="00596FBC"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596FBC">
              <w:rPr>
                <w:rFonts w:eastAsiaTheme="minorEastAsia" w:cs="Calibri"/>
                <w:color w:val="000000"/>
                <w:szCs w:val="20"/>
                <w:lang w:eastAsia="en-AU"/>
              </w:rPr>
              <w:t>..</w:t>
            </w:r>
          </w:p>
        </w:tc>
      </w:tr>
      <w:tr w:rsidR="00A46DCA" w:rsidRPr="00596FBC" w:rsidTr="00A26D04">
        <w:tc>
          <w:tcPr>
            <w:cnfStyle w:val="001000000000" w:firstRow="0" w:lastRow="0" w:firstColumn="1" w:lastColumn="0" w:oddVBand="0" w:evenVBand="0" w:oddHBand="0" w:evenHBand="0" w:firstRowFirstColumn="0" w:firstRowLastColumn="0" w:lastRowFirstColumn="0" w:lastRowLastColumn="0"/>
            <w:tcW w:w="4706" w:type="dxa"/>
            <w:tcBorders>
              <w:top w:val="nil"/>
              <w:left w:val="nil"/>
              <w:bottom w:val="nil"/>
              <w:right w:val="nil"/>
            </w:tcBorders>
          </w:tcPr>
          <w:p w:rsidR="00A46DCA" w:rsidRPr="00596FBC" w:rsidRDefault="00A46DCA" w:rsidP="00A26D04">
            <w:pPr>
              <w:keepLines w:val="0"/>
              <w:autoSpaceDE w:val="0"/>
              <w:autoSpaceDN w:val="0"/>
              <w:adjustRightInd w:val="0"/>
              <w:rPr>
                <w:rFonts w:eastAsiaTheme="minorEastAsia" w:cs="Calibri"/>
                <w:color w:val="000000"/>
                <w:szCs w:val="20"/>
                <w:vertAlign w:val="superscript"/>
                <w:lang w:eastAsia="en-AU"/>
              </w:rPr>
            </w:pPr>
            <w:r w:rsidRPr="00596FBC">
              <w:rPr>
                <w:rFonts w:eastAsiaTheme="minorEastAsia" w:cs="Calibri"/>
                <w:color w:val="000000"/>
                <w:szCs w:val="20"/>
                <w:lang w:eastAsia="en-AU"/>
              </w:rPr>
              <w:t xml:space="preserve">Princes Highway East – Upgrades east of Sale </w:t>
            </w:r>
            <w:r w:rsidRPr="00596FBC">
              <w:rPr>
                <w:rFonts w:eastAsiaTheme="minorEastAsia" w:cs="Calibri"/>
                <w:color w:val="000000"/>
                <w:szCs w:val="20"/>
                <w:vertAlign w:val="superscript"/>
                <w:lang w:eastAsia="en-AU"/>
              </w:rPr>
              <w:t>(</w:t>
            </w:r>
            <w:proofErr w:type="spellStart"/>
            <w:r w:rsidRPr="00596FBC">
              <w:rPr>
                <w:rFonts w:eastAsiaTheme="minorEastAsia" w:cs="Calibri"/>
                <w:color w:val="000000"/>
                <w:szCs w:val="20"/>
                <w:vertAlign w:val="superscript"/>
                <w:lang w:eastAsia="en-AU"/>
              </w:rPr>
              <w:t>i</w:t>
            </w:r>
            <w:proofErr w:type="spellEnd"/>
            <w:r w:rsidRPr="00596FBC">
              <w:rPr>
                <w:rFonts w:eastAsiaTheme="minorEastAsia" w:cs="Calibri"/>
                <w:color w:val="000000"/>
                <w:szCs w:val="20"/>
                <w:vertAlign w:val="superscript"/>
                <w:lang w:eastAsia="en-AU"/>
              </w:rPr>
              <w:t>)</w:t>
            </w:r>
          </w:p>
        </w:tc>
        <w:tc>
          <w:tcPr>
            <w:tcW w:w="703" w:type="dxa"/>
            <w:tcBorders>
              <w:top w:val="nil"/>
              <w:left w:val="nil"/>
              <w:bottom w:val="nil"/>
              <w:right w:val="nil"/>
            </w:tcBorders>
          </w:tcPr>
          <w:p w:rsidR="00A46DCA" w:rsidRPr="00596FBC"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596FBC">
              <w:rPr>
                <w:rFonts w:eastAsiaTheme="minorEastAsia" w:cs="Calibri"/>
                <w:color w:val="000000"/>
                <w:szCs w:val="20"/>
                <w:lang w:eastAsia="en-AU"/>
              </w:rPr>
              <w:t>0.2</w:t>
            </w:r>
          </w:p>
        </w:tc>
        <w:tc>
          <w:tcPr>
            <w:tcW w:w="788" w:type="dxa"/>
            <w:tcBorders>
              <w:top w:val="nil"/>
              <w:left w:val="nil"/>
              <w:bottom w:val="nil"/>
              <w:right w:val="nil"/>
            </w:tcBorders>
          </w:tcPr>
          <w:p w:rsidR="00A46DCA" w:rsidRPr="00596FBC"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596FBC">
              <w:rPr>
                <w:rFonts w:eastAsiaTheme="minorEastAsia" w:cs="Calibri"/>
                <w:color w:val="000000"/>
                <w:szCs w:val="20"/>
                <w:lang w:eastAsia="en-AU"/>
              </w:rPr>
              <w:t>0.7</w:t>
            </w:r>
          </w:p>
        </w:tc>
        <w:tc>
          <w:tcPr>
            <w:tcW w:w="788" w:type="dxa"/>
            <w:tcBorders>
              <w:top w:val="nil"/>
              <w:left w:val="nil"/>
              <w:bottom w:val="nil"/>
              <w:right w:val="nil"/>
            </w:tcBorders>
          </w:tcPr>
          <w:p w:rsidR="00A46DCA" w:rsidRPr="00596FBC"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596FBC">
              <w:rPr>
                <w:rFonts w:eastAsiaTheme="minorEastAsia" w:cs="Calibri"/>
                <w:color w:val="000000"/>
                <w:szCs w:val="20"/>
                <w:lang w:eastAsia="en-AU"/>
              </w:rPr>
              <w:t>0.6</w:t>
            </w:r>
          </w:p>
        </w:tc>
        <w:tc>
          <w:tcPr>
            <w:tcW w:w="788" w:type="dxa"/>
            <w:tcBorders>
              <w:top w:val="nil"/>
              <w:left w:val="nil"/>
              <w:bottom w:val="nil"/>
              <w:right w:val="nil"/>
            </w:tcBorders>
          </w:tcPr>
          <w:p w:rsidR="00A46DCA" w:rsidRPr="00596FBC"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596FBC">
              <w:rPr>
                <w:rFonts w:eastAsiaTheme="minorEastAsia" w:cs="Calibri"/>
                <w:color w:val="000000"/>
                <w:szCs w:val="20"/>
                <w:lang w:eastAsia="en-AU"/>
              </w:rPr>
              <w:t>0.4</w:t>
            </w:r>
          </w:p>
        </w:tc>
      </w:tr>
      <w:tr w:rsidR="00A46DCA" w:rsidRPr="00596FBC" w:rsidTr="00A26D04">
        <w:tc>
          <w:tcPr>
            <w:cnfStyle w:val="001000000000" w:firstRow="0" w:lastRow="0" w:firstColumn="1" w:lastColumn="0" w:oddVBand="0" w:evenVBand="0" w:oddHBand="0" w:evenHBand="0" w:firstRowFirstColumn="0" w:firstRowLastColumn="0" w:lastRowFirstColumn="0" w:lastRowLastColumn="0"/>
            <w:tcW w:w="4706" w:type="dxa"/>
            <w:tcBorders>
              <w:top w:val="nil"/>
              <w:left w:val="nil"/>
              <w:bottom w:val="nil"/>
              <w:right w:val="nil"/>
            </w:tcBorders>
          </w:tcPr>
          <w:p w:rsidR="00A46DCA" w:rsidRPr="00596FBC" w:rsidRDefault="00A46DCA" w:rsidP="00A26D04">
            <w:pPr>
              <w:keepLines w:val="0"/>
              <w:autoSpaceDE w:val="0"/>
              <w:autoSpaceDN w:val="0"/>
              <w:adjustRightInd w:val="0"/>
              <w:rPr>
                <w:rFonts w:eastAsiaTheme="minorEastAsia" w:cs="Calibri"/>
                <w:color w:val="000000"/>
                <w:szCs w:val="20"/>
                <w:lang w:eastAsia="en-AU"/>
              </w:rPr>
            </w:pPr>
            <w:r w:rsidRPr="00596FBC">
              <w:rPr>
                <w:rFonts w:eastAsiaTheme="minorEastAsia" w:cs="Calibri"/>
                <w:color w:val="000000"/>
                <w:szCs w:val="20"/>
                <w:lang w:eastAsia="en-AU"/>
              </w:rPr>
              <w:t xml:space="preserve">Purchase of Australian Sustainable Hardwoods </w:t>
            </w:r>
          </w:p>
        </w:tc>
        <w:tc>
          <w:tcPr>
            <w:tcW w:w="703" w:type="dxa"/>
            <w:tcBorders>
              <w:top w:val="nil"/>
              <w:left w:val="nil"/>
              <w:bottom w:val="nil"/>
              <w:right w:val="nil"/>
            </w:tcBorders>
          </w:tcPr>
          <w:p w:rsidR="00A46DCA" w:rsidRPr="00596FBC"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596FBC">
              <w:rPr>
                <w:rFonts w:eastAsiaTheme="minorEastAsia" w:cs="Calibri"/>
                <w:color w:val="000000"/>
                <w:szCs w:val="20"/>
                <w:lang w:eastAsia="en-AU"/>
              </w:rPr>
              <w:t>11.5</w:t>
            </w:r>
          </w:p>
        </w:tc>
        <w:tc>
          <w:tcPr>
            <w:tcW w:w="788" w:type="dxa"/>
            <w:tcBorders>
              <w:top w:val="nil"/>
              <w:left w:val="nil"/>
              <w:bottom w:val="nil"/>
              <w:right w:val="nil"/>
            </w:tcBorders>
          </w:tcPr>
          <w:p w:rsidR="00A46DCA" w:rsidRPr="00596FBC"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596FBC">
              <w:rPr>
                <w:rFonts w:eastAsiaTheme="minorEastAsia" w:cs="Calibri"/>
                <w:color w:val="000000"/>
                <w:szCs w:val="20"/>
                <w:lang w:eastAsia="en-AU"/>
              </w:rPr>
              <w:t>..</w:t>
            </w:r>
          </w:p>
        </w:tc>
        <w:tc>
          <w:tcPr>
            <w:tcW w:w="788" w:type="dxa"/>
            <w:tcBorders>
              <w:top w:val="nil"/>
              <w:left w:val="nil"/>
              <w:bottom w:val="nil"/>
              <w:right w:val="nil"/>
            </w:tcBorders>
          </w:tcPr>
          <w:p w:rsidR="00A46DCA" w:rsidRPr="00596FBC"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596FBC">
              <w:rPr>
                <w:rFonts w:eastAsiaTheme="minorEastAsia" w:cs="Calibri"/>
                <w:color w:val="000000"/>
                <w:szCs w:val="20"/>
                <w:lang w:eastAsia="en-AU"/>
              </w:rPr>
              <w:t>..</w:t>
            </w:r>
          </w:p>
        </w:tc>
        <w:tc>
          <w:tcPr>
            <w:tcW w:w="788" w:type="dxa"/>
            <w:tcBorders>
              <w:top w:val="nil"/>
              <w:left w:val="nil"/>
              <w:bottom w:val="nil"/>
              <w:right w:val="nil"/>
            </w:tcBorders>
          </w:tcPr>
          <w:p w:rsidR="00A46DCA" w:rsidRPr="00596FBC"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596FBC">
              <w:rPr>
                <w:rFonts w:eastAsiaTheme="minorEastAsia" w:cs="Calibri"/>
                <w:color w:val="000000"/>
                <w:szCs w:val="20"/>
                <w:lang w:eastAsia="en-AU"/>
              </w:rPr>
              <w:t>..</w:t>
            </w:r>
          </w:p>
        </w:tc>
      </w:tr>
      <w:tr w:rsidR="00A46DCA" w:rsidRPr="00596FBC" w:rsidTr="00A26D04">
        <w:tc>
          <w:tcPr>
            <w:cnfStyle w:val="001000000000" w:firstRow="0" w:lastRow="0" w:firstColumn="1" w:lastColumn="0" w:oddVBand="0" w:evenVBand="0" w:oddHBand="0" w:evenHBand="0" w:firstRowFirstColumn="0" w:firstRowLastColumn="0" w:lastRowFirstColumn="0" w:lastRowLastColumn="0"/>
            <w:tcW w:w="4706" w:type="dxa"/>
            <w:tcBorders>
              <w:top w:val="nil"/>
              <w:left w:val="nil"/>
              <w:bottom w:val="nil"/>
              <w:right w:val="nil"/>
            </w:tcBorders>
          </w:tcPr>
          <w:p w:rsidR="00A46DCA" w:rsidRPr="00596FBC" w:rsidRDefault="00A46DCA" w:rsidP="00A26D04">
            <w:pPr>
              <w:keepLines w:val="0"/>
              <w:autoSpaceDE w:val="0"/>
              <w:autoSpaceDN w:val="0"/>
              <w:adjustRightInd w:val="0"/>
              <w:rPr>
                <w:rFonts w:eastAsiaTheme="minorEastAsia" w:cs="Calibri"/>
                <w:color w:val="000000"/>
                <w:szCs w:val="20"/>
                <w:vertAlign w:val="superscript"/>
                <w:lang w:eastAsia="en-AU"/>
              </w:rPr>
            </w:pPr>
            <w:r w:rsidRPr="00596FBC">
              <w:rPr>
                <w:rFonts w:eastAsiaTheme="minorEastAsia" w:cs="Calibri"/>
                <w:color w:val="000000"/>
                <w:szCs w:val="20"/>
                <w:lang w:eastAsia="en-AU"/>
              </w:rPr>
              <w:t xml:space="preserve">Rutherglen Alternative Truck Route </w:t>
            </w:r>
            <w:r w:rsidRPr="00596FBC">
              <w:rPr>
                <w:rFonts w:eastAsiaTheme="minorEastAsia" w:cs="Calibri"/>
                <w:color w:val="000000"/>
                <w:szCs w:val="20"/>
                <w:vertAlign w:val="superscript"/>
                <w:lang w:eastAsia="en-AU"/>
              </w:rPr>
              <w:t>(e)(j)</w:t>
            </w:r>
          </w:p>
        </w:tc>
        <w:tc>
          <w:tcPr>
            <w:tcW w:w="703" w:type="dxa"/>
            <w:tcBorders>
              <w:top w:val="nil"/>
              <w:left w:val="nil"/>
              <w:bottom w:val="nil"/>
              <w:right w:val="nil"/>
            </w:tcBorders>
          </w:tcPr>
          <w:p w:rsidR="00A46DCA" w:rsidRPr="00596FBC"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Pr>
                <w:rFonts w:eastAsiaTheme="minorEastAsia" w:cs="Calibri"/>
                <w:color w:val="000000"/>
                <w:szCs w:val="20"/>
                <w:lang w:eastAsia="en-AU"/>
              </w:rPr>
              <w:t>0.0</w:t>
            </w:r>
          </w:p>
        </w:tc>
        <w:tc>
          <w:tcPr>
            <w:tcW w:w="788" w:type="dxa"/>
            <w:tcBorders>
              <w:top w:val="nil"/>
              <w:left w:val="nil"/>
              <w:bottom w:val="nil"/>
              <w:right w:val="nil"/>
            </w:tcBorders>
          </w:tcPr>
          <w:p w:rsidR="00A46DCA" w:rsidRPr="00596FBC"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596FBC">
              <w:rPr>
                <w:rFonts w:eastAsiaTheme="minorEastAsia" w:cs="Calibri"/>
                <w:color w:val="000000"/>
                <w:szCs w:val="20"/>
                <w:lang w:eastAsia="en-AU"/>
              </w:rPr>
              <w:t>0.1</w:t>
            </w:r>
          </w:p>
        </w:tc>
        <w:tc>
          <w:tcPr>
            <w:tcW w:w="788" w:type="dxa"/>
            <w:tcBorders>
              <w:top w:val="nil"/>
              <w:left w:val="nil"/>
              <w:bottom w:val="nil"/>
              <w:right w:val="nil"/>
            </w:tcBorders>
          </w:tcPr>
          <w:p w:rsidR="00A46DCA" w:rsidRPr="00596FBC"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Pr>
                <w:rFonts w:eastAsiaTheme="minorEastAsia" w:cs="Calibri"/>
                <w:color w:val="000000"/>
                <w:szCs w:val="20"/>
                <w:lang w:eastAsia="en-AU"/>
              </w:rPr>
              <w:t>0.0</w:t>
            </w:r>
          </w:p>
        </w:tc>
        <w:tc>
          <w:tcPr>
            <w:tcW w:w="788" w:type="dxa"/>
            <w:tcBorders>
              <w:top w:val="nil"/>
              <w:left w:val="nil"/>
              <w:bottom w:val="nil"/>
              <w:right w:val="nil"/>
            </w:tcBorders>
          </w:tcPr>
          <w:p w:rsidR="00A46DCA" w:rsidRPr="00596FBC"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596FBC">
              <w:rPr>
                <w:rFonts w:eastAsiaTheme="minorEastAsia" w:cs="Calibri"/>
                <w:color w:val="000000"/>
                <w:szCs w:val="20"/>
                <w:lang w:eastAsia="en-AU"/>
              </w:rPr>
              <w:t>..</w:t>
            </w:r>
          </w:p>
        </w:tc>
      </w:tr>
      <w:tr w:rsidR="00A46DCA" w:rsidRPr="00596FBC" w:rsidTr="00A26D04">
        <w:tc>
          <w:tcPr>
            <w:cnfStyle w:val="001000000000" w:firstRow="0" w:lastRow="0" w:firstColumn="1" w:lastColumn="0" w:oddVBand="0" w:evenVBand="0" w:oddHBand="0" w:evenHBand="0" w:firstRowFirstColumn="0" w:firstRowLastColumn="0" w:lastRowFirstColumn="0" w:lastRowLastColumn="0"/>
            <w:tcW w:w="4706" w:type="dxa"/>
            <w:tcBorders>
              <w:top w:val="nil"/>
              <w:left w:val="nil"/>
              <w:bottom w:val="nil"/>
              <w:right w:val="nil"/>
            </w:tcBorders>
          </w:tcPr>
          <w:p w:rsidR="00A46DCA" w:rsidRPr="00596FBC" w:rsidRDefault="00A46DCA" w:rsidP="00A26D04">
            <w:pPr>
              <w:keepLines w:val="0"/>
              <w:autoSpaceDE w:val="0"/>
              <w:autoSpaceDN w:val="0"/>
              <w:adjustRightInd w:val="0"/>
              <w:rPr>
                <w:rFonts w:eastAsiaTheme="minorEastAsia" w:cs="Calibri"/>
                <w:color w:val="000000"/>
                <w:szCs w:val="20"/>
                <w:lang w:eastAsia="en-AU"/>
              </w:rPr>
            </w:pPr>
            <w:r w:rsidRPr="00596FBC">
              <w:rPr>
                <w:rFonts w:eastAsiaTheme="minorEastAsia" w:cs="Calibri"/>
                <w:color w:val="000000"/>
                <w:szCs w:val="20"/>
                <w:lang w:eastAsia="en-AU"/>
              </w:rPr>
              <w:t>Short term registration for light vehicles</w:t>
            </w:r>
          </w:p>
        </w:tc>
        <w:tc>
          <w:tcPr>
            <w:tcW w:w="703" w:type="dxa"/>
            <w:tcBorders>
              <w:top w:val="nil"/>
              <w:left w:val="nil"/>
              <w:bottom w:val="nil"/>
              <w:right w:val="nil"/>
            </w:tcBorders>
          </w:tcPr>
          <w:p w:rsidR="00A46DCA" w:rsidRPr="00596FBC"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596FBC">
              <w:rPr>
                <w:rFonts w:eastAsiaTheme="minorEastAsia" w:cs="Calibri"/>
                <w:color w:val="000000"/>
                <w:szCs w:val="20"/>
                <w:lang w:eastAsia="en-AU"/>
              </w:rPr>
              <w:t>8.1</w:t>
            </w:r>
          </w:p>
        </w:tc>
        <w:tc>
          <w:tcPr>
            <w:tcW w:w="788" w:type="dxa"/>
            <w:tcBorders>
              <w:top w:val="nil"/>
              <w:left w:val="nil"/>
              <w:bottom w:val="nil"/>
              <w:right w:val="nil"/>
            </w:tcBorders>
          </w:tcPr>
          <w:p w:rsidR="00A46DCA" w:rsidRPr="00596FBC"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596FBC">
              <w:rPr>
                <w:rFonts w:eastAsiaTheme="minorEastAsia" w:cs="Calibri"/>
                <w:color w:val="000000"/>
                <w:szCs w:val="20"/>
                <w:lang w:eastAsia="en-AU"/>
              </w:rPr>
              <w:t>17.0</w:t>
            </w:r>
          </w:p>
        </w:tc>
        <w:tc>
          <w:tcPr>
            <w:tcW w:w="788" w:type="dxa"/>
            <w:tcBorders>
              <w:top w:val="nil"/>
              <w:left w:val="nil"/>
              <w:bottom w:val="nil"/>
              <w:right w:val="nil"/>
            </w:tcBorders>
          </w:tcPr>
          <w:p w:rsidR="00A46DCA" w:rsidRPr="00596FBC"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596FBC">
              <w:rPr>
                <w:rFonts w:eastAsiaTheme="minorEastAsia" w:cs="Calibri"/>
                <w:color w:val="000000"/>
                <w:szCs w:val="20"/>
                <w:lang w:eastAsia="en-AU"/>
              </w:rPr>
              <w:t>17.9</w:t>
            </w:r>
          </w:p>
        </w:tc>
        <w:tc>
          <w:tcPr>
            <w:tcW w:w="788" w:type="dxa"/>
            <w:tcBorders>
              <w:top w:val="nil"/>
              <w:left w:val="nil"/>
              <w:bottom w:val="nil"/>
              <w:right w:val="nil"/>
            </w:tcBorders>
          </w:tcPr>
          <w:p w:rsidR="00A46DCA" w:rsidRPr="00596FBC"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596FBC">
              <w:rPr>
                <w:rFonts w:eastAsiaTheme="minorEastAsia" w:cs="Calibri"/>
                <w:color w:val="000000"/>
                <w:szCs w:val="20"/>
                <w:lang w:eastAsia="en-AU"/>
              </w:rPr>
              <w:t>18.9</w:t>
            </w:r>
          </w:p>
        </w:tc>
      </w:tr>
      <w:tr w:rsidR="00A46DCA" w:rsidRPr="00596FBC" w:rsidTr="00A26D04">
        <w:tc>
          <w:tcPr>
            <w:cnfStyle w:val="001000000000" w:firstRow="0" w:lastRow="0" w:firstColumn="1" w:lastColumn="0" w:oddVBand="0" w:evenVBand="0" w:oddHBand="0" w:evenHBand="0" w:firstRowFirstColumn="0" w:firstRowLastColumn="0" w:lastRowFirstColumn="0" w:lastRowLastColumn="0"/>
            <w:tcW w:w="4706" w:type="dxa"/>
            <w:tcBorders>
              <w:top w:val="nil"/>
              <w:left w:val="nil"/>
              <w:bottom w:val="nil"/>
              <w:right w:val="nil"/>
            </w:tcBorders>
          </w:tcPr>
          <w:p w:rsidR="00A46DCA" w:rsidRPr="00596FBC" w:rsidRDefault="00A46DCA" w:rsidP="00A26D04">
            <w:pPr>
              <w:keepLines w:val="0"/>
              <w:autoSpaceDE w:val="0"/>
              <w:autoSpaceDN w:val="0"/>
              <w:adjustRightInd w:val="0"/>
              <w:rPr>
                <w:rFonts w:eastAsiaTheme="minorEastAsia" w:cs="Calibri"/>
                <w:color w:val="000000"/>
                <w:szCs w:val="20"/>
                <w:vertAlign w:val="superscript"/>
                <w:lang w:eastAsia="en-AU"/>
              </w:rPr>
            </w:pPr>
            <w:r w:rsidRPr="00596FBC">
              <w:rPr>
                <w:rFonts w:eastAsiaTheme="minorEastAsia" w:cs="Calibri"/>
                <w:color w:val="000000"/>
                <w:szCs w:val="20"/>
                <w:lang w:eastAsia="en-AU"/>
              </w:rPr>
              <w:t xml:space="preserve">Urban Congestion package </w:t>
            </w:r>
            <w:r w:rsidRPr="00596FBC">
              <w:rPr>
                <w:rFonts w:eastAsiaTheme="minorEastAsia" w:cs="Calibri"/>
                <w:color w:val="000000"/>
                <w:szCs w:val="20"/>
                <w:vertAlign w:val="superscript"/>
                <w:lang w:eastAsia="en-AU"/>
              </w:rPr>
              <w:t>(k)</w:t>
            </w:r>
          </w:p>
        </w:tc>
        <w:tc>
          <w:tcPr>
            <w:tcW w:w="703" w:type="dxa"/>
            <w:tcBorders>
              <w:top w:val="nil"/>
              <w:left w:val="nil"/>
              <w:bottom w:val="nil"/>
              <w:right w:val="nil"/>
            </w:tcBorders>
          </w:tcPr>
          <w:p w:rsidR="00A46DCA" w:rsidRPr="00596FBC"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596FBC">
              <w:rPr>
                <w:rFonts w:eastAsiaTheme="minorEastAsia" w:cs="Calibri"/>
                <w:color w:val="000000"/>
                <w:szCs w:val="20"/>
                <w:lang w:eastAsia="en-AU"/>
              </w:rPr>
              <w:t>0.5</w:t>
            </w:r>
          </w:p>
        </w:tc>
        <w:tc>
          <w:tcPr>
            <w:tcW w:w="788" w:type="dxa"/>
            <w:tcBorders>
              <w:top w:val="nil"/>
              <w:left w:val="nil"/>
              <w:bottom w:val="nil"/>
              <w:right w:val="nil"/>
            </w:tcBorders>
          </w:tcPr>
          <w:p w:rsidR="00A46DCA" w:rsidRPr="00596FBC"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596FBC">
              <w:rPr>
                <w:rFonts w:eastAsiaTheme="minorEastAsia" w:cs="Calibri"/>
                <w:color w:val="000000"/>
                <w:szCs w:val="20"/>
                <w:lang w:eastAsia="en-AU"/>
              </w:rPr>
              <w:t>0.1</w:t>
            </w:r>
          </w:p>
        </w:tc>
        <w:tc>
          <w:tcPr>
            <w:tcW w:w="788" w:type="dxa"/>
            <w:tcBorders>
              <w:top w:val="nil"/>
              <w:left w:val="nil"/>
              <w:bottom w:val="nil"/>
              <w:right w:val="nil"/>
            </w:tcBorders>
          </w:tcPr>
          <w:p w:rsidR="00A46DCA" w:rsidRPr="00596FBC"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596FBC">
              <w:rPr>
                <w:rFonts w:eastAsiaTheme="minorEastAsia" w:cs="Calibri"/>
                <w:color w:val="000000"/>
                <w:szCs w:val="20"/>
                <w:lang w:eastAsia="en-AU"/>
              </w:rPr>
              <w:t>..</w:t>
            </w:r>
          </w:p>
        </w:tc>
        <w:tc>
          <w:tcPr>
            <w:tcW w:w="788" w:type="dxa"/>
            <w:tcBorders>
              <w:top w:val="nil"/>
              <w:left w:val="nil"/>
              <w:bottom w:val="nil"/>
              <w:right w:val="nil"/>
            </w:tcBorders>
          </w:tcPr>
          <w:p w:rsidR="00A46DCA" w:rsidRPr="00596FBC"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596FBC">
              <w:rPr>
                <w:rFonts w:eastAsiaTheme="minorEastAsia" w:cs="Calibri"/>
                <w:color w:val="000000"/>
                <w:szCs w:val="20"/>
                <w:lang w:eastAsia="en-AU"/>
              </w:rPr>
              <w:t>..</w:t>
            </w:r>
          </w:p>
        </w:tc>
      </w:tr>
      <w:tr w:rsidR="00A46DCA" w:rsidRPr="00596FBC" w:rsidTr="00A26D04">
        <w:tc>
          <w:tcPr>
            <w:cnfStyle w:val="001000000000" w:firstRow="0" w:lastRow="0" w:firstColumn="1" w:lastColumn="0" w:oddVBand="0" w:evenVBand="0" w:oddHBand="0" w:evenHBand="0" w:firstRowFirstColumn="0" w:firstRowLastColumn="0" w:lastRowFirstColumn="0" w:lastRowLastColumn="0"/>
            <w:tcW w:w="4706" w:type="dxa"/>
            <w:tcBorders>
              <w:top w:val="nil"/>
              <w:left w:val="nil"/>
              <w:bottom w:val="nil"/>
              <w:right w:val="nil"/>
            </w:tcBorders>
          </w:tcPr>
          <w:p w:rsidR="00A46DCA" w:rsidRPr="00596FBC" w:rsidRDefault="00A46DCA" w:rsidP="00A26D04">
            <w:pPr>
              <w:keepLines w:val="0"/>
              <w:autoSpaceDE w:val="0"/>
              <w:autoSpaceDN w:val="0"/>
              <w:adjustRightInd w:val="0"/>
              <w:rPr>
                <w:rFonts w:eastAsiaTheme="minorEastAsia" w:cs="Calibri"/>
                <w:color w:val="000000"/>
                <w:szCs w:val="20"/>
                <w:vertAlign w:val="superscript"/>
                <w:lang w:eastAsia="en-AU"/>
              </w:rPr>
            </w:pPr>
            <w:r w:rsidRPr="00596FBC">
              <w:rPr>
                <w:rFonts w:eastAsiaTheme="minorEastAsia" w:cs="Calibri"/>
                <w:color w:val="000000"/>
                <w:szCs w:val="20"/>
                <w:lang w:eastAsia="en-AU"/>
              </w:rPr>
              <w:t xml:space="preserve">Western Highway – Stawell to South Australian border </w:t>
            </w:r>
            <w:r w:rsidRPr="00596FBC">
              <w:rPr>
                <w:rFonts w:eastAsiaTheme="minorEastAsia" w:cs="Calibri"/>
                <w:color w:val="000000"/>
                <w:szCs w:val="20"/>
                <w:vertAlign w:val="superscript"/>
                <w:lang w:eastAsia="en-AU"/>
              </w:rPr>
              <w:t>(l)</w:t>
            </w:r>
          </w:p>
        </w:tc>
        <w:tc>
          <w:tcPr>
            <w:tcW w:w="703" w:type="dxa"/>
            <w:tcBorders>
              <w:top w:val="nil"/>
              <w:left w:val="nil"/>
              <w:bottom w:val="nil"/>
              <w:right w:val="nil"/>
            </w:tcBorders>
          </w:tcPr>
          <w:p w:rsidR="00A46DCA" w:rsidRPr="00596FBC"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596FBC">
              <w:rPr>
                <w:rFonts w:eastAsiaTheme="minorEastAsia" w:cs="Calibri"/>
                <w:color w:val="000000"/>
                <w:szCs w:val="20"/>
                <w:lang w:eastAsia="en-AU"/>
              </w:rPr>
              <w:t>0.2</w:t>
            </w:r>
          </w:p>
        </w:tc>
        <w:tc>
          <w:tcPr>
            <w:tcW w:w="788" w:type="dxa"/>
            <w:tcBorders>
              <w:top w:val="nil"/>
              <w:left w:val="nil"/>
              <w:bottom w:val="nil"/>
              <w:right w:val="nil"/>
            </w:tcBorders>
          </w:tcPr>
          <w:p w:rsidR="00A46DCA" w:rsidRPr="00596FBC"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596FBC">
              <w:rPr>
                <w:rFonts w:eastAsiaTheme="minorEastAsia" w:cs="Calibri"/>
                <w:color w:val="000000"/>
                <w:szCs w:val="20"/>
                <w:lang w:eastAsia="en-AU"/>
              </w:rPr>
              <w:t>0.3</w:t>
            </w:r>
          </w:p>
        </w:tc>
        <w:tc>
          <w:tcPr>
            <w:tcW w:w="788" w:type="dxa"/>
            <w:tcBorders>
              <w:top w:val="nil"/>
              <w:left w:val="nil"/>
              <w:bottom w:val="nil"/>
              <w:right w:val="nil"/>
            </w:tcBorders>
          </w:tcPr>
          <w:p w:rsidR="00A46DCA" w:rsidRPr="00596FBC"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596FBC">
              <w:rPr>
                <w:rFonts w:eastAsiaTheme="minorEastAsia" w:cs="Calibri"/>
                <w:color w:val="000000"/>
                <w:szCs w:val="20"/>
                <w:lang w:eastAsia="en-AU"/>
              </w:rPr>
              <w:t>0.2</w:t>
            </w:r>
          </w:p>
        </w:tc>
        <w:tc>
          <w:tcPr>
            <w:tcW w:w="788" w:type="dxa"/>
            <w:tcBorders>
              <w:top w:val="nil"/>
              <w:left w:val="nil"/>
              <w:bottom w:val="nil"/>
              <w:right w:val="nil"/>
            </w:tcBorders>
          </w:tcPr>
          <w:p w:rsidR="00A46DCA" w:rsidRPr="00596FBC"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596FBC">
              <w:rPr>
                <w:rFonts w:eastAsiaTheme="minorEastAsia" w:cs="Calibri"/>
                <w:color w:val="000000"/>
                <w:szCs w:val="20"/>
                <w:lang w:eastAsia="en-AU"/>
              </w:rPr>
              <w:t>0.1</w:t>
            </w:r>
          </w:p>
        </w:tc>
      </w:tr>
      <w:tr w:rsidR="00A46DCA" w:rsidRPr="00596FBC" w:rsidTr="00A26D04">
        <w:tc>
          <w:tcPr>
            <w:cnfStyle w:val="001000000000" w:firstRow="0" w:lastRow="0" w:firstColumn="1" w:lastColumn="0" w:oddVBand="0" w:evenVBand="0" w:oddHBand="0" w:evenHBand="0" w:firstRowFirstColumn="0" w:firstRowLastColumn="0" w:lastRowFirstColumn="0" w:lastRowLastColumn="0"/>
            <w:tcW w:w="4706" w:type="dxa"/>
            <w:tcBorders>
              <w:top w:val="single" w:sz="6" w:space="0" w:color="auto"/>
              <w:left w:val="nil"/>
              <w:bottom w:val="single" w:sz="12" w:space="0" w:color="auto"/>
              <w:right w:val="nil"/>
            </w:tcBorders>
          </w:tcPr>
          <w:p w:rsidR="00A46DCA" w:rsidRPr="00596FBC" w:rsidRDefault="00A46DCA" w:rsidP="00A26D04">
            <w:pPr>
              <w:keepLines w:val="0"/>
              <w:autoSpaceDE w:val="0"/>
              <w:autoSpaceDN w:val="0"/>
              <w:adjustRightInd w:val="0"/>
              <w:rPr>
                <w:rFonts w:eastAsiaTheme="minorEastAsia" w:cs="Calibri"/>
                <w:b/>
                <w:bCs/>
                <w:color w:val="000000"/>
                <w:szCs w:val="20"/>
                <w:vertAlign w:val="superscript"/>
                <w:lang w:eastAsia="en-AU"/>
              </w:rPr>
            </w:pPr>
            <w:r w:rsidRPr="00596FBC">
              <w:rPr>
                <w:rFonts w:eastAsiaTheme="minorEastAsia" w:cs="Calibri"/>
                <w:b/>
                <w:bCs/>
                <w:color w:val="000000"/>
                <w:szCs w:val="20"/>
                <w:lang w:eastAsia="en-AU"/>
              </w:rPr>
              <w:t xml:space="preserve">Total output initiatives </w:t>
            </w:r>
            <w:r w:rsidRPr="00596FBC">
              <w:rPr>
                <w:rFonts w:eastAsiaTheme="minorEastAsia" w:cs="Calibri"/>
                <w:b/>
                <w:bCs/>
                <w:color w:val="000000"/>
                <w:szCs w:val="20"/>
                <w:vertAlign w:val="superscript"/>
                <w:lang w:eastAsia="en-AU"/>
              </w:rPr>
              <w:t xml:space="preserve">(m) </w:t>
            </w:r>
          </w:p>
        </w:tc>
        <w:tc>
          <w:tcPr>
            <w:tcW w:w="703" w:type="dxa"/>
            <w:tcBorders>
              <w:top w:val="single" w:sz="6" w:space="0" w:color="auto"/>
              <w:left w:val="nil"/>
              <w:bottom w:val="single" w:sz="12" w:space="0" w:color="auto"/>
              <w:right w:val="nil"/>
            </w:tcBorders>
          </w:tcPr>
          <w:p w:rsidR="00A46DCA" w:rsidRPr="00596FBC"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0"/>
                <w:lang w:eastAsia="en-AU"/>
              </w:rPr>
            </w:pPr>
            <w:r w:rsidRPr="00596FBC">
              <w:rPr>
                <w:rFonts w:eastAsiaTheme="minorEastAsia" w:cs="Calibri"/>
                <w:b/>
                <w:bCs/>
                <w:color w:val="000000"/>
                <w:szCs w:val="20"/>
                <w:lang w:eastAsia="en-AU"/>
              </w:rPr>
              <w:t>217.6</w:t>
            </w:r>
          </w:p>
        </w:tc>
        <w:tc>
          <w:tcPr>
            <w:tcW w:w="788" w:type="dxa"/>
            <w:tcBorders>
              <w:top w:val="single" w:sz="6" w:space="0" w:color="auto"/>
              <w:left w:val="nil"/>
              <w:bottom w:val="single" w:sz="12" w:space="0" w:color="auto"/>
              <w:right w:val="nil"/>
            </w:tcBorders>
          </w:tcPr>
          <w:p w:rsidR="00A46DCA" w:rsidRPr="00596FBC"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0"/>
                <w:lang w:eastAsia="en-AU"/>
              </w:rPr>
            </w:pPr>
            <w:r w:rsidRPr="00596FBC">
              <w:rPr>
                <w:rFonts w:eastAsiaTheme="minorEastAsia" w:cs="Calibri"/>
                <w:b/>
                <w:bCs/>
                <w:color w:val="000000"/>
                <w:szCs w:val="20"/>
                <w:lang w:eastAsia="en-AU"/>
              </w:rPr>
              <w:t>378.8</w:t>
            </w:r>
          </w:p>
        </w:tc>
        <w:tc>
          <w:tcPr>
            <w:tcW w:w="788" w:type="dxa"/>
            <w:tcBorders>
              <w:top w:val="single" w:sz="6" w:space="0" w:color="auto"/>
              <w:left w:val="nil"/>
              <w:bottom w:val="single" w:sz="12" w:space="0" w:color="auto"/>
              <w:right w:val="nil"/>
            </w:tcBorders>
          </w:tcPr>
          <w:p w:rsidR="00A46DCA" w:rsidRPr="00596FBC"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0"/>
                <w:lang w:eastAsia="en-AU"/>
              </w:rPr>
            </w:pPr>
            <w:r w:rsidRPr="00596FBC">
              <w:rPr>
                <w:rFonts w:eastAsiaTheme="minorEastAsia" w:cs="Calibri"/>
                <w:b/>
                <w:bCs/>
                <w:color w:val="000000"/>
                <w:szCs w:val="20"/>
                <w:lang w:eastAsia="en-AU"/>
              </w:rPr>
              <w:t>326.7</w:t>
            </w:r>
          </w:p>
        </w:tc>
        <w:tc>
          <w:tcPr>
            <w:tcW w:w="788" w:type="dxa"/>
            <w:tcBorders>
              <w:top w:val="single" w:sz="6" w:space="0" w:color="auto"/>
              <w:left w:val="nil"/>
              <w:bottom w:val="single" w:sz="12" w:space="0" w:color="auto"/>
              <w:right w:val="nil"/>
            </w:tcBorders>
          </w:tcPr>
          <w:p w:rsidR="00A46DCA" w:rsidRPr="00596FBC"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0"/>
                <w:lang w:eastAsia="en-AU"/>
              </w:rPr>
            </w:pPr>
            <w:r w:rsidRPr="00596FBC">
              <w:rPr>
                <w:rFonts w:eastAsiaTheme="minorEastAsia" w:cs="Calibri"/>
                <w:b/>
                <w:bCs/>
                <w:color w:val="000000"/>
                <w:szCs w:val="20"/>
                <w:lang w:eastAsia="en-AU"/>
              </w:rPr>
              <w:t>200.2</w:t>
            </w:r>
          </w:p>
        </w:tc>
      </w:tr>
    </w:tbl>
    <w:p w:rsidR="00A46DCA" w:rsidRDefault="00A46DCA" w:rsidP="00A26D04">
      <w:pPr>
        <w:pStyle w:val="Note"/>
      </w:pPr>
      <w:r>
        <w:t>Notes:</w:t>
      </w:r>
    </w:p>
    <w:p w:rsidR="00A46DCA" w:rsidRDefault="00A46DCA" w:rsidP="00A26D04">
      <w:pPr>
        <w:pStyle w:val="Note"/>
      </w:pPr>
      <w:r>
        <w:t>(a)</w:t>
      </w:r>
      <w:r>
        <w:tab/>
        <w:t>The project includes Commonwealth funding of $0.3 million.</w:t>
      </w:r>
    </w:p>
    <w:p w:rsidR="00A46DCA" w:rsidRDefault="00A46DCA" w:rsidP="00A26D04">
      <w:pPr>
        <w:pStyle w:val="Note"/>
      </w:pPr>
      <w:r>
        <w:t>(b)</w:t>
      </w:r>
      <w:r>
        <w:tab/>
        <w:t>The project includes Commonwealth funding of $1.0 million.</w:t>
      </w:r>
    </w:p>
    <w:p w:rsidR="00A46DCA" w:rsidRDefault="00A46DCA" w:rsidP="00A26D04">
      <w:pPr>
        <w:pStyle w:val="Note"/>
      </w:pPr>
      <w:r>
        <w:t>(c)</w:t>
      </w:r>
      <w:r>
        <w:tab/>
        <w:t>The project includes Commonwealth funding of $0.6 million.</w:t>
      </w:r>
    </w:p>
    <w:p w:rsidR="00A46DCA" w:rsidRDefault="00A46DCA" w:rsidP="00A26D04">
      <w:pPr>
        <w:pStyle w:val="Note"/>
      </w:pPr>
      <w:r>
        <w:t>(d)</w:t>
      </w:r>
      <w:r>
        <w:tab/>
        <w:t>The project includes Commonwealth funding of $0.2 million.</w:t>
      </w:r>
    </w:p>
    <w:p w:rsidR="00A46DCA" w:rsidRDefault="00A46DCA" w:rsidP="00A26D04">
      <w:pPr>
        <w:pStyle w:val="Note"/>
      </w:pPr>
      <w:r>
        <w:t>(e)</w:t>
      </w:r>
      <w:r>
        <w:tab/>
        <w:t>Funding represented as 0.0 due to rounding.</w:t>
      </w:r>
    </w:p>
    <w:p w:rsidR="00A46DCA" w:rsidRDefault="00A46DCA" w:rsidP="00A26D04">
      <w:pPr>
        <w:pStyle w:val="Note"/>
      </w:pPr>
      <w:r>
        <w:t>(f)</w:t>
      </w:r>
      <w:r>
        <w:tab/>
        <w:t xml:space="preserve">Excludes existing provisions for rail contracts, </w:t>
      </w:r>
      <w:proofErr w:type="spellStart"/>
      <w:r>
        <w:t>farebox</w:t>
      </w:r>
      <w:proofErr w:type="spellEnd"/>
      <w:r>
        <w:t xml:space="preserve"> collections and other lease payments.</w:t>
      </w:r>
    </w:p>
    <w:p w:rsidR="00A46DCA" w:rsidRDefault="00A46DCA" w:rsidP="00A26D04">
      <w:pPr>
        <w:pStyle w:val="Note"/>
      </w:pPr>
      <w:r>
        <w:t>(g)</w:t>
      </w:r>
      <w:r>
        <w:tab/>
        <w:t>The project includes Commonwealth funding of $0.2 million.</w:t>
      </w:r>
    </w:p>
    <w:p w:rsidR="00A46DCA" w:rsidRDefault="00A46DCA" w:rsidP="00A26D04">
      <w:pPr>
        <w:pStyle w:val="Note"/>
      </w:pPr>
      <w:r>
        <w:t>(h)</w:t>
      </w:r>
      <w:r>
        <w:tab/>
        <w:t>The project includes Commonwealth funding of $0.4 million.</w:t>
      </w:r>
    </w:p>
    <w:p w:rsidR="00A46DCA" w:rsidRDefault="00A46DCA" w:rsidP="00A26D04">
      <w:pPr>
        <w:pStyle w:val="Note"/>
      </w:pPr>
      <w:r>
        <w:t>(</w:t>
      </w:r>
      <w:proofErr w:type="spellStart"/>
      <w:r>
        <w:t>i</w:t>
      </w:r>
      <w:proofErr w:type="spellEnd"/>
      <w:r>
        <w:t>)</w:t>
      </w:r>
      <w:r>
        <w:tab/>
        <w:t>The project includes Commonwealth funding of $1.0 million.</w:t>
      </w:r>
    </w:p>
    <w:p w:rsidR="00A46DCA" w:rsidRDefault="00A46DCA" w:rsidP="00A26D04">
      <w:pPr>
        <w:pStyle w:val="Note"/>
      </w:pPr>
      <w:r>
        <w:t>(j)</w:t>
      </w:r>
      <w:r>
        <w:tab/>
        <w:t>The project includes Commonwealth funding of $0.1 million.</w:t>
      </w:r>
    </w:p>
    <w:p w:rsidR="00A46DCA" w:rsidRDefault="00A46DCA" w:rsidP="00A26D04">
      <w:pPr>
        <w:pStyle w:val="Note"/>
      </w:pPr>
      <w:r>
        <w:t>(k)</w:t>
      </w:r>
      <w:r>
        <w:tab/>
        <w:t>The project includes Commonwealth funding of $0.01 million.</w:t>
      </w:r>
    </w:p>
    <w:p w:rsidR="00A46DCA" w:rsidRDefault="00A46DCA" w:rsidP="00A26D04">
      <w:pPr>
        <w:pStyle w:val="Note"/>
      </w:pPr>
      <w:r>
        <w:t>(l)</w:t>
      </w:r>
      <w:r>
        <w:tab/>
        <w:t>The project includes Commonwealth funding of $0.4 million.</w:t>
      </w:r>
    </w:p>
    <w:p w:rsidR="00A46DCA" w:rsidRDefault="00A46DCA" w:rsidP="00A26D04">
      <w:pPr>
        <w:pStyle w:val="Note"/>
      </w:pPr>
      <w:r>
        <w:t>(m)</w:t>
      </w:r>
      <w:r>
        <w:tab/>
        <w:t>Table may not add due to rounding.</w:t>
      </w:r>
    </w:p>
    <w:p w:rsidR="00A46DCA" w:rsidRDefault="00A46DCA" w:rsidP="00A26D04">
      <w:pPr>
        <w:pStyle w:val="Heading30"/>
      </w:pPr>
      <w:r>
        <w:t>Great Alpine Road improvement works</w:t>
      </w:r>
    </w:p>
    <w:p w:rsidR="00A46DCA" w:rsidRDefault="00A46DCA" w:rsidP="00A26D04">
      <w:r>
        <w:t>Refer to the asset initiative for a description of this initiative.</w:t>
      </w:r>
    </w:p>
    <w:p w:rsidR="00A46DCA" w:rsidRDefault="00A46DCA" w:rsidP="00A26D04">
      <w:pPr>
        <w:pStyle w:val="Heading30"/>
      </w:pPr>
      <w:r>
        <w:t>Great Ocean Road improvement works</w:t>
      </w:r>
    </w:p>
    <w:p w:rsidR="00A46DCA" w:rsidRPr="00DA0DAA" w:rsidRDefault="00A46DCA" w:rsidP="00A26D04">
      <w:r>
        <w:t>Refer to the asset initiative for a description of this initiative.</w:t>
      </w:r>
    </w:p>
    <w:p w:rsidR="00A46DCA" w:rsidRDefault="00A46DCA" w:rsidP="00A26D04">
      <w:pPr>
        <w:pStyle w:val="Heading30"/>
      </w:pPr>
      <w:r>
        <w:t>Green Triangle Package</w:t>
      </w:r>
    </w:p>
    <w:p w:rsidR="00A46DCA" w:rsidRPr="00DA0DAA" w:rsidRDefault="00A46DCA" w:rsidP="00A26D04">
      <w:r>
        <w:t>Refer to the asset initiative for a description of this initiative.</w:t>
      </w:r>
    </w:p>
    <w:p w:rsidR="00A46DCA" w:rsidRDefault="00A46DCA" w:rsidP="00A26D04">
      <w:pPr>
        <w:pStyle w:val="Heading30"/>
      </w:pPr>
      <w:r>
        <w:lastRenderedPageBreak/>
        <w:t>Hyland Highway road improvement works</w:t>
      </w:r>
    </w:p>
    <w:p w:rsidR="00A46DCA" w:rsidRPr="00DA0DAA" w:rsidRDefault="00A46DCA" w:rsidP="00A26D04">
      <w:r>
        <w:t>Refer to the asset initiative for a description of this initiative.</w:t>
      </w:r>
    </w:p>
    <w:p w:rsidR="00A46DCA" w:rsidRDefault="00A46DCA" w:rsidP="00A26D04">
      <w:pPr>
        <w:pStyle w:val="Heading30"/>
        <w:rPr>
          <w:sz w:val="14"/>
        </w:rPr>
      </w:pPr>
      <w:r>
        <w:t xml:space="preserve">Labour Hire Licensing Authority </w:t>
      </w:r>
    </w:p>
    <w:p w:rsidR="00A46DCA" w:rsidRDefault="00A46DCA" w:rsidP="00A26D04">
      <w:r>
        <w:t>The Government will establish the Labour Hire Licensing Authority, which will protect workers through the licensing of labour hire providers. This new regulatory body and licencing system was a central recommendation of the Victorian Inquiry into the Labour Hire Industry and Insecure Work.</w:t>
      </w:r>
    </w:p>
    <w:p w:rsidR="00A46DCA" w:rsidRPr="00AE4E79" w:rsidRDefault="00A46DCA" w:rsidP="00A26D04">
      <w:r>
        <w:t>This initiative contributes to the Department of Economic Development, Jobs, Transport and Resources’ Employment, Industry and Growth output.</w:t>
      </w:r>
    </w:p>
    <w:p w:rsidR="00A46DCA" w:rsidRPr="00C46FD0" w:rsidRDefault="00A46DCA" w:rsidP="00A26D04">
      <w:pPr>
        <w:pStyle w:val="Heading30"/>
      </w:pPr>
      <w:r w:rsidRPr="00C46FD0">
        <w:t>Metropolitan train and tram franchise agreements</w:t>
      </w:r>
    </w:p>
    <w:p w:rsidR="00A46DCA" w:rsidRPr="00477B16" w:rsidRDefault="00A46DCA" w:rsidP="00A26D04">
      <w:r>
        <w:t>N</w:t>
      </w:r>
      <w:r w:rsidRPr="00477B16">
        <w:t xml:space="preserve">ew </w:t>
      </w:r>
      <w:r>
        <w:t xml:space="preserve">franchise agreements </w:t>
      </w:r>
      <w:r w:rsidRPr="00477B16">
        <w:t>to operate Melbourne</w:t>
      </w:r>
      <w:r>
        <w:t>’</w:t>
      </w:r>
      <w:r w:rsidRPr="00477B16">
        <w:t xml:space="preserve">s train and tram networks for the next seven </w:t>
      </w:r>
      <w:r>
        <w:t>years have been agreed</w:t>
      </w:r>
      <w:r w:rsidRPr="00477B16">
        <w:t xml:space="preserve">. The new contracts </w:t>
      </w:r>
      <w:r>
        <w:t>will</w:t>
      </w:r>
      <w:r w:rsidRPr="00477B16">
        <w:t xml:space="preserve"> deliver 700 new jobs</w:t>
      </w:r>
      <w:r>
        <w:t>,</w:t>
      </w:r>
      <w:r w:rsidRPr="00477B16">
        <w:t xml:space="preserve"> including 375</w:t>
      </w:r>
      <w:r>
        <w:t> </w:t>
      </w:r>
      <w:r w:rsidRPr="00477B16">
        <w:t>apprenticeships</w:t>
      </w:r>
      <w:r>
        <w:t>,</w:t>
      </w:r>
      <w:r w:rsidRPr="00477B16">
        <w:t xml:space="preserve"> and include a minimum 85 per cent local content. </w:t>
      </w:r>
      <w:r>
        <w:t>The new franchise term commenced</w:t>
      </w:r>
      <w:r w:rsidRPr="00477B16">
        <w:t xml:space="preserve"> on 30 November 2017.</w:t>
      </w:r>
    </w:p>
    <w:p w:rsidR="00A46DCA" w:rsidRPr="00DA04AF" w:rsidRDefault="00A46DCA" w:rsidP="00A26D04">
      <w:r w:rsidRPr="00477B16">
        <w:t>Funding is also provided for</w:t>
      </w:r>
      <w:r>
        <w:t xml:space="preserve"> a</w:t>
      </w:r>
      <w:r w:rsidRPr="00477B16">
        <w:t xml:space="preserve"> renewal of metropolitan train and tram infrastructure and operational control management systems as well as life ex</w:t>
      </w:r>
      <w:r>
        <w:t xml:space="preserve">tensions on the tram fleet and provides for the management of the new franchise arrangements. </w:t>
      </w:r>
    </w:p>
    <w:p w:rsidR="00A46DCA" w:rsidRPr="00DA04AF" w:rsidRDefault="00A46DCA" w:rsidP="00A26D04">
      <w:r w:rsidRPr="00DA04AF">
        <w:t>This initiative contributes to the Department of Economic Development, Jobs, Transport and Resources</w:t>
      </w:r>
      <w:r>
        <w:t>’</w:t>
      </w:r>
      <w:r w:rsidRPr="00DA04AF">
        <w:t>:</w:t>
      </w:r>
    </w:p>
    <w:p w:rsidR="00A46DCA" w:rsidRPr="00DA04AF" w:rsidRDefault="00A46DCA" w:rsidP="00A26D04">
      <w:pPr>
        <w:pStyle w:val="ListBullet"/>
        <w:numPr>
          <w:ilvl w:val="0"/>
          <w:numId w:val="25"/>
        </w:numPr>
      </w:pPr>
      <w:r w:rsidRPr="00DA04AF">
        <w:t>Train Services output; and</w:t>
      </w:r>
    </w:p>
    <w:p w:rsidR="00A46DCA" w:rsidRPr="00DA04AF" w:rsidRDefault="00A46DCA" w:rsidP="00A26D04">
      <w:pPr>
        <w:pStyle w:val="ListBullet"/>
        <w:numPr>
          <w:ilvl w:val="0"/>
          <w:numId w:val="25"/>
        </w:numPr>
      </w:pPr>
      <w:r w:rsidRPr="00DA04AF">
        <w:t>Tram Services output.</w:t>
      </w:r>
    </w:p>
    <w:p w:rsidR="00A46DCA" w:rsidRDefault="00A46DCA" w:rsidP="00A26D04">
      <w:pPr>
        <w:pStyle w:val="Heading30"/>
      </w:pPr>
      <w:r>
        <w:t>Monaro Highway road improvement works</w:t>
      </w:r>
    </w:p>
    <w:p w:rsidR="00A46DCA" w:rsidRPr="00DA0DAA" w:rsidRDefault="00A46DCA" w:rsidP="00A26D04">
      <w:r>
        <w:t>Refer to the asset initiative for a description of this initiative.</w:t>
      </w:r>
    </w:p>
    <w:p w:rsidR="00A46DCA" w:rsidRDefault="00A46DCA" w:rsidP="00A26D04">
      <w:pPr>
        <w:pStyle w:val="Heading30"/>
      </w:pPr>
      <w:r>
        <w:t>Murray Valley Highway upgrade</w:t>
      </w:r>
    </w:p>
    <w:p w:rsidR="00A46DCA" w:rsidRPr="00DA0DAA" w:rsidRDefault="00A46DCA" w:rsidP="00A26D04">
      <w:r>
        <w:t>Refer to the asset initiative for a description of this initiative.</w:t>
      </w:r>
    </w:p>
    <w:p w:rsidR="00A46DCA" w:rsidRPr="00C46FD0" w:rsidRDefault="00A46DCA" w:rsidP="00A26D04">
      <w:pPr>
        <w:pStyle w:val="Heading30"/>
      </w:pPr>
      <w:r w:rsidRPr="00C46FD0">
        <w:t>Port Phillip Ferries</w:t>
      </w:r>
    </w:p>
    <w:p w:rsidR="00A46DCA" w:rsidRDefault="00A46DCA" w:rsidP="00A26D04">
      <w:r>
        <w:t xml:space="preserve">A new passenger ferry service between Portarlington and the Docklands (Victoria Harbour) will be trialled for three years. The trial will provide additional travel options for visitors to the Bellarine Peninsula, encouraging people from Melbourne, interstate and overseas to visit the various Bellarine Peninsula attractions and support the local economy. </w:t>
      </w:r>
    </w:p>
    <w:p w:rsidR="00A46DCA" w:rsidRDefault="00A46DCA" w:rsidP="00A26D04">
      <w:r>
        <w:t>This initiative contributes to the Department of Economic Development, Jobs Transport and Resources’ Port and Freight Network Access output.</w:t>
      </w:r>
    </w:p>
    <w:p w:rsidR="00A46DCA" w:rsidRDefault="00A46DCA">
      <w:pPr>
        <w:keepLines w:val="0"/>
        <w:rPr>
          <w:rStyle w:val="Heading5Char"/>
          <w:bCs/>
          <w:iCs w:val="0"/>
          <w:spacing w:val="-2"/>
          <w:sz w:val="23"/>
        </w:rPr>
      </w:pPr>
      <w:r>
        <w:rPr>
          <w:rStyle w:val="Heading5Char"/>
          <w:b w:val="0"/>
          <w:iCs w:val="0"/>
          <w:sz w:val="23"/>
        </w:rPr>
        <w:br w:type="page"/>
      </w:r>
    </w:p>
    <w:p w:rsidR="00A46DCA" w:rsidRDefault="00A46DCA" w:rsidP="00A26D04">
      <w:pPr>
        <w:pStyle w:val="Heading30"/>
        <w:rPr>
          <w:rStyle w:val="Heading5Char"/>
          <w:b/>
          <w:iCs w:val="0"/>
          <w:sz w:val="23"/>
        </w:rPr>
      </w:pPr>
      <w:r>
        <w:rPr>
          <w:rStyle w:val="Heading5Char"/>
          <w:b/>
          <w:iCs w:val="0"/>
          <w:sz w:val="23"/>
        </w:rPr>
        <w:lastRenderedPageBreak/>
        <w:t>Princes Highway East – Upgrades east of Sale</w:t>
      </w:r>
    </w:p>
    <w:p w:rsidR="00A46DCA" w:rsidRPr="00390C12" w:rsidRDefault="00A46DCA" w:rsidP="00A26D04">
      <w:r>
        <w:t>Refer to the asset initiative for a description of this initiative.</w:t>
      </w:r>
    </w:p>
    <w:p w:rsidR="00A46DCA" w:rsidRPr="00C46FD0" w:rsidRDefault="00A46DCA" w:rsidP="00A26D04">
      <w:pPr>
        <w:pStyle w:val="Heading30"/>
      </w:pPr>
      <w:r>
        <w:rPr>
          <w:rStyle w:val="Heading5Char"/>
          <w:b/>
          <w:iCs w:val="0"/>
          <w:sz w:val="23"/>
        </w:rPr>
        <w:t>Purchase of Australian Sustainable Hardwoods</w:t>
      </w:r>
    </w:p>
    <w:p w:rsidR="00A46DCA" w:rsidRPr="00390C12" w:rsidRDefault="00A46DCA" w:rsidP="00A26D04">
      <w:r>
        <w:t>Refer to the asset initiative for a description of this initiative.</w:t>
      </w:r>
    </w:p>
    <w:p w:rsidR="00A46DCA" w:rsidRDefault="00A46DCA" w:rsidP="00A26D04">
      <w:pPr>
        <w:pStyle w:val="Heading30"/>
      </w:pPr>
      <w:r>
        <w:t>Rutherglen Alternative Truck Route</w:t>
      </w:r>
    </w:p>
    <w:p w:rsidR="00A46DCA" w:rsidRPr="00DA0DAA" w:rsidRDefault="00A46DCA" w:rsidP="00A26D04">
      <w:r>
        <w:t>Refer to the asset initiative for a description of this initiative.</w:t>
      </w:r>
    </w:p>
    <w:p w:rsidR="00A46DCA" w:rsidRDefault="00A46DCA" w:rsidP="00A26D04">
      <w:pPr>
        <w:pStyle w:val="Heading30"/>
      </w:pPr>
      <w:r>
        <w:t>Short-term registration for light vehicles</w:t>
      </w:r>
    </w:p>
    <w:p w:rsidR="00A46DCA" w:rsidRDefault="00A46DCA" w:rsidP="00A26D04">
      <w:pPr>
        <w:keepLines w:val="0"/>
      </w:pPr>
      <w:r>
        <w:t>Refer to the initiative description under revenue initiatives.</w:t>
      </w:r>
    </w:p>
    <w:p w:rsidR="00A46DCA" w:rsidRDefault="00A46DCA" w:rsidP="00A26D04">
      <w:pPr>
        <w:pStyle w:val="Heading30"/>
      </w:pPr>
      <w:r>
        <w:t>Urban Congestion Package</w:t>
      </w:r>
    </w:p>
    <w:p w:rsidR="00A46DCA" w:rsidRPr="00DA0DAA" w:rsidRDefault="00A46DCA" w:rsidP="00A26D04">
      <w:r>
        <w:t>Refer to the asset initiative for a description of this initiative.</w:t>
      </w:r>
    </w:p>
    <w:p w:rsidR="00A46DCA" w:rsidRDefault="00A46DCA" w:rsidP="00A26D04">
      <w:pPr>
        <w:pStyle w:val="Heading30"/>
      </w:pPr>
      <w:r>
        <w:t>Western Highway – Stawell to South Australian border</w:t>
      </w:r>
    </w:p>
    <w:p w:rsidR="00A46DCA" w:rsidRPr="00DA0DAA" w:rsidRDefault="00A46DCA" w:rsidP="00A26D04">
      <w:r>
        <w:t>Refer to the asset initiative for a description of this initiative.</w:t>
      </w:r>
    </w:p>
    <w:p w:rsidR="00A46DCA" w:rsidRDefault="00A46DCA">
      <w:pPr>
        <w:keepLines w:val="0"/>
        <w:rPr>
          <w:rFonts w:asciiTheme="majorHAnsi" w:eastAsiaTheme="majorEastAsia" w:hAnsiTheme="majorHAnsi" w:cstheme="majorBidi"/>
          <w:b/>
          <w:spacing w:val="-2"/>
          <w:sz w:val="26"/>
          <w:szCs w:val="26"/>
        </w:rPr>
      </w:pPr>
      <w:r>
        <w:br w:type="page"/>
      </w:r>
    </w:p>
    <w:p w:rsidR="00A46DCA" w:rsidRPr="00C778A9" w:rsidRDefault="00A46DCA" w:rsidP="00A26D04">
      <w:pPr>
        <w:pStyle w:val="Heading20"/>
      </w:pPr>
      <w:r>
        <w:lastRenderedPageBreak/>
        <w:t>Asset initiatives</w:t>
      </w:r>
    </w:p>
    <w:p w:rsidR="00A46DCA" w:rsidRPr="00596FBC" w:rsidRDefault="00A46DCA" w:rsidP="00A26D04">
      <w:pPr>
        <w:pStyle w:val="TableHeading"/>
        <w:rPr>
          <w:bCs/>
          <w:lang w:val="en-US"/>
        </w:rPr>
      </w:pPr>
      <w:r>
        <w:t>Table A.3</w:t>
      </w:r>
      <w:r w:rsidR="00D02086">
        <w:t>:</w:t>
      </w:r>
      <w:r>
        <w:tab/>
      </w:r>
      <w:r w:rsidRPr="003B755F">
        <w:t>Asset</w:t>
      </w:r>
      <w:r>
        <w:t xml:space="preserve"> initiatives – Department of Economic Development, Jobs, </w:t>
      </w:r>
      <w:r>
        <w:br/>
        <w:t>Transport and Resources</w:t>
      </w:r>
      <w:r>
        <w:tab/>
        <w:t xml:space="preserve">($ </w:t>
      </w:r>
      <w:r w:rsidRPr="003B755F">
        <w:t>million</w:t>
      </w:r>
      <w:r>
        <w:t>)</w:t>
      </w:r>
    </w:p>
    <w:tbl>
      <w:tblPr>
        <w:tblStyle w:val="DTFTable"/>
        <w:tblW w:w="7755" w:type="dxa"/>
        <w:tblInd w:w="45" w:type="dxa"/>
        <w:tblLayout w:type="fixed"/>
        <w:tblCellMar>
          <w:left w:w="45" w:type="dxa"/>
          <w:right w:w="45" w:type="dxa"/>
        </w:tblCellMar>
        <w:tblLook w:val="06A0" w:firstRow="1" w:lastRow="0" w:firstColumn="1" w:lastColumn="0" w:noHBand="1" w:noVBand="1"/>
      </w:tblPr>
      <w:tblGrid>
        <w:gridCol w:w="3969"/>
        <w:gridCol w:w="189"/>
        <w:gridCol w:w="588"/>
        <w:gridCol w:w="782"/>
        <w:gridCol w:w="782"/>
        <w:gridCol w:w="782"/>
        <w:gridCol w:w="663"/>
      </w:tblGrid>
      <w:tr w:rsidR="00A46DCA" w:rsidRPr="00596FBC" w:rsidTr="00A26D0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969" w:type="dxa"/>
            <w:tcBorders>
              <w:top w:val="single" w:sz="6" w:space="0" w:color="auto"/>
              <w:left w:val="single" w:sz="6" w:space="0" w:color="auto"/>
              <w:bottom w:val="single" w:sz="6" w:space="0" w:color="auto"/>
              <w:right w:val="nil"/>
            </w:tcBorders>
            <w:shd w:val="solid" w:color="000000" w:fill="auto"/>
          </w:tcPr>
          <w:p w:rsidR="00A46DCA" w:rsidRPr="00596FBC" w:rsidRDefault="00A46DCA" w:rsidP="00A26D04">
            <w:pPr>
              <w:autoSpaceDE w:val="0"/>
              <w:autoSpaceDN w:val="0"/>
              <w:adjustRightInd w:val="0"/>
              <w:rPr>
                <w:rFonts w:eastAsiaTheme="minorEastAsia" w:cs="Calibri"/>
                <w:color w:val="FFFFFF"/>
                <w:szCs w:val="20"/>
                <w:lang w:eastAsia="en-AU"/>
              </w:rPr>
            </w:pPr>
            <w:r w:rsidRPr="00596FBC">
              <w:rPr>
                <w:rFonts w:eastAsiaTheme="minorEastAsia" w:cs="Calibri"/>
                <w:color w:val="FFFFFF"/>
                <w:szCs w:val="20"/>
                <w:lang w:eastAsia="en-AU"/>
              </w:rPr>
              <w:t xml:space="preserve"> </w:t>
            </w:r>
          </w:p>
        </w:tc>
        <w:tc>
          <w:tcPr>
            <w:tcW w:w="777" w:type="dxa"/>
            <w:gridSpan w:val="2"/>
            <w:tcBorders>
              <w:top w:val="single" w:sz="6" w:space="0" w:color="auto"/>
              <w:left w:val="nil"/>
              <w:bottom w:val="single" w:sz="6" w:space="0" w:color="auto"/>
              <w:right w:val="nil"/>
            </w:tcBorders>
            <w:shd w:val="solid" w:color="000000" w:fill="auto"/>
          </w:tcPr>
          <w:p w:rsidR="00A46DCA" w:rsidRPr="00596FBC" w:rsidRDefault="00A46DCA" w:rsidP="00A26D0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20"/>
                <w:lang w:eastAsia="en-AU"/>
              </w:rPr>
            </w:pPr>
            <w:r w:rsidRPr="00596FBC">
              <w:rPr>
                <w:rFonts w:eastAsiaTheme="minorEastAsia" w:cs="Calibri"/>
                <w:iCs/>
                <w:color w:val="FFFFFF"/>
                <w:szCs w:val="20"/>
                <w:lang w:eastAsia="en-AU"/>
              </w:rPr>
              <w:t>2017-18</w:t>
            </w:r>
          </w:p>
        </w:tc>
        <w:tc>
          <w:tcPr>
            <w:tcW w:w="782" w:type="dxa"/>
            <w:tcBorders>
              <w:top w:val="single" w:sz="6" w:space="0" w:color="auto"/>
              <w:left w:val="nil"/>
              <w:bottom w:val="single" w:sz="6" w:space="0" w:color="auto"/>
              <w:right w:val="nil"/>
            </w:tcBorders>
            <w:shd w:val="solid" w:color="000000" w:fill="auto"/>
          </w:tcPr>
          <w:p w:rsidR="00A46DCA" w:rsidRPr="00596FBC" w:rsidRDefault="00A46DCA" w:rsidP="00A26D0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20"/>
                <w:lang w:eastAsia="en-AU"/>
              </w:rPr>
            </w:pPr>
            <w:r w:rsidRPr="00596FBC">
              <w:rPr>
                <w:rFonts w:eastAsiaTheme="minorEastAsia" w:cs="Calibri"/>
                <w:iCs/>
                <w:color w:val="FFFFFF"/>
                <w:szCs w:val="20"/>
                <w:lang w:eastAsia="en-AU"/>
              </w:rPr>
              <w:t>2018-19</w:t>
            </w:r>
          </w:p>
        </w:tc>
        <w:tc>
          <w:tcPr>
            <w:tcW w:w="782" w:type="dxa"/>
            <w:tcBorders>
              <w:top w:val="single" w:sz="6" w:space="0" w:color="auto"/>
              <w:left w:val="nil"/>
              <w:bottom w:val="single" w:sz="6" w:space="0" w:color="auto"/>
              <w:right w:val="nil"/>
            </w:tcBorders>
            <w:shd w:val="solid" w:color="000000" w:fill="auto"/>
          </w:tcPr>
          <w:p w:rsidR="00A46DCA" w:rsidRPr="00596FBC" w:rsidRDefault="00A46DCA" w:rsidP="00A26D0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20"/>
                <w:lang w:eastAsia="en-AU"/>
              </w:rPr>
            </w:pPr>
            <w:r w:rsidRPr="00596FBC">
              <w:rPr>
                <w:rFonts w:eastAsiaTheme="minorEastAsia" w:cs="Calibri"/>
                <w:iCs/>
                <w:color w:val="FFFFFF"/>
                <w:szCs w:val="20"/>
                <w:lang w:eastAsia="en-AU"/>
              </w:rPr>
              <w:t>2019-20</w:t>
            </w:r>
          </w:p>
        </w:tc>
        <w:tc>
          <w:tcPr>
            <w:tcW w:w="782" w:type="dxa"/>
            <w:tcBorders>
              <w:top w:val="single" w:sz="6" w:space="0" w:color="auto"/>
              <w:left w:val="nil"/>
              <w:bottom w:val="single" w:sz="6" w:space="0" w:color="auto"/>
              <w:right w:val="nil"/>
            </w:tcBorders>
            <w:shd w:val="solid" w:color="000000" w:fill="auto"/>
          </w:tcPr>
          <w:p w:rsidR="00A46DCA" w:rsidRPr="00596FBC" w:rsidRDefault="00A46DCA" w:rsidP="00A26D0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20"/>
                <w:lang w:eastAsia="en-AU"/>
              </w:rPr>
            </w:pPr>
            <w:r w:rsidRPr="00596FBC">
              <w:rPr>
                <w:rFonts w:eastAsiaTheme="minorEastAsia" w:cs="Calibri"/>
                <w:iCs/>
                <w:color w:val="FFFFFF"/>
                <w:szCs w:val="20"/>
                <w:lang w:eastAsia="en-AU"/>
              </w:rPr>
              <w:t>2020-21</w:t>
            </w:r>
          </w:p>
        </w:tc>
        <w:tc>
          <w:tcPr>
            <w:tcW w:w="663" w:type="dxa"/>
            <w:tcBorders>
              <w:top w:val="single" w:sz="6" w:space="0" w:color="auto"/>
              <w:left w:val="nil"/>
              <w:bottom w:val="single" w:sz="6" w:space="0" w:color="auto"/>
              <w:right w:val="nil"/>
            </w:tcBorders>
            <w:shd w:val="solid" w:color="000000" w:fill="auto"/>
          </w:tcPr>
          <w:p w:rsidR="00A46DCA" w:rsidRPr="00596FBC" w:rsidRDefault="00A46DCA" w:rsidP="00A26D0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20"/>
                <w:lang w:eastAsia="en-AU"/>
              </w:rPr>
            </w:pPr>
            <w:r w:rsidRPr="00596FBC">
              <w:rPr>
                <w:rFonts w:eastAsiaTheme="minorEastAsia" w:cs="Calibri"/>
                <w:iCs/>
                <w:color w:val="FFFFFF"/>
                <w:szCs w:val="20"/>
                <w:lang w:eastAsia="en-AU"/>
              </w:rPr>
              <w:t>TEI</w:t>
            </w:r>
          </w:p>
        </w:tc>
      </w:tr>
      <w:tr w:rsidR="00A46DCA" w:rsidRPr="00596FBC" w:rsidTr="00A26D04">
        <w:tc>
          <w:tcPr>
            <w:cnfStyle w:val="001000000000" w:firstRow="0" w:lastRow="0" w:firstColumn="1" w:lastColumn="0" w:oddVBand="0" w:evenVBand="0" w:oddHBand="0" w:evenHBand="0" w:firstRowFirstColumn="0" w:firstRowLastColumn="0" w:lastRowFirstColumn="0" w:lastRowLastColumn="0"/>
            <w:tcW w:w="3969" w:type="dxa"/>
            <w:tcBorders>
              <w:top w:val="nil"/>
              <w:left w:val="nil"/>
              <w:bottom w:val="nil"/>
              <w:right w:val="nil"/>
            </w:tcBorders>
          </w:tcPr>
          <w:p w:rsidR="00A46DCA" w:rsidRPr="00596FBC" w:rsidRDefault="00A46DCA" w:rsidP="00A26D04">
            <w:pPr>
              <w:keepLines w:val="0"/>
              <w:autoSpaceDE w:val="0"/>
              <w:autoSpaceDN w:val="0"/>
              <w:adjustRightInd w:val="0"/>
              <w:rPr>
                <w:rFonts w:eastAsiaTheme="minorEastAsia" w:cs="Calibri"/>
                <w:color w:val="000000"/>
                <w:szCs w:val="20"/>
                <w:lang w:eastAsia="en-AU"/>
              </w:rPr>
            </w:pPr>
            <w:r w:rsidRPr="00596FBC">
              <w:rPr>
                <w:rFonts w:eastAsiaTheme="minorEastAsia" w:cs="Calibri"/>
                <w:color w:val="000000"/>
                <w:szCs w:val="20"/>
                <w:lang w:eastAsia="en-AU"/>
              </w:rPr>
              <w:t>Darebin Trail – Farm Road Link</w:t>
            </w:r>
          </w:p>
        </w:tc>
        <w:tc>
          <w:tcPr>
            <w:tcW w:w="777" w:type="dxa"/>
            <w:gridSpan w:val="2"/>
            <w:tcBorders>
              <w:top w:val="nil"/>
              <w:left w:val="nil"/>
              <w:bottom w:val="nil"/>
              <w:right w:val="nil"/>
            </w:tcBorders>
          </w:tcPr>
          <w:p w:rsidR="00A46DCA" w:rsidRPr="00596FBC"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596FBC">
              <w:rPr>
                <w:rFonts w:eastAsiaTheme="minorEastAsia" w:cs="Calibri"/>
                <w:color w:val="000000"/>
                <w:szCs w:val="20"/>
                <w:lang w:eastAsia="en-AU"/>
              </w:rPr>
              <w:t>..</w:t>
            </w:r>
          </w:p>
        </w:tc>
        <w:tc>
          <w:tcPr>
            <w:tcW w:w="782" w:type="dxa"/>
            <w:tcBorders>
              <w:top w:val="nil"/>
              <w:left w:val="nil"/>
              <w:bottom w:val="nil"/>
              <w:right w:val="nil"/>
            </w:tcBorders>
          </w:tcPr>
          <w:p w:rsidR="00A46DCA" w:rsidRPr="00596FBC"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596FBC">
              <w:rPr>
                <w:rFonts w:eastAsiaTheme="minorEastAsia" w:cs="Calibri"/>
                <w:color w:val="000000"/>
                <w:szCs w:val="20"/>
                <w:lang w:eastAsia="en-AU"/>
              </w:rPr>
              <w:t>0.2</w:t>
            </w:r>
          </w:p>
        </w:tc>
        <w:tc>
          <w:tcPr>
            <w:tcW w:w="782" w:type="dxa"/>
            <w:tcBorders>
              <w:top w:val="nil"/>
              <w:left w:val="nil"/>
              <w:bottom w:val="nil"/>
              <w:right w:val="nil"/>
            </w:tcBorders>
          </w:tcPr>
          <w:p w:rsidR="00A46DCA" w:rsidRPr="00596FBC"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596FBC">
              <w:rPr>
                <w:rFonts w:eastAsiaTheme="minorEastAsia" w:cs="Calibri"/>
                <w:color w:val="000000"/>
                <w:szCs w:val="20"/>
                <w:lang w:eastAsia="en-AU"/>
              </w:rPr>
              <w:t>0.8</w:t>
            </w:r>
          </w:p>
        </w:tc>
        <w:tc>
          <w:tcPr>
            <w:tcW w:w="782" w:type="dxa"/>
            <w:tcBorders>
              <w:top w:val="nil"/>
              <w:left w:val="nil"/>
              <w:bottom w:val="nil"/>
              <w:right w:val="nil"/>
            </w:tcBorders>
          </w:tcPr>
          <w:p w:rsidR="00A46DCA" w:rsidRPr="00596FBC"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596FBC">
              <w:rPr>
                <w:rFonts w:eastAsiaTheme="minorEastAsia" w:cs="Calibri"/>
                <w:color w:val="000000"/>
                <w:szCs w:val="20"/>
                <w:lang w:eastAsia="en-AU"/>
              </w:rPr>
              <w:t>2.2</w:t>
            </w:r>
          </w:p>
        </w:tc>
        <w:tc>
          <w:tcPr>
            <w:tcW w:w="663" w:type="dxa"/>
            <w:tcBorders>
              <w:top w:val="nil"/>
              <w:left w:val="nil"/>
              <w:bottom w:val="nil"/>
              <w:right w:val="nil"/>
            </w:tcBorders>
          </w:tcPr>
          <w:p w:rsidR="00A46DCA" w:rsidRPr="00596FBC"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596FBC">
              <w:rPr>
                <w:rFonts w:eastAsiaTheme="minorEastAsia" w:cs="Calibri"/>
                <w:color w:val="000000"/>
                <w:szCs w:val="20"/>
                <w:lang w:eastAsia="en-AU"/>
              </w:rPr>
              <w:t>3.2</w:t>
            </w:r>
          </w:p>
        </w:tc>
      </w:tr>
      <w:tr w:rsidR="00A46DCA" w:rsidRPr="00596FBC" w:rsidTr="00A26D04">
        <w:tc>
          <w:tcPr>
            <w:cnfStyle w:val="001000000000" w:firstRow="0" w:lastRow="0" w:firstColumn="1" w:lastColumn="0" w:oddVBand="0" w:evenVBand="0" w:oddHBand="0" w:evenHBand="0" w:firstRowFirstColumn="0" w:firstRowLastColumn="0" w:lastRowFirstColumn="0" w:lastRowLastColumn="0"/>
            <w:tcW w:w="3969" w:type="dxa"/>
            <w:tcBorders>
              <w:top w:val="nil"/>
              <w:left w:val="nil"/>
              <w:bottom w:val="nil"/>
              <w:right w:val="nil"/>
            </w:tcBorders>
          </w:tcPr>
          <w:p w:rsidR="00A46DCA" w:rsidRPr="00596FBC" w:rsidRDefault="00A46DCA" w:rsidP="00A26D04">
            <w:pPr>
              <w:keepLines w:val="0"/>
              <w:autoSpaceDE w:val="0"/>
              <w:autoSpaceDN w:val="0"/>
              <w:adjustRightInd w:val="0"/>
              <w:rPr>
                <w:rFonts w:eastAsiaTheme="minorEastAsia" w:cs="Calibri"/>
                <w:color w:val="000000"/>
                <w:szCs w:val="20"/>
                <w:vertAlign w:val="superscript"/>
                <w:lang w:eastAsia="en-AU"/>
              </w:rPr>
            </w:pPr>
            <w:r w:rsidRPr="00596FBC">
              <w:rPr>
                <w:rFonts w:eastAsiaTheme="minorEastAsia" w:cs="Calibri"/>
                <w:color w:val="000000"/>
                <w:szCs w:val="20"/>
                <w:lang w:eastAsia="en-AU"/>
              </w:rPr>
              <w:t xml:space="preserve">Great Alpine Road improvement works </w:t>
            </w:r>
            <w:r w:rsidRPr="00596FBC">
              <w:rPr>
                <w:rFonts w:eastAsiaTheme="minorEastAsia" w:cs="Calibri"/>
                <w:color w:val="000000"/>
                <w:szCs w:val="20"/>
                <w:vertAlign w:val="superscript"/>
                <w:lang w:eastAsia="en-AU"/>
              </w:rPr>
              <w:t>(a)(b)</w:t>
            </w:r>
          </w:p>
        </w:tc>
        <w:tc>
          <w:tcPr>
            <w:tcW w:w="777" w:type="dxa"/>
            <w:gridSpan w:val="2"/>
            <w:tcBorders>
              <w:top w:val="nil"/>
              <w:left w:val="nil"/>
              <w:bottom w:val="nil"/>
              <w:right w:val="nil"/>
            </w:tcBorders>
          </w:tcPr>
          <w:p w:rsidR="00A46DCA" w:rsidRPr="00596FBC"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596FBC">
              <w:rPr>
                <w:rFonts w:eastAsiaTheme="minorEastAsia" w:cs="Calibri"/>
                <w:color w:val="000000"/>
                <w:szCs w:val="20"/>
                <w:lang w:eastAsia="en-AU"/>
              </w:rPr>
              <w:t>2.2</w:t>
            </w:r>
          </w:p>
        </w:tc>
        <w:tc>
          <w:tcPr>
            <w:tcW w:w="782" w:type="dxa"/>
            <w:tcBorders>
              <w:top w:val="nil"/>
              <w:left w:val="nil"/>
              <w:bottom w:val="nil"/>
              <w:right w:val="nil"/>
            </w:tcBorders>
          </w:tcPr>
          <w:p w:rsidR="00A46DCA" w:rsidRPr="00596FBC"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596FBC">
              <w:rPr>
                <w:rFonts w:eastAsiaTheme="minorEastAsia" w:cs="Calibri"/>
                <w:color w:val="000000"/>
                <w:szCs w:val="20"/>
                <w:lang w:eastAsia="en-AU"/>
              </w:rPr>
              <w:t>8.2</w:t>
            </w:r>
          </w:p>
        </w:tc>
        <w:tc>
          <w:tcPr>
            <w:tcW w:w="782" w:type="dxa"/>
            <w:tcBorders>
              <w:top w:val="nil"/>
              <w:left w:val="nil"/>
              <w:bottom w:val="nil"/>
              <w:right w:val="nil"/>
            </w:tcBorders>
          </w:tcPr>
          <w:p w:rsidR="00A46DCA" w:rsidRPr="00596FBC"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596FBC">
              <w:rPr>
                <w:rFonts w:eastAsiaTheme="minorEastAsia" w:cs="Calibri"/>
                <w:color w:val="000000"/>
                <w:szCs w:val="20"/>
                <w:lang w:eastAsia="en-AU"/>
              </w:rPr>
              <w:t>5.3</w:t>
            </w:r>
          </w:p>
        </w:tc>
        <w:tc>
          <w:tcPr>
            <w:tcW w:w="782" w:type="dxa"/>
            <w:tcBorders>
              <w:top w:val="nil"/>
              <w:left w:val="nil"/>
              <w:bottom w:val="nil"/>
              <w:right w:val="nil"/>
            </w:tcBorders>
          </w:tcPr>
          <w:p w:rsidR="00A46DCA" w:rsidRPr="00596FBC"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596FBC">
              <w:rPr>
                <w:rFonts w:eastAsiaTheme="minorEastAsia" w:cs="Calibri"/>
                <w:color w:val="000000"/>
                <w:szCs w:val="20"/>
                <w:lang w:eastAsia="en-AU"/>
              </w:rPr>
              <w:t>1.4</w:t>
            </w:r>
          </w:p>
        </w:tc>
        <w:tc>
          <w:tcPr>
            <w:tcW w:w="663" w:type="dxa"/>
            <w:tcBorders>
              <w:top w:val="nil"/>
              <w:left w:val="nil"/>
              <w:bottom w:val="nil"/>
              <w:right w:val="nil"/>
            </w:tcBorders>
          </w:tcPr>
          <w:p w:rsidR="00A46DCA" w:rsidRPr="00596FBC"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596FBC">
              <w:rPr>
                <w:rFonts w:eastAsiaTheme="minorEastAsia" w:cs="Calibri"/>
                <w:color w:val="000000"/>
                <w:szCs w:val="20"/>
                <w:lang w:eastAsia="en-AU"/>
              </w:rPr>
              <w:t>17.3</w:t>
            </w:r>
          </w:p>
        </w:tc>
      </w:tr>
      <w:tr w:rsidR="00A46DCA" w:rsidRPr="00596FBC" w:rsidTr="00A26D04">
        <w:tc>
          <w:tcPr>
            <w:cnfStyle w:val="001000000000" w:firstRow="0" w:lastRow="0" w:firstColumn="1" w:lastColumn="0" w:oddVBand="0" w:evenVBand="0" w:oddHBand="0" w:evenHBand="0" w:firstRowFirstColumn="0" w:firstRowLastColumn="0" w:lastRowFirstColumn="0" w:lastRowLastColumn="0"/>
            <w:tcW w:w="3969" w:type="dxa"/>
            <w:tcBorders>
              <w:top w:val="nil"/>
              <w:left w:val="nil"/>
              <w:bottom w:val="nil"/>
              <w:right w:val="nil"/>
            </w:tcBorders>
          </w:tcPr>
          <w:p w:rsidR="00A46DCA" w:rsidRPr="00596FBC" w:rsidRDefault="00A46DCA" w:rsidP="00A26D04">
            <w:pPr>
              <w:keepLines w:val="0"/>
              <w:autoSpaceDE w:val="0"/>
              <w:autoSpaceDN w:val="0"/>
              <w:adjustRightInd w:val="0"/>
              <w:rPr>
                <w:rFonts w:eastAsiaTheme="minorEastAsia" w:cs="Calibri"/>
                <w:color w:val="000000"/>
                <w:szCs w:val="20"/>
                <w:vertAlign w:val="superscript"/>
                <w:lang w:eastAsia="en-AU"/>
              </w:rPr>
            </w:pPr>
            <w:r w:rsidRPr="00596FBC">
              <w:rPr>
                <w:rFonts w:eastAsiaTheme="minorEastAsia" w:cs="Calibri"/>
                <w:color w:val="000000"/>
                <w:szCs w:val="20"/>
                <w:lang w:eastAsia="en-AU"/>
              </w:rPr>
              <w:t xml:space="preserve">Great Ocean Road improvement works </w:t>
            </w:r>
            <w:r w:rsidRPr="00596FBC">
              <w:rPr>
                <w:rFonts w:eastAsiaTheme="minorEastAsia" w:cs="Calibri"/>
                <w:color w:val="000000"/>
                <w:szCs w:val="20"/>
                <w:vertAlign w:val="superscript"/>
                <w:lang w:eastAsia="en-AU"/>
              </w:rPr>
              <w:t>(c)(d)</w:t>
            </w:r>
          </w:p>
        </w:tc>
        <w:tc>
          <w:tcPr>
            <w:tcW w:w="777" w:type="dxa"/>
            <w:gridSpan w:val="2"/>
            <w:tcBorders>
              <w:top w:val="nil"/>
              <w:left w:val="nil"/>
              <w:bottom w:val="nil"/>
              <w:right w:val="nil"/>
            </w:tcBorders>
          </w:tcPr>
          <w:p w:rsidR="00A46DCA" w:rsidRPr="00596FBC"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596FBC">
              <w:rPr>
                <w:rFonts w:eastAsiaTheme="minorEastAsia" w:cs="Calibri"/>
                <w:color w:val="000000"/>
                <w:szCs w:val="20"/>
                <w:lang w:eastAsia="en-AU"/>
              </w:rPr>
              <w:t>5.3</w:t>
            </w:r>
          </w:p>
        </w:tc>
        <w:tc>
          <w:tcPr>
            <w:tcW w:w="782" w:type="dxa"/>
            <w:tcBorders>
              <w:top w:val="nil"/>
              <w:left w:val="nil"/>
              <w:bottom w:val="nil"/>
              <w:right w:val="nil"/>
            </w:tcBorders>
          </w:tcPr>
          <w:p w:rsidR="00A46DCA" w:rsidRPr="00596FBC"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596FBC">
              <w:rPr>
                <w:rFonts w:eastAsiaTheme="minorEastAsia" w:cs="Calibri"/>
                <w:color w:val="000000"/>
                <w:szCs w:val="20"/>
                <w:lang w:eastAsia="en-AU"/>
              </w:rPr>
              <w:t>11.1</w:t>
            </w:r>
          </w:p>
        </w:tc>
        <w:tc>
          <w:tcPr>
            <w:tcW w:w="782" w:type="dxa"/>
            <w:tcBorders>
              <w:top w:val="nil"/>
              <w:left w:val="nil"/>
              <w:bottom w:val="nil"/>
              <w:right w:val="nil"/>
            </w:tcBorders>
          </w:tcPr>
          <w:p w:rsidR="00A46DCA" w:rsidRPr="00596FBC"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596FBC">
              <w:rPr>
                <w:rFonts w:eastAsiaTheme="minorEastAsia" w:cs="Calibri"/>
                <w:color w:val="000000"/>
                <w:szCs w:val="20"/>
                <w:lang w:eastAsia="en-AU"/>
              </w:rPr>
              <w:t>11.0</w:t>
            </w:r>
          </w:p>
        </w:tc>
        <w:tc>
          <w:tcPr>
            <w:tcW w:w="782" w:type="dxa"/>
            <w:tcBorders>
              <w:top w:val="nil"/>
              <w:left w:val="nil"/>
              <w:bottom w:val="nil"/>
              <w:right w:val="nil"/>
            </w:tcBorders>
          </w:tcPr>
          <w:p w:rsidR="00A46DCA" w:rsidRPr="00596FBC"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596FBC">
              <w:rPr>
                <w:rFonts w:eastAsiaTheme="minorEastAsia" w:cs="Calibri"/>
                <w:color w:val="000000"/>
                <w:szCs w:val="20"/>
                <w:lang w:eastAsia="en-AU"/>
              </w:rPr>
              <w:t>10.5</w:t>
            </w:r>
          </w:p>
        </w:tc>
        <w:tc>
          <w:tcPr>
            <w:tcW w:w="663" w:type="dxa"/>
            <w:tcBorders>
              <w:top w:val="nil"/>
              <w:left w:val="nil"/>
              <w:bottom w:val="nil"/>
              <w:right w:val="nil"/>
            </w:tcBorders>
          </w:tcPr>
          <w:p w:rsidR="00A46DCA" w:rsidRPr="00596FBC"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596FBC">
              <w:rPr>
                <w:rFonts w:eastAsiaTheme="minorEastAsia" w:cs="Calibri"/>
                <w:color w:val="000000"/>
                <w:szCs w:val="20"/>
                <w:lang w:eastAsia="en-AU"/>
              </w:rPr>
              <w:t>48.1</w:t>
            </w:r>
          </w:p>
        </w:tc>
      </w:tr>
      <w:tr w:rsidR="00A46DCA" w:rsidRPr="00596FBC" w:rsidTr="00A26D04">
        <w:tc>
          <w:tcPr>
            <w:cnfStyle w:val="001000000000" w:firstRow="0" w:lastRow="0" w:firstColumn="1" w:lastColumn="0" w:oddVBand="0" w:evenVBand="0" w:oddHBand="0" w:evenHBand="0" w:firstRowFirstColumn="0" w:firstRowLastColumn="0" w:lastRowFirstColumn="0" w:lastRowLastColumn="0"/>
            <w:tcW w:w="3969" w:type="dxa"/>
            <w:tcBorders>
              <w:top w:val="nil"/>
              <w:left w:val="nil"/>
              <w:bottom w:val="nil"/>
              <w:right w:val="nil"/>
            </w:tcBorders>
          </w:tcPr>
          <w:p w:rsidR="00A46DCA" w:rsidRPr="00596FBC" w:rsidRDefault="00A46DCA" w:rsidP="00A26D04">
            <w:pPr>
              <w:keepLines w:val="0"/>
              <w:autoSpaceDE w:val="0"/>
              <w:autoSpaceDN w:val="0"/>
              <w:adjustRightInd w:val="0"/>
              <w:rPr>
                <w:rFonts w:eastAsiaTheme="minorEastAsia" w:cs="Calibri"/>
                <w:color w:val="000000"/>
                <w:szCs w:val="20"/>
                <w:vertAlign w:val="superscript"/>
                <w:lang w:eastAsia="en-AU"/>
              </w:rPr>
            </w:pPr>
            <w:r w:rsidRPr="00596FBC">
              <w:rPr>
                <w:rFonts w:eastAsiaTheme="minorEastAsia" w:cs="Calibri"/>
                <w:color w:val="000000"/>
                <w:szCs w:val="20"/>
                <w:lang w:eastAsia="en-AU"/>
              </w:rPr>
              <w:t xml:space="preserve">Green Triangle Package </w:t>
            </w:r>
            <w:r w:rsidRPr="00596FBC">
              <w:rPr>
                <w:rFonts w:eastAsiaTheme="minorEastAsia" w:cs="Calibri"/>
                <w:color w:val="000000"/>
                <w:szCs w:val="20"/>
                <w:vertAlign w:val="superscript"/>
                <w:lang w:eastAsia="en-AU"/>
              </w:rPr>
              <w:t>(e)(f)</w:t>
            </w:r>
          </w:p>
        </w:tc>
        <w:tc>
          <w:tcPr>
            <w:tcW w:w="777" w:type="dxa"/>
            <w:gridSpan w:val="2"/>
            <w:tcBorders>
              <w:top w:val="nil"/>
              <w:left w:val="nil"/>
              <w:bottom w:val="nil"/>
              <w:right w:val="nil"/>
            </w:tcBorders>
          </w:tcPr>
          <w:p w:rsidR="00A46DCA" w:rsidRPr="00596FBC"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596FBC">
              <w:rPr>
                <w:rFonts w:eastAsiaTheme="minorEastAsia" w:cs="Calibri"/>
                <w:color w:val="000000"/>
                <w:szCs w:val="20"/>
                <w:lang w:eastAsia="en-AU"/>
              </w:rPr>
              <w:t>9.6</w:t>
            </w:r>
          </w:p>
        </w:tc>
        <w:tc>
          <w:tcPr>
            <w:tcW w:w="782" w:type="dxa"/>
            <w:tcBorders>
              <w:top w:val="nil"/>
              <w:left w:val="nil"/>
              <w:bottom w:val="nil"/>
              <w:right w:val="nil"/>
            </w:tcBorders>
          </w:tcPr>
          <w:p w:rsidR="00A46DCA" w:rsidRPr="00596FBC"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596FBC">
              <w:rPr>
                <w:rFonts w:eastAsiaTheme="minorEastAsia" w:cs="Calibri"/>
                <w:color w:val="000000"/>
                <w:szCs w:val="20"/>
                <w:lang w:eastAsia="en-AU"/>
              </w:rPr>
              <w:t>9.6</w:t>
            </w:r>
          </w:p>
        </w:tc>
        <w:tc>
          <w:tcPr>
            <w:tcW w:w="782" w:type="dxa"/>
            <w:tcBorders>
              <w:top w:val="nil"/>
              <w:left w:val="nil"/>
              <w:bottom w:val="nil"/>
              <w:right w:val="nil"/>
            </w:tcBorders>
          </w:tcPr>
          <w:p w:rsidR="00A46DCA" w:rsidRPr="00596FBC"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596FBC">
              <w:rPr>
                <w:rFonts w:eastAsiaTheme="minorEastAsia" w:cs="Calibri"/>
                <w:color w:val="000000"/>
                <w:szCs w:val="20"/>
                <w:lang w:eastAsia="en-AU"/>
              </w:rPr>
              <w:t>9.6</w:t>
            </w:r>
          </w:p>
        </w:tc>
        <w:tc>
          <w:tcPr>
            <w:tcW w:w="782" w:type="dxa"/>
            <w:tcBorders>
              <w:top w:val="nil"/>
              <w:left w:val="nil"/>
              <w:bottom w:val="nil"/>
              <w:right w:val="nil"/>
            </w:tcBorders>
          </w:tcPr>
          <w:p w:rsidR="00A46DCA" w:rsidRPr="00596FBC"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596FBC">
              <w:rPr>
                <w:rFonts w:eastAsiaTheme="minorEastAsia" w:cs="Calibri"/>
                <w:color w:val="000000"/>
                <w:szCs w:val="20"/>
                <w:lang w:eastAsia="en-AU"/>
              </w:rPr>
              <w:t>..</w:t>
            </w:r>
          </w:p>
        </w:tc>
        <w:tc>
          <w:tcPr>
            <w:tcW w:w="663" w:type="dxa"/>
            <w:tcBorders>
              <w:top w:val="nil"/>
              <w:left w:val="nil"/>
              <w:bottom w:val="nil"/>
              <w:right w:val="nil"/>
            </w:tcBorders>
          </w:tcPr>
          <w:p w:rsidR="00A46DCA" w:rsidRPr="00596FBC"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596FBC">
              <w:rPr>
                <w:rFonts w:eastAsiaTheme="minorEastAsia" w:cs="Calibri"/>
                <w:color w:val="000000"/>
                <w:szCs w:val="20"/>
                <w:lang w:eastAsia="en-AU"/>
              </w:rPr>
              <w:t>38.8</w:t>
            </w:r>
          </w:p>
        </w:tc>
      </w:tr>
      <w:tr w:rsidR="00A46DCA" w:rsidRPr="00596FBC" w:rsidTr="00A26D04">
        <w:tc>
          <w:tcPr>
            <w:cnfStyle w:val="001000000000" w:firstRow="0" w:lastRow="0" w:firstColumn="1" w:lastColumn="0" w:oddVBand="0" w:evenVBand="0" w:oddHBand="0" w:evenHBand="0" w:firstRowFirstColumn="0" w:firstRowLastColumn="0" w:lastRowFirstColumn="0" w:lastRowLastColumn="0"/>
            <w:tcW w:w="3969" w:type="dxa"/>
            <w:tcBorders>
              <w:top w:val="nil"/>
              <w:left w:val="nil"/>
              <w:bottom w:val="nil"/>
              <w:right w:val="nil"/>
            </w:tcBorders>
          </w:tcPr>
          <w:p w:rsidR="00A46DCA" w:rsidRPr="00596FBC" w:rsidRDefault="00A46DCA" w:rsidP="00A26D04">
            <w:pPr>
              <w:keepLines w:val="0"/>
              <w:autoSpaceDE w:val="0"/>
              <w:autoSpaceDN w:val="0"/>
              <w:adjustRightInd w:val="0"/>
              <w:rPr>
                <w:rFonts w:eastAsiaTheme="minorEastAsia" w:cs="Calibri"/>
                <w:color w:val="000000"/>
                <w:szCs w:val="20"/>
                <w:lang w:eastAsia="en-AU"/>
              </w:rPr>
            </w:pPr>
            <w:r w:rsidRPr="00596FBC">
              <w:rPr>
                <w:rFonts w:eastAsiaTheme="minorEastAsia" w:cs="Calibri"/>
                <w:color w:val="000000"/>
                <w:szCs w:val="20"/>
                <w:lang w:eastAsia="en-AU"/>
              </w:rPr>
              <w:t xml:space="preserve">High Capacity Signalling Trains </w:t>
            </w:r>
            <w:proofErr w:type="spellStart"/>
            <w:r w:rsidRPr="00596FBC">
              <w:rPr>
                <w:rFonts w:eastAsiaTheme="minorEastAsia" w:cs="Calibri"/>
                <w:color w:val="000000"/>
                <w:szCs w:val="20"/>
                <w:lang w:eastAsia="en-AU"/>
              </w:rPr>
              <w:t>onboard</w:t>
            </w:r>
            <w:proofErr w:type="spellEnd"/>
            <w:r w:rsidRPr="00596FBC">
              <w:rPr>
                <w:rFonts w:eastAsiaTheme="minorEastAsia" w:cs="Calibri"/>
                <w:color w:val="000000"/>
                <w:szCs w:val="20"/>
                <w:lang w:eastAsia="en-AU"/>
              </w:rPr>
              <w:t xml:space="preserve"> equipment</w:t>
            </w:r>
          </w:p>
        </w:tc>
        <w:tc>
          <w:tcPr>
            <w:tcW w:w="777" w:type="dxa"/>
            <w:gridSpan w:val="2"/>
            <w:tcBorders>
              <w:top w:val="nil"/>
              <w:left w:val="nil"/>
              <w:bottom w:val="nil"/>
              <w:right w:val="nil"/>
            </w:tcBorders>
          </w:tcPr>
          <w:p w:rsidR="00A46DCA" w:rsidRPr="00596FBC"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596FBC">
              <w:rPr>
                <w:rFonts w:eastAsiaTheme="minorEastAsia" w:cs="Calibri"/>
                <w:color w:val="000000"/>
                <w:szCs w:val="20"/>
                <w:lang w:eastAsia="en-AU"/>
              </w:rPr>
              <w:t>3.0</w:t>
            </w:r>
          </w:p>
        </w:tc>
        <w:tc>
          <w:tcPr>
            <w:tcW w:w="782" w:type="dxa"/>
            <w:tcBorders>
              <w:top w:val="nil"/>
              <w:left w:val="nil"/>
              <w:bottom w:val="nil"/>
              <w:right w:val="nil"/>
            </w:tcBorders>
          </w:tcPr>
          <w:p w:rsidR="00A46DCA" w:rsidRPr="00596FBC"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596FBC">
              <w:rPr>
                <w:rFonts w:eastAsiaTheme="minorEastAsia" w:cs="Calibri"/>
                <w:color w:val="000000"/>
                <w:szCs w:val="20"/>
                <w:lang w:eastAsia="en-AU"/>
              </w:rPr>
              <w:t>13.0</w:t>
            </w:r>
          </w:p>
        </w:tc>
        <w:tc>
          <w:tcPr>
            <w:tcW w:w="782" w:type="dxa"/>
            <w:tcBorders>
              <w:top w:val="nil"/>
              <w:left w:val="nil"/>
              <w:bottom w:val="nil"/>
              <w:right w:val="nil"/>
            </w:tcBorders>
          </w:tcPr>
          <w:p w:rsidR="00A46DCA" w:rsidRPr="00596FBC"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596FBC">
              <w:rPr>
                <w:rFonts w:eastAsiaTheme="minorEastAsia" w:cs="Calibri"/>
                <w:color w:val="000000"/>
                <w:szCs w:val="20"/>
                <w:lang w:eastAsia="en-AU"/>
              </w:rPr>
              <w:t>14.0</w:t>
            </w:r>
          </w:p>
        </w:tc>
        <w:tc>
          <w:tcPr>
            <w:tcW w:w="782" w:type="dxa"/>
            <w:tcBorders>
              <w:top w:val="nil"/>
              <w:left w:val="nil"/>
              <w:bottom w:val="nil"/>
              <w:right w:val="nil"/>
            </w:tcBorders>
          </w:tcPr>
          <w:p w:rsidR="00A46DCA" w:rsidRPr="00596FBC"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596FBC">
              <w:rPr>
                <w:rFonts w:eastAsiaTheme="minorEastAsia" w:cs="Calibri"/>
                <w:color w:val="000000"/>
                <w:szCs w:val="20"/>
                <w:lang w:eastAsia="en-AU"/>
              </w:rPr>
              <w:t>5.0</w:t>
            </w:r>
          </w:p>
        </w:tc>
        <w:tc>
          <w:tcPr>
            <w:tcW w:w="663" w:type="dxa"/>
            <w:tcBorders>
              <w:top w:val="nil"/>
              <w:left w:val="nil"/>
              <w:bottom w:val="nil"/>
              <w:right w:val="nil"/>
            </w:tcBorders>
          </w:tcPr>
          <w:p w:rsidR="00A46DCA" w:rsidRPr="00596FBC"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596FBC">
              <w:rPr>
                <w:rFonts w:eastAsiaTheme="minorEastAsia" w:cs="Calibri"/>
                <w:color w:val="000000"/>
                <w:szCs w:val="20"/>
                <w:lang w:eastAsia="en-AU"/>
              </w:rPr>
              <w:t>35.0</w:t>
            </w:r>
          </w:p>
        </w:tc>
      </w:tr>
      <w:tr w:rsidR="00A46DCA" w:rsidRPr="00596FBC" w:rsidTr="00A26D04">
        <w:tc>
          <w:tcPr>
            <w:cnfStyle w:val="001000000000" w:firstRow="0" w:lastRow="0" w:firstColumn="1" w:lastColumn="0" w:oddVBand="0" w:evenVBand="0" w:oddHBand="0" w:evenHBand="0" w:firstRowFirstColumn="0" w:firstRowLastColumn="0" w:lastRowFirstColumn="0" w:lastRowLastColumn="0"/>
            <w:tcW w:w="3969" w:type="dxa"/>
            <w:tcBorders>
              <w:top w:val="nil"/>
              <w:left w:val="nil"/>
              <w:bottom w:val="nil"/>
              <w:right w:val="nil"/>
            </w:tcBorders>
          </w:tcPr>
          <w:p w:rsidR="00A46DCA" w:rsidRPr="00596FBC" w:rsidRDefault="00A46DCA" w:rsidP="00A26D04">
            <w:pPr>
              <w:keepLines w:val="0"/>
              <w:autoSpaceDE w:val="0"/>
              <w:autoSpaceDN w:val="0"/>
              <w:adjustRightInd w:val="0"/>
              <w:rPr>
                <w:rFonts w:eastAsiaTheme="minorEastAsia" w:cs="Calibri"/>
                <w:color w:val="000000"/>
                <w:szCs w:val="20"/>
                <w:vertAlign w:val="superscript"/>
                <w:lang w:eastAsia="en-AU"/>
              </w:rPr>
            </w:pPr>
            <w:r w:rsidRPr="00596FBC">
              <w:rPr>
                <w:rFonts w:eastAsiaTheme="minorEastAsia" w:cs="Calibri"/>
                <w:color w:val="000000"/>
                <w:szCs w:val="20"/>
                <w:lang w:eastAsia="en-AU"/>
              </w:rPr>
              <w:t xml:space="preserve">Hyland Highway Road improvement work </w:t>
            </w:r>
            <w:r w:rsidRPr="00596FBC">
              <w:rPr>
                <w:rFonts w:eastAsiaTheme="minorEastAsia" w:cs="Calibri"/>
                <w:color w:val="000000"/>
                <w:szCs w:val="20"/>
                <w:vertAlign w:val="superscript"/>
                <w:lang w:eastAsia="en-AU"/>
              </w:rPr>
              <w:t>(a)(g)</w:t>
            </w:r>
          </w:p>
        </w:tc>
        <w:tc>
          <w:tcPr>
            <w:tcW w:w="777" w:type="dxa"/>
            <w:gridSpan w:val="2"/>
            <w:tcBorders>
              <w:top w:val="nil"/>
              <w:left w:val="nil"/>
              <w:bottom w:val="nil"/>
              <w:right w:val="nil"/>
            </w:tcBorders>
          </w:tcPr>
          <w:p w:rsidR="00A46DCA" w:rsidRPr="00596FBC"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596FBC">
              <w:rPr>
                <w:rFonts w:eastAsiaTheme="minorEastAsia" w:cs="Calibri"/>
                <w:color w:val="000000"/>
                <w:szCs w:val="20"/>
                <w:lang w:eastAsia="en-AU"/>
              </w:rPr>
              <w:t>1.3</w:t>
            </w:r>
          </w:p>
        </w:tc>
        <w:tc>
          <w:tcPr>
            <w:tcW w:w="782" w:type="dxa"/>
            <w:tcBorders>
              <w:top w:val="nil"/>
              <w:left w:val="nil"/>
              <w:bottom w:val="nil"/>
              <w:right w:val="nil"/>
            </w:tcBorders>
          </w:tcPr>
          <w:p w:rsidR="00A46DCA" w:rsidRPr="00596FBC"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596FBC">
              <w:rPr>
                <w:rFonts w:eastAsiaTheme="minorEastAsia" w:cs="Calibri"/>
                <w:color w:val="000000"/>
                <w:szCs w:val="20"/>
                <w:lang w:eastAsia="en-AU"/>
              </w:rPr>
              <w:t>4.3</w:t>
            </w:r>
          </w:p>
        </w:tc>
        <w:tc>
          <w:tcPr>
            <w:tcW w:w="782" w:type="dxa"/>
            <w:tcBorders>
              <w:top w:val="nil"/>
              <w:left w:val="nil"/>
              <w:bottom w:val="nil"/>
              <w:right w:val="nil"/>
            </w:tcBorders>
          </w:tcPr>
          <w:p w:rsidR="00A46DCA" w:rsidRPr="00596FBC"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596FBC">
              <w:rPr>
                <w:rFonts w:eastAsiaTheme="minorEastAsia" w:cs="Calibri"/>
                <w:color w:val="000000"/>
                <w:szCs w:val="20"/>
                <w:lang w:eastAsia="en-AU"/>
              </w:rPr>
              <w:t>2.9</w:t>
            </w:r>
          </w:p>
        </w:tc>
        <w:tc>
          <w:tcPr>
            <w:tcW w:w="782" w:type="dxa"/>
            <w:tcBorders>
              <w:top w:val="nil"/>
              <w:left w:val="nil"/>
              <w:bottom w:val="nil"/>
              <w:right w:val="nil"/>
            </w:tcBorders>
          </w:tcPr>
          <w:p w:rsidR="00A46DCA" w:rsidRPr="00596FBC"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596FBC">
              <w:rPr>
                <w:rFonts w:eastAsiaTheme="minorEastAsia" w:cs="Calibri"/>
                <w:color w:val="000000"/>
                <w:szCs w:val="20"/>
                <w:lang w:eastAsia="en-AU"/>
              </w:rPr>
              <w:t>1.0</w:t>
            </w:r>
          </w:p>
        </w:tc>
        <w:tc>
          <w:tcPr>
            <w:tcW w:w="663" w:type="dxa"/>
            <w:tcBorders>
              <w:top w:val="nil"/>
              <w:left w:val="nil"/>
              <w:bottom w:val="nil"/>
              <w:right w:val="nil"/>
            </w:tcBorders>
          </w:tcPr>
          <w:p w:rsidR="00A46DCA" w:rsidRPr="00596FBC"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596FBC">
              <w:rPr>
                <w:rFonts w:eastAsiaTheme="minorEastAsia" w:cs="Calibri"/>
                <w:color w:val="000000"/>
                <w:szCs w:val="20"/>
                <w:lang w:eastAsia="en-AU"/>
              </w:rPr>
              <w:t>9.6</w:t>
            </w:r>
          </w:p>
        </w:tc>
      </w:tr>
      <w:tr w:rsidR="00A46DCA" w:rsidRPr="00596FBC" w:rsidTr="00A26D04">
        <w:tc>
          <w:tcPr>
            <w:cnfStyle w:val="001000000000" w:firstRow="0" w:lastRow="0" w:firstColumn="1" w:lastColumn="0" w:oddVBand="0" w:evenVBand="0" w:oddHBand="0" w:evenHBand="0" w:firstRowFirstColumn="0" w:firstRowLastColumn="0" w:lastRowFirstColumn="0" w:lastRowLastColumn="0"/>
            <w:tcW w:w="3969" w:type="dxa"/>
            <w:tcBorders>
              <w:top w:val="nil"/>
              <w:left w:val="nil"/>
              <w:bottom w:val="nil"/>
              <w:right w:val="nil"/>
            </w:tcBorders>
          </w:tcPr>
          <w:p w:rsidR="00A46DCA" w:rsidRPr="00596FBC" w:rsidRDefault="00A46DCA" w:rsidP="00A26D04">
            <w:pPr>
              <w:keepLines w:val="0"/>
              <w:autoSpaceDE w:val="0"/>
              <w:autoSpaceDN w:val="0"/>
              <w:adjustRightInd w:val="0"/>
              <w:rPr>
                <w:rFonts w:eastAsiaTheme="minorEastAsia" w:cs="Calibri"/>
                <w:color w:val="000000"/>
                <w:szCs w:val="20"/>
                <w:vertAlign w:val="superscript"/>
                <w:lang w:eastAsia="en-AU"/>
              </w:rPr>
            </w:pPr>
            <w:r w:rsidRPr="00596FBC">
              <w:rPr>
                <w:rFonts w:eastAsiaTheme="minorEastAsia" w:cs="Calibri"/>
                <w:color w:val="000000"/>
                <w:szCs w:val="20"/>
                <w:lang w:eastAsia="en-AU"/>
              </w:rPr>
              <w:t xml:space="preserve">Metropolitan train and tram franchise agreements </w:t>
            </w:r>
            <w:r w:rsidRPr="00596FBC">
              <w:rPr>
                <w:rFonts w:eastAsiaTheme="minorEastAsia" w:cs="Calibri"/>
                <w:color w:val="000000"/>
                <w:szCs w:val="20"/>
                <w:vertAlign w:val="superscript"/>
                <w:lang w:eastAsia="en-AU"/>
              </w:rPr>
              <w:t>(c)</w:t>
            </w:r>
          </w:p>
        </w:tc>
        <w:tc>
          <w:tcPr>
            <w:tcW w:w="777" w:type="dxa"/>
            <w:gridSpan w:val="2"/>
            <w:tcBorders>
              <w:top w:val="nil"/>
              <w:left w:val="nil"/>
              <w:bottom w:val="nil"/>
              <w:right w:val="nil"/>
            </w:tcBorders>
          </w:tcPr>
          <w:p w:rsidR="00A46DCA" w:rsidRPr="00596FBC"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596FBC">
              <w:rPr>
                <w:rFonts w:eastAsiaTheme="minorEastAsia" w:cs="Calibri"/>
                <w:color w:val="000000"/>
                <w:szCs w:val="20"/>
                <w:lang w:eastAsia="en-AU"/>
              </w:rPr>
              <w:t>141.3</w:t>
            </w:r>
          </w:p>
        </w:tc>
        <w:tc>
          <w:tcPr>
            <w:tcW w:w="782" w:type="dxa"/>
            <w:tcBorders>
              <w:top w:val="nil"/>
              <w:left w:val="nil"/>
              <w:bottom w:val="nil"/>
              <w:right w:val="nil"/>
            </w:tcBorders>
          </w:tcPr>
          <w:p w:rsidR="00A46DCA" w:rsidRPr="00596FBC"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596FBC">
              <w:rPr>
                <w:rFonts w:eastAsiaTheme="minorEastAsia" w:cs="Calibri"/>
                <w:color w:val="000000"/>
                <w:szCs w:val="20"/>
                <w:lang w:eastAsia="en-AU"/>
              </w:rPr>
              <w:t>165.0</w:t>
            </w:r>
          </w:p>
        </w:tc>
        <w:tc>
          <w:tcPr>
            <w:tcW w:w="782" w:type="dxa"/>
            <w:tcBorders>
              <w:top w:val="nil"/>
              <w:left w:val="nil"/>
              <w:bottom w:val="nil"/>
              <w:right w:val="nil"/>
            </w:tcBorders>
          </w:tcPr>
          <w:p w:rsidR="00A46DCA" w:rsidRPr="00596FBC"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596FBC">
              <w:rPr>
                <w:rFonts w:eastAsiaTheme="minorEastAsia" w:cs="Calibri"/>
                <w:color w:val="000000"/>
                <w:szCs w:val="20"/>
                <w:lang w:eastAsia="en-AU"/>
              </w:rPr>
              <w:t>119.5</w:t>
            </w:r>
          </w:p>
        </w:tc>
        <w:tc>
          <w:tcPr>
            <w:tcW w:w="782" w:type="dxa"/>
            <w:tcBorders>
              <w:top w:val="nil"/>
              <w:left w:val="nil"/>
              <w:bottom w:val="nil"/>
              <w:right w:val="nil"/>
            </w:tcBorders>
          </w:tcPr>
          <w:p w:rsidR="00A46DCA" w:rsidRPr="00596FBC"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596FBC">
              <w:rPr>
                <w:rFonts w:eastAsiaTheme="minorEastAsia" w:cs="Calibri"/>
                <w:color w:val="000000"/>
                <w:szCs w:val="20"/>
                <w:lang w:eastAsia="en-AU"/>
              </w:rPr>
              <w:t>124.7</w:t>
            </w:r>
          </w:p>
        </w:tc>
        <w:tc>
          <w:tcPr>
            <w:tcW w:w="663" w:type="dxa"/>
            <w:tcBorders>
              <w:top w:val="nil"/>
              <w:left w:val="nil"/>
              <w:bottom w:val="nil"/>
              <w:right w:val="nil"/>
            </w:tcBorders>
          </w:tcPr>
          <w:p w:rsidR="00A46DCA" w:rsidRPr="00596FBC"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596FBC">
              <w:rPr>
                <w:rFonts w:eastAsiaTheme="minorEastAsia" w:cs="Calibri"/>
                <w:color w:val="000000"/>
                <w:szCs w:val="20"/>
                <w:lang w:eastAsia="en-AU"/>
              </w:rPr>
              <w:t>850.7</w:t>
            </w:r>
          </w:p>
        </w:tc>
      </w:tr>
      <w:tr w:rsidR="00A46DCA" w:rsidRPr="00596FBC" w:rsidTr="00A26D04">
        <w:tc>
          <w:tcPr>
            <w:cnfStyle w:val="001000000000" w:firstRow="0" w:lastRow="0" w:firstColumn="1" w:lastColumn="0" w:oddVBand="0" w:evenVBand="0" w:oddHBand="0" w:evenHBand="0" w:firstRowFirstColumn="0" w:firstRowLastColumn="0" w:lastRowFirstColumn="0" w:lastRowLastColumn="0"/>
            <w:tcW w:w="3969" w:type="dxa"/>
            <w:tcBorders>
              <w:top w:val="nil"/>
              <w:left w:val="nil"/>
              <w:bottom w:val="nil"/>
              <w:right w:val="nil"/>
            </w:tcBorders>
          </w:tcPr>
          <w:p w:rsidR="00A46DCA" w:rsidRPr="00596FBC" w:rsidRDefault="00A46DCA" w:rsidP="00A26D04">
            <w:pPr>
              <w:keepLines w:val="0"/>
              <w:autoSpaceDE w:val="0"/>
              <w:autoSpaceDN w:val="0"/>
              <w:adjustRightInd w:val="0"/>
              <w:rPr>
                <w:rFonts w:eastAsiaTheme="minorEastAsia" w:cs="Calibri"/>
                <w:color w:val="000000"/>
                <w:szCs w:val="20"/>
                <w:vertAlign w:val="superscript"/>
                <w:lang w:eastAsia="en-AU"/>
              </w:rPr>
            </w:pPr>
            <w:r w:rsidRPr="00596FBC">
              <w:rPr>
                <w:rFonts w:eastAsiaTheme="minorEastAsia" w:cs="Calibri"/>
                <w:color w:val="000000"/>
                <w:szCs w:val="20"/>
                <w:lang w:eastAsia="en-AU"/>
              </w:rPr>
              <w:t xml:space="preserve">Monaro Highway road improvement works </w:t>
            </w:r>
            <w:r w:rsidRPr="00596FBC">
              <w:rPr>
                <w:rFonts w:eastAsiaTheme="minorEastAsia" w:cs="Calibri"/>
                <w:color w:val="000000"/>
                <w:szCs w:val="20"/>
                <w:vertAlign w:val="superscript"/>
                <w:lang w:eastAsia="en-AU"/>
              </w:rPr>
              <w:t>(a)(h)</w:t>
            </w:r>
          </w:p>
        </w:tc>
        <w:tc>
          <w:tcPr>
            <w:tcW w:w="777" w:type="dxa"/>
            <w:gridSpan w:val="2"/>
            <w:tcBorders>
              <w:top w:val="nil"/>
              <w:left w:val="nil"/>
              <w:bottom w:val="nil"/>
              <w:right w:val="nil"/>
            </w:tcBorders>
          </w:tcPr>
          <w:p w:rsidR="00A46DCA" w:rsidRPr="00596FBC"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596FBC">
              <w:rPr>
                <w:rFonts w:eastAsiaTheme="minorEastAsia" w:cs="Calibri"/>
                <w:color w:val="000000"/>
                <w:szCs w:val="20"/>
                <w:lang w:eastAsia="en-AU"/>
              </w:rPr>
              <w:t>1.3</w:t>
            </w:r>
          </w:p>
        </w:tc>
        <w:tc>
          <w:tcPr>
            <w:tcW w:w="782" w:type="dxa"/>
            <w:tcBorders>
              <w:top w:val="nil"/>
              <w:left w:val="nil"/>
              <w:bottom w:val="nil"/>
              <w:right w:val="nil"/>
            </w:tcBorders>
          </w:tcPr>
          <w:p w:rsidR="00A46DCA" w:rsidRPr="00596FBC"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596FBC">
              <w:rPr>
                <w:rFonts w:eastAsiaTheme="minorEastAsia" w:cs="Calibri"/>
                <w:color w:val="000000"/>
                <w:szCs w:val="20"/>
                <w:lang w:eastAsia="en-AU"/>
              </w:rPr>
              <w:t>4.3</w:t>
            </w:r>
          </w:p>
        </w:tc>
        <w:tc>
          <w:tcPr>
            <w:tcW w:w="782" w:type="dxa"/>
            <w:tcBorders>
              <w:top w:val="nil"/>
              <w:left w:val="nil"/>
              <w:bottom w:val="nil"/>
              <w:right w:val="nil"/>
            </w:tcBorders>
          </w:tcPr>
          <w:p w:rsidR="00A46DCA" w:rsidRPr="00596FBC"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596FBC">
              <w:rPr>
                <w:rFonts w:eastAsiaTheme="minorEastAsia" w:cs="Calibri"/>
                <w:color w:val="000000"/>
                <w:szCs w:val="20"/>
                <w:lang w:eastAsia="en-AU"/>
              </w:rPr>
              <w:t>2.9</w:t>
            </w:r>
          </w:p>
        </w:tc>
        <w:tc>
          <w:tcPr>
            <w:tcW w:w="782" w:type="dxa"/>
            <w:tcBorders>
              <w:top w:val="nil"/>
              <w:left w:val="nil"/>
              <w:bottom w:val="nil"/>
              <w:right w:val="nil"/>
            </w:tcBorders>
          </w:tcPr>
          <w:p w:rsidR="00A46DCA" w:rsidRPr="00596FBC"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596FBC">
              <w:rPr>
                <w:rFonts w:eastAsiaTheme="minorEastAsia" w:cs="Calibri"/>
                <w:color w:val="000000"/>
                <w:szCs w:val="20"/>
                <w:lang w:eastAsia="en-AU"/>
              </w:rPr>
              <w:t>1.0</w:t>
            </w:r>
          </w:p>
        </w:tc>
        <w:tc>
          <w:tcPr>
            <w:tcW w:w="663" w:type="dxa"/>
            <w:tcBorders>
              <w:top w:val="nil"/>
              <w:left w:val="nil"/>
              <w:bottom w:val="nil"/>
              <w:right w:val="nil"/>
            </w:tcBorders>
          </w:tcPr>
          <w:p w:rsidR="00A46DCA" w:rsidRPr="00596FBC"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596FBC">
              <w:rPr>
                <w:rFonts w:eastAsiaTheme="minorEastAsia" w:cs="Calibri"/>
                <w:color w:val="000000"/>
                <w:szCs w:val="20"/>
                <w:lang w:eastAsia="en-AU"/>
              </w:rPr>
              <w:t>9.6</w:t>
            </w:r>
          </w:p>
        </w:tc>
      </w:tr>
      <w:tr w:rsidR="00A46DCA" w:rsidRPr="00596FBC" w:rsidTr="00A26D04">
        <w:tc>
          <w:tcPr>
            <w:cnfStyle w:val="001000000000" w:firstRow="0" w:lastRow="0" w:firstColumn="1" w:lastColumn="0" w:oddVBand="0" w:evenVBand="0" w:oddHBand="0" w:evenHBand="0" w:firstRowFirstColumn="0" w:firstRowLastColumn="0" w:lastRowFirstColumn="0" w:lastRowLastColumn="0"/>
            <w:tcW w:w="3969" w:type="dxa"/>
            <w:tcBorders>
              <w:top w:val="nil"/>
              <w:left w:val="nil"/>
              <w:bottom w:val="nil"/>
              <w:right w:val="nil"/>
            </w:tcBorders>
          </w:tcPr>
          <w:p w:rsidR="00A46DCA" w:rsidRPr="00596FBC" w:rsidRDefault="00A46DCA" w:rsidP="00A26D04">
            <w:pPr>
              <w:keepLines w:val="0"/>
              <w:autoSpaceDE w:val="0"/>
              <w:autoSpaceDN w:val="0"/>
              <w:adjustRightInd w:val="0"/>
              <w:rPr>
                <w:rFonts w:eastAsiaTheme="minorEastAsia" w:cs="Calibri"/>
                <w:color w:val="000000"/>
                <w:szCs w:val="20"/>
                <w:vertAlign w:val="superscript"/>
                <w:lang w:eastAsia="en-AU"/>
              </w:rPr>
            </w:pPr>
            <w:r w:rsidRPr="00596FBC">
              <w:rPr>
                <w:rFonts w:eastAsiaTheme="minorEastAsia" w:cs="Calibri"/>
                <w:color w:val="000000"/>
                <w:szCs w:val="20"/>
                <w:lang w:eastAsia="en-AU"/>
              </w:rPr>
              <w:t xml:space="preserve">Murray Valley Highway upgrade </w:t>
            </w:r>
            <w:r w:rsidRPr="00596FBC">
              <w:rPr>
                <w:rFonts w:eastAsiaTheme="minorEastAsia" w:cs="Calibri"/>
                <w:color w:val="000000"/>
                <w:szCs w:val="20"/>
                <w:vertAlign w:val="superscript"/>
                <w:lang w:eastAsia="en-AU"/>
              </w:rPr>
              <w:t>(a)(</w:t>
            </w:r>
            <w:proofErr w:type="spellStart"/>
            <w:r w:rsidRPr="00596FBC">
              <w:rPr>
                <w:rFonts w:eastAsiaTheme="minorEastAsia" w:cs="Calibri"/>
                <w:color w:val="000000"/>
                <w:szCs w:val="20"/>
                <w:vertAlign w:val="superscript"/>
                <w:lang w:eastAsia="en-AU"/>
              </w:rPr>
              <w:t>i</w:t>
            </w:r>
            <w:proofErr w:type="spellEnd"/>
            <w:r w:rsidRPr="00596FBC">
              <w:rPr>
                <w:rFonts w:eastAsiaTheme="minorEastAsia" w:cs="Calibri"/>
                <w:color w:val="000000"/>
                <w:szCs w:val="20"/>
                <w:vertAlign w:val="superscript"/>
                <w:lang w:eastAsia="en-AU"/>
              </w:rPr>
              <w:t>)</w:t>
            </w:r>
          </w:p>
        </w:tc>
        <w:tc>
          <w:tcPr>
            <w:tcW w:w="777" w:type="dxa"/>
            <w:gridSpan w:val="2"/>
            <w:tcBorders>
              <w:top w:val="nil"/>
              <w:left w:val="nil"/>
              <w:bottom w:val="nil"/>
              <w:right w:val="nil"/>
            </w:tcBorders>
          </w:tcPr>
          <w:p w:rsidR="00A46DCA" w:rsidRPr="00596FBC"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596FBC">
              <w:rPr>
                <w:rFonts w:eastAsiaTheme="minorEastAsia" w:cs="Calibri"/>
                <w:color w:val="000000"/>
                <w:szCs w:val="20"/>
                <w:lang w:eastAsia="en-AU"/>
              </w:rPr>
              <w:t>3.7</w:t>
            </w:r>
          </w:p>
        </w:tc>
        <w:tc>
          <w:tcPr>
            <w:tcW w:w="782" w:type="dxa"/>
            <w:tcBorders>
              <w:top w:val="nil"/>
              <w:left w:val="nil"/>
              <w:bottom w:val="nil"/>
              <w:right w:val="nil"/>
            </w:tcBorders>
          </w:tcPr>
          <w:p w:rsidR="00A46DCA" w:rsidRPr="00596FBC"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596FBC">
              <w:rPr>
                <w:rFonts w:eastAsiaTheme="minorEastAsia" w:cs="Calibri"/>
                <w:color w:val="000000"/>
                <w:szCs w:val="20"/>
                <w:lang w:eastAsia="en-AU"/>
              </w:rPr>
              <w:t>8.7</w:t>
            </w:r>
          </w:p>
        </w:tc>
        <w:tc>
          <w:tcPr>
            <w:tcW w:w="782" w:type="dxa"/>
            <w:tcBorders>
              <w:top w:val="nil"/>
              <w:left w:val="nil"/>
              <w:bottom w:val="nil"/>
              <w:right w:val="nil"/>
            </w:tcBorders>
          </w:tcPr>
          <w:p w:rsidR="00A46DCA" w:rsidRPr="00596FBC"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596FBC">
              <w:rPr>
                <w:rFonts w:eastAsiaTheme="minorEastAsia" w:cs="Calibri"/>
                <w:color w:val="000000"/>
                <w:szCs w:val="20"/>
                <w:lang w:eastAsia="en-AU"/>
              </w:rPr>
              <w:t>6.8</w:t>
            </w:r>
          </w:p>
        </w:tc>
        <w:tc>
          <w:tcPr>
            <w:tcW w:w="782" w:type="dxa"/>
            <w:tcBorders>
              <w:top w:val="nil"/>
              <w:left w:val="nil"/>
              <w:bottom w:val="nil"/>
              <w:right w:val="nil"/>
            </w:tcBorders>
          </w:tcPr>
          <w:p w:rsidR="00A46DCA" w:rsidRPr="00596FBC"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596FBC">
              <w:rPr>
                <w:rFonts w:eastAsiaTheme="minorEastAsia" w:cs="Calibri"/>
                <w:color w:val="000000"/>
                <w:szCs w:val="20"/>
                <w:lang w:eastAsia="en-AU"/>
              </w:rPr>
              <w:t>..</w:t>
            </w:r>
          </w:p>
        </w:tc>
        <w:tc>
          <w:tcPr>
            <w:tcW w:w="663" w:type="dxa"/>
            <w:tcBorders>
              <w:top w:val="nil"/>
              <w:left w:val="nil"/>
              <w:bottom w:val="nil"/>
              <w:right w:val="nil"/>
            </w:tcBorders>
          </w:tcPr>
          <w:p w:rsidR="00A46DCA" w:rsidRPr="00596FBC"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596FBC">
              <w:rPr>
                <w:rFonts w:eastAsiaTheme="minorEastAsia" w:cs="Calibri"/>
                <w:color w:val="000000"/>
                <w:szCs w:val="20"/>
                <w:lang w:eastAsia="en-AU"/>
              </w:rPr>
              <w:t>19.2</w:t>
            </w:r>
          </w:p>
        </w:tc>
      </w:tr>
      <w:tr w:rsidR="00A46DCA" w:rsidRPr="00596FBC" w:rsidTr="00A26D04">
        <w:tc>
          <w:tcPr>
            <w:cnfStyle w:val="001000000000" w:firstRow="0" w:lastRow="0" w:firstColumn="1" w:lastColumn="0" w:oddVBand="0" w:evenVBand="0" w:oddHBand="0" w:evenHBand="0" w:firstRowFirstColumn="0" w:firstRowLastColumn="0" w:lastRowFirstColumn="0" w:lastRowLastColumn="0"/>
            <w:tcW w:w="3969" w:type="dxa"/>
            <w:tcBorders>
              <w:top w:val="nil"/>
              <w:left w:val="nil"/>
              <w:bottom w:val="nil"/>
              <w:right w:val="nil"/>
            </w:tcBorders>
          </w:tcPr>
          <w:p w:rsidR="00A46DCA" w:rsidRPr="00596FBC" w:rsidRDefault="00A46DCA" w:rsidP="00A26D04">
            <w:pPr>
              <w:keepLines w:val="0"/>
              <w:autoSpaceDE w:val="0"/>
              <w:autoSpaceDN w:val="0"/>
              <w:adjustRightInd w:val="0"/>
              <w:rPr>
                <w:rFonts w:eastAsiaTheme="minorEastAsia" w:cs="Calibri"/>
                <w:color w:val="000000"/>
                <w:szCs w:val="20"/>
                <w:lang w:eastAsia="en-AU"/>
              </w:rPr>
            </w:pPr>
            <w:r w:rsidRPr="00596FBC">
              <w:rPr>
                <w:rFonts w:eastAsiaTheme="minorEastAsia" w:cs="Calibri"/>
                <w:color w:val="000000"/>
                <w:szCs w:val="20"/>
                <w:lang w:eastAsia="en-AU"/>
              </w:rPr>
              <w:t>Network Transition Plan – Phase A</w:t>
            </w:r>
          </w:p>
        </w:tc>
        <w:tc>
          <w:tcPr>
            <w:tcW w:w="777" w:type="dxa"/>
            <w:gridSpan w:val="2"/>
            <w:tcBorders>
              <w:top w:val="nil"/>
              <w:left w:val="nil"/>
              <w:bottom w:val="nil"/>
              <w:right w:val="nil"/>
            </w:tcBorders>
          </w:tcPr>
          <w:p w:rsidR="00A46DCA" w:rsidRPr="00596FBC"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596FBC">
              <w:rPr>
                <w:rFonts w:eastAsiaTheme="minorEastAsia" w:cs="Calibri"/>
                <w:color w:val="000000"/>
                <w:szCs w:val="20"/>
                <w:lang w:eastAsia="en-AU"/>
              </w:rPr>
              <w:t>102.3</w:t>
            </w:r>
          </w:p>
        </w:tc>
        <w:tc>
          <w:tcPr>
            <w:tcW w:w="782" w:type="dxa"/>
            <w:tcBorders>
              <w:top w:val="nil"/>
              <w:left w:val="nil"/>
              <w:bottom w:val="nil"/>
              <w:right w:val="nil"/>
            </w:tcBorders>
          </w:tcPr>
          <w:p w:rsidR="00A46DCA" w:rsidRPr="00596FBC"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596FBC">
              <w:rPr>
                <w:rFonts w:eastAsiaTheme="minorEastAsia" w:cs="Calibri"/>
                <w:color w:val="000000"/>
                <w:szCs w:val="20"/>
                <w:lang w:eastAsia="en-AU"/>
              </w:rPr>
              <w:t>100.2</w:t>
            </w:r>
          </w:p>
        </w:tc>
        <w:tc>
          <w:tcPr>
            <w:tcW w:w="782" w:type="dxa"/>
            <w:tcBorders>
              <w:top w:val="nil"/>
              <w:left w:val="nil"/>
              <w:bottom w:val="nil"/>
              <w:right w:val="nil"/>
            </w:tcBorders>
          </w:tcPr>
          <w:p w:rsidR="00A46DCA" w:rsidRPr="00596FBC"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596FBC">
              <w:rPr>
                <w:rFonts w:eastAsiaTheme="minorEastAsia" w:cs="Calibri"/>
                <w:color w:val="000000"/>
                <w:szCs w:val="20"/>
                <w:lang w:eastAsia="en-AU"/>
              </w:rPr>
              <w:t>19.8</w:t>
            </w:r>
          </w:p>
        </w:tc>
        <w:tc>
          <w:tcPr>
            <w:tcW w:w="782" w:type="dxa"/>
            <w:tcBorders>
              <w:top w:val="nil"/>
              <w:left w:val="nil"/>
              <w:bottom w:val="nil"/>
              <w:right w:val="nil"/>
            </w:tcBorders>
          </w:tcPr>
          <w:p w:rsidR="00A46DCA" w:rsidRPr="00596FBC"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596FBC">
              <w:rPr>
                <w:rFonts w:eastAsiaTheme="minorEastAsia" w:cs="Calibri"/>
                <w:color w:val="000000"/>
                <w:szCs w:val="20"/>
                <w:lang w:eastAsia="en-AU"/>
              </w:rPr>
              <w:t>..</w:t>
            </w:r>
          </w:p>
        </w:tc>
        <w:tc>
          <w:tcPr>
            <w:tcW w:w="663" w:type="dxa"/>
            <w:tcBorders>
              <w:top w:val="nil"/>
              <w:left w:val="nil"/>
              <w:bottom w:val="nil"/>
              <w:right w:val="nil"/>
            </w:tcBorders>
          </w:tcPr>
          <w:p w:rsidR="00A46DCA" w:rsidRPr="00596FBC"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596FBC">
              <w:rPr>
                <w:rFonts w:eastAsiaTheme="minorEastAsia" w:cs="Calibri"/>
                <w:color w:val="000000"/>
                <w:szCs w:val="20"/>
                <w:lang w:eastAsia="en-AU"/>
              </w:rPr>
              <w:t>222.3</w:t>
            </w:r>
          </w:p>
        </w:tc>
      </w:tr>
      <w:tr w:rsidR="00A46DCA" w:rsidRPr="00596FBC" w:rsidTr="00A26D04">
        <w:tc>
          <w:tcPr>
            <w:cnfStyle w:val="001000000000" w:firstRow="0" w:lastRow="0" w:firstColumn="1" w:lastColumn="0" w:oddVBand="0" w:evenVBand="0" w:oddHBand="0" w:evenHBand="0" w:firstRowFirstColumn="0" w:firstRowLastColumn="0" w:lastRowFirstColumn="0" w:lastRowLastColumn="0"/>
            <w:tcW w:w="3969" w:type="dxa"/>
            <w:tcBorders>
              <w:top w:val="nil"/>
              <w:left w:val="nil"/>
              <w:bottom w:val="nil"/>
              <w:right w:val="nil"/>
            </w:tcBorders>
          </w:tcPr>
          <w:p w:rsidR="00A46DCA" w:rsidRPr="00596FBC" w:rsidRDefault="00A46DCA" w:rsidP="00A26D04">
            <w:pPr>
              <w:keepLines w:val="0"/>
              <w:autoSpaceDE w:val="0"/>
              <w:autoSpaceDN w:val="0"/>
              <w:adjustRightInd w:val="0"/>
              <w:rPr>
                <w:rFonts w:eastAsiaTheme="minorEastAsia" w:cs="Calibri"/>
                <w:color w:val="000000"/>
                <w:szCs w:val="20"/>
                <w:vertAlign w:val="superscript"/>
                <w:lang w:eastAsia="en-AU"/>
              </w:rPr>
            </w:pPr>
            <w:r w:rsidRPr="00596FBC">
              <w:rPr>
                <w:rFonts w:eastAsiaTheme="minorEastAsia" w:cs="Calibri"/>
                <w:color w:val="000000"/>
                <w:szCs w:val="20"/>
                <w:lang w:eastAsia="en-AU"/>
              </w:rPr>
              <w:t xml:space="preserve">Princes Highway East – Upgrades east of Sale </w:t>
            </w:r>
            <w:r w:rsidRPr="00596FBC">
              <w:rPr>
                <w:rFonts w:eastAsiaTheme="minorEastAsia" w:cs="Calibri"/>
                <w:color w:val="000000"/>
                <w:szCs w:val="20"/>
                <w:vertAlign w:val="superscript"/>
                <w:lang w:eastAsia="en-AU"/>
              </w:rPr>
              <w:t>(a)(j)</w:t>
            </w:r>
          </w:p>
        </w:tc>
        <w:tc>
          <w:tcPr>
            <w:tcW w:w="777" w:type="dxa"/>
            <w:gridSpan w:val="2"/>
            <w:tcBorders>
              <w:top w:val="nil"/>
              <w:left w:val="nil"/>
              <w:bottom w:val="nil"/>
              <w:right w:val="nil"/>
            </w:tcBorders>
          </w:tcPr>
          <w:p w:rsidR="00A46DCA" w:rsidRPr="00596FBC"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596FBC">
              <w:rPr>
                <w:rFonts w:eastAsiaTheme="minorEastAsia" w:cs="Calibri"/>
                <w:color w:val="000000"/>
                <w:szCs w:val="20"/>
                <w:lang w:eastAsia="en-AU"/>
              </w:rPr>
              <w:t>6.0</w:t>
            </w:r>
          </w:p>
        </w:tc>
        <w:tc>
          <w:tcPr>
            <w:tcW w:w="782" w:type="dxa"/>
            <w:tcBorders>
              <w:top w:val="nil"/>
              <w:left w:val="nil"/>
              <w:bottom w:val="nil"/>
              <w:right w:val="nil"/>
            </w:tcBorders>
          </w:tcPr>
          <w:p w:rsidR="00A46DCA" w:rsidRPr="00596FBC"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596FBC">
              <w:rPr>
                <w:rFonts w:eastAsiaTheme="minorEastAsia" w:cs="Calibri"/>
                <w:color w:val="000000"/>
                <w:szCs w:val="20"/>
                <w:lang w:eastAsia="en-AU"/>
              </w:rPr>
              <w:t>17.8</w:t>
            </w:r>
          </w:p>
        </w:tc>
        <w:tc>
          <w:tcPr>
            <w:tcW w:w="782" w:type="dxa"/>
            <w:tcBorders>
              <w:top w:val="nil"/>
              <w:left w:val="nil"/>
              <w:bottom w:val="nil"/>
              <w:right w:val="nil"/>
            </w:tcBorders>
          </w:tcPr>
          <w:p w:rsidR="00A46DCA" w:rsidRPr="00596FBC"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596FBC">
              <w:rPr>
                <w:rFonts w:eastAsiaTheme="minorEastAsia" w:cs="Calibri"/>
                <w:color w:val="000000"/>
                <w:szCs w:val="20"/>
                <w:lang w:eastAsia="en-AU"/>
              </w:rPr>
              <w:t>14.4</w:t>
            </w:r>
          </w:p>
        </w:tc>
        <w:tc>
          <w:tcPr>
            <w:tcW w:w="782" w:type="dxa"/>
            <w:tcBorders>
              <w:top w:val="nil"/>
              <w:left w:val="nil"/>
              <w:bottom w:val="nil"/>
              <w:right w:val="nil"/>
            </w:tcBorders>
          </w:tcPr>
          <w:p w:rsidR="00A46DCA" w:rsidRPr="00596FBC"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596FBC">
              <w:rPr>
                <w:rFonts w:eastAsiaTheme="minorEastAsia" w:cs="Calibri"/>
                <w:color w:val="000000"/>
                <w:szCs w:val="20"/>
                <w:lang w:eastAsia="en-AU"/>
              </w:rPr>
              <w:t>9.6</w:t>
            </w:r>
          </w:p>
        </w:tc>
        <w:tc>
          <w:tcPr>
            <w:tcW w:w="663" w:type="dxa"/>
            <w:tcBorders>
              <w:top w:val="nil"/>
              <w:left w:val="nil"/>
              <w:bottom w:val="nil"/>
              <w:right w:val="nil"/>
            </w:tcBorders>
          </w:tcPr>
          <w:p w:rsidR="00A46DCA" w:rsidRPr="00596FBC"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596FBC">
              <w:rPr>
                <w:rFonts w:eastAsiaTheme="minorEastAsia" w:cs="Calibri"/>
                <w:color w:val="000000"/>
                <w:szCs w:val="20"/>
                <w:lang w:eastAsia="en-AU"/>
              </w:rPr>
              <w:t>48.1</w:t>
            </w:r>
          </w:p>
        </w:tc>
      </w:tr>
      <w:tr w:rsidR="00A46DCA" w:rsidRPr="00596FBC" w:rsidTr="00A26D04">
        <w:tc>
          <w:tcPr>
            <w:cnfStyle w:val="001000000000" w:firstRow="0" w:lastRow="0" w:firstColumn="1" w:lastColumn="0" w:oddVBand="0" w:evenVBand="0" w:oddHBand="0" w:evenHBand="0" w:firstRowFirstColumn="0" w:firstRowLastColumn="0" w:lastRowFirstColumn="0" w:lastRowLastColumn="0"/>
            <w:tcW w:w="3969" w:type="dxa"/>
            <w:tcBorders>
              <w:top w:val="nil"/>
              <w:left w:val="nil"/>
              <w:bottom w:val="nil"/>
              <w:right w:val="nil"/>
            </w:tcBorders>
          </w:tcPr>
          <w:p w:rsidR="00A46DCA" w:rsidRPr="00596FBC" w:rsidRDefault="00A46DCA" w:rsidP="00D02086">
            <w:pPr>
              <w:keepLines w:val="0"/>
              <w:autoSpaceDE w:val="0"/>
              <w:autoSpaceDN w:val="0"/>
              <w:adjustRightInd w:val="0"/>
              <w:rPr>
                <w:rFonts w:eastAsiaTheme="minorEastAsia" w:cs="Calibri"/>
                <w:color w:val="000000"/>
                <w:szCs w:val="20"/>
                <w:lang w:eastAsia="en-AU"/>
              </w:rPr>
            </w:pPr>
            <w:r w:rsidRPr="00596FBC">
              <w:rPr>
                <w:rFonts w:eastAsiaTheme="minorEastAsia" w:cs="Calibri"/>
                <w:color w:val="000000"/>
                <w:szCs w:val="20"/>
                <w:lang w:eastAsia="en-AU"/>
              </w:rPr>
              <w:t xml:space="preserve">Property acquisition </w:t>
            </w:r>
            <w:r w:rsidR="00D02086">
              <w:rPr>
                <w:rFonts w:eastAsiaTheme="minorEastAsia" w:cs="Calibri"/>
                <w:color w:val="000000"/>
                <w:szCs w:val="20"/>
                <w:lang w:eastAsia="en-AU"/>
              </w:rPr>
              <w:t>–</w:t>
            </w:r>
            <w:r w:rsidRPr="00596FBC">
              <w:rPr>
                <w:rFonts w:eastAsiaTheme="minorEastAsia" w:cs="Calibri"/>
                <w:color w:val="000000"/>
                <w:szCs w:val="20"/>
                <w:lang w:eastAsia="en-AU"/>
              </w:rPr>
              <w:t xml:space="preserve"> Hyde St, Yarraville</w:t>
            </w:r>
          </w:p>
        </w:tc>
        <w:tc>
          <w:tcPr>
            <w:tcW w:w="777" w:type="dxa"/>
            <w:gridSpan w:val="2"/>
            <w:tcBorders>
              <w:top w:val="nil"/>
              <w:left w:val="nil"/>
              <w:bottom w:val="nil"/>
              <w:right w:val="nil"/>
            </w:tcBorders>
          </w:tcPr>
          <w:p w:rsidR="00A46DCA" w:rsidRPr="00596FBC"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596FBC">
              <w:rPr>
                <w:rFonts w:eastAsiaTheme="minorEastAsia" w:cs="Calibri"/>
                <w:color w:val="000000"/>
                <w:szCs w:val="20"/>
                <w:lang w:eastAsia="en-AU"/>
              </w:rPr>
              <w:t>4.0</w:t>
            </w:r>
          </w:p>
        </w:tc>
        <w:tc>
          <w:tcPr>
            <w:tcW w:w="782" w:type="dxa"/>
            <w:tcBorders>
              <w:top w:val="nil"/>
              <w:left w:val="nil"/>
              <w:bottom w:val="nil"/>
              <w:right w:val="nil"/>
            </w:tcBorders>
          </w:tcPr>
          <w:p w:rsidR="00A46DCA" w:rsidRPr="00596FBC"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596FBC">
              <w:rPr>
                <w:rFonts w:eastAsiaTheme="minorEastAsia" w:cs="Calibri"/>
                <w:color w:val="000000"/>
                <w:szCs w:val="20"/>
                <w:lang w:eastAsia="en-AU"/>
              </w:rPr>
              <w:t>3.0</w:t>
            </w:r>
          </w:p>
        </w:tc>
        <w:tc>
          <w:tcPr>
            <w:tcW w:w="782" w:type="dxa"/>
            <w:tcBorders>
              <w:top w:val="nil"/>
              <w:left w:val="nil"/>
              <w:bottom w:val="nil"/>
              <w:right w:val="nil"/>
            </w:tcBorders>
          </w:tcPr>
          <w:p w:rsidR="00A46DCA" w:rsidRPr="00596FBC"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596FBC">
              <w:rPr>
                <w:rFonts w:eastAsiaTheme="minorEastAsia" w:cs="Calibri"/>
                <w:color w:val="000000"/>
                <w:szCs w:val="20"/>
                <w:lang w:eastAsia="en-AU"/>
              </w:rPr>
              <w:t>3.0</w:t>
            </w:r>
          </w:p>
        </w:tc>
        <w:tc>
          <w:tcPr>
            <w:tcW w:w="782" w:type="dxa"/>
            <w:tcBorders>
              <w:top w:val="nil"/>
              <w:left w:val="nil"/>
              <w:bottom w:val="nil"/>
              <w:right w:val="nil"/>
            </w:tcBorders>
          </w:tcPr>
          <w:p w:rsidR="00A46DCA" w:rsidRPr="00596FBC"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596FBC">
              <w:rPr>
                <w:rFonts w:eastAsiaTheme="minorEastAsia" w:cs="Calibri"/>
                <w:color w:val="000000"/>
                <w:szCs w:val="20"/>
                <w:lang w:eastAsia="en-AU"/>
              </w:rPr>
              <w:t>..</w:t>
            </w:r>
          </w:p>
        </w:tc>
        <w:tc>
          <w:tcPr>
            <w:tcW w:w="663" w:type="dxa"/>
            <w:tcBorders>
              <w:top w:val="nil"/>
              <w:left w:val="nil"/>
              <w:bottom w:val="nil"/>
              <w:right w:val="nil"/>
            </w:tcBorders>
          </w:tcPr>
          <w:p w:rsidR="00A46DCA" w:rsidRPr="00596FBC"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596FBC">
              <w:rPr>
                <w:rFonts w:eastAsiaTheme="minorEastAsia" w:cs="Calibri"/>
                <w:color w:val="000000"/>
                <w:szCs w:val="20"/>
                <w:lang w:eastAsia="en-AU"/>
              </w:rPr>
              <w:t>10.0</w:t>
            </w:r>
          </w:p>
        </w:tc>
      </w:tr>
      <w:tr w:rsidR="00A46DCA" w:rsidRPr="00596FBC" w:rsidTr="00A26D04">
        <w:tc>
          <w:tcPr>
            <w:cnfStyle w:val="001000000000" w:firstRow="0" w:lastRow="0" w:firstColumn="1" w:lastColumn="0" w:oddVBand="0" w:evenVBand="0" w:oddHBand="0" w:evenHBand="0" w:firstRowFirstColumn="0" w:firstRowLastColumn="0" w:lastRowFirstColumn="0" w:lastRowLastColumn="0"/>
            <w:tcW w:w="3969" w:type="dxa"/>
            <w:tcBorders>
              <w:top w:val="nil"/>
              <w:left w:val="nil"/>
              <w:bottom w:val="nil"/>
              <w:right w:val="nil"/>
            </w:tcBorders>
          </w:tcPr>
          <w:p w:rsidR="00A46DCA" w:rsidRPr="00596FBC" w:rsidRDefault="00A46DCA" w:rsidP="00A26D04">
            <w:pPr>
              <w:keepLines w:val="0"/>
              <w:autoSpaceDE w:val="0"/>
              <w:autoSpaceDN w:val="0"/>
              <w:adjustRightInd w:val="0"/>
              <w:rPr>
                <w:rFonts w:eastAsiaTheme="minorEastAsia" w:cs="Calibri"/>
                <w:color w:val="000000"/>
                <w:szCs w:val="20"/>
                <w:lang w:eastAsia="en-AU"/>
              </w:rPr>
            </w:pPr>
            <w:r w:rsidRPr="00596FBC">
              <w:rPr>
                <w:rFonts w:eastAsiaTheme="minorEastAsia" w:cs="Calibri"/>
                <w:color w:val="000000"/>
                <w:szCs w:val="20"/>
                <w:lang w:eastAsia="en-AU"/>
              </w:rPr>
              <w:t xml:space="preserve">Purchase of Australian Sustainable Hardwoods </w:t>
            </w:r>
          </w:p>
        </w:tc>
        <w:tc>
          <w:tcPr>
            <w:tcW w:w="777" w:type="dxa"/>
            <w:gridSpan w:val="2"/>
            <w:tcBorders>
              <w:top w:val="nil"/>
              <w:left w:val="nil"/>
              <w:bottom w:val="nil"/>
              <w:right w:val="nil"/>
            </w:tcBorders>
          </w:tcPr>
          <w:p w:rsidR="00A46DCA" w:rsidRPr="00596FBC"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596FBC">
              <w:rPr>
                <w:rFonts w:eastAsiaTheme="minorEastAsia" w:cs="Calibri"/>
                <w:color w:val="000000"/>
                <w:szCs w:val="20"/>
                <w:lang w:eastAsia="en-AU"/>
              </w:rPr>
              <w:t>50.6</w:t>
            </w:r>
          </w:p>
        </w:tc>
        <w:tc>
          <w:tcPr>
            <w:tcW w:w="782" w:type="dxa"/>
            <w:tcBorders>
              <w:top w:val="nil"/>
              <w:left w:val="nil"/>
              <w:bottom w:val="nil"/>
              <w:right w:val="nil"/>
            </w:tcBorders>
          </w:tcPr>
          <w:p w:rsidR="00A46DCA" w:rsidRPr="00596FBC"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596FBC">
              <w:rPr>
                <w:rFonts w:eastAsiaTheme="minorEastAsia" w:cs="Calibri"/>
                <w:color w:val="000000"/>
                <w:szCs w:val="20"/>
                <w:lang w:eastAsia="en-AU"/>
              </w:rPr>
              <w:t>..</w:t>
            </w:r>
          </w:p>
        </w:tc>
        <w:tc>
          <w:tcPr>
            <w:tcW w:w="782" w:type="dxa"/>
            <w:tcBorders>
              <w:top w:val="nil"/>
              <w:left w:val="nil"/>
              <w:bottom w:val="nil"/>
              <w:right w:val="nil"/>
            </w:tcBorders>
          </w:tcPr>
          <w:p w:rsidR="00A46DCA" w:rsidRPr="00596FBC"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596FBC">
              <w:rPr>
                <w:rFonts w:eastAsiaTheme="minorEastAsia" w:cs="Calibri"/>
                <w:color w:val="000000"/>
                <w:szCs w:val="20"/>
                <w:lang w:eastAsia="en-AU"/>
              </w:rPr>
              <w:t>..</w:t>
            </w:r>
          </w:p>
        </w:tc>
        <w:tc>
          <w:tcPr>
            <w:tcW w:w="782" w:type="dxa"/>
            <w:tcBorders>
              <w:top w:val="nil"/>
              <w:left w:val="nil"/>
              <w:bottom w:val="nil"/>
              <w:right w:val="nil"/>
            </w:tcBorders>
          </w:tcPr>
          <w:p w:rsidR="00A46DCA" w:rsidRPr="00596FBC"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596FBC">
              <w:rPr>
                <w:rFonts w:eastAsiaTheme="minorEastAsia" w:cs="Calibri"/>
                <w:color w:val="000000"/>
                <w:szCs w:val="20"/>
                <w:lang w:eastAsia="en-AU"/>
              </w:rPr>
              <w:t>..</w:t>
            </w:r>
          </w:p>
        </w:tc>
        <w:tc>
          <w:tcPr>
            <w:tcW w:w="663" w:type="dxa"/>
            <w:tcBorders>
              <w:top w:val="nil"/>
              <w:left w:val="nil"/>
              <w:bottom w:val="nil"/>
              <w:right w:val="nil"/>
            </w:tcBorders>
          </w:tcPr>
          <w:p w:rsidR="00A46DCA" w:rsidRPr="00596FBC"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596FBC">
              <w:rPr>
                <w:rFonts w:eastAsiaTheme="minorEastAsia" w:cs="Calibri"/>
                <w:color w:val="000000"/>
                <w:szCs w:val="20"/>
                <w:lang w:eastAsia="en-AU"/>
              </w:rPr>
              <w:t>50.6</w:t>
            </w:r>
          </w:p>
        </w:tc>
      </w:tr>
      <w:tr w:rsidR="00A46DCA" w:rsidRPr="00596FBC" w:rsidTr="00A26D04">
        <w:tc>
          <w:tcPr>
            <w:cnfStyle w:val="001000000000" w:firstRow="0" w:lastRow="0" w:firstColumn="1" w:lastColumn="0" w:oddVBand="0" w:evenVBand="0" w:oddHBand="0" w:evenHBand="0" w:firstRowFirstColumn="0" w:firstRowLastColumn="0" w:lastRowFirstColumn="0" w:lastRowLastColumn="0"/>
            <w:tcW w:w="3969" w:type="dxa"/>
            <w:tcBorders>
              <w:top w:val="nil"/>
              <w:left w:val="nil"/>
              <w:bottom w:val="nil"/>
              <w:right w:val="nil"/>
            </w:tcBorders>
          </w:tcPr>
          <w:p w:rsidR="00A46DCA" w:rsidRPr="00596FBC" w:rsidRDefault="00A46DCA" w:rsidP="00A26D04">
            <w:pPr>
              <w:keepLines w:val="0"/>
              <w:autoSpaceDE w:val="0"/>
              <w:autoSpaceDN w:val="0"/>
              <w:adjustRightInd w:val="0"/>
              <w:rPr>
                <w:rFonts w:eastAsiaTheme="minorEastAsia" w:cs="Calibri"/>
                <w:color w:val="000000"/>
                <w:szCs w:val="20"/>
                <w:vertAlign w:val="superscript"/>
                <w:lang w:eastAsia="en-AU"/>
              </w:rPr>
            </w:pPr>
            <w:r w:rsidRPr="00596FBC">
              <w:rPr>
                <w:rFonts w:eastAsiaTheme="minorEastAsia" w:cs="Calibri"/>
                <w:color w:val="000000"/>
                <w:szCs w:val="20"/>
                <w:lang w:eastAsia="en-AU"/>
              </w:rPr>
              <w:t xml:space="preserve">Rutherglen Alternative Truck Route </w:t>
            </w:r>
            <w:r w:rsidRPr="00596FBC">
              <w:rPr>
                <w:rFonts w:eastAsiaTheme="minorEastAsia" w:cs="Calibri"/>
                <w:color w:val="000000"/>
                <w:szCs w:val="20"/>
                <w:vertAlign w:val="superscript"/>
                <w:lang w:eastAsia="en-AU"/>
              </w:rPr>
              <w:t>(a)(k)</w:t>
            </w:r>
          </w:p>
        </w:tc>
        <w:tc>
          <w:tcPr>
            <w:tcW w:w="777" w:type="dxa"/>
            <w:gridSpan w:val="2"/>
            <w:tcBorders>
              <w:top w:val="nil"/>
              <w:left w:val="nil"/>
              <w:bottom w:val="nil"/>
              <w:right w:val="nil"/>
            </w:tcBorders>
          </w:tcPr>
          <w:p w:rsidR="00A46DCA" w:rsidRPr="00596FBC"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596FBC">
              <w:rPr>
                <w:rFonts w:eastAsiaTheme="minorEastAsia" w:cs="Calibri"/>
                <w:color w:val="000000"/>
                <w:szCs w:val="20"/>
                <w:lang w:eastAsia="en-AU"/>
              </w:rPr>
              <w:t>0.9</w:t>
            </w:r>
          </w:p>
        </w:tc>
        <w:tc>
          <w:tcPr>
            <w:tcW w:w="782" w:type="dxa"/>
            <w:tcBorders>
              <w:top w:val="nil"/>
              <w:left w:val="nil"/>
              <w:bottom w:val="nil"/>
              <w:right w:val="nil"/>
            </w:tcBorders>
          </w:tcPr>
          <w:p w:rsidR="00A46DCA" w:rsidRPr="00596FBC"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596FBC">
              <w:rPr>
                <w:rFonts w:eastAsiaTheme="minorEastAsia" w:cs="Calibri"/>
                <w:color w:val="000000"/>
                <w:szCs w:val="20"/>
                <w:lang w:eastAsia="en-AU"/>
              </w:rPr>
              <w:t>2.4</w:t>
            </w:r>
          </w:p>
        </w:tc>
        <w:tc>
          <w:tcPr>
            <w:tcW w:w="782" w:type="dxa"/>
            <w:tcBorders>
              <w:top w:val="nil"/>
              <w:left w:val="nil"/>
              <w:bottom w:val="nil"/>
              <w:right w:val="nil"/>
            </w:tcBorders>
          </w:tcPr>
          <w:p w:rsidR="00A46DCA" w:rsidRPr="00596FBC"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596FBC">
              <w:rPr>
                <w:rFonts w:eastAsiaTheme="minorEastAsia" w:cs="Calibri"/>
                <w:color w:val="000000"/>
                <w:szCs w:val="20"/>
                <w:lang w:eastAsia="en-AU"/>
              </w:rPr>
              <w:t>0.5</w:t>
            </w:r>
          </w:p>
        </w:tc>
        <w:tc>
          <w:tcPr>
            <w:tcW w:w="782" w:type="dxa"/>
            <w:tcBorders>
              <w:top w:val="nil"/>
              <w:left w:val="nil"/>
              <w:bottom w:val="nil"/>
              <w:right w:val="nil"/>
            </w:tcBorders>
          </w:tcPr>
          <w:p w:rsidR="00A46DCA" w:rsidRPr="00596FBC"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596FBC">
              <w:rPr>
                <w:rFonts w:eastAsiaTheme="minorEastAsia" w:cs="Calibri"/>
                <w:color w:val="000000"/>
                <w:szCs w:val="20"/>
                <w:lang w:eastAsia="en-AU"/>
              </w:rPr>
              <w:t>..</w:t>
            </w:r>
          </w:p>
        </w:tc>
        <w:tc>
          <w:tcPr>
            <w:tcW w:w="663" w:type="dxa"/>
            <w:tcBorders>
              <w:top w:val="nil"/>
              <w:left w:val="nil"/>
              <w:bottom w:val="nil"/>
              <w:right w:val="nil"/>
            </w:tcBorders>
          </w:tcPr>
          <w:p w:rsidR="00A46DCA" w:rsidRPr="00596FBC"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596FBC">
              <w:rPr>
                <w:rFonts w:eastAsiaTheme="minorEastAsia" w:cs="Calibri"/>
                <w:color w:val="000000"/>
                <w:szCs w:val="20"/>
                <w:lang w:eastAsia="en-AU"/>
              </w:rPr>
              <w:t>3.8</w:t>
            </w:r>
          </w:p>
        </w:tc>
      </w:tr>
      <w:tr w:rsidR="00A46DCA" w:rsidRPr="00596FBC" w:rsidTr="00A26D04">
        <w:tc>
          <w:tcPr>
            <w:cnfStyle w:val="001000000000" w:firstRow="0" w:lastRow="0" w:firstColumn="1" w:lastColumn="0" w:oddVBand="0" w:evenVBand="0" w:oddHBand="0" w:evenHBand="0" w:firstRowFirstColumn="0" w:firstRowLastColumn="0" w:lastRowFirstColumn="0" w:lastRowLastColumn="0"/>
            <w:tcW w:w="3969" w:type="dxa"/>
            <w:tcBorders>
              <w:top w:val="nil"/>
              <w:left w:val="nil"/>
              <w:bottom w:val="nil"/>
              <w:right w:val="nil"/>
            </w:tcBorders>
          </w:tcPr>
          <w:p w:rsidR="00A46DCA" w:rsidRPr="00596FBC" w:rsidRDefault="00A46DCA" w:rsidP="00A26D04">
            <w:pPr>
              <w:keepLines w:val="0"/>
              <w:autoSpaceDE w:val="0"/>
              <w:autoSpaceDN w:val="0"/>
              <w:adjustRightInd w:val="0"/>
              <w:rPr>
                <w:rFonts w:eastAsiaTheme="minorEastAsia" w:cs="Calibri"/>
                <w:color w:val="000000"/>
                <w:szCs w:val="20"/>
                <w:vertAlign w:val="superscript"/>
                <w:lang w:eastAsia="en-AU"/>
              </w:rPr>
            </w:pPr>
            <w:r w:rsidRPr="00596FBC">
              <w:rPr>
                <w:rFonts w:eastAsiaTheme="minorEastAsia" w:cs="Calibri"/>
                <w:color w:val="000000"/>
                <w:szCs w:val="20"/>
                <w:lang w:eastAsia="en-AU"/>
              </w:rPr>
              <w:t xml:space="preserve">Urban Congestion package </w:t>
            </w:r>
            <w:r w:rsidRPr="00596FBC">
              <w:rPr>
                <w:rFonts w:eastAsiaTheme="minorEastAsia" w:cs="Calibri"/>
                <w:color w:val="000000"/>
                <w:szCs w:val="20"/>
                <w:vertAlign w:val="superscript"/>
                <w:lang w:eastAsia="en-AU"/>
              </w:rPr>
              <w:t>(a)(l)(m)</w:t>
            </w:r>
          </w:p>
        </w:tc>
        <w:tc>
          <w:tcPr>
            <w:tcW w:w="777" w:type="dxa"/>
            <w:gridSpan w:val="2"/>
            <w:tcBorders>
              <w:top w:val="nil"/>
              <w:left w:val="nil"/>
              <w:bottom w:val="nil"/>
              <w:right w:val="nil"/>
            </w:tcBorders>
          </w:tcPr>
          <w:p w:rsidR="00A46DCA" w:rsidRPr="00596FBC"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596FBC">
              <w:rPr>
                <w:rFonts w:eastAsiaTheme="minorEastAsia" w:cs="Calibri"/>
                <w:color w:val="000000"/>
                <w:szCs w:val="20"/>
                <w:lang w:eastAsia="en-AU"/>
              </w:rPr>
              <w:t>13.3</w:t>
            </w:r>
          </w:p>
        </w:tc>
        <w:tc>
          <w:tcPr>
            <w:tcW w:w="782" w:type="dxa"/>
            <w:tcBorders>
              <w:top w:val="nil"/>
              <w:left w:val="nil"/>
              <w:bottom w:val="nil"/>
              <w:right w:val="nil"/>
            </w:tcBorders>
          </w:tcPr>
          <w:p w:rsidR="00A46DCA" w:rsidRPr="00596FBC"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596FBC">
              <w:rPr>
                <w:rFonts w:eastAsiaTheme="minorEastAsia" w:cs="Calibri"/>
                <w:color w:val="000000"/>
                <w:szCs w:val="20"/>
                <w:lang w:eastAsia="en-AU"/>
              </w:rPr>
              <w:t>4.5</w:t>
            </w:r>
          </w:p>
        </w:tc>
        <w:tc>
          <w:tcPr>
            <w:tcW w:w="782" w:type="dxa"/>
            <w:tcBorders>
              <w:top w:val="nil"/>
              <w:left w:val="nil"/>
              <w:bottom w:val="nil"/>
              <w:right w:val="nil"/>
            </w:tcBorders>
          </w:tcPr>
          <w:p w:rsidR="00A46DCA" w:rsidRPr="00596FBC"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596FBC">
              <w:rPr>
                <w:rFonts w:eastAsiaTheme="minorEastAsia" w:cs="Calibri"/>
                <w:color w:val="000000"/>
                <w:szCs w:val="20"/>
                <w:lang w:eastAsia="en-AU"/>
              </w:rPr>
              <w:t>0.5</w:t>
            </w:r>
          </w:p>
        </w:tc>
        <w:tc>
          <w:tcPr>
            <w:tcW w:w="782" w:type="dxa"/>
            <w:tcBorders>
              <w:top w:val="nil"/>
              <w:left w:val="nil"/>
              <w:bottom w:val="nil"/>
              <w:right w:val="nil"/>
            </w:tcBorders>
          </w:tcPr>
          <w:p w:rsidR="00A46DCA" w:rsidRPr="00596FBC"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596FBC">
              <w:rPr>
                <w:rFonts w:eastAsiaTheme="minorEastAsia" w:cs="Calibri"/>
                <w:color w:val="000000"/>
                <w:szCs w:val="20"/>
                <w:lang w:eastAsia="en-AU"/>
              </w:rPr>
              <w:t>..</w:t>
            </w:r>
          </w:p>
        </w:tc>
        <w:tc>
          <w:tcPr>
            <w:tcW w:w="663" w:type="dxa"/>
            <w:tcBorders>
              <w:top w:val="nil"/>
              <w:left w:val="nil"/>
              <w:bottom w:val="nil"/>
              <w:right w:val="nil"/>
            </w:tcBorders>
          </w:tcPr>
          <w:p w:rsidR="00A46DCA" w:rsidRPr="00596FBC"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596FBC">
              <w:rPr>
                <w:rFonts w:eastAsiaTheme="minorEastAsia" w:cs="Calibri"/>
                <w:color w:val="000000"/>
                <w:szCs w:val="20"/>
                <w:lang w:eastAsia="en-AU"/>
              </w:rPr>
              <w:t>19.2</w:t>
            </w:r>
          </w:p>
        </w:tc>
      </w:tr>
      <w:tr w:rsidR="00A46DCA" w:rsidRPr="00596FBC" w:rsidTr="00D02086">
        <w:tc>
          <w:tcPr>
            <w:cnfStyle w:val="001000000000" w:firstRow="0" w:lastRow="0" w:firstColumn="1" w:lastColumn="0" w:oddVBand="0" w:evenVBand="0" w:oddHBand="0" w:evenHBand="0" w:firstRowFirstColumn="0" w:firstRowLastColumn="0" w:lastRowFirstColumn="0" w:lastRowLastColumn="0"/>
            <w:tcW w:w="4158" w:type="dxa"/>
            <w:gridSpan w:val="2"/>
            <w:tcBorders>
              <w:top w:val="nil"/>
              <w:left w:val="nil"/>
              <w:bottom w:val="nil"/>
              <w:right w:val="nil"/>
            </w:tcBorders>
          </w:tcPr>
          <w:p w:rsidR="00A46DCA" w:rsidRPr="00596FBC" w:rsidRDefault="00A46DCA" w:rsidP="00A26D04">
            <w:pPr>
              <w:keepLines w:val="0"/>
              <w:autoSpaceDE w:val="0"/>
              <w:autoSpaceDN w:val="0"/>
              <w:adjustRightInd w:val="0"/>
              <w:rPr>
                <w:rFonts w:eastAsiaTheme="minorEastAsia" w:cs="Calibri"/>
                <w:color w:val="000000"/>
                <w:szCs w:val="20"/>
                <w:vertAlign w:val="superscript"/>
                <w:lang w:eastAsia="en-AU"/>
              </w:rPr>
            </w:pPr>
            <w:r w:rsidRPr="00596FBC">
              <w:rPr>
                <w:rFonts w:eastAsiaTheme="minorEastAsia" w:cs="Calibri"/>
                <w:color w:val="000000"/>
                <w:szCs w:val="20"/>
                <w:lang w:eastAsia="en-AU"/>
              </w:rPr>
              <w:t xml:space="preserve">Western Highway – Stawell to South Australian border </w:t>
            </w:r>
            <w:r w:rsidRPr="00596FBC">
              <w:rPr>
                <w:rFonts w:eastAsiaTheme="minorEastAsia" w:cs="Calibri"/>
                <w:color w:val="000000"/>
                <w:szCs w:val="20"/>
                <w:vertAlign w:val="superscript"/>
                <w:lang w:eastAsia="en-AU"/>
              </w:rPr>
              <w:t>(a)(n)</w:t>
            </w:r>
          </w:p>
        </w:tc>
        <w:tc>
          <w:tcPr>
            <w:tcW w:w="588" w:type="dxa"/>
            <w:tcBorders>
              <w:top w:val="nil"/>
              <w:left w:val="nil"/>
              <w:bottom w:val="nil"/>
              <w:right w:val="nil"/>
            </w:tcBorders>
          </w:tcPr>
          <w:p w:rsidR="00A46DCA" w:rsidRPr="00596FBC"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596FBC">
              <w:rPr>
                <w:rFonts w:eastAsiaTheme="minorEastAsia" w:cs="Calibri"/>
                <w:color w:val="000000"/>
                <w:szCs w:val="20"/>
                <w:lang w:eastAsia="en-AU"/>
              </w:rPr>
              <w:t>3.8</w:t>
            </w:r>
          </w:p>
        </w:tc>
        <w:tc>
          <w:tcPr>
            <w:tcW w:w="782" w:type="dxa"/>
            <w:tcBorders>
              <w:top w:val="nil"/>
              <w:left w:val="nil"/>
              <w:bottom w:val="nil"/>
              <w:right w:val="nil"/>
            </w:tcBorders>
          </w:tcPr>
          <w:p w:rsidR="00A46DCA" w:rsidRPr="00596FBC"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596FBC">
              <w:rPr>
                <w:rFonts w:eastAsiaTheme="minorEastAsia" w:cs="Calibri"/>
                <w:color w:val="000000"/>
                <w:szCs w:val="20"/>
                <w:lang w:eastAsia="en-AU"/>
              </w:rPr>
              <w:t>7.7</w:t>
            </w:r>
          </w:p>
        </w:tc>
        <w:tc>
          <w:tcPr>
            <w:tcW w:w="782" w:type="dxa"/>
            <w:tcBorders>
              <w:top w:val="nil"/>
              <w:left w:val="nil"/>
              <w:bottom w:val="nil"/>
              <w:right w:val="nil"/>
            </w:tcBorders>
          </w:tcPr>
          <w:p w:rsidR="00A46DCA" w:rsidRPr="00596FBC"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596FBC">
              <w:rPr>
                <w:rFonts w:eastAsiaTheme="minorEastAsia" w:cs="Calibri"/>
                <w:color w:val="000000"/>
                <w:szCs w:val="20"/>
                <w:lang w:eastAsia="en-AU"/>
              </w:rPr>
              <w:t>5.3</w:t>
            </w:r>
          </w:p>
        </w:tc>
        <w:tc>
          <w:tcPr>
            <w:tcW w:w="782" w:type="dxa"/>
            <w:tcBorders>
              <w:top w:val="nil"/>
              <w:left w:val="nil"/>
              <w:bottom w:val="nil"/>
              <w:right w:val="nil"/>
            </w:tcBorders>
          </w:tcPr>
          <w:p w:rsidR="00A46DCA" w:rsidRPr="00596FBC"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596FBC">
              <w:rPr>
                <w:rFonts w:eastAsiaTheme="minorEastAsia" w:cs="Calibri"/>
                <w:color w:val="000000"/>
                <w:szCs w:val="20"/>
                <w:lang w:eastAsia="en-AU"/>
              </w:rPr>
              <w:t>1.4</w:t>
            </w:r>
          </w:p>
        </w:tc>
        <w:tc>
          <w:tcPr>
            <w:tcW w:w="663" w:type="dxa"/>
            <w:tcBorders>
              <w:top w:val="nil"/>
              <w:left w:val="nil"/>
              <w:bottom w:val="nil"/>
              <w:right w:val="nil"/>
            </w:tcBorders>
          </w:tcPr>
          <w:p w:rsidR="00A46DCA" w:rsidRPr="00596FBC"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596FBC">
              <w:rPr>
                <w:rFonts w:eastAsiaTheme="minorEastAsia" w:cs="Calibri"/>
                <w:color w:val="000000"/>
                <w:szCs w:val="20"/>
                <w:lang w:eastAsia="en-AU"/>
              </w:rPr>
              <w:t>19.2</w:t>
            </w:r>
          </w:p>
        </w:tc>
      </w:tr>
      <w:tr w:rsidR="00A46DCA" w:rsidRPr="00596FBC" w:rsidTr="00A26D04">
        <w:tc>
          <w:tcPr>
            <w:cnfStyle w:val="001000000000" w:firstRow="0" w:lastRow="0" w:firstColumn="1" w:lastColumn="0" w:oddVBand="0" w:evenVBand="0" w:oddHBand="0" w:evenHBand="0" w:firstRowFirstColumn="0" w:firstRowLastColumn="0" w:lastRowFirstColumn="0" w:lastRowLastColumn="0"/>
            <w:tcW w:w="3969" w:type="dxa"/>
            <w:tcBorders>
              <w:top w:val="single" w:sz="6" w:space="0" w:color="auto"/>
              <w:left w:val="nil"/>
              <w:bottom w:val="single" w:sz="12" w:space="0" w:color="auto"/>
              <w:right w:val="nil"/>
            </w:tcBorders>
          </w:tcPr>
          <w:p w:rsidR="00A46DCA" w:rsidRPr="00596FBC" w:rsidRDefault="00A46DCA" w:rsidP="00A26D04">
            <w:pPr>
              <w:keepLines w:val="0"/>
              <w:autoSpaceDE w:val="0"/>
              <w:autoSpaceDN w:val="0"/>
              <w:adjustRightInd w:val="0"/>
              <w:rPr>
                <w:rFonts w:eastAsiaTheme="minorEastAsia" w:cs="Calibri"/>
                <w:b/>
                <w:bCs/>
                <w:color w:val="000000"/>
                <w:szCs w:val="20"/>
                <w:vertAlign w:val="superscript"/>
                <w:lang w:eastAsia="en-AU"/>
              </w:rPr>
            </w:pPr>
            <w:r w:rsidRPr="00596FBC">
              <w:rPr>
                <w:rFonts w:eastAsiaTheme="minorEastAsia" w:cs="Calibri"/>
                <w:b/>
                <w:bCs/>
                <w:color w:val="000000"/>
                <w:szCs w:val="20"/>
                <w:lang w:eastAsia="en-AU"/>
              </w:rPr>
              <w:t xml:space="preserve">Total asset initiatives </w:t>
            </w:r>
            <w:r w:rsidRPr="00596FBC">
              <w:rPr>
                <w:rFonts w:eastAsiaTheme="minorEastAsia" w:cs="Calibri"/>
                <w:b/>
                <w:bCs/>
                <w:color w:val="000000"/>
                <w:szCs w:val="20"/>
                <w:vertAlign w:val="superscript"/>
                <w:lang w:eastAsia="en-AU"/>
              </w:rPr>
              <w:t>(o)</w:t>
            </w:r>
          </w:p>
        </w:tc>
        <w:tc>
          <w:tcPr>
            <w:tcW w:w="777" w:type="dxa"/>
            <w:gridSpan w:val="2"/>
            <w:tcBorders>
              <w:top w:val="single" w:sz="6" w:space="0" w:color="auto"/>
              <w:left w:val="nil"/>
              <w:bottom w:val="single" w:sz="12" w:space="0" w:color="auto"/>
              <w:right w:val="nil"/>
            </w:tcBorders>
          </w:tcPr>
          <w:p w:rsidR="00A46DCA" w:rsidRPr="00596FBC"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0"/>
                <w:lang w:eastAsia="en-AU"/>
              </w:rPr>
            </w:pPr>
            <w:r w:rsidRPr="00596FBC">
              <w:rPr>
                <w:rFonts w:eastAsiaTheme="minorEastAsia" w:cs="Calibri"/>
                <w:b/>
                <w:bCs/>
                <w:color w:val="000000"/>
                <w:szCs w:val="20"/>
                <w:lang w:eastAsia="en-AU"/>
              </w:rPr>
              <w:t>348.6</w:t>
            </w:r>
          </w:p>
        </w:tc>
        <w:tc>
          <w:tcPr>
            <w:tcW w:w="782" w:type="dxa"/>
            <w:tcBorders>
              <w:top w:val="single" w:sz="6" w:space="0" w:color="auto"/>
              <w:left w:val="nil"/>
              <w:bottom w:val="single" w:sz="12" w:space="0" w:color="auto"/>
              <w:right w:val="nil"/>
            </w:tcBorders>
          </w:tcPr>
          <w:p w:rsidR="00A46DCA" w:rsidRPr="00596FBC"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0"/>
                <w:lang w:eastAsia="en-AU"/>
              </w:rPr>
            </w:pPr>
            <w:r w:rsidRPr="00596FBC">
              <w:rPr>
                <w:rFonts w:eastAsiaTheme="minorEastAsia" w:cs="Calibri"/>
                <w:b/>
                <w:bCs/>
                <w:color w:val="000000"/>
                <w:szCs w:val="20"/>
                <w:lang w:eastAsia="en-AU"/>
              </w:rPr>
              <w:t>360.0</w:t>
            </w:r>
          </w:p>
        </w:tc>
        <w:tc>
          <w:tcPr>
            <w:tcW w:w="782" w:type="dxa"/>
            <w:tcBorders>
              <w:top w:val="single" w:sz="6" w:space="0" w:color="auto"/>
              <w:left w:val="nil"/>
              <w:bottom w:val="single" w:sz="12" w:space="0" w:color="auto"/>
              <w:right w:val="nil"/>
            </w:tcBorders>
          </w:tcPr>
          <w:p w:rsidR="00A46DCA" w:rsidRPr="00596FBC"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0"/>
                <w:lang w:eastAsia="en-AU"/>
              </w:rPr>
            </w:pPr>
            <w:r w:rsidRPr="00596FBC">
              <w:rPr>
                <w:rFonts w:eastAsiaTheme="minorEastAsia" w:cs="Calibri"/>
                <w:b/>
                <w:bCs/>
                <w:color w:val="000000"/>
                <w:szCs w:val="20"/>
                <w:lang w:eastAsia="en-AU"/>
              </w:rPr>
              <w:t>216.2</w:t>
            </w:r>
          </w:p>
        </w:tc>
        <w:tc>
          <w:tcPr>
            <w:tcW w:w="782" w:type="dxa"/>
            <w:tcBorders>
              <w:top w:val="single" w:sz="6" w:space="0" w:color="auto"/>
              <w:left w:val="nil"/>
              <w:bottom w:val="single" w:sz="12" w:space="0" w:color="auto"/>
              <w:right w:val="nil"/>
            </w:tcBorders>
          </w:tcPr>
          <w:p w:rsidR="00A46DCA" w:rsidRPr="00596FBC"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0"/>
                <w:lang w:eastAsia="en-AU"/>
              </w:rPr>
            </w:pPr>
            <w:r w:rsidRPr="00596FBC">
              <w:rPr>
                <w:rFonts w:eastAsiaTheme="minorEastAsia" w:cs="Calibri"/>
                <w:b/>
                <w:bCs/>
                <w:color w:val="000000"/>
                <w:szCs w:val="20"/>
                <w:lang w:eastAsia="en-AU"/>
              </w:rPr>
              <w:t>156.8</w:t>
            </w:r>
          </w:p>
        </w:tc>
        <w:tc>
          <w:tcPr>
            <w:tcW w:w="663" w:type="dxa"/>
            <w:tcBorders>
              <w:top w:val="single" w:sz="6" w:space="0" w:color="auto"/>
              <w:left w:val="nil"/>
              <w:bottom w:val="single" w:sz="12" w:space="0" w:color="auto"/>
              <w:right w:val="nil"/>
            </w:tcBorders>
          </w:tcPr>
          <w:p w:rsidR="00A46DCA" w:rsidRPr="00596FBC"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0"/>
                <w:lang w:eastAsia="en-AU"/>
              </w:rPr>
            </w:pPr>
            <w:r>
              <w:rPr>
                <w:rFonts w:eastAsiaTheme="minorEastAsia" w:cs="Calibri"/>
                <w:b/>
                <w:bCs/>
                <w:color w:val="000000"/>
                <w:szCs w:val="20"/>
                <w:lang w:eastAsia="en-AU"/>
              </w:rPr>
              <w:t>1 404.9</w:t>
            </w:r>
          </w:p>
        </w:tc>
      </w:tr>
    </w:tbl>
    <w:p w:rsidR="00A46DCA" w:rsidRDefault="00A46DCA" w:rsidP="00A26D04">
      <w:pPr>
        <w:pStyle w:val="Note"/>
      </w:pPr>
      <w:r>
        <w:t>Notes:</w:t>
      </w:r>
    </w:p>
    <w:p w:rsidR="00A46DCA" w:rsidRDefault="00A46DCA" w:rsidP="00A26D04">
      <w:pPr>
        <w:pStyle w:val="Note"/>
      </w:pPr>
      <w:r>
        <w:t>(a)</w:t>
      </w:r>
      <w:r>
        <w:tab/>
        <w:t xml:space="preserve">TEI includes planning funding announced in </w:t>
      </w:r>
      <w:r w:rsidRPr="0009352F">
        <w:t>2017-18 Budget</w:t>
      </w:r>
      <w:r>
        <w:t>.</w:t>
      </w:r>
    </w:p>
    <w:p w:rsidR="00A46DCA" w:rsidRDefault="00A46DCA" w:rsidP="00A26D04">
      <w:pPr>
        <w:pStyle w:val="Note"/>
      </w:pPr>
      <w:r>
        <w:t>(b)</w:t>
      </w:r>
      <w:r>
        <w:tab/>
        <w:t>The project includes Commonwealth funding of $8.7 million.</w:t>
      </w:r>
    </w:p>
    <w:p w:rsidR="00A46DCA" w:rsidRDefault="00A46DCA" w:rsidP="00A26D04">
      <w:pPr>
        <w:pStyle w:val="Note"/>
      </w:pPr>
      <w:r>
        <w:t>(c)</w:t>
      </w:r>
      <w:r>
        <w:tab/>
        <w:t>TEI includes funding beyond 2020-21.</w:t>
      </w:r>
    </w:p>
    <w:p w:rsidR="00A46DCA" w:rsidRDefault="00A46DCA" w:rsidP="00A26D04">
      <w:pPr>
        <w:pStyle w:val="Note"/>
      </w:pPr>
      <w:r>
        <w:t>(d)</w:t>
      </w:r>
      <w:r>
        <w:tab/>
        <w:t>The project includes Commonwealth funding of $24.0 million.</w:t>
      </w:r>
    </w:p>
    <w:p w:rsidR="00A46DCA" w:rsidRDefault="00A46DCA" w:rsidP="00A26D04">
      <w:pPr>
        <w:pStyle w:val="Note"/>
      </w:pPr>
      <w:r>
        <w:t>(e)</w:t>
      </w:r>
      <w:r>
        <w:tab/>
        <w:t>The project includes Commonwealth funding of $19.4 million.</w:t>
      </w:r>
    </w:p>
    <w:p w:rsidR="00A46DCA" w:rsidRDefault="00A46DCA" w:rsidP="00A26D04">
      <w:pPr>
        <w:pStyle w:val="Note"/>
      </w:pPr>
      <w:r>
        <w:t>(f)</w:t>
      </w:r>
      <w:r>
        <w:tab/>
        <w:t xml:space="preserve">TEI includes $10.0 million funding announced in </w:t>
      </w:r>
      <w:r w:rsidRPr="0009352F">
        <w:t>2017-18 Budget</w:t>
      </w:r>
      <w:r>
        <w:t>.</w:t>
      </w:r>
    </w:p>
    <w:p w:rsidR="00A46DCA" w:rsidRDefault="00A46DCA" w:rsidP="00A26D04">
      <w:pPr>
        <w:pStyle w:val="Note"/>
      </w:pPr>
      <w:r>
        <w:t>(g)</w:t>
      </w:r>
      <w:r>
        <w:tab/>
        <w:t>The project includes Commonwealth funding of $4.8 million.</w:t>
      </w:r>
    </w:p>
    <w:p w:rsidR="00A46DCA" w:rsidRDefault="00A46DCA" w:rsidP="00A26D04">
      <w:pPr>
        <w:pStyle w:val="Note"/>
      </w:pPr>
      <w:r>
        <w:t>(h)</w:t>
      </w:r>
      <w:r>
        <w:tab/>
        <w:t>The project includes Commonwealth funding of $4.8 million.</w:t>
      </w:r>
    </w:p>
    <w:p w:rsidR="00A46DCA" w:rsidRDefault="00A46DCA" w:rsidP="00A26D04">
      <w:pPr>
        <w:pStyle w:val="Note"/>
      </w:pPr>
      <w:r>
        <w:t>(</w:t>
      </w:r>
      <w:proofErr w:type="spellStart"/>
      <w:r>
        <w:t>i</w:t>
      </w:r>
      <w:proofErr w:type="spellEnd"/>
      <w:r>
        <w:t>)</w:t>
      </w:r>
      <w:r>
        <w:tab/>
        <w:t>The project includes Commonwealth funding of $9.6 million.</w:t>
      </w:r>
    </w:p>
    <w:p w:rsidR="00A46DCA" w:rsidRDefault="00A46DCA" w:rsidP="00A26D04">
      <w:pPr>
        <w:pStyle w:val="Note"/>
      </w:pPr>
      <w:r>
        <w:t>(j)</w:t>
      </w:r>
      <w:r>
        <w:tab/>
        <w:t>The project includes Commonwealth funding of $24.0 million.</w:t>
      </w:r>
    </w:p>
    <w:p w:rsidR="00A46DCA" w:rsidRDefault="00A46DCA" w:rsidP="00A26D04">
      <w:pPr>
        <w:pStyle w:val="Note"/>
      </w:pPr>
      <w:r>
        <w:t>(k)</w:t>
      </w:r>
      <w:r>
        <w:tab/>
        <w:t>The project includes Commonwealth funding of $1.9 million.</w:t>
      </w:r>
    </w:p>
    <w:p w:rsidR="00A46DCA" w:rsidRDefault="00A46DCA" w:rsidP="00A26D04">
      <w:pPr>
        <w:pStyle w:val="Note"/>
      </w:pPr>
      <w:r>
        <w:t>(l)</w:t>
      </w:r>
      <w:r>
        <w:tab/>
        <w:t>The project includes Commonwealth funding of $5.0 million.</w:t>
      </w:r>
    </w:p>
    <w:p w:rsidR="00A46DCA" w:rsidRDefault="00A46DCA" w:rsidP="00A26D04">
      <w:pPr>
        <w:pStyle w:val="Note"/>
      </w:pPr>
      <w:r>
        <w:t>(m)</w:t>
      </w:r>
      <w:r>
        <w:tab/>
        <w:t>TEI includes funding in 2016-17.</w:t>
      </w:r>
    </w:p>
    <w:p w:rsidR="00A46DCA" w:rsidRDefault="00A46DCA" w:rsidP="00A26D04">
      <w:pPr>
        <w:pStyle w:val="Note"/>
      </w:pPr>
      <w:r>
        <w:t>(n)</w:t>
      </w:r>
      <w:r>
        <w:tab/>
        <w:t xml:space="preserve"> The project includes Commonwealth funding of $9.6 million.</w:t>
      </w:r>
    </w:p>
    <w:p w:rsidR="00A46DCA" w:rsidRDefault="00A46DCA" w:rsidP="00A26D04">
      <w:pPr>
        <w:pStyle w:val="Note"/>
      </w:pPr>
      <w:r>
        <w:t>(o)</w:t>
      </w:r>
      <w:r>
        <w:tab/>
        <w:t xml:space="preserve"> Table may not add due to rounding.</w:t>
      </w:r>
    </w:p>
    <w:p w:rsidR="00A46DCA" w:rsidRDefault="00A46DCA" w:rsidP="00A26D04">
      <w:pPr>
        <w:pStyle w:val="Heading30"/>
      </w:pPr>
      <w:r>
        <w:t>Darebin Trail – Farm Road Link</w:t>
      </w:r>
    </w:p>
    <w:p w:rsidR="00A46DCA" w:rsidRPr="00DA04AF" w:rsidRDefault="00A46DCA" w:rsidP="00A26D04">
      <w:r>
        <w:t>I</w:t>
      </w:r>
      <w:r w:rsidRPr="00DA04AF">
        <w:t>mprove</w:t>
      </w:r>
      <w:r>
        <w:t>d</w:t>
      </w:r>
      <w:r w:rsidRPr="00DA04AF">
        <w:t xml:space="preserve"> access</w:t>
      </w:r>
      <w:r>
        <w:t xml:space="preserve"> will be provided to the Darebin Trail from the South Alphington area</w:t>
      </w:r>
      <w:r w:rsidRPr="00DA04AF">
        <w:t xml:space="preserve"> to </w:t>
      </w:r>
      <w:r>
        <w:t>more than 600 kilometres of off-</w:t>
      </w:r>
      <w:r w:rsidRPr="00DA04AF">
        <w:t>road trails</w:t>
      </w:r>
      <w:r>
        <w:t xml:space="preserve">, both bike and walking, </w:t>
      </w:r>
      <w:r w:rsidRPr="00DA04AF">
        <w:t>in the north metropolitan sub</w:t>
      </w:r>
      <w:r>
        <w:t>-</w:t>
      </w:r>
      <w:r w:rsidRPr="00DA04AF">
        <w:t>region</w:t>
      </w:r>
      <w:r>
        <w:t>,</w:t>
      </w:r>
      <w:r w:rsidRPr="00DA04AF">
        <w:t xml:space="preserve"> and eastern metropolitan sub</w:t>
      </w:r>
      <w:r>
        <w:t>-</w:t>
      </w:r>
      <w:r w:rsidRPr="00DA04AF">
        <w:t>region.</w:t>
      </w:r>
    </w:p>
    <w:p w:rsidR="00A46DCA" w:rsidRDefault="00A46DCA" w:rsidP="00A26D04">
      <w:pPr>
        <w:rPr>
          <w:rFonts w:asciiTheme="majorHAnsi" w:eastAsiaTheme="majorEastAsia" w:hAnsiTheme="majorHAnsi" w:cstheme="majorBidi"/>
          <w:b/>
          <w:bCs/>
          <w:spacing w:val="-2"/>
          <w:sz w:val="23"/>
          <w:szCs w:val="26"/>
        </w:rPr>
      </w:pPr>
      <w:r w:rsidRPr="00DA04AF">
        <w:t>This initiative contributes to the Department of Economic Development, Jobs, Transport and Resources</w:t>
      </w:r>
      <w:r>
        <w:t>’</w:t>
      </w:r>
      <w:r w:rsidRPr="00DA04AF">
        <w:t xml:space="preserve"> Road Operations and Network Improvements</w:t>
      </w:r>
      <w:r>
        <w:t xml:space="preserve"> output</w:t>
      </w:r>
      <w:r w:rsidRPr="00DA04AF">
        <w:t>.</w:t>
      </w:r>
    </w:p>
    <w:p w:rsidR="003D2236" w:rsidRDefault="003D2236">
      <w:pPr>
        <w:keepLines w:val="0"/>
        <w:rPr>
          <w:rFonts w:asciiTheme="majorHAnsi" w:eastAsiaTheme="majorEastAsia" w:hAnsiTheme="majorHAnsi" w:cstheme="majorBidi"/>
          <w:b/>
          <w:bCs/>
          <w:spacing w:val="-2"/>
          <w:szCs w:val="26"/>
        </w:rPr>
      </w:pPr>
      <w:r>
        <w:br w:type="page"/>
      </w:r>
    </w:p>
    <w:p w:rsidR="00A46DCA" w:rsidRPr="00FA37E4" w:rsidRDefault="00A46DCA" w:rsidP="00A26D04">
      <w:pPr>
        <w:pStyle w:val="Heading30"/>
      </w:pPr>
      <w:r>
        <w:lastRenderedPageBreak/>
        <w:t>Great Alpine Road improvement works</w:t>
      </w:r>
    </w:p>
    <w:p w:rsidR="00A46DCA" w:rsidRDefault="00A46DCA" w:rsidP="00A26D04">
      <w:r>
        <w:t xml:space="preserve">A </w:t>
      </w:r>
      <w:r w:rsidRPr="00330CC4">
        <w:t>range</w:t>
      </w:r>
      <w:r>
        <w:t xml:space="preserve"> of improvement works will be undertaken at key locations on the Great Alpine Road between Wangaratta and Bruthen to improve safety, amenity and freight efficiency. The improvements will include widening sealed lane widths and shoulders at targeted locations, intersection upgrades and safety barrier installations.</w:t>
      </w:r>
    </w:p>
    <w:p w:rsidR="00A46DCA" w:rsidRDefault="00A46DCA" w:rsidP="00A26D04">
      <w:r>
        <w:t>This initiative contributes to the Department of Economic Development, Jobs, Transport and Resources’ Road Operations and Network Improvements output.</w:t>
      </w:r>
    </w:p>
    <w:p w:rsidR="00A46DCA" w:rsidRDefault="00A46DCA" w:rsidP="00A26D04">
      <w:pPr>
        <w:pStyle w:val="Heading30"/>
      </w:pPr>
      <w:r>
        <w:t>Great Ocean Road improvement works</w:t>
      </w:r>
    </w:p>
    <w:p w:rsidR="00A46DCA" w:rsidRDefault="00A46DCA" w:rsidP="00A26D04">
      <w:r>
        <w:t>The Great Ocean Road between Torquay and Allansford will be upgraded to address deterioration in the condition of the road and improve safety. Works include road surface renewal, bridge improvements and safety barrier replacements. This project builds on previous investments by the State and Commonwealth governments in improving the Great Ocean Road.</w:t>
      </w:r>
    </w:p>
    <w:p w:rsidR="00A46DCA" w:rsidRPr="00505F86" w:rsidRDefault="00A46DCA" w:rsidP="00A26D04">
      <w:r>
        <w:t>This initiative contributes to the Department of Economic Development, Jobs, Transport and Resources’ Road Operations and Network Improvements output.</w:t>
      </w:r>
    </w:p>
    <w:p w:rsidR="00A46DCA" w:rsidRDefault="00A46DCA" w:rsidP="00A26D04">
      <w:pPr>
        <w:pStyle w:val="Heading30"/>
      </w:pPr>
      <w:r>
        <w:t>Green Triangle Package</w:t>
      </w:r>
    </w:p>
    <w:p w:rsidR="00A46DCA" w:rsidRDefault="00A46DCA" w:rsidP="00A26D04">
      <w:r>
        <w:t>Key roads servicing the Port of Portland including the Henty Highway, Portland-Nelson Road and Portland-Casterton Road will be strengthened and resurfaced to support freight operations and improve safety in the Green Triangle region.</w:t>
      </w:r>
    </w:p>
    <w:p w:rsidR="00A46DCA" w:rsidRPr="00505F86" w:rsidRDefault="00A46DCA" w:rsidP="00A26D04">
      <w:r>
        <w:t>This initiative contributes to the Department of Economic Development, Jobs, Transport and Resources’ Road Operations and Network Improvement output.</w:t>
      </w:r>
    </w:p>
    <w:p w:rsidR="00A46DCA" w:rsidRDefault="00A46DCA" w:rsidP="00A26D04">
      <w:pPr>
        <w:pStyle w:val="Heading30"/>
      </w:pPr>
      <w:r>
        <w:t xml:space="preserve">High Capacity Signalling Trains </w:t>
      </w:r>
      <w:proofErr w:type="spellStart"/>
      <w:r>
        <w:t>onboard</w:t>
      </w:r>
      <w:proofErr w:type="spellEnd"/>
      <w:r>
        <w:t xml:space="preserve"> equipment</w:t>
      </w:r>
    </w:p>
    <w:p w:rsidR="00A46DCA" w:rsidRDefault="00A46DCA" w:rsidP="00A26D04">
      <w:r>
        <w:t xml:space="preserve">High Capacity Signalling </w:t>
      </w:r>
      <w:r w:rsidRPr="00B929F5">
        <w:t xml:space="preserve">(HCS) </w:t>
      </w:r>
      <w:proofErr w:type="spellStart"/>
      <w:r w:rsidRPr="00B929F5">
        <w:t>onboard</w:t>
      </w:r>
      <w:proofErr w:type="spellEnd"/>
      <w:r w:rsidRPr="00B929F5">
        <w:t xml:space="preserve"> equipment will be installed on the new High Capacity Metro Trains. The advanced technology </w:t>
      </w:r>
      <w:r>
        <w:t>will enable trains to safely run closer together, and run more often.</w:t>
      </w:r>
    </w:p>
    <w:p w:rsidR="00A46DCA" w:rsidRDefault="00A46DCA" w:rsidP="00A26D04">
      <w:pPr>
        <w:rPr>
          <w:rFonts w:ascii="Helv" w:hAnsi="Helv" w:cs="Helv"/>
          <w:color w:val="000000"/>
          <w:lang w:eastAsia="en-AU"/>
        </w:rPr>
      </w:pPr>
      <w:r w:rsidRPr="00B929F5">
        <w:t>This initiative contributes to the Department of Economic Development, Jobs, Transport and Resources</w:t>
      </w:r>
      <w:r>
        <w:t>’</w:t>
      </w:r>
      <w:r w:rsidRPr="00B929F5">
        <w:t xml:space="preserve"> Train Services output</w:t>
      </w:r>
      <w:r>
        <w:rPr>
          <w:rFonts w:ascii="Helv" w:hAnsi="Helv" w:cs="Helv"/>
          <w:color w:val="000000"/>
          <w:lang w:eastAsia="en-AU"/>
        </w:rPr>
        <w:t>.</w:t>
      </w:r>
    </w:p>
    <w:p w:rsidR="00A46DCA" w:rsidRPr="00280EFE" w:rsidRDefault="00A46DCA" w:rsidP="00A26D04">
      <w:pPr>
        <w:pStyle w:val="Heading30"/>
        <w:rPr>
          <w:lang w:eastAsia="en-AU"/>
        </w:rPr>
      </w:pPr>
      <w:r>
        <w:rPr>
          <w:lang w:eastAsia="en-AU"/>
        </w:rPr>
        <w:t>Hyland Highway road improvement works</w:t>
      </w:r>
    </w:p>
    <w:p w:rsidR="00A46DCA" w:rsidRDefault="00A46DCA" w:rsidP="00A26D04">
      <w:pPr>
        <w:rPr>
          <w:lang w:eastAsia="en-AU"/>
        </w:rPr>
      </w:pPr>
      <w:r>
        <w:rPr>
          <w:lang w:eastAsia="en-AU"/>
        </w:rPr>
        <w:t>A range of road network improvement works will be undertaken on the Hyland Highway in south-west Victoria to improve safety and route reliability.</w:t>
      </w:r>
    </w:p>
    <w:p w:rsidR="00A46DCA" w:rsidRPr="00264E14" w:rsidRDefault="00A46DCA" w:rsidP="00A26D04">
      <w:r>
        <w:t>This initiative contributes to the Department of Economic Development, Jobs, Transport and Resources’ Road Operations and Network Improvements output.</w:t>
      </w:r>
    </w:p>
    <w:p w:rsidR="00A46DCA" w:rsidRDefault="00A46DCA" w:rsidP="00A26D04">
      <w:pPr>
        <w:pStyle w:val="Heading30"/>
      </w:pPr>
      <w:r>
        <w:t>Metropolitan train and tram franchise agreements</w:t>
      </w:r>
    </w:p>
    <w:p w:rsidR="00A46DCA" w:rsidRDefault="00A46DCA" w:rsidP="00A26D04">
      <w:r>
        <w:t xml:space="preserve">Refer </w:t>
      </w:r>
      <w:r w:rsidRPr="00DA04AF">
        <w:t>to the output initiative for a description of this initiative.</w:t>
      </w:r>
    </w:p>
    <w:p w:rsidR="00A46DCA" w:rsidRDefault="00A46DCA" w:rsidP="00A26D04">
      <w:pPr>
        <w:pStyle w:val="Heading30"/>
      </w:pPr>
      <w:r>
        <w:lastRenderedPageBreak/>
        <w:t>Monaro Highway road improvement works</w:t>
      </w:r>
    </w:p>
    <w:p w:rsidR="00A46DCA" w:rsidRDefault="00A46DCA" w:rsidP="004906A4">
      <w:pPr>
        <w:spacing w:before="100"/>
      </w:pPr>
      <w:r>
        <w:t>A range of road network improvement works will be undertaken on the Monaro Highway, a key freight route between Victoria and New South Wales, to improve safety, amenity and freight efficiency.</w:t>
      </w:r>
    </w:p>
    <w:p w:rsidR="00A46DCA" w:rsidRPr="0042524D" w:rsidRDefault="00A46DCA" w:rsidP="004906A4">
      <w:pPr>
        <w:spacing w:before="100"/>
      </w:pPr>
      <w:r>
        <w:t>This initiative contributes to the Department of Economic Development, Jobs, Transport and Resources’ Road Operations and Network Improvements output.</w:t>
      </w:r>
    </w:p>
    <w:p w:rsidR="00A46DCA" w:rsidRDefault="00A46DCA" w:rsidP="004906A4">
      <w:pPr>
        <w:pStyle w:val="Heading30"/>
      </w:pPr>
      <w:r>
        <w:t>Murray Valley Highway upgrade</w:t>
      </w:r>
    </w:p>
    <w:p w:rsidR="00A46DCA" w:rsidRDefault="00A46DCA" w:rsidP="004906A4">
      <w:pPr>
        <w:spacing w:before="100"/>
      </w:pPr>
      <w:r>
        <w:t>A range of road network improvements will be undertaken on the Murray Valley Highway between Echuca and Yarrawonga to improve road safety and amenity. These include intersection upgrades, shoulder sealing and safety barrier installations.</w:t>
      </w:r>
    </w:p>
    <w:p w:rsidR="00A46DCA" w:rsidRPr="00264E14" w:rsidRDefault="00A46DCA" w:rsidP="004906A4">
      <w:pPr>
        <w:spacing w:before="100"/>
      </w:pPr>
      <w:r>
        <w:t>This initiative contributes to the Department of Economic Development, Jobs, Transport and Resources’ Road Operations and Network Improvements output.</w:t>
      </w:r>
    </w:p>
    <w:p w:rsidR="00A46DCA" w:rsidRDefault="00A46DCA" w:rsidP="004906A4">
      <w:pPr>
        <w:pStyle w:val="Heading30"/>
      </w:pPr>
      <w:r>
        <w:t>Network Transition Plan – Stage A</w:t>
      </w:r>
    </w:p>
    <w:p w:rsidR="00A46DCA" w:rsidRDefault="00A46DCA" w:rsidP="004906A4">
      <w:pPr>
        <w:spacing w:before="100"/>
      </w:pPr>
      <w:r>
        <w:t>Power, signalling and platform upgrades will be undertaken on the Cranbourne-Pakenham Line to enable the operation of High Capacity Metro Trains along the line and through the City Loop.</w:t>
      </w:r>
    </w:p>
    <w:p w:rsidR="00A46DCA" w:rsidRPr="00264E14" w:rsidRDefault="00A46DCA" w:rsidP="004906A4">
      <w:pPr>
        <w:spacing w:before="100"/>
      </w:pPr>
      <w:r w:rsidRPr="00A64173">
        <w:t>This initiative contributes to the Department of Economic Development, Jobs, Transport and Resources</w:t>
      </w:r>
      <w:r>
        <w:t>’</w:t>
      </w:r>
      <w:r w:rsidRPr="00A64173">
        <w:t xml:space="preserve"> Train Services output.</w:t>
      </w:r>
    </w:p>
    <w:p w:rsidR="00A46DCA" w:rsidRDefault="00A46DCA" w:rsidP="004906A4">
      <w:pPr>
        <w:pStyle w:val="Heading30"/>
      </w:pPr>
      <w:r>
        <w:t>Princes Highway East – Upgrades east of Sale</w:t>
      </w:r>
    </w:p>
    <w:p w:rsidR="00A46DCA" w:rsidRDefault="00A46DCA" w:rsidP="004906A4">
      <w:pPr>
        <w:spacing w:before="100"/>
        <w:ind w:right="-227"/>
      </w:pPr>
      <w:r>
        <w:t>The Princes Highway in East Gippsland will be upgraded to improve safety and amenity. These upgrades include intersection works, pavement restoration and safety enhancements.</w:t>
      </w:r>
    </w:p>
    <w:p w:rsidR="00A46DCA" w:rsidRDefault="00A46DCA" w:rsidP="004906A4">
      <w:pPr>
        <w:spacing w:before="100"/>
      </w:pPr>
      <w:r w:rsidRPr="001B79AF">
        <w:t>This initiative contributes to the Department of Economic Development, Jobs, Transport and Resources</w:t>
      </w:r>
      <w:r>
        <w:t>’</w:t>
      </w:r>
      <w:r w:rsidRPr="001B79AF">
        <w:t xml:space="preserve"> Road Operations an</w:t>
      </w:r>
      <w:r>
        <w:t>d</w:t>
      </w:r>
      <w:r w:rsidRPr="001B79AF">
        <w:t xml:space="preserve"> Network Improvements output</w:t>
      </w:r>
      <w:r>
        <w:t>.</w:t>
      </w:r>
    </w:p>
    <w:p w:rsidR="00A46DCA" w:rsidRDefault="00A46DCA" w:rsidP="004906A4">
      <w:pPr>
        <w:pStyle w:val="Heading30"/>
      </w:pPr>
      <w:r>
        <w:t>Property acquisition – Hyde St Yarraville</w:t>
      </w:r>
    </w:p>
    <w:p w:rsidR="00A46DCA" w:rsidRDefault="00A46DCA" w:rsidP="004906A4">
      <w:pPr>
        <w:spacing w:before="100"/>
      </w:pPr>
      <w:r>
        <w:t>Funding is provided for the voluntary purchase of up to 10 properties in Hyde Street, Yarraville to improve alignment between land uses and offset the impact of increased truck volumes on Hyde Street arising from the West Gate Tunnel Project.</w:t>
      </w:r>
    </w:p>
    <w:p w:rsidR="00A46DCA" w:rsidRPr="000F2829" w:rsidRDefault="00A46DCA" w:rsidP="004906A4">
      <w:pPr>
        <w:spacing w:before="100"/>
      </w:pPr>
      <w:r>
        <w:t>This initiative contributes to the Department of Economic Development, Jobs, Transport and Resources’ Road Operations Network Improvements output.</w:t>
      </w:r>
    </w:p>
    <w:p w:rsidR="00A46DCA" w:rsidRDefault="00A46DCA" w:rsidP="004906A4">
      <w:pPr>
        <w:pStyle w:val="Heading30"/>
      </w:pPr>
      <w:r>
        <w:t>Purchase of Australian Sustainable Hardwoods</w:t>
      </w:r>
    </w:p>
    <w:p w:rsidR="00A46DCA" w:rsidRDefault="00A46DCA" w:rsidP="004906A4">
      <w:pPr>
        <w:spacing w:before="100"/>
        <w:rPr>
          <w:szCs w:val="20"/>
        </w:rPr>
      </w:pPr>
      <w:r>
        <w:rPr>
          <w:szCs w:val="20"/>
        </w:rPr>
        <w:t>The Government, through its ownership of Heyfield ASH Holdings Pty Ltd, purchased shares in Australian Sustainable Hardwoods Pty Ltd together with land on which it operates a timber mill in Heyfield. In addition, funding is being provided to cover the associated costs of the sale and restructure of the company.</w:t>
      </w:r>
    </w:p>
    <w:p w:rsidR="00A46DCA" w:rsidRDefault="00A46DCA" w:rsidP="004906A4">
      <w:pPr>
        <w:spacing w:before="100"/>
        <w:rPr>
          <w:szCs w:val="20"/>
        </w:rPr>
      </w:pPr>
      <w:r w:rsidRPr="00EE3133">
        <w:rPr>
          <w:szCs w:val="20"/>
        </w:rPr>
        <w:t xml:space="preserve">This will help to retain local jobs, sustain the local timber industry and give certainty to the </w:t>
      </w:r>
      <w:r>
        <w:rPr>
          <w:szCs w:val="20"/>
        </w:rPr>
        <w:t>Heyfield</w:t>
      </w:r>
      <w:r w:rsidRPr="00EE3133">
        <w:rPr>
          <w:szCs w:val="20"/>
        </w:rPr>
        <w:t xml:space="preserve"> community.</w:t>
      </w:r>
    </w:p>
    <w:p w:rsidR="00A46DCA" w:rsidRDefault="00A46DCA" w:rsidP="004906A4">
      <w:pPr>
        <w:spacing w:before="100"/>
        <w:rPr>
          <w:szCs w:val="20"/>
        </w:rPr>
      </w:pPr>
      <w:r w:rsidRPr="00EE3133">
        <w:rPr>
          <w:szCs w:val="20"/>
        </w:rPr>
        <w:t>This initiative contributes to the Department of Economic Development, Jobs, Transport and Resources</w:t>
      </w:r>
      <w:r>
        <w:rPr>
          <w:szCs w:val="20"/>
        </w:rPr>
        <w:t>’</w:t>
      </w:r>
      <w:r w:rsidRPr="00EE3133">
        <w:rPr>
          <w:szCs w:val="20"/>
        </w:rPr>
        <w:t xml:space="preserve"> Jobs and Investment output</w:t>
      </w:r>
      <w:r w:rsidR="004906A4">
        <w:rPr>
          <w:szCs w:val="20"/>
        </w:rPr>
        <w:t>.</w:t>
      </w:r>
    </w:p>
    <w:p w:rsidR="00A46DCA" w:rsidRDefault="00A46DCA" w:rsidP="00A26D04">
      <w:pPr>
        <w:pStyle w:val="Heading30"/>
        <w:spacing w:before="200"/>
      </w:pPr>
      <w:r>
        <w:lastRenderedPageBreak/>
        <w:t>Rutherglen Alternative Truck Route</w:t>
      </w:r>
    </w:p>
    <w:p w:rsidR="00A46DCA" w:rsidRDefault="00A46DCA" w:rsidP="00A26D04">
      <w:r>
        <w:t>An alternative route for heavy vehicles travelling on the Murray Valley Highway will be constructed to provide a detour around the township of Rutherglen with the objective of increasing township amenity and safety for pedestrians and local road users.</w:t>
      </w:r>
    </w:p>
    <w:p w:rsidR="00A46DCA" w:rsidRPr="00415B9C" w:rsidRDefault="00A46DCA" w:rsidP="00A26D04">
      <w:r w:rsidRPr="001B79AF">
        <w:t>This initiative contributes to the Department of Economic Development, Jobs, Transport and Resources</w:t>
      </w:r>
      <w:r>
        <w:t>’</w:t>
      </w:r>
      <w:r w:rsidRPr="001B79AF">
        <w:t xml:space="preserve"> Road Operations an</w:t>
      </w:r>
      <w:r>
        <w:t>d</w:t>
      </w:r>
      <w:r w:rsidRPr="001B79AF">
        <w:t xml:space="preserve"> Network Improvements output</w:t>
      </w:r>
      <w:r>
        <w:t>.</w:t>
      </w:r>
    </w:p>
    <w:p w:rsidR="00A46DCA" w:rsidRDefault="00A46DCA" w:rsidP="00A26D04">
      <w:pPr>
        <w:pStyle w:val="Heading30"/>
        <w:spacing w:before="200"/>
      </w:pPr>
      <w:r>
        <w:t>Urban Congestion Package</w:t>
      </w:r>
    </w:p>
    <w:p w:rsidR="00A46DCA" w:rsidRDefault="00A46DCA" w:rsidP="00A26D04">
      <w:r>
        <w:t>Key congestion points on metropolitan roads will be upgraded to improve travel times and safety in metropolitan Melbourne. The initial projects include:</w:t>
      </w:r>
    </w:p>
    <w:p w:rsidR="00A46DCA" w:rsidRDefault="00A46DCA" w:rsidP="00A26D04">
      <w:pPr>
        <w:pStyle w:val="ListBullet"/>
        <w:numPr>
          <w:ilvl w:val="0"/>
          <w:numId w:val="25"/>
        </w:numPr>
        <w:spacing w:before="40"/>
      </w:pPr>
      <w:r>
        <w:t>Henderson Road Bridge (</w:t>
      </w:r>
      <w:proofErr w:type="spellStart"/>
      <w:r w:rsidRPr="00F16CEB">
        <w:t>Corhanwarrabul</w:t>
      </w:r>
      <w:proofErr w:type="spellEnd"/>
      <w:r w:rsidRPr="00F16CEB">
        <w:t xml:space="preserve"> </w:t>
      </w:r>
      <w:r>
        <w:t>Creek Bridge), road bridge;</w:t>
      </w:r>
    </w:p>
    <w:p w:rsidR="00A46DCA" w:rsidRDefault="00A46DCA" w:rsidP="00A26D04">
      <w:pPr>
        <w:pStyle w:val="ListBullet"/>
        <w:numPr>
          <w:ilvl w:val="0"/>
          <w:numId w:val="25"/>
        </w:numPr>
        <w:spacing w:before="40"/>
      </w:pPr>
      <w:r>
        <w:t>Nepean Highway, Forest Drive, intersection upgrade;</w:t>
      </w:r>
    </w:p>
    <w:p w:rsidR="00A46DCA" w:rsidRDefault="00A46DCA" w:rsidP="00A26D04">
      <w:pPr>
        <w:pStyle w:val="ListBullet"/>
        <w:numPr>
          <w:ilvl w:val="0"/>
          <w:numId w:val="25"/>
        </w:numPr>
        <w:spacing w:before="40"/>
      </w:pPr>
      <w:proofErr w:type="spellStart"/>
      <w:r>
        <w:t>Bergins</w:t>
      </w:r>
      <w:proofErr w:type="spellEnd"/>
      <w:r>
        <w:t xml:space="preserve"> Road, intersection upgrade;</w:t>
      </w:r>
    </w:p>
    <w:p w:rsidR="00A46DCA" w:rsidRDefault="00A46DCA" w:rsidP="00A26D04">
      <w:pPr>
        <w:pStyle w:val="ListBullet"/>
        <w:numPr>
          <w:ilvl w:val="0"/>
          <w:numId w:val="25"/>
        </w:numPr>
        <w:spacing w:before="40"/>
      </w:pPr>
      <w:r>
        <w:t>Bedford Road, Canterbury Road, development;</w:t>
      </w:r>
    </w:p>
    <w:p w:rsidR="00A46DCA" w:rsidRDefault="00A46DCA" w:rsidP="00A26D04">
      <w:pPr>
        <w:pStyle w:val="ListBullet"/>
        <w:numPr>
          <w:ilvl w:val="0"/>
          <w:numId w:val="25"/>
        </w:numPr>
        <w:spacing w:before="40"/>
      </w:pPr>
      <w:r>
        <w:t xml:space="preserve">Maroondah Highway, </w:t>
      </w:r>
      <w:proofErr w:type="spellStart"/>
      <w:r>
        <w:t>Dunlavin</w:t>
      </w:r>
      <w:proofErr w:type="spellEnd"/>
      <w:r>
        <w:t xml:space="preserve"> Road, intersection upgrade;</w:t>
      </w:r>
    </w:p>
    <w:p w:rsidR="00A46DCA" w:rsidRDefault="00A46DCA" w:rsidP="00A26D04">
      <w:pPr>
        <w:pStyle w:val="ListBullet"/>
        <w:numPr>
          <w:ilvl w:val="0"/>
          <w:numId w:val="25"/>
        </w:numPr>
        <w:spacing w:before="40"/>
      </w:pPr>
      <w:r>
        <w:t>Footscray Road, service road upgrade; and</w:t>
      </w:r>
    </w:p>
    <w:p w:rsidR="00A46DCA" w:rsidRDefault="00A46DCA" w:rsidP="00A26D04">
      <w:pPr>
        <w:pStyle w:val="ListBullet"/>
        <w:numPr>
          <w:ilvl w:val="0"/>
          <w:numId w:val="25"/>
        </w:numPr>
        <w:spacing w:before="40"/>
      </w:pPr>
      <w:r>
        <w:t>Geelong Road, Millers Road, intersection upgrade.</w:t>
      </w:r>
    </w:p>
    <w:p w:rsidR="00A46DCA" w:rsidRPr="00415B9C" w:rsidRDefault="00A46DCA" w:rsidP="00A26D04">
      <w:r>
        <w:t>This initiative contributes to the Department of Economic Development, Jobs, Transport and Resources’ Road Operations and Network Improvement output.</w:t>
      </w:r>
    </w:p>
    <w:p w:rsidR="00A46DCA" w:rsidRDefault="00A46DCA" w:rsidP="00A26D04">
      <w:pPr>
        <w:pStyle w:val="Heading30"/>
        <w:spacing w:before="200"/>
      </w:pPr>
      <w:r>
        <w:t>Western Highway – Stawell to South Australian border</w:t>
      </w:r>
    </w:p>
    <w:p w:rsidR="00A46DCA" w:rsidRDefault="00A46DCA" w:rsidP="00A26D04">
      <w:r>
        <w:t>A three-year program of safety and efficiency upgrades to the Western Highway from Stawell to the South Australian border.</w:t>
      </w:r>
    </w:p>
    <w:p w:rsidR="00A46DCA" w:rsidRPr="004159D9" w:rsidRDefault="00A46DCA" w:rsidP="00A26D04">
      <w:r>
        <w:t>This initiative contributes to the Department of Economic Development, Jobs, Transport and Resources’ Road Operations and Network Improvements output.</w:t>
      </w:r>
    </w:p>
    <w:p w:rsidR="00A46DCA" w:rsidRDefault="00A46DCA" w:rsidP="00A26D04">
      <w:pPr>
        <w:pStyle w:val="Heading10"/>
        <w:rPr>
          <w:lang w:eastAsia="en-AU"/>
        </w:rPr>
      </w:pPr>
      <w:r>
        <w:rPr>
          <w:lang w:eastAsia="en-AU"/>
        </w:rPr>
        <w:br w:type="page"/>
      </w:r>
    </w:p>
    <w:p w:rsidR="00A46DCA" w:rsidRDefault="00A46DCA" w:rsidP="00A26D04">
      <w:pPr>
        <w:pStyle w:val="Heading10"/>
        <w:rPr>
          <w:lang w:eastAsia="en-AU"/>
        </w:rPr>
      </w:pPr>
      <w:bookmarkStart w:id="71" w:name="_Toc500179545"/>
      <w:bookmarkStart w:id="72" w:name="_Toc500435587"/>
      <w:r>
        <w:rPr>
          <w:lang w:eastAsia="en-AU"/>
        </w:rPr>
        <w:lastRenderedPageBreak/>
        <w:t>Department of Education and Training</w:t>
      </w:r>
      <w:bookmarkEnd w:id="71"/>
      <w:bookmarkEnd w:id="72"/>
    </w:p>
    <w:p w:rsidR="00A46DCA" w:rsidRDefault="00A46DCA" w:rsidP="00A26D04">
      <w:pPr>
        <w:pStyle w:val="Heading20"/>
        <w:rPr>
          <w:lang w:eastAsia="en-AU"/>
        </w:rPr>
      </w:pPr>
      <w:r>
        <w:rPr>
          <w:lang w:eastAsia="en-AU"/>
        </w:rPr>
        <w:t>Output initiatives</w:t>
      </w:r>
    </w:p>
    <w:p w:rsidR="00A46DCA" w:rsidRPr="00DC33D3" w:rsidRDefault="00A46DCA" w:rsidP="00A26D04">
      <w:pPr>
        <w:pStyle w:val="TableHeading"/>
        <w:rPr>
          <w:bCs/>
          <w:lang w:val="en-US" w:eastAsia="en-AU"/>
        </w:rPr>
      </w:pPr>
      <w:r>
        <w:rPr>
          <w:lang w:eastAsia="en-AU"/>
        </w:rPr>
        <w:t xml:space="preserve">Table A.4: </w:t>
      </w:r>
      <w:r>
        <w:rPr>
          <w:lang w:eastAsia="en-AU"/>
        </w:rPr>
        <w:tab/>
        <w:t>Output initiatives – Department of Education and Training</w:t>
      </w:r>
      <w:r>
        <w:rPr>
          <w:lang w:eastAsia="en-AU"/>
        </w:rPr>
        <w:tab/>
        <w:t>($ million)</w:t>
      </w:r>
    </w:p>
    <w:tbl>
      <w:tblPr>
        <w:tblStyle w:val="DTFTable"/>
        <w:tblW w:w="7765" w:type="dxa"/>
        <w:tblInd w:w="45" w:type="dxa"/>
        <w:tblLayout w:type="fixed"/>
        <w:tblCellMar>
          <w:left w:w="45" w:type="dxa"/>
          <w:right w:w="45" w:type="dxa"/>
        </w:tblCellMar>
        <w:tblLook w:val="06E0" w:firstRow="1" w:lastRow="1" w:firstColumn="1" w:lastColumn="0" w:noHBand="1" w:noVBand="1"/>
      </w:tblPr>
      <w:tblGrid>
        <w:gridCol w:w="4365"/>
        <w:gridCol w:w="850"/>
        <w:gridCol w:w="850"/>
        <w:gridCol w:w="850"/>
        <w:gridCol w:w="850"/>
      </w:tblGrid>
      <w:tr w:rsidR="00A46DCA" w:rsidRPr="00DC33D3" w:rsidTr="004906A4">
        <w:trPr>
          <w:cnfStyle w:val="100000000000" w:firstRow="1" w:lastRow="0" w:firstColumn="0" w:lastColumn="0" w:oddVBand="0" w:evenVBand="0" w:oddHBand="0" w:evenHBand="0" w:firstRowFirstColumn="0" w:firstRowLastColumn="0" w:lastRowFirstColumn="0" w:lastRowLastColumn="0"/>
          <w:trHeight w:val="68"/>
          <w:tblHeader/>
        </w:trPr>
        <w:tc>
          <w:tcPr>
            <w:cnfStyle w:val="001000000000" w:firstRow="0" w:lastRow="0" w:firstColumn="1" w:lastColumn="0" w:oddVBand="0" w:evenVBand="0" w:oddHBand="0" w:evenHBand="0" w:firstRowFirstColumn="0" w:firstRowLastColumn="0" w:lastRowFirstColumn="0" w:lastRowLastColumn="0"/>
            <w:tcW w:w="4365" w:type="dxa"/>
            <w:tcBorders>
              <w:top w:val="nil"/>
              <w:left w:val="nil"/>
              <w:bottom w:val="nil"/>
              <w:right w:val="nil"/>
            </w:tcBorders>
            <w:shd w:val="solid" w:color="000000" w:fill="auto"/>
          </w:tcPr>
          <w:p w:rsidR="00A46DCA" w:rsidRPr="00DC33D3" w:rsidRDefault="00A46DCA" w:rsidP="00A26D04">
            <w:pPr>
              <w:autoSpaceDE w:val="0"/>
              <w:autoSpaceDN w:val="0"/>
              <w:adjustRightInd w:val="0"/>
              <w:rPr>
                <w:rFonts w:eastAsiaTheme="minorEastAsia" w:cs="Calibri"/>
                <w:color w:val="FFFFFF"/>
                <w:szCs w:val="20"/>
                <w:lang w:eastAsia="en-AU"/>
              </w:rPr>
            </w:pPr>
            <w:r w:rsidRPr="00DC33D3">
              <w:rPr>
                <w:rFonts w:eastAsiaTheme="minorEastAsia" w:cs="Calibri"/>
                <w:color w:val="FFFFFF"/>
                <w:szCs w:val="20"/>
                <w:lang w:eastAsia="en-AU"/>
              </w:rPr>
              <w:t xml:space="preserve"> </w:t>
            </w:r>
          </w:p>
        </w:tc>
        <w:tc>
          <w:tcPr>
            <w:tcW w:w="850" w:type="dxa"/>
            <w:tcBorders>
              <w:top w:val="nil"/>
              <w:left w:val="nil"/>
              <w:bottom w:val="nil"/>
              <w:right w:val="nil"/>
            </w:tcBorders>
            <w:shd w:val="solid" w:color="000000" w:fill="auto"/>
          </w:tcPr>
          <w:p w:rsidR="00A46DCA" w:rsidRPr="00DC33D3" w:rsidRDefault="00A46DCA" w:rsidP="00A26D0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20"/>
                <w:lang w:eastAsia="en-AU"/>
              </w:rPr>
            </w:pPr>
            <w:r w:rsidRPr="00DC33D3">
              <w:rPr>
                <w:rFonts w:eastAsiaTheme="minorEastAsia" w:cs="Calibri"/>
                <w:iCs/>
                <w:color w:val="FFFFFF"/>
                <w:szCs w:val="20"/>
                <w:lang w:eastAsia="en-AU"/>
              </w:rPr>
              <w:t>2017-18</w:t>
            </w:r>
          </w:p>
        </w:tc>
        <w:tc>
          <w:tcPr>
            <w:tcW w:w="850" w:type="dxa"/>
            <w:tcBorders>
              <w:top w:val="nil"/>
              <w:left w:val="nil"/>
              <w:bottom w:val="nil"/>
              <w:right w:val="nil"/>
            </w:tcBorders>
            <w:shd w:val="solid" w:color="000000" w:fill="auto"/>
          </w:tcPr>
          <w:p w:rsidR="00A46DCA" w:rsidRPr="00DC33D3" w:rsidRDefault="00A46DCA" w:rsidP="00A26D0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20"/>
                <w:lang w:eastAsia="en-AU"/>
              </w:rPr>
            </w:pPr>
            <w:r w:rsidRPr="00DC33D3">
              <w:rPr>
                <w:rFonts w:eastAsiaTheme="minorEastAsia" w:cs="Calibri"/>
                <w:iCs/>
                <w:color w:val="FFFFFF"/>
                <w:szCs w:val="20"/>
                <w:lang w:eastAsia="en-AU"/>
              </w:rPr>
              <w:t>2018-19</w:t>
            </w:r>
          </w:p>
        </w:tc>
        <w:tc>
          <w:tcPr>
            <w:tcW w:w="850" w:type="dxa"/>
            <w:tcBorders>
              <w:top w:val="nil"/>
              <w:left w:val="nil"/>
              <w:bottom w:val="nil"/>
              <w:right w:val="nil"/>
            </w:tcBorders>
            <w:shd w:val="solid" w:color="000000" w:fill="auto"/>
          </w:tcPr>
          <w:p w:rsidR="00A46DCA" w:rsidRPr="00DC33D3" w:rsidRDefault="00A46DCA" w:rsidP="00A26D0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20"/>
                <w:lang w:eastAsia="en-AU"/>
              </w:rPr>
            </w:pPr>
            <w:r w:rsidRPr="00DC33D3">
              <w:rPr>
                <w:rFonts w:eastAsiaTheme="minorEastAsia" w:cs="Calibri"/>
                <w:iCs/>
                <w:color w:val="FFFFFF"/>
                <w:szCs w:val="20"/>
                <w:lang w:eastAsia="en-AU"/>
              </w:rPr>
              <w:t>2019-20</w:t>
            </w:r>
          </w:p>
        </w:tc>
        <w:tc>
          <w:tcPr>
            <w:tcW w:w="850" w:type="dxa"/>
            <w:tcBorders>
              <w:top w:val="nil"/>
              <w:left w:val="nil"/>
              <w:bottom w:val="nil"/>
              <w:right w:val="nil"/>
            </w:tcBorders>
            <w:shd w:val="solid" w:color="000000" w:fill="auto"/>
          </w:tcPr>
          <w:p w:rsidR="00A46DCA" w:rsidRPr="00DC33D3" w:rsidRDefault="00A46DCA" w:rsidP="00A26D0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20"/>
                <w:lang w:eastAsia="en-AU"/>
              </w:rPr>
            </w:pPr>
            <w:r w:rsidRPr="00DC33D3">
              <w:rPr>
                <w:rFonts w:eastAsiaTheme="minorEastAsia" w:cs="Calibri"/>
                <w:iCs/>
                <w:color w:val="FFFFFF"/>
                <w:szCs w:val="20"/>
                <w:lang w:eastAsia="en-AU"/>
              </w:rPr>
              <w:t>2020-21</w:t>
            </w:r>
          </w:p>
        </w:tc>
      </w:tr>
      <w:tr w:rsidR="00A46DCA" w:rsidRPr="00DC33D3" w:rsidTr="004906A4">
        <w:tc>
          <w:tcPr>
            <w:cnfStyle w:val="001000000000" w:firstRow="0" w:lastRow="0" w:firstColumn="1" w:lastColumn="0" w:oddVBand="0" w:evenVBand="0" w:oddHBand="0" w:evenHBand="0" w:firstRowFirstColumn="0" w:firstRowLastColumn="0" w:lastRowFirstColumn="0" w:lastRowLastColumn="0"/>
            <w:tcW w:w="4365" w:type="dxa"/>
            <w:tcBorders>
              <w:top w:val="nil"/>
              <w:left w:val="nil"/>
              <w:bottom w:val="nil"/>
              <w:right w:val="nil"/>
            </w:tcBorders>
          </w:tcPr>
          <w:p w:rsidR="00A46DCA" w:rsidRPr="00DC33D3" w:rsidRDefault="00A46DCA" w:rsidP="00A26D04">
            <w:pPr>
              <w:keepLines w:val="0"/>
              <w:autoSpaceDE w:val="0"/>
              <w:autoSpaceDN w:val="0"/>
              <w:adjustRightInd w:val="0"/>
              <w:rPr>
                <w:rFonts w:eastAsiaTheme="minorEastAsia" w:cs="Calibri"/>
                <w:color w:val="000000"/>
                <w:szCs w:val="20"/>
                <w:lang w:eastAsia="en-AU"/>
              </w:rPr>
            </w:pPr>
            <w:r w:rsidRPr="00DC33D3">
              <w:rPr>
                <w:rFonts w:eastAsiaTheme="minorEastAsia" w:cs="Calibri"/>
                <w:color w:val="000000"/>
                <w:szCs w:val="20"/>
                <w:lang w:eastAsia="en-AU"/>
              </w:rPr>
              <w:t>Inclusive Education package</w:t>
            </w:r>
          </w:p>
        </w:tc>
        <w:tc>
          <w:tcPr>
            <w:tcW w:w="850" w:type="dxa"/>
            <w:tcBorders>
              <w:top w:val="nil"/>
              <w:left w:val="nil"/>
              <w:bottom w:val="nil"/>
              <w:right w:val="nil"/>
            </w:tcBorders>
          </w:tcPr>
          <w:p w:rsidR="00A46DCA" w:rsidRPr="00DC33D3"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DC33D3">
              <w:rPr>
                <w:rFonts w:eastAsiaTheme="minorEastAsia" w:cs="Calibri"/>
                <w:color w:val="000000"/>
                <w:szCs w:val="20"/>
                <w:lang w:eastAsia="en-AU"/>
              </w:rPr>
              <w:t>7.0</w:t>
            </w:r>
          </w:p>
        </w:tc>
        <w:tc>
          <w:tcPr>
            <w:tcW w:w="850" w:type="dxa"/>
            <w:tcBorders>
              <w:top w:val="nil"/>
              <w:left w:val="nil"/>
              <w:bottom w:val="nil"/>
              <w:right w:val="nil"/>
            </w:tcBorders>
          </w:tcPr>
          <w:p w:rsidR="00A46DCA" w:rsidRPr="00DC33D3"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DC33D3">
              <w:rPr>
                <w:rFonts w:eastAsiaTheme="minorEastAsia" w:cs="Calibri"/>
                <w:color w:val="000000"/>
                <w:szCs w:val="20"/>
                <w:lang w:eastAsia="en-AU"/>
              </w:rPr>
              <w:t>12.0</w:t>
            </w:r>
          </w:p>
        </w:tc>
        <w:tc>
          <w:tcPr>
            <w:tcW w:w="850" w:type="dxa"/>
            <w:tcBorders>
              <w:top w:val="nil"/>
              <w:left w:val="nil"/>
              <w:bottom w:val="nil"/>
              <w:right w:val="nil"/>
            </w:tcBorders>
          </w:tcPr>
          <w:p w:rsidR="00A46DCA" w:rsidRPr="00DC33D3"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DC33D3">
              <w:rPr>
                <w:rFonts w:eastAsiaTheme="minorEastAsia" w:cs="Calibri"/>
                <w:color w:val="000000"/>
                <w:szCs w:val="20"/>
                <w:lang w:eastAsia="en-AU"/>
              </w:rPr>
              <w:t>..</w:t>
            </w:r>
          </w:p>
        </w:tc>
        <w:tc>
          <w:tcPr>
            <w:tcW w:w="850" w:type="dxa"/>
            <w:tcBorders>
              <w:top w:val="nil"/>
              <w:left w:val="nil"/>
              <w:bottom w:val="nil"/>
              <w:right w:val="nil"/>
            </w:tcBorders>
          </w:tcPr>
          <w:p w:rsidR="00A46DCA" w:rsidRPr="00DC33D3"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DC33D3">
              <w:rPr>
                <w:rFonts w:eastAsiaTheme="minorEastAsia" w:cs="Calibri"/>
                <w:color w:val="000000"/>
                <w:szCs w:val="20"/>
                <w:lang w:eastAsia="en-AU"/>
              </w:rPr>
              <w:t>..</w:t>
            </w:r>
          </w:p>
        </w:tc>
      </w:tr>
      <w:tr w:rsidR="00A46DCA" w:rsidRPr="00DC33D3" w:rsidTr="00A26D04">
        <w:tc>
          <w:tcPr>
            <w:cnfStyle w:val="001000000000" w:firstRow="0" w:lastRow="0" w:firstColumn="1" w:lastColumn="0" w:oddVBand="0" w:evenVBand="0" w:oddHBand="0" w:evenHBand="0" w:firstRowFirstColumn="0" w:firstRowLastColumn="0" w:lastRowFirstColumn="0" w:lastRowLastColumn="0"/>
            <w:tcW w:w="4365" w:type="dxa"/>
            <w:tcBorders>
              <w:top w:val="nil"/>
              <w:left w:val="nil"/>
              <w:bottom w:val="nil"/>
              <w:right w:val="nil"/>
            </w:tcBorders>
          </w:tcPr>
          <w:p w:rsidR="00A46DCA" w:rsidRPr="00DC33D3" w:rsidRDefault="00A46DCA" w:rsidP="00A26D04">
            <w:pPr>
              <w:keepLines w:val="0"/>
              <w:autoSpaceDE w:val="0"/>
              <w:autoSpaceDN w:val="0"/>
              <w:adjustRightInd w:val="0"/>
              <w:rPr>
                <w:rFonts w:eastAsiaTheme="minorEastAsia" w:cs="Calibri"/>
                <w:color w:val="000000"/>
                <w:szCs w:val="20"/>
                <w:lang w:eastAsia="en-AU"/>
              </w:rPr>
            </w:pPr>
            <w:r w:rsidRPr="00DC33D3">
              <w:rPr>
                <w:rFonts w:eastAsiaTheme="minorEastAsia" w:cs="Calibri"/>
                <w:color w:val="000000"/>
                <w:szCs w:val="20"/>
                <w:lang w:eastAsia="en-AU"/>
              </w:rPr>
              <w:t>Kindergarten information management system</w:t>
            </w:r>
          </w:p>
        </w:tc>
        <w:tc>
          <w:tcPr>
            <w:tcW w:w="850" w:type="dxa"/>
            <w:tcBorders>
              <w:top w:val="nil"/>
              <w:left w:val="nil"/>
              <w:bottom w:val="nil"/>
              <w:right w:val="nil"/>
            </w:tcBorders>
          </w:tcPr>
          <w:p w:rsidR="00A46DCA" w:rsidRPr="00DC33D3"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DC33D3">
              <w:rPr>
                <w:rFonts w:eastAsiaTheme="minorEastAsia" w:cs="Calibri"/>
                <w:color w:val="000000"/>
                <w:szCs w:val="20"/>
                <w:lang w:eastAsia="en-AU"/>
              </w:rPr>
              <w:t>1.0</w:t>
            </w:r>
          </w:p>
        </w:tc>
        <w:tc>
          <w:tcPr>
            <w:tcW w:w="850" w:type="dxa"/>
            <w:tcBorders>
              <w:top w:val="nil"/>
              <w:left w:val="nil"/>
              <w:bottom w:val="nil"/>
              <w:right w:val="nil"/>
            </w:tcBorders>
          </w:tcPr>
          <w:p w:rsidR="00A46DCA" w:rsidRPr="00DC33D3"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DC33D3">
              <w:rPr>
                <w:rFonts w:eastAsiaTheme="minorEastAsia" w:cs="Calibri"/>
                <w:color w:val="000000"/>
                <w:szCs w:val="20"/>
                <w:lang w:eastAsia="en-AU"/>
              </w:rPr>
              <w:t>..</w:t>
            </w:r>
          </w:p>
        </w:tc>
        <w:tc>
          <w:tcPr>
            <w:tcW w:w="850" w:type="dxa"/>
            <w:tcBorders>
              <w:top w:val="nil"/>
              <w:left w:val="nil"/>
              <w:bottom w:val="nil"/>
              <w:right w:val="nil"/>
            </w:tcBorders>
          </w:tcPr>
          <w:p w:rsidR="00A46DCA" w:rsidRPr="00DC33D3"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DC33D3">
              <w:rPr>
                <w:rFonts w:eastAsiaTheme="minorEastAsia" w:cs="Calibri"/>
                <w:color w:val="000000"/>
                <w:szCs w:val="20"/>
                <w:lang w:eastAsia="en-AU"/>
              </w:rPr>
              <w:t>..</w:t>
            </w:r>
          </w:p>
        </w:tc>
        <w:tc>
          <w:tcPr>
            <w:tcW w:w="850" w:type="dxa"/>
            <w:tcBorders>
              <w:top w:val="nil"/>
              <w:left w:val="nil"/>
              <w:bottom w:val="nil"/>
              <w:right w:val="nil"/>
            </w:tcBorders>
          </w:tcPr>
          <w:p w:rsidR="00A46DCA" w:rsidRPr="00DC33D3"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DC33D3">
              <w:rPr>
                <w:rFonts w:eastAsiaTheme="minorEastAsia" w:cs="Calibri"/>
                <w:color w:val="000000"/>
                <w:szCs w:val="20"/>
                <w:lang w:eastAsia="en-AU"/>
              </w:rPr>
              <w:t>..</w:t>
            </w:r>
          </w:p>
        </w:tc>
      </w:tr>
      <w:tr w:rsidR="00A46DCA" w:rsidRPr="00DC33D3" w:rsidTr="00A26D04">
        <w:tc>
          <w:tcPr>
            <w:cnfStyle w:val="001000000000" w:firstRow="0" w:lastRow="0" w:firstColumn="1" w:lastColumn="0" w:oddVBand="0" w:evenVBand="0" w:oddHBand="0" w:evenHBand="0" w:firstRowFirstColumn="0" w:firstRowLastColumn="0" w:lastRowFirstColumn="0" w:lastRowLastColumn="0"/>
            <w:tcW w:w="4365" w:type="dxa"/>
            <w:tcBorders>
              <w:top w:val="nil"/>
              <w:left w:val="nil"/>
              <w:bottom w:val="nil"/>
              <w:right w:val="nil"/>
            </w:tcBorders>
          </w:tcPr>
          <w:p w:rsidR="00A46DCA" w:rsidRPr="00DC33D3" w:rsidRDefault="00A46DCA" w:rsidP="00A26D04">
            <w:pPr>
              <w:keepLines w:val="0"/>
              <w:autoSpaceDE w:val="0"/>
              <w:autoSpaceDN w:val="0"/>
              <w:adjustRightInd w:val="0"/>
              <w:rPr>
                <w:rFonts w:eastAsiaTheme="minorEastAsia" w:cs="Calibri"/>
                <w:color w:val="000000"/>
                <w:szCs w:val="20"/>
                <w:lang w:eastAsia="en-AU"/>
              </w:rPr>
            </w:pPr>
            <w:r w:rsidRPr="00DC33D3">
              <w:rPr>
                <w:rFonts w:eastAsiaTheme="minorEastAsia" w:cs="Calibri"/>
                <w:color w:val="000000"/>
                <w:szCs w:val="20"/>
                <w:lang w:eastAsia="en-AU"/>
              </w:rPr>
              <w:t>Maintaining universal access to four-year-old kindergarten</w:t>
            </w:r>
          </w:p>
        </w:tc>
        <w:tc>
          <w:tcPr>
            <w:tcW w:w="850" w:type="dxa"/>
            <w:tcBorders>
              <w:top w:val="nil"/>
              <w:left w:val="nil"/>
              <w:bottom w:val="nil"/>
              <w:right w:val="nil"/>
            </w:tcBorders>
          </w:tcPr>
          <w:p w:rsidR="00A46DCA" w:rsidRPr="00DC33D3"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DC33D3">
              <w:rPr>
                <w:rFonts w:eastAsiaTheme="minorEastAsia" w:cs="Calibri"/>
                <w:color w:val="000000"/>
                <w:szCs w:val="20"/>
                <w:lang w:eastAsia="en-AU"/>
              </w:rPr>
              <w:t>1.8</w:t>
            </w:r>
          </w:p>
        </w:tc>
        <w:tc>
          <w:tcPr>
            <w:tcW w:w="850" w:type="dxa"/>
            <w:tcBorders>
              <w:top w:val="nil"/>
              <w:left w:val="nil"/>
              <w:bottom w:val="nil"/>
              <w:right w:val="nil"/>
            </w:tcBorders>
          </w:tcPr>
          <w:p w:rsidR="00A46DCA" w:rsidRPr="00DC33D3"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DC33D3">
              <w:rPr>
                <w:rFonts w:eastAsiaTheme="minorEastAsia" w:cs="Calibri"/>
                <w:color w:val="000000"/>
                <w:szCs w:val="20"/>
                <w:lang w:eastAsia="en-AU"/>
              </w:rPr>
              <w:t>1.8</w:t>
            </w:r>
          </w:p>
        </w:tc>
        <w:tc>
          <w:tcPr>
            <w:tcW w:w="850" w:type="dxa"/>
            <w:tcBorders>
              <w:top w:val="nil"/>
              <w:left w:val="nil"/>
              <w:bottom w:val="nil"/>
              <w:right w:val="nil"/>
            </w:tcBorders>
          </w:tcPr>
          <w:p w:rsidR="00A46DCA" w:rsidRPr="00DC33D3"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DC33D3">
              <w:rPr>
                <w:rFonts w:eastAsiaTheme="minorEastAsia" w:cs="Calibri"/>
                <w:color w:val="000000"/>
                <w:szCs w:val="20"/>
                <w:lang w:eastAsia="en-AU"/>
              </w:rPr>
              <w:t>..</w:t>
            </w:r>
          </w:p>
        </w:tc>
        <w:tc>
          <w:tcPr>
            <w:tcW w:w="850" w:type="dxa"/>
            <w:tcBorders>
              <w:top w:val="nil"/>
              <w:left w:val="nil"/>
              <w:bottom w:val="nil"/>
              <w:right w:val="nil"/>
            </w:tcBorders>
          </w:tcPr>
          <w:p w:rsidR="00A46DCA" w:rsidRPr="00DC33D3"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DC33D3">
              <w:rPr>
                <w:rFonts w:eastAsiaTheme="minorEastAsia" w:cs="Calibri"/>
                <w:color w:val="000000"/>
                <w:szCs w:val="20"/>
                <w:lang w:eastAsia="en-AU"/>
              </w:rPr>
              <w:t>..</w:t>
            </w:r>
          </w:p>
        </w:tc>
      </w:tr>
      <w:tr w:rsidR="00A46DCA" w:rsidRPr="00DC33D3" w:rsidTr="00A26D04">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5" w:type="dxa"/>
            <w:tcBorders>
              <w:top w:val="single" w:sz="6" w:space="0" w:color="auto"/>
              <w:bottom w:val="single" w:sz="12" w:space="0" w:color="auto"/>
            </w:tcBorders>
          </w:tcPr>
          <w:p w:rsidR="00A46DCA" w:rsidRPr="00DC33D3" w:rsidRDefault="00A46DCA" w:rsidP="00A26D04">
            <w:pPr>
              <w:keepLines w:val="0"/>
              <w:autoSpaceDE w:val="0"/>
              <w:autoSpaceDN w:val="0"/>
              <w:adjustRightInd w:val="0"/>
              <w:rPr>
                <w:rFonts w:eastAsiaTheme="minorEastAsia" w:cs="Calibri"/>
                <w:bCs/>
                <w:color w:val="000000"/>
                <w:szCs w:val="20"/>
                <w:lang w:eastAsia="en-AU"/>
              </w:rPr>
            </w:pPr>
            <w:r w:rsidRPr="00DC33D3">
              <w:rPr>
                <w:rFonts w:eastAsiaTheme="minorEastAsia" w:cs="Calibri"/>
                <w:bCs/>
                <w:color w:val="000000"/>
                <w:szCs w:val="20"/>
                <w:lang w:eastAsia="en-AU"/>
              </w:rPr>
              <w:t>Total output initiatives</w:t>
            </w:r>
          </w:p>
        </w:tc>
        <w:tc>
          <w:tcPr>
            <w:tcW w:w="850" w:type="dxa"/>
            <w:tcBorders>
              <w:top w:val="single" w:sz="6" w:space="0" w:color="auto"/>
              <w:bottom w:val="single" w:sz="12" w:space="0" w:color="auto"/>
            </w:tcBorders>
          </w:tcPr>
          <w:p w:rsidR="00A46DCA" w:rsidRPr="00DC33D3" w:rsidRDefault="00A46DCA" w:rsidP="00A26D0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20"/>
                <w:lang w:eastAsia="en-AU"/>
              </w:rPr>
            </w:pPr>
            <w:r w:rsidRPr="00DC33D3">
              <w:rPr>
                <w:rFonts w:eastAsiaTheme="minorEastAsia" w:cs="Calibri"/>
                <w:bCs/>
                <w:color w:val="000000"/>
                <w:szCs w:val="20"/>
                <w:lang w:eastAsia="en-AU"/>
              </w:rPr>
              <w:t>9.8</w:t>
            </w:r>
          </w:p>
        </w:tc>
        <w:tc>
          <w:tcPr>
            <w:tcW w:w="850" w:type="dxa"/>
            <w:tcBorders>
              <w:top w:val="single" w:sz="6" w:space="0" w:color="auto"/>
              <w:bottom w:val="single" w:sz="12" w:space="0" w:color="auto"/>
            </w:tcBorders>
          </w:tcPr>
          <w:p w:rsidR="00A46DCA" w:rsidRPr="00DC33D3" w:rsidRDefault="00A46DCA" w:rsidP="00A26D0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20"/>
                <w:lang w:eastAsia="en-AU"/>
              </w:rPr>
            </w:pPr>
            <w:r w:rsidRPr="00DC33D3">
              <w:rPr>
                <w:rFonts w:eastAsiaTheme="minorEastAsia" w:cs="Calibri"/>
                <w:bCs/>
                <w:color w:val="000000"/>
                <w:szCs w:val="20"/>
                <w:lang w:eastAsia="en-AU"/>
              </w:rPr>
              <w:t>13.8</w:t>
            </w:r>
          </w:p>
        </w:tc>
        <w:tc>
          <w:tcPr>
            <w:tcW w:w="850" w:type="dxa"/>
            <w:tcBorders>
              <w:top w:val="single" w:sz="6" w:space="0" w:color="auto"/>
              <w:bottom w:val="single" w:sz="12" w:space="0" w:color="auto"/>
            </w:tcBorders>
          </w:tcPr>
          <w:p w:rsidR="00A46DCA" w:rsidRPr="00DC33D3" w:rsidRDefault="00A46DCA" w:rsidP="00A26D0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20"/>
                <w:lang w:eastAsia="en-AU"/>
              </w:rPr>
            </w:pPr>
            <w:r w:rsidRPr="00DC33D3">
              <w:rPr>
                <w:rFonts w:eastAsiaTheme="minorEastAsia" w:cs="Calibri"/>
                <w:bCs/>
                <w:color w:val="000000"/>
                <w:szCs w:val="20"/>
                <w:lang w:eastAsia="en-AU"/>
              </w:rPr>
              <w:t>..</w:t>
            </w:r>
          </w:p>
        </w:tc>
        <w:tc>
          <w:tcPr>
            <w:tcW w:w="850" w:type="dxa"/>
            <w:tcBorders>
              <w:top w:val="single" w:sz="6" w:space="0" w:color="auto"/>
              <w:bottom w:val="single" w:sz="12" w:space="0" w:color="auto"/>
            </w:tcBorders>
          </w:tcPr>
          <w:p w:rsidR="00A46DCA" w:rsidRPr="00DC33D3" w:rsidRDefault="00A46DCA" w:rsidP="00A26D0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20"/>
                <w:lang w:eastAsia="en-AU"/>
              </w:rPr>
            </w:pPr>
            <w:r w:rsidRPr="00DC33D3">
              <w:rPr>
                <w:rFonts w:eastAsiaTheme="minorEastAsia" w:cs="Calibri"/>
                <w:bCs/>
                <w:color w:val="000000"/>
                <w:szCs w:val="20"/>
                <w:lang w:eastAsia="en-AU"/>
              </w:rPr>
              <w:t>..</w:t>
            </w:r>
          </w:p>
        </w:tc>
      </w:tr>
    </w:tbl>
    <w:p w:rsidR="00A46DCA" w:rsidRDefault="00A46DCA" w:rsidP="00A26D04">
      <w:pPr>
        <w:pStyle w:val="Heading30"/>
        <w:rPr>
          <w:lang w:eastAsia="en-AU"/>
        </w:rPr>
      </w:pPr>
      <w:r>
        <w:rPr>
          <w:lang w:eastAsia="en-AU"/>
        </w:rPr>
        <w:t>Inclusive Education package</w:t>
      </w:r>
    </w:p>
    <w:p w:rsidR="00A46DCA" w:rsidRDefault="00A46DCA" w:rsidP="00A26D04">
      <w:pPr>
        <w:rPr>
          <w:lang w:eastAsia="en-AU"/>
        </w:rPr>
      </w:pPr>
      <w:r>
        <w:rPr>
          <w:lang w:eastAsia="en-AU"/>
        </w:rPr>
        <w:t>The Government will invest in a package of early childhood inclusive education initiatives to provide additional support for children with disabilities. This includes a boost to the Children’s Facilities Capital Program, more inclusive education equipment, workforce inclusion training, Autism Spectrum Disorder training for Maternal and Child Health nurses, the extension of Early Childhood Intervention Services, additional Kindergarten Inclusion Support packages and an inclusive education awareness campaign.</w:t>
      </w:r>
    </w:p>
    <w:p w:rsidR="00A46DCA" w:rsidRPr="000F2829" w:rsidRDefault="00A46DCA" w:rsidP="00A26D04">
      <w:pPr>
        <w:rPr>
          <w:lang w:eastAsia="en-AU"/>
        </w:rPr>
      </w:pPr>
      <w:r>
        <w:rPr>
          <w:lang w:eastAsia="en-AU"/>
        </w:rPr>
        <w:t>This initiative contributes to the Department of Education and Training’s Early Childhood Development output.</w:t>
      </w:r>
    </w:p>
    <w:p w:rsidR="00A46DCA" w:rsidRDefault="00A46DCA" w:rsidP="00A26D04">
      <w:pPr>
        <w:pStyle w:val="Heading30"/>
        <w:rPr>
          <w:lang w:eastAsia="en-AU"/>
        </w:rPr>
      </w:pPr>
      <w:r>
        <w:rPr>
          <w:lang w:eastAsia="en-AU"/>
        </w:rPr>
        <w:t>Kindergarten information management system</w:t>
      </w:r>
    </w:p>
    <w:p w:rsidR="00A46DCA" w:rsidRDefault="00A46DCA" w:rsidP="00A26D04">
      <w:r>
        <w:rPr>
          <w:lang w:eastAsia="en-AU"/>
        </w:rPr>
        <w:t xml:space="preserve">Scoping </w:t>
      </w:r>
      <w:r>
        <w:t xml:space="preserve">work will be undertaken on the kindergarten information management </w:t>
      </w:r>
      <w:r w:rsidRPr="004A422E">
        <w:t>sy</w:t>
      </w:r>
      <w:r>
        <w:t>stem to enable the system to</w:t>
      </w:r>
      <w:r w:rsidRPr="004A422E">
        <w:t xml:space="preserve"> support initiatives introduced in the Education State </w:t>
      </w:r>
      <w:r>
        <w:t>Early Childhood Reform plan. This</w:t>
      </w:r>
      <w:r w:rsidRPr="004A422E">
        <w:t xml:space="preserve"> </w:t>
      </w:r>
      <w:r>
        <w:t xml:space="preserve">system is used by </w:t>
      </w:r>
      <w:r w:rsidRPr="004A422E">
        <w:t>t</w:t>
      </w:r>
      <w:r>
        <w:t>he Department of Education and T</w:t>
      </w:r>
      <w:r w:rsidRPr="004A422E">
        <w:t>raining</w:t>
      </w:r>
      <w:r>
        <w:t xml:space="preserve"> to</w:t>
      </w:r>
      <w:r w:rsidRPr="004A422E">
        <w:t xml:space="preserve"> </w:t>
      </w:r>
      <w:r>
        <w:t>interact and engage</w:t>
      </w:r>
      <w:r w:rsidRPr="004A422E">
        <w:t xml:space="preserve"> with kindergarten providers</w:t>
      </w:r>
      <w:r>
        <w:t>.</w:t>
      </w:r>
    </w:p>
    <w:p w:rsidR="00A46DCA" w:rsidRDefault="00A46DCA" w:rsidP="00A26D04">
      <w:pPr>
        <w:ind w:right="-227"/>
      </w:pPr>
      <w:r>
        <w:t xml:space="preserve">This initiative contributes to the Department of Education and Training’s Early Childhood Development output. </w:t>
      </w:r>
    </w:p>
    <w:p w:rsidR="00A46DCA" w:rsidRDefault="00A46DCA" w:rsidP="00A26D04">
      <w:pPr>
        <w:pStyle w:val="Heading30"/>
        <w:rPr>
          <w:lang w:eastAsia="en-AU"/>
        </w:rPr>
      </w:pPr>
      <w:r>
        <w:rPr>
          <w:lang w:eastAsia="en-AU"/>
        </w:rPr>
        <w:t>Maintaining universal access to four-year-old kindergarten</w:t>
      </w:r>
    </w:p>
    <w:p w:rsidR="00A46DCA" w:rsidRPr="00C372F1" w:rsidRDefault="00A46DCA" w:rsidP="00A26D04">
      <w:r>
        <w:rPr>
          <w:lang w:eastAsia="en-AU"/>
        </w:rPr>
        <w:t xml:space="preserve">Support will </w:t>
      </w:r>
      <w:r>
        <w:rPr>
          <w:rFonts w:ascii="Garamond" w:hAnsi="Garamond" w:cs="Garamond"/>
          <w:lang w:eastAsia="en-AU"/>
        </w:rPr>
        <w:t>be provided to supplement the contribution provided by the Commonwealth Government for kindergarten places in 2018</w:t>
      </w:r>
      <w:r>
        <w:t>. This includes additional costs for</w:t>
      </w:r>
      <w:r w:rsidRPr="00C372F1">
        <w:t xml:space="preserve"> educator to child ratios</w:t>
      </w:r>
      <w:r>
        <w:t>, teacher salaries and other related costs.</w:t>
      </w:r>
    </w:p>
    <w:p w:rsidR="00A46DCA" w:rsidRDefault="00A46DCA" w:rsidP="00A26D04">
      <w:pPr>
        <w:ind w:right="-113"/>
      </w:pPr>
      <w:r>
        <w:t>This initiative contributes to the Department of Education and Training’s Early Childhood Development output.</w:t>
      </w:r>
    </w:p>
    <w:p w:rsidR="00A46DCA" w:rsidRDefault="00A46DCA" w:rsidP="00A26D04">
      <w:pPr>
        <w:keepLines w:val="0"/>
        <w:rPr>
          <w:lang w:eastAsia="en-AU"/>
        </w:rPr>
      </w:pPr>
      <w:r>
        <w:rPr>
          <w:lang w:eastAsia="en-AU"/>
        </w:rPr>
        <w:br w:type="page"/>
      </w:r>
    </w:p>
    <w:p w:rsidR="00A46DCA" w:rsidRDefault="00A46DCA" w:rsidP="00A26D04">
      <w:pPr>
        <w:pStyle w:val="Heading20"/>
        <w:rPr>
          <w:lang w:eastAsia="en-AU"/>
        </w:rPr>
      </w:pPr>
      <w:r>
        <w:rPr>
          <w:lang w:eastAsia="en-AU"/>
        </w:rPr>
        <w:lastRenderedPageBreak/>
        <w:t>Asset initiatives</w:t>
      </w:r>
    </w:p>
    <w:p w:rsidR="00A46DCA" w:rsidRPr="00DC33D3" w:rsidRDefault="00A46DCA" w:rsidP="00A26D04">
      <w:pPr>
        <w:pStyle w:val="TableHeading"/>
        <w:rPr>
          <w:bCs/>
          <w:lang w:val="en-US" w:eastAsia="en-AU"/>
        </w:rPr>
      </w:pPr>
      <w:r>
        <w:rPr>
          <w:lang w:eastAsia="en-AU"/>
        </w:rPr>
        <w:t>Table A.5:</w:t>
      </w:r>
      <w:r>
        <w:rPr>
          <w:lang w:eastAsia="en-AU"/>
        </w:rPr>
        <w:tab/>
        <w:t>Asset initiatives – Department of Education and Training</w:t>
      </w:r>
      <w:r>
        <w:rPr>
          <w:lang w:eastAsia="en-AU"/>
        </w:rPr>
        <w:tab/>
        <w:t>($ million)</w:t>
      </w:r>
    </w:p>
    <w:tbl>
      <w:tblPr>
        <w:tblStyle w:val="DTFTable"/>
        <w:tblW w:w="7765" w:type="dxa"/>
        <w:tblInd w:w="45" w:type="dxa"/>
        <w:tblLayout w:type="fixed"/>
        <w:tblCellMar>
          <w:left w:w="45" w:type="dxa"/>
          <w:right w:w="45" w:type="dxa"/>
        </w:tblCellMar>
        <w:tblLook w:val="06E0" w:firstRow="1" w:lastRow="1" w:firstColumn="1" w:lastColumn="0" w:noHBand="1" w:noVBand="1"/>
      </w:tblPr>
      <w:tblGrid>
        <w:gridCol w:w="3515"/>
        <w:gridCol w:w="850"/>
        <w:gridCol w:w="850"/>
        <w:gridCol w:w="850"/>
        <w:gridCol w:w="850"/>
        <w:gridCol w:w="850"/>
      </w:tblGrid>
      <w:tr w:rsidR="00A46DCA" w:rsidRPr="00DC33D3" w:rsidTr="004906A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shd w:val="solid" w:color="000000" w:fill="auto"/>
          </w:tcPr>
          <w:p w:rsidR="00A46DCA" w:rsidRPr="00DC33D3" w:rsidRDefault="00A46DCA" w:rsidP="00A26D04">
            <w:pPr>
              <w:autoSpaceDE w:val="0"/>
              <w:autoSpaceDN w:val="0"/>
              <w:adjustRightInd w:val="0"/>
              <w:rPr>
                <w:rFonts w:eastAsiaTheme="minorEastAsia" w:cs="Calibri"/>
                <w:color w:val="FFFFFF"/>
                <w:szCs w:val="20"/>
                <w:lang w:eastAsia="en-AU"/>
              </w:rPr>
            </w:pPr>
            <w:r w:rsidRPr="00DC33D3">
              <w:rPr>
                <w:rFonts w:eastAsiaTheme="minorEastAsia" w:cs="Calibri"/>
                <w:color w:val="FFFFFF"/>
                <w:szCs w:val="20"/>
                <w:lang w:eastAsia="en-AU"/>
              </w:rPr>
              <w:t xml:space="preserve"> </w:t>
            </w:r>
          </w:p>
        </w:tc>
        <w:tc>
          <w:tcPr>
            <w:tcW w:w="850" w:type="dxa"/>
            <w:tcBorders>
              <w:top w:val="nil"/>
              <w:left w:val="nil"/>
              <w:bottom w:val="nil"/>
              <w:right w:val="nil"/>
            </w:tcBorders>
            <w:shd w:val="solid" w:color="000000" w:fill="auto"/>
          </w:tcPr>
          <w:p w:rsidR="00A46DCA" w:rsidRPr="00DC33D3" w:rsidRDefault="00A46DCA" w:rsidP="00A26D0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20"/>
                <w:lang w:eastAsia="en-AU"/>
              </w:rPr>
            </w:pPr>
            <w:r w:rsidRPr="00DC33D3">
              <w:rPr>
                <w:rFonts w:eastAsiaTheme="minorEastAsia" w:cs="Calibri"/>
                <w:iCs/>
                <w:color w:val="FFFFFF"/>
                <w:szCs w:val="20"/>
                <w:lang w:eastAsia="en-AU"/>
              </w:rPr>
              <w:t>2017-18</w:t>
            </w:r>
          </w:p>
        </w:tc>
        <w:tc>
          <w:tcPr>
            <w:tcW w:w="850" w:type="dxa"/>
            <w:tcBorders>
              <w:top w:val="nil"/>
              <w:left w:val="nil"/>
              <w:bottom w:val="nil"/>
              <w:right w:val="nil"/>
            </w:tcBorders>
            <w:shd w:val="solid" w:color="000000" w:fill="auto"/>
          </w:tcPr>
          <w:p w:rsidR="00A46DCA" w:rsidRPr="00DC33D3" w:rsidRDefault="00A46DCA" w:rsidP="00A26D0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20"/>
                <w:lang w:eastAsia="en-AU"/>
              </w:rPr>
            </w:pPr>
            <w:r w:rsidRPr="00DC33D3">
              <w:rPr>
                <w:rFonts w:eastAsiaTheme="minorEastAsia" w:cs="Calibri"/>
                <w:iCs/>
                <w:color w:val="FFFFFF"/>
                <w:szCs w:val="20"/>
                <w:lang w:eastAsia="en-AU"/>
              </w:rPr>
              <w:t>2018-19</w:t>
            </w:r>
          </w:p>
        </w:tc>
        <w:tc>
          <w:tcPr>
            <w:tcW w:w="850" w:type="dxa"/>
            <w:tcBorders>
              <w:top w:val="nil"/>
              <w:left w:val="nil"/>
              <w:bottom w:val="nil"/>
              <w:right w:val="nil"/>
            </w:tcBorders>
            <w:shd w:val="solid" w:color="000000" w:fill="auto"/>
          </w:tcPr>
          <w:p w:rsidR="00A46DCA" w:rsidRPr="00DC33D3" w:rsidRDefault="00A46DCA" w:rsidP="00A26D0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20"/>
                <w:lang w:eastAsia="en-AU"/>
              </w:rPr>
            </w:pPr>
            <w:r w:rsidRPr="00DC33D3">
              <w:rPr>
                <w:rFonts w:eastAsiaTheme="minorEastAsia" w:cs="Calibri"/>
                <w:iCs/>
                <w:color w:val="FFFFFF"/>
                <w:szCs w:val="20"/>
                <w:lang w:eastAsia="en-AU"/>
              </w:rPr>
              <w:t>2019-20</w:t>
            </w:r>
          </w:p>
        </w:tc>
        <w:tc>
          <w:tcPr>
            <w:tcW w:w="850" w:type="dxa"/>
            <w:tcBorders>
              <w:top w:val="nil"/>
              <w:left w:val="nil"/>
              <w:bottom w:val="nil"/>
              <w:right w:val="nil"/>
            </w:tcBorders>
            <w:shd w:val="solid" w:color="000000" w:fill="auto"/>
          </w:tcPr>
          <w:p w:rsidR="00A46DCA" w:rsidRPr="00DC33D3" w:rsidRDefault="00A46DCA" w:rsidP="00A26D0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20"/>
                <w:lang w:eastAsia="en-AU"/>
              </w:rPr>
            </w:pPr>
            <w:r w:rsidRPr="00DC33D3">
              <w:rPr>
                <w:rFonts w:eastAsiaTheme="minorEastAsia" w:cs="Calibri"/>
                <w:iCs/>
                <w:color w:val="FFFFFF"/>
                <w:szCs w:val="20"/>
                <w:lang w:eastAsia="en-AU"/>
              </w:rPr>
              <w:t>2020-21</w:t>
            </w:r>
          </w:p>
        </w:tc>
        <w:tc>
          <w:tcPr>
            <w:tcW w:w="850" w:type="dxa"/>
            <w:tcBorders>
              <w:top w:val="nil"/>
              <w:left w:val="nil"/>
              <w:bottom w:val="nil"/>
              <w:right w:val="nil"/>
            </w:tcBorders>
            <w:shd w:val="solid" w:color="000000" w:fill="auto"/>
          </w:tcPr>
          <w:p w:rsidR="00A46DCA" w:rsidRPr="00DC33D3" w:rsidRDefault="00A46DCA" w:rsidP="00A26D0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20"/>
                <w:lang w:eastAsia="en-AU"/>
              </w:rPr>
            </w:pPr>
            <w:r w:rsidRPr="00DC33D3">
              <w:rPr>
                <w:rFonts w:eastAsiaTheme="minorEastAsia" w:cs="Calibri"/>
                <w:iCs/>
                <w:color w:val="FFFFFF"/>
                <w:szCs w:val="20"/>
                <w:lang w:eastAsia="en-AU"/>
              </w:rPr>
              <w:t>TEI</w:t>
            </w:r>
          </w:p>
        </w:tc>
      </w:tr>
      <w:tr w:rsidR="00A46DCA" w:rsidRPr="00DC33D3" w:rsidTr="004906A4">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A46DCA" w:rsidRPr="00DC33D3" w:rsidRDefault="00A46DCA" w:rsidP="00A26D04">
            <w:pPr>
              <w:keepLines w:val="0"/>
              <w:autoSpaceDE w:val="0"/>
              <w:autoSpaceDN w:val="0"/>
              <w:adjustRightInd w:val="0"/>
              <w:rPr>
                <w:rFonts w:eastAsiaTheme="minorEastAsia" w:cs="Calibri"/>
                <w:color w:val="000000"/>
                <w:szCs w:val="20"/>
                <w:lang w:eastAsia="en-AU"/>
              </w:rPr>
            </w:pPr>
            <w:r w:rsidRPr="00DC33D3">
              <w:rPr>
                <w:rFonts w:eastAsiaTheme="minorEastAsia" w:cs="Calibri"/>
                <w:color w:val="000000"/>
                <w:szCs w:val="20"/>
                <w:lang w:eastAsia="en-AU"/>
              </w:rPr>
              <w:t>Metro school upgrades</w:t>
            </w:r>
          </w:p>
        </w:tc>
        <w:tc>
          <w:tcPr>
            <w:tcW w:w="850" w:type="dxa"/>
            <w:tcBorders>
              <w:top w:val="nil"/>
              <w:left w:val="nil"/>
              <w:bottom w:val="nil"/>
              <w:right w:val="nil"/>
            </w:tcBorders>
          </w:tcPr>
          <w:p w:rsidR="00A46DCA" w:rsidRPr="00DC33D3"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DC33D3">
              <w:rPr>
                <w:rFonts w:eastAsiaTheme="minorEastAsia" w:cs="Calibri"/>
                <w:color w:val="000000"/>
                <w:szCs w:val="20"/>
                <w:lang w:eastAsia="en-AU"/>
              </w:rPr>
              <w:t>0.8</w:t>
            </w:r>
          </w:p>
        </w:tc>
        <w:tc>
          <w:tcPr>
            <w:tcW w:w="850" w:type="dxa"/>
            <w:tcBorders>
              <w:top w:val="nil"/>
              <w:left w:val="nil"/>
              <w:bottom w:val="nil"/>
              <w:right w:val="nil"/>
            </w:tcBorders>
          </w:tcPr>
          <w:p w:rsidR="00A46DCA" w:rsidRPr="00DC33D3"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DC33D3">
              <w:rPr>
                <w:rFonts w:eastAsiaTheme="minorEastAsia" w:cs="Calibri"/>
                <w:color w:val="000000"/>
                <w:szCs w:val="20"/>
                <w:lang w:eastAsia="en-AU"/>
              </w:rPr>
              <w:t>2.9</w:t>
            </w:r>
          </w:p>
        </w:tc>
        <w:tc>
          <w:tcPr>
            <w:tcW w:w="850" w:type="dxa"/>
            <w:tcBorders>
              <w:top w:val="nil"/>
              <w:left w:val="nil"/>
              <w:bottom w:val="nil"/>
              <w:right w:val="nil"/>
            </w:tcBorders>
          </w:tcPr>
          <w:p w:rsidR="00A46DCA" w:rsidRPr="00DC33D3"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DC33D3">
              <w:rPr>
                <w:rFonts w:eastAsiaTheme="minorEastAsia" w:cs="Calibri"/>
                <w:color w:val="000000"/>
                <w:szCs w:val="20"/>
                <w:lang w:eastAsia="en-AU"/>
              </w:rPr>
              <w:t>8.8</w:t>
            </w:r>
          </w:p>
        </w:tc>
        <w:tc>
          <w:tcPr>
            <w:tcW w:w="850" w:type="dxa"/>
            <w:tcBorders>
              <w:top w:val="nil"/>
              <w:left w:val="nil"/>
              <w:bottom w:val="nil"/>
              <w:right w:val="nil"/>
            </w:tcBorders>
          </w:tcPr>
          <w:p w:rsidR="00A46DCA" w:rsidRPr="00DC33D3"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DC33D3">
              <w:rPr>
                <w:rFonts w:eastAsiaTheme="minorEastAsia" w:cs="Calibri"/>
                <w:color w:val="000000"/>
                <w:szCs w:val="20"/>
                <w:lang w:eastAsia="en-AU"/>
              </w:rPr>
              <w:t>0.1</w:t>
            </w:r>
          </w:p>
        </w:tc>
        <w:tc>
          <w:tcPr>
            <w:tcW w:w="850" w:type="dxa"/>
            <w:tcBorders>
              <w:top w:val="nil"/>
              <w:left w:val="nil"/>
              <w:bottom w:val="nil"/>
              <w:right w:val="nil"/>
            </w:tcBorders>
          </w:tcPr>
          <w:p w:rsidR="00A46DCA" w:rsidRPr="00DC33D3"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DC33D3">
              <w:rPr>
                <w:rFonts w:eastAsiaTheme="minorEastAsia" w:cs="Calibri"/>
                <w:color w:val="000000"/>
                <w:szCs w:val="20"/>
                <w:lang w:eastAsia="en-AU"/>
              </w:rPr>
              <w:t>12.7</w:t>
            </w:r>
          </w:p>
        </w:tc>
      </w:tr>
      <w:tr w:rsidR="00A46DCA" w:rsidRPr="00DC33D3" w:rsidTr="00A26D04">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A46DCA" w:rsidRPr="00DC33D3" w:rsidRDefault="00A46DCA" w:rsidP="00A26D04">
            <w:pPr>
              <w:keepLines w:val="0"/>
              <w:autoSpaceDE w:val="0"/>
              <w:autoSpaceDN w:val="0"/>
              <w:adjustRightInd w:val="0"/>
              <w:rPr>
                <w:rFonts w:eastAsiaTheme="minorEastAsia" w:cs="Calibri"/>
                <w:color w:val="000000"/>
                <w:szCs w:val="20"/>
                <w:lang w:eastAsia="en-AU"/>
              </w:rPr>
            </w:pPr>
            <w:r w:rsidRPr="00DC33D3">
              <w:rPr>
                <w:rFonts w:eastAsiaTheme="minorEastAsia" w:cs="Calibri"/>
                <w:color w:val="000000"/>
                <w:szCs w:val="20"/>
                <w:lang w:eastAsia="en-AU"/>
              </w:rPr>
              <w:t>Rural and regional school upgrades</w:t>
            </w:r>
          </w:p>
        </w:tc>
        <w:tc>
          <w:tcPr>
            <w:tcW w:w="850" w:type="dxa"/>
            <w:tcBorders>
              <w:top w:val="nil"/>
              <w:left w:val="nil"/>
              <w:bottom w:val="nil"/>
              <w:right w:val="nil"/>
            </w:tcBorders>
          </w:tcPr>
          <w:p w:rsidR="00A46DCA" w:rsidRPr="00DC33D3"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DC33D3">
              <w:rPr>
                <w:rFonts w:eastAsiaTheme="minorEastAsia" w:cs="Calibri"/>
                <w:color w:val="000000"/>
                <w:szCs w:val="20"/>
                <w:lang w:eastAsia="en-AU"/>
              </w:rPr>
              <w:t>1.9</w:t>
            </w:r>
          </w:p>
        </w:tc>
        <w:tc>
          <w:tcPr>
            <w:tcW w:w="850" w:type="dxa"/>
            <w:tcBorders>
              <w:top w:val="nil"/>
              <w:left w:val="nil"/>
              <w:bottom w:val="nil"/>
              <w:right w:val="nil"/>
            </w:tcBorders>
          </w:tcPr>
          <w:p w:rsidR="00A46DCA" w:rsidRPr="00DC33D3"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DC33D3">
              <w:rPr>
                <w:rFonts w:eastAsiaTheme="minorEastAsia" w:cs="Calibri"/>
                <w:color w:val="000000"/>
                <w:szCs w:val="20"/>
                <w:lang w:eastAsia="en-AU"/>
              </w:rPr>
              <w:t>23.2</w:t>
            </w:r>
          </w:p>
        </w:tc>
        <w:tc>
          <w:tcPr>
            <w:tcW w:w="850" w:type="dxa"/>
            <w:tcBorders>
              <w:top w:val="nil"/>
              <w:left w:val="nil"/>
              <w:bottom w:val="nil"/>
              <w:right w:val="nil"/>
            </w:tcBorders>
          </w:tcPr>
          <w:p w:rsidR="00A46DCA" w:rsidRPr="00DC33D3"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DC33D3">
              <w:rPr>
                <w:rFonts w:eastAsiaTheme="minorEastAsia" w:cs="Calibri"/>
                <w:color w:val="000000"/>
                <w:szCs w:val="20"/>
                <w:lang w:eastAsia="en-AU"/>
              </w:rPr>
              <w:t>1.1</w:t>
            </w:r>
          </w:p>
        </w:tc>
        <w:tc>
          <w:tcPr>
            <w:tcW w:w="850" w:type="dxa"/>
            <w:tcBorders>
              <w:top w:val="nil"/>
              <w:left w:val="nil"/>
              <w:bottom w:val="nil"/>
              <w:right w:val="nil"/>
            </w:tcBorders>
          </w:tcPr>
          <w:p w:rsidR="00A46DCA" w:rsidRPr="00DC33D3"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DC33D3">
              <w:rPr>
                <w:rFonts w:eastAsiaTheme="minorEastAsia" w:cs="Calibri"/>
                <w:color w:val="000000"/>
                <w:szCs w:val="20"/>
                <w:lang w:eastAsia="en-AU"/>
              </w:rPr>
              <w:t>0.2</w:t>
            </w:r>
          </w:p>
        </w:tc>
        <w:tc>
          <w:tcPr>
            <w:tcW w:w="850" w:type="dxa"/>
            <w:tcBorders>
              <w:top w:val="nil"/>
              <w:left w:val="nil"/>
              <w:bottom w:val="nil"/>
              <w:right w:val="nil"/>
            </w:tcBorders>
          </w:tcPr>
          <w:p w:rsidR="00A46DCA" w:rsidRPr="00DC33D3"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DC33D3">
              <w:rPr>
                <w:rFonts w:eastAsiaTheme="minorEastAsia" w:cs="Calibri"/>
                <w:color w:val="000000"/>
                <w:szCs w:val="20"/>
                <w:lang w:eastAsia="en-AU"/>
              </w:rPr>
              <w:t>26.5</w:t>
            </w:r>
          </w:p>
        </w:tc>
      </w:tr>
      <w:tr w:rsidR="00A46DCA" w:rsidRPr="00DC33D3" w:rsidTr="00A26D04">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5" w:type="dxa"/>
            <w:tcBorders>
              <w:top w:val="single" w:sz="6" w:space="0" w:color="auto"/>
              <w:bottom w:val="single" w:sz="12" w:space="0" w:color="auto"/>
            </w:tcBorders>
          </w:tcPr>
          <w:p w:rsidR="00A46DCA" w:rsidRPr="00DC33D3" w:rsidRDefault="00A46DCA" w:rsidP="00A26D04">
            <w:pPr>
              <w:keepLines w:val="0"/>
              <w:autoSpaceDE w:val="0"/>
              <w:autoSpaceDN w:val="0"/>
              <w:adjustRightInd w:val="0"/>
              <w:rPr>
                <w:rFonts w:eastAsiaTheme="minorEastAsia" w:cs="Calibri"/>
                <w:bCs/>
                <w:color w:val="000000"/>
                <w:szCs w:val="20"/>
                <w:vertAlign w:val="superscript"/>
                <w:lang w:eastAsia="en-AU"/>
              </w:rPr>
            </w:pPr>
            <w:r w:rsidRPr="00DC33D3">
              <w:rPr>
                <w:rFonts w:eastAsiaTheme="minorEastAsia" w:cs="Calibri"/>
                <w:bCs/>
                <w:color w:val="000000"/>
                <w:szCs w:val="20"/>
                <w:lang w:eastAsia="en-AU"/>
              </w:rPr>
              <w:t xml:space="preserve">Total asset initiatives </w:t>
            </w:r>
            <w:r w:rsidRPr="00DC33D3">
              <w:rPr>
                <w:rFonts w:eastAsiaTheme="minorEastAsia" w:cs="Calibri"/>
                <w:bCs/>
                <w:color w:val="000000"/>
                <w:szCs w:val="20"/>
                <w:vertAlign w:val="superscript"/>
                <w:lang w:eastAsia="en-AU"/>
              </w:rPr>
              <w:t>(a)</w:t>
            </w:r>
          </w:p>
        </w:tc>
        <w:tc>
          <w:tcPr>
            <w:tcW w:w="850" w:type="dxa"/>
            <w:tcBorders>
              <w:top w:val="single" w:sz="6" w:space="0" w:color="auto"/>
              <w:bottom w:val="single" w:sz="12" w:space="0" w:color="auto"/>
            </w:tcBorders>
          </w:tcPr>
          <w:p w:rsidR="00A46DCA" w:rsidRPr="00DC33D3" w:rsidRDefault="00A46DCA" w:rsidP="00A26D0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20"/>
                <w:lang w:eastAsia="en-AU"/>
              </w:rPr>
            </w:pPr>
            <w:r w:rsidRPr="00DC33D3">
              <w:rPr>
                <w:rFonts w:eastAsiaTheme="minorEastAsia" w:cs="Calibri"/>
                <w:bCs/>
                <w:color w:val="000000"/>
                <w:szCs w:val="20"/>
                <w:lang w:eastAsia="en-AU"/>
              </w:rPr>
              <w:t>2.8</w:t>
            </w:r>
          </w:p>
        </w:tc>
        <w:tc>
          <w:tcPr>
            <w:tcW w:w="850" w:type="dxa"/>
            <w:tcBorders>
              <w:top w:val="single" w:sz="6" w:space="0" w:color="auto"/>
              <w:bottom w:val="single" w:sz="12" w:space="0" w:color="auto"/>
            </w:tcBorders>
          </w:tcPr>
          <w:p w:rsidR="00A46DCA" w:rsidRPr="00DC33D3" w:rsidRDefault="00A46DCA" w:rsidP="00A26D0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20"/>
                <w:lang w:eastAsia="en-AU"/>
              </w:rPr>
            </w:pPr>
            <w:r w:rsidRPr="00DC33D3">
              <w:rPr>
                <w:rFonts w:eastAsiaTheme="minorEastAsia" w:cs="Calibri"/>
                <w:bCs/>
                <w:color w:val="000000"/>
                <w:szCs w:val="20"/>
                <w:lang w:eastAsia="en-AU"/>
              </w:rPr>
              <w:t>26.1</w:t>
            </w:r>
          </w:p>
        </w:tc>
        <w:tc>
          <w:tcPr>
            <w:tcW w:w="850" w:type="dxa"/>
            <w:tcBorders>
              <w:top w:val="single" w:sz="6" w:space="0" w:color="auto"/>
              <w:bottom w:val="single" w:sz="12" w:space="0" w:color="auto"/>
            </w:tcBorders>
          </w:tcPr>
          <w:p w:rsidR="00A46DCA" w:rsidRPr="00DC33D3" w:rsidRDefault="00A46DCA" w:rsidP="00A26D0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20"/>
                <w:lang w:eastAsia="en-AU"/>
              </w:rPr>
            </w:pPr>
            <w:r w:rsidRPr="00DC33D3">
              <w:rPr>
                <w:rFonts w:eastAsiaTheme="minorEastAsia" w:cs="Calibri"/>
                <w:bCs/>
                <w:color w:val="000000"/>
                <w:szCs w:val="20"/>
                <w:lang w:eastAsia="en-AU"/>
              </w:rPr>
              <w:t>10.0</w:t>
            </w:r>
          </w:p>
        </w:tc>
        <w:tc>
          <w:tcPr>
            <w:tcW w:w="850" w:type="dxa"/>
            <w:tcBorders>
              <w:top w:val="single" w:sz="6" w:space="0" w:color="auto"/>
              <w:bottom w:val="single" w:sz="12" w:space="0" w:color="auto"/>
            </w:tcBorders>
          </w:tcPr>
          <w:p w:rsidR="00A46DCA" w:rsidRPr="00DC33D3" w:rsidRDefault="00A46DCA" w:rsidP="00A26D0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20"/>
                <w:lang w:eastAsia="en-AU"/>
              </w:rPr>
            </w:pPr>
            <w:r w:rsidRPr="00DC33D3">
              <w:rPr>
                <w:rFonts w:eastAsiaTheme="minorEastAsia" w:cs="Calibri"/>
                <w:bCs/>
                <w:color w:val="000000"/>
                <w:szCs w:val="20"/>
                <w:lang w:eastAsia="en-AU"/>
              </w:rPr>
              <w:t>0.3</w:t>
            </w:r>
          </w:p>
        </w:tc>
        <w:tc>
          <w:tcPr>
            <w:tcW w:w="850" w:type="dxa"/>
            <w:tcBorders>
              <w:top w:val="single" w:sz="6" w:space="0" w:color="auto"/>
              <w:bottom w:val="single" w:sz="12" w:space="0" w:color="auto"/>
            </w:tcBorders>
          </w:tcPr>
          <w:p w:rsidR="00A46DCA" w:rsidRPr="00DC33D3" w:rsidRDefault="00A46DCA" w:rsidP="00A26D0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20"/>
                <w:lang w:eastAsia="en-AU"/>
              </w:rPr>
            </w:pPr>
            <w:r w:rsidRPr="00DC33D3">
              <w:rPr>
                <w:rFonts w:eastAsiaTheme="minorEastAsia" w:cs="Calibri"/>
                <w:bCs/>
                <w:color w:val="000000"/>
                <w:szCs w:val="20"/>
                <w:lang w:eastAsia="en-AU"/>
              </w:rPr>
              <w:t>39.2</w:t>
            </w:r>
          </w:p>
        </w:tc>
      </w:tr>
    </w:tbl>
    <w:p w:rsidR="00A46DCA" w:rsidRDefault="00A46DCA" w:rsidP="00A26D04">
      <w:pPr>
        <w:pStyle w:val="Note"/>
        <w:rPr>
          <w:lang w:eastAsia="en-AU"/>
        </w:rPr>
      </w:pPr>
      <w:r>
        <w:rPr>
          <w:lang w:eastAsia="en-AU"/>
        </w:rPr>
        <w:t>Note:</w:t>
      </w:r>
    </w:p>
    <w:p w:rsidR="00A46DCA" w:rsidRDefault="00A46DCA" w:rsidP="00A26D04">
      <w:pPr>
        <w:pStyle w:val="Note"/>
        <w:rPr>
          <w:lang w:eastAsia="en-AU"/>
        </w:rPr>
      </w:pPr>
      <w:r>
        <w:rPr>
          <w:lang w:eastAsia="en-AU"/>
        </w:rPr>
        <w:t>(a)</w:t>
      </w:r>
      <w:r>
        <w:rPr>
          <w:lang w:eastAsia="en-AU"/>
        </w:rPr>
        <w:tab/>
        <w:t>Table may not add due to rounding.</w:t>
      </w:r>
    </w:p>
    <w:p w:rsidR="00A46DCA" w:rsidRDefault="00A46DCA" w:rsidP="00A26D04">
      <w:pPr>
        <w:pStyle w:val="Heading30"/>
        <w:rPr>
          <w:lang w:eastAsia="en-AU"/>
        </w:rPr>
      </w:pPr>
      <w:r>
        <w:rPr>
          <w:lang w:eastAsia="en-AU"/>
        </w:rPr>
        <w:t>Metro school upgrades</w:t>
      </w:r>
    </w:p>
    <w:p w:rsidR="00A46DCA" w:rsidRDefault="00A46DCA" w:rsidP="00A26D04">
      <w:pPr>
        <w:tabs>
          <w:tab w:val="left" w:pos="5245"/>
        </w:tabs>
        <w:rPr>
          <w:lang w:eastAsia="en-AU"/>
        </w:rPr>
      </w:pPr>
      <w:r>
        <w:rPr>
          <w:lang w:eastAsia="en-AU"/>
        </w:rPr>
        <w:t>To improve educational outcomes through the provision of high-quality facilities, the following four schools in the metropolitan area will receive additional funding for upgrades:</w:t>
      </w:r>
    </w:p>
    <w:p w:rsidR="00A46DCA" w:rsidRDefault="00A46DCA" w:rsidP="00A26D04">
      <w:pPr>
        <w:pStyle w:val="ListBullet"/>
        <w:numPr>
          <w:ilvl w:val="0"/>
          <w:numId w:val="25"/>
        </w:numPr>
        <w:rPr>
          <w:lang w:eastAsia="en-AU"/>
        </w:rPr>
      </w:pPr>
      <w:r>
        <w:rPr>
          <w:lang w:eastAsia="en-AU"/>
        </w:rPr>
        <w:t>Bell Primary School;</w:t>
      </w:r>
    </w:p>
    <w:p w:rsidR="00A46DCA" w:rsidRDefault="00A46DCA" w:rsidP="00A26D04">
      <w:pPr>
        <w:pStyle w:val="ListBullet"/>
        <w:numPr>
          <w:ilvl w:val="0"/>
          <w:numId w:val="25"/>
        </w:numPr>
        <w:rPr>
          <w:lang w:eastAsia="en-AU"/>
        </w:rPr>
      </w:pPr>
      <w:r>
        <w:rPr>
          <w:lang w:eastAsia="en-AU"/>
        </w:rPr>
        <w:t>Fairfield Primary School;</w:t>
      </w:r>
    </w:p>
    <w:p w:rsidR="00A46DCA" w:rsidRDefault="00A46DCA" w:rsidP="00A26D04">
      <w:pPr>
        <w:pStyle w:val="ListBullet"/>
        <w:numPr>
          <w:ilvl w:val="0"/>
          <w:numId w:val="25"/>
        </w:numPr>
        <w:rPr>
          <w:lang w:eastAsia="en-AU"/>
        </w:rPr>
      </w:pPr>
      <w:r>
        <w:rPr>
          <w:lang w:eastAsia="en-AU"/>
        </w:rPr>
        <w:t>Northcote Primary School; and</w:t>
      </w:r>
    </w:p>
    <w:p w:rsidR="00A46DCA" w:rsidRDefault="00A46DCA" w:rsidP="00A26D04">
      <w:pPr>
        <w:pStyle w:val="ListBullet"/>
        <w:numPr>
          <w:ilvl w:val="0"/>
          <w:numId w:val="25"/>
        </w:numPr>
        <w:rPr>
          <w:lang w:eastAsia="en-AU"/>
        </w:rPr>
      </w:pPr>
      <w:r>
        <w:rPr>
          <w:lang w:eastAsia="en-AU"/>
        </w:rPr>
        <w:t>Thornbury High School.</w:t>
      </w:r>
    </w:p>
    <w:p w:rsidR="00A46DCA" w:rsidRDefault="00A46DCA" w:rsidP="00A26D04">
      <w:pPr>
        <w:rPr>
          <w:lang w:eastAsia="en-AU"/>
        </w:rPr>
      </w:pPr>
      <w:r>
        <w:rPr>
          <w:lang w:eastAsia="en-AU"/>
        </w:rPr>
        <w:t>This initiative contributes to the Department of Education and Training’s:</w:t>
      </w:r>
    </w:p>
    <w:p w:rsidR="00A46DCA" w:rsidRDefault="00A46DCA" w:rsidP="00A26D04">
      <w:pPr>
        <w:pStyle w:val="ListBullet"/>
        <w:numPr>
          <w:ilvl w:val="0"/>
          <w:numId w:val="25"/>
        </w:numPr>
        <w:rPr>
          <w:lang w:eastAsia="en-AU"/>
        </w:rPr>
      </w:pPr>
      <w:r>
        <w:rPr>
          <w:lang w:eastAsia="en-AU"/>
        </w:rPr>
        <w:t>School Education – Primary output; and</w:t>
      </w:r>
    </w:p>
    <w:p w:rsidR="00A46DCA" w:rsidRDefault="00A46DCA" w:rsidP="00A26D04">
      <w:pPr>
        <w:pStyle w:val="ListBullet"/>
        <w:numPr>
          <w:ilvl w:val="0"/>
          <w:numId w:val="25"/>
        </w:numPr>
        <w:rPr>
          <w:lang w:eastAsia="en-AU"/>
        </w:rPr>
      </w:pPr>
      <w:r>
        <w:rPr>
          <w:lang w:eastAsia="en-AU"/>
        </w:rPr>
        <w:t>School Education – Secondary output.</w:t>
      </w:r>
    </w:p>
    <w:p w:rsidR="00A46DCA" w:rsidRDefault="00A46DCA" w:rsidP="00A26D04">
      <w:pPr>
        <w:pStyle w:val="Heading30"/>
        <w:rPr>
          <w:lang w:eastAsia="en-AU"/>
        </w:rPr>
      </w:pPr>
      <w:r>
        <w:rPr>
          <w:lang w:eastAsia="en-AU"/>
        </w:rPr>
        <w:t>Rural and regional school upgrades</w:t>
      </w:r>
    </w:p>
    <w:p w:rsidR="00A46DCA" w:rsidRDefault="00A46DCA" w:rsidP="00A26D04">
      <w:r>
        <w:rPr>
          <w:lang w:eastAsia="en-AU"/>
        </w:rPr>
        <w:t xml:space="preserve">To improve educational outcomes through the provision of high-quality facilities, the </w:t>
      </w:r>
      <w:r>
        <w:t xml:space="preserve">Government will relocate the senior campus of Wonthaggi Secondary College to a purpose-built site. The new senior campus will have outdoor learning areas, a library and buildings with specialist facilities. </w:t>
      </w:r>
    </w:p>
    <w:p w:rsidR="00A46DCA" w:rsidRDefault="00A46DCA" w:rsidP="00A26D04">
      <w:pPr>
        <w:rPr>
          <w:lang w:eastAsia="en-AU"/>
        </w:rPr>
      </w:pPr>
      <w:r>
        <w:t>This initiative contributes to the Department of Education and Training’s School Education – Secondary output.</w:t>
      </w:r>
    </w:p>
    <w:p w:rsidR="00A46DCA" w:rsidRDefault="00A46DCA" w:rsidP="00A26D04">
      <w:pPr>
        <w:keepLines w:val="0"/>
        <w:rPr>
          <w:lang w:eastAsia="en-AU"/>
        </w:rPr>
      </w:pPr>
      <w:r>
        <w:rPr>
          <w:lang w:eastAsia="en-AU"/>
        </w:rPr>
        <w:br w:type="page"/>
      </w:r>
    </w:p>
    <w:p w:rsidR="00A46DCA" w:rsidRDefault="00A46DCA" w:rsidP="00A26D04">
      <w:pPr>
        <w:pStyle w:val="Heading10"/>
        <w:rPr>
          <w:lang w:eastAsia="en-AU"/>
        </w:rPr>
      </w:pPr>
      <w:bookmarkStart w:id="73" w:name="_Toc500179546"/>
      <w:bookmarkStart w:id="74" w:name="_Toc500435588"/>
      <w:r>
        <w:rPr>
          <w:lang w:eastAsia="en-AU"/>
        </w:rPr>
        <w:lastRenderedPageBreak/>
        <w:t>Department of Environment, Land, Water and Planning</w:t>
      </w:r>
      <w:bookmarkEnd w:id="73"/>
      <w:bookmarkEnd w:id="74"/>
    </w:p>
    <w:p w:rsidR="00A46DCA" w:rsidRDefault="00A46DCA" w:rsidP="00A26D04">
      <w:pPr>
        <w:pStyle w:val="Heading20"/>
        <w:rPr>
          <w:lang w:eastAsia="en-AU"/>
        </w:rPr>
      </w:pPr>
      <w:r>
        <w:rPr>
          <w:lang w:eastAsia="en-AU"/>
        </w:rPr>
        <w:t>Output initiatives</w:t>
      </w:r>
    </w:p>
    <w:p w:rsidR="00A46DCA" w:rsidRDefault="00A46DCA" w:rsidP="00A26D04">
      <w:pPr>
        <w:pStyle w:val="TableHeading"/>
        <w:spacing w:before="180"/>
        <w:rPr>
          <w:lang w:eastAsia="en-AU"/>
        </w:rPr>
      </w:pPr>
      <w:r>
        <w:rPr>
          <w:lang w:eastAsia="en-AU"/>
        </w:rPr>
        <w:t>Table A.6:</w:t>
      </w:r>
      <w:r>
        <w:rPr>
          <w:lang w:eastAsia="en-AU"/>
        </w:rPr>
        <w:tab/>
        <w:t>Output initiatives – Department of Environment, Land, Water and Planning</w:t>
      </w:r>
    </w:p>
    <w:p w:rsidR="00A46DCA" w:rsidRPr="00DC33D3" w:rsidRDefault="00A46DCA" w:rsidP="00A26D04">
      <w:pPr>
        <w:pStyle w:val="TableUnits"/>
        <w:rPr>
          <w:bCs/>
          <w:lang w:val="en-US" w:eastAsia="en-AU"/>
        </w:rPr>
      </w:pPr>
      <w:r>
        <w:rPr>
          <w:lang w:eastAsia="en-AU"/>
        </w:rPr>
        <w:t>($ million)</w:t>
      </w:r>
    </w:p>
    <w:tbl>
      <w:tblPr>
        <w:tblStyle w:val="DTFTable"/>
        <w:tblW w:w="7765" w:type="dxa"/>
        <w:tblInd w:w="45" w:type="dxa"/>
        <w:tblLayout w:type="fixed"/>
        <w:tblCellMar>
          <w:left w:w="45" w:type="dxa"/>
          <w:right w:w="45" w:type="dxa"/>
        </w:tblCellMar>
        <w:tblLook w:val="06A0" w:firstRow="1" w:lastRow="0" w:firstColumn="1" w:lastColumn="0" w:noHBand="1" w:noVBand="1"/>
      </w:tblPr>
      <w:tblGrid>
        <w:gridCol w:w="4365"/>
        <w:gridCol w:w="850"/>
        <w:gridCol w:w="850"/>
        <w:gridCol w:w="850"/>
        <w:gridCol w:w="850"/>
      </w:tblGrid>
      <w:tr w:rsidR="00A46DCA" w:rsidRPr="00DC33D3" w:rsidTr="004906A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365" w:type="dxa"/>
            <w:tcBorders>
              <w:top w:val="nil"/>
              <w:left w:val="nil"/>
              <w:bottom w:val="nil"/>
              <w:right w:val="nil"/>
            </w:tcBorders>
            <w:shd w:val="solid" w:color="000000" w:fill="auto"/>
          </w:tcPr>
          <w:p w:rsidR="00A46DCA" w:rsidRPr="00DC33D3" w:rsidRDefault="00A46DCA" w:rsidP="00A26D04">
            <w:pPr>
              <w:autoSpaceDE w:val="0"/>
              <w:autoSpaceDN w:val="0"/>
              <w:adjustRightInd w:val="0"/>
              <w:rPr>
                <w:rFonts w:eastAsiaTheme="minorEastAsia" w:cs="Calibri"/>
                <w:color w:val="FFFFFF"/>
                <w:szCs w:val="20"/>
                <w:lang w:eastAsia="en-AU"/>
              </w:rPr>
            </w:pPr>
            <w:r w:rsidRPr="00DC33D3">
              <w:rPr>
                <w:rFonts w:eastAsiaTheme="minorEastAsia" w:cs="Calibri"/>
                <w:color w:val="FFFFFF"/>
                <w:szCs w:val="20"/>
                <w:lang w:eastAsia="en-AU"/>
              </w:rPr>
              <w:t xml:space="preserve"> </w:t>
            </w:r>
          </w:p>
        </w:tc>
        <w:tc>
          <w:tcPr>
            <w:tcW w:w="850" w:type="dxa"/>
            <w:tcBorders>
              <w:top w:val="nil"/>
              <w:left w:val="nil"/>
              <w:bottom w:val="nil"/>
              <w:right w:val="nil"/>
            </w:tcBorders>
            <w:shd w:val="solid" w:color="000000" w:fill="auto"/>
          </w:tcPr>
          <w:p w:rsidR="00A46DCA" w:rsidRPr="00DC33D3" w:rsidRDefault="00A46DCA" w:rsidP="00A26D0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20"/>
                <w:lang w:eastAsia="en-AU"/>
              </w:rPr>
            </w:pPr>
            <w:r w:rsidRPr="00DC33D3">
              <w:rPr>
                <w:rFonts w:eastAsiaTheme="minorEastAsia" w:cs="Calibri"/>
                <w:iCs/>
                <w:color w:val="FFFFFF"/>
                <w:szCs w:val="20"/>
                <w:lang w:eastAsia="en-AU"/>
              </w:rPr>
              <w:t>2017-18</w:t>
            </w:r>
          </w:p>
        </w:tc>
        <w:tc>
          <w:tcPr>
            <w:tcW w:w="850" w:type="dxa"/>
            <w:tcBorders>
              <w:top w:val="nil"/>
              <w:left w:val="nil"/>
              <w:bottom w:val="nil"/>
              <w:right w:val="nil"/>
            </w:tcBorders>
            <w:shd w:val="solid" w:color="000000" w:fill="auto"/>
          </w:tcPr>
          <w:p w:rsidR="00A46DCA" w:rsidRPr="00DC33D3" w:rsidRDefault="00A46DCA" w:rsidP="00A26D0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20"/>
                <w:lang w:eastAsia="en-AU"/>
              </w:rPr>
            </w:pPr>
            <w:r w:rsidRPr="00DC33D3">
              <w:rPr>
                <w:rFonts w:eastAsiaTheme="minorEastAsia" w:cs="Calibri"/>
                <w:iCs/>
                <w:color w:val="FFFFFF"/>
                <w:szCs w:val="20"/>
                <w:lang w:eastAsia="en-AU"/>
              </w:rPr>
              <w:t>2018-19</w:t>
            </w:r>
          </w:p>
        </w:tc>
        <w:tc>
          <w:tcPr>
            <w:tcW w:w="850" w:type="dxa"/>
            <w:tcBorders>
              <w:top w:val="nil"/>
              <w:left w:val="nil"/>
              <w:bottom w:val="nil"/>
              <w:right w:val="nil"/>
            </w:tcBorders>
            <w:shd w:val="solid" w:color="000000" w:fill="auto"/>
          </w:tcPr>
          <w:p w:rsidR="00A46DCA" w:rsidRPr="00DC33D3" w:rsidRDefault="00A46DCA" w:rsidP="00A26D0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20"/>
                <w:lang w:eastAsia="en-AU"/>
              </w:rPr>
            </w:pPr>
            <w:r w:rsidRPr="00DC33D3">
              <w:rPr>
                <w:rFonts w:eastAsiaTheme="minorEastAsia" w:cs="Calibri"/>
                <w:iCs/>
                <w:color w:val="FFFFFF"/>
                <w:szCs w:val="20"/>
                <w:lang w:eastAsia="en-AU"/>
              </w:rPr>
              <w:t>2019-20</w:t>
            </w:r>
          </w:p>
        </w:tc>
        <w:tc>
          <w:tcPr>
            <w:tcW w:w="850" w:type="dxa"/>
            <w:tcBorders>
              <w:top w:val="nil"/>
              <w:left w:val="nil"/>
              <w:bottom w:val="nil"/>
              <w:right w:val="nil"/>
            </w:tcBorders>
            <w:shd w:val="solid" w:color="000000" w:fill="auto"/>
          </w:tcPr>
          <w:p w:rsidR="00A46DCA" w:rsidRPr="00DC33D3" w:rsidRDefault="00A46DCA" w:rsidP="00A26D0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20"/>
                <w:lang w:eastAsia="en-AU"/>
              </w:rPr>
            </w:pPr>
            <w:r w:rsidRPr="00DC33D3">
              <w:rPr>
                <w:rFonts w:eastAsiaTheme="minorEastAsia" w:cs="Calibri"/>
                <w:iCs/>
                <w:color w:val="FFFFFF"/>
                <w:szCs w:val="20"/>
                <w:lang w:eastAsia="en-AU"/>
              </w:rPr>
              <w:t>2020-21</w:t>
            </w:r>
          </w:p>
        </w:tc>
      </w:tr>
      <w:tr w:rsidR="00A46DCA" w:rsidRPr="00DC33D3" w:rsidTr="004906A4">
        <w:tc>
          <w:tcPr>
            <w:cnfStyle w:val="001000000000" w:firstRow="0" w:lastRow="0" w:firstColumn="1" w:lastColumn="0" w:oddVBand="0" w:evenVBand="0" w:oddHBand="0" w:evenHBand="0" w:firstRowFirstColumn="0" w:firstRowLastColumn="0" w:lastRowFirstColumn="0" w:lastRowLastColumn="0"/>
            <w:tcW w:w="4365" w:type="dxa"/>
            <w:tcBorders>
              <w:top w:val="nil"/>
              <w:left w:val="nil"/>
              <w:bottom w:val="nil"/>
              <w:right w:val="nil"/>
            </w:tcBorders>
          </w:tcPr>
          <w:p w:rsidR="00A46DCA" w:rsidRPr="00DC33D3" w:rsidRDefault="00A46DCA" w:rsidP="00A26D04">
            <w:pPr>
              <w:keepLines w:val="0"/>
              <w:autoSpaceDE w:val="0"/>
              <w:autoSpaceDN w:val="0"/>
              <w:adjustRightInd w:val="0"/>
              <w:rPr>
                <w:rFonts w:eastAsiaTheme="minorEastAsia" w:cs="Calibri"/>
                <w:color w:val="000000"/>
                <w:szCs w:val="20"/>
                <w:lang w:eastAsia="en-AU"/>
              </w:rPr>
            </w:pPr>
            <w:r w:rsidRPr="00DC33D3">
              <w:rPr>
                <w:rFonts w:eastAsiaTheme="minorEastAsia" w:cs="Calibri"/>
                <w:color w:val="000000"/>
                <w:szCs w:val="20"/>
                <w:lang w:eastAsia="en-AU"/>
              </w:rPr>
              <w:t>Additional aviation resources for firefighting</w:t>
            </w:r>
          </w:p>
        </w:tc>
        <w:tc>
          <w:tcPr>
            <w:tcW w:w="850" w:type="dxa"/>
            <w:tcBorders>
              <w:top w:val="nil"/>
              <w:left w:val="nil"/>
              <w:bottom w:val="nil"/>
              <w:right w:val="nil"/>
            </w:tcBorders>
          </w:tcPr>
          <w:p w:rsidR="00A46DCA" w:rsidRPr="00DC33D3"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DC33D3">
              <w:rPr>
                <w:rFonts w:eastAsiaTheme="minorEastAsia" w:cs="Calibri"/>
                <w:color w:val="000000"/>
                <w:szCs w:val="20"/>
                <w:lang w:eastAsia="en-AU"/>
              </w:rPr>
              <w:t>12.9</w:t>
            </w:r>
          </w:p>
        </w:tc>
        <w:tc>
          <w:tcPr>
            <w:tcW w:w="850" w:type="dxa"/>
            <w:tcBorders>
              <w:top w:val="nil"/>
              <w:left w:val="nil"/>
              <w:bottom w:val="nil"/>
              <w:right w:val="nil"/>
            </w:tcBorders>
          </w:tcPr>
          <w:p w:rsidR="00A46DCA" w:rsidRPr="00DC33D3"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DC33D3">
              <w:rPr>
                <w:rFonts w:eastAsiaTheme="minorEastAsia" w:cs="Calibri"/>
                <w:color w:val="000000"/>
                <w:szCs w:val="20"/>
                <w:lang w:eastAsia="en-AU"/>
              </w:rPr>
              <w:t>..</w:t>
            </w:r>
          </w:p>
        </w:tc>
        <w:tc>
          <w:tcPr>
            <w:tcW w:w="850" w:type="dxa"/>
            <w:tcBorders>
              <w:top w:val="nil"/>
              <w:left w:val="nil"/>
              <w:bottom w:val="nil"/>
              <w:right w:val="nil"/>
            </w:tcBorders>
          </w:tcPr>
          <w:p w:rsidR="00A46DCA" w:rsidRPr="00DC33D3"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DC33D3">
              <w:rPr>
                <w:rFonts w:eastAsiaTheme="minorEastAsia" w:cs="Calibri"/>
                <w:color w:val="000000"/>
                <w:szCs w:val="20"/>
                <w:lang w:eastAsia="en-AU"/>
              </w:rPr>
              <w:t>..</w:t>
            </w:r>
          </w:p>
        </w:tc>
        <w:tc>
          <w:tcPr>
            <w:tcW w:w="850" w:type="dxa"/>
            <w:tcBorders>
              <w:top w:val="nil"/>
              <w:left w:val="nil"/>
              <w:bottom w:val="nil"/>
              <w:right w:val="nil"/>
            </w:tcBorders>
          </w:tcPr>
          <w:p w:rsidR="00A46DCA" w:rsidRPr="00DC33D3"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DC33D3">
              <w:rPr>
                <w:rFonts w:eastAsiaTheme="minorEastAsia" w:cs="Calibri"/>
                <w:color w:val="000000"/>
                <w:szCs w:val="20"/>
                <w:lang w:eastAsia="en-AU"/>
              </w:rPr>
              <w:t>..</w:t>
            </w:r>
          </w:p>
        </w:tc>
      </w:tr>
      <w:tr w:rsidR="00A46DCA" w:rsidRPr="00DC33D3" w:rsidTr="00A26D04">
        <w:tc>
          <w:tcPr>
            <w:cnfStyle w:val="001000000000" w:firstRow="0" w:lastRow="0" w:firstColumn="1" w:lastColumn="0" w:oddVBand="0" w:evenVBand="0" w:oddHBand="0" w:evenHBand="0" w:firstRowFirstColumn="0" w:firstRowLastColumn="0" w:lastRowFirstColumn="0" w:lastRowLastColumn="0"/>
            <w:tcW w:w="4365" w:type="dxa"/>
            <w:tcBorders>
              <w:top w:val="nil"/>
              <w:left w:val="nil"/>
              <w:bottom w:val="nil"/>
              <w:right w:val="nil"/>
            </w:tcBorders>
          </w:tcPr>
          <w:p w:rsidR="00A46DCA" w:rsidRPr="00DC33D3" w:rsidRDefault="00A46DCA" w:rsidP="00A26D04">
            <w:pPr>
              <w:keepLines w:val="0"/>
              <w:autoSpaceDE w:val="0"/>
              <w:autoSpaceDN w:val="0"/>
              <w:adjustRightInd w:val="0"/>
              <w:rPr>
                <w:rFonts w:eastAsiaTheme="minorEastAsia" w:cs="Calibri"/>
                <w:color w:val="000000"/>
                <w:szCs w:val="20"/>
                <w:lang w:eastAsia="en-AU"/>
              </w:rPr>
            </w:pPr>
            <w:r w:rsidRPr="00DC33D3">
              <w:rPr>
                <w:rFonts w:eastAsiaTheme="minorEastAsia" w:cs="Calibri"/>
                <w:color w:val="000000"/>
                <w:szCs w:val="20"/>
                <w:lang w:eastAsia="en-AU"/>
              </w:rPr>
              <w:t>Securing our energy future – Solar trams</w:t>
            </w:r>
          </w:p>
        </w:tc>
        <w:tc>
          <w:tcPr>
            <w:tcW w:w="850" w:type="dxa"/>
            <w:tcBorders>
              <w:top w:val="nil"/>
              <w:left w:val="nil"/>
              <w:bottom w:val="nil"/>
              <w:right w:val="nil"/>
            </w:tcBorders>
          </w:tcPr>
          <w:p w:rsidR="00A46DCA" w:rsidRPr="00DC33D3"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DC33D3">
              <w:rPr>
                <w:rFonts w:eastAsiaTheme="minorEastAsia" w:cs="Calibri"/>
                <w:color w:val="000000"/>
                <w:szCs w:val="20"/>
                <w:lang w:eastAsia="en-AU"/>
              </w:rPr>
              <w:t>..</w:t>
            </w:r>
          </w:p>
        </w:tc>
        <w:tc>
          <w:tcPr>
            <w:tcW w:w="850" w:type="dxa"/>
            <w:tcBorders>
              <w:top w:val="nil"/>
              <w:left w:val="nil"/>
              <w:bottom w:val="nil"/>
              <w:right w:val="nil"/>
            </w:tcBorders>
          </w:tcPr>
          <w:p w:rsidR="00A46DCA" w:rsidRPr="00DC33D3"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DC33D3">
              <w:rPr>
                <w:rFonts w:eastAsiaTheme="minorEastAsia" w:cs="Calibri"/>
                <w:color w:val="000000"/>
                <w:szCs w:val="20"/>
                <w:lang w:eastAsia="en-AU"/>
              </w:rPr>
              <w:t>..</w:t>
            </w:r>
          </w:p>
        </w:tc>
        <w:tc>
          <w:tcPr>
            <w:tcW w:w="850" w:type="dxa"/>
            <w:tcBorders>
              <w:top w:val="nil"/>
              <w:left w:val="nil"/>
              <w:bottom w:val="nil"/>
              <w:right w:val="nil"/>
            </w:tcBorders>
          </w:tcPr>
          <w:p w:rsidR="00A46DCA" w:rsidRPr="00DC33D3"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DC33D3">
              <w:rPr>
                <w:rFonts w:eastAsiaTheme="minorEastAsia" w:cs="Calibri"/>
                <w:color w:val="000000"/>
                <w:szCs w:val="20"/>
                <w:lang w:eastAsia="en-AU"/>
              </w:rPr>
              <w:t>..</w:t>
            </w:r>
          </w:p>
        </w:tc>
        <w:tc>
          <w:tcPr>
            <w:tcW w:w="850" w:type="dxa"/>
            <w:tcBorders>
              <w:top w:val="nil"/>
              <w:left w:val="nil"/>
              <w:bottom w:val="nil"/>
              <w:right w:val="nil"/>
            </w:tcBorders>
          </w:tcPr>
          <w:p w:rsidR="00A46DCA" w:rsidRPr="00DC33D3"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DC33D3">
              <w:rPr>
                <w:rFonts w:eastAsiaTheme="minorEastAsia" w:cs="Calibri"/>
                <w:color w:val="000000"/>
                <w:szCs w:val="20"/>
                <w:lang w:eastAsia="en-AU"/>
              </w:rPr>
              <w:t>4.7</w:t>
            </w:r>
          </w:p>
        </w:tc>
      </w:tr>
      <w:tr w:rsidR="00A46DCA" w:rsidRPr="00DC33D3" w:rsidTr="00A26D04">
        <w:tc>
          <w:tcPr>
            <w:cnfStyle w:val="001000000000" w:firstRow="0" w:lastRow="0" w:firstColumn="1" w:lastColumn="0" w:oddVBand="0" w:evenVBand="0" w:oddHBand="0" w:evenHBand="0" w:firstRowFirstColumn="0" w:firstRowLastColumn="0" w:lastRowFirstColumn="0" w:lastRowLastColumn="0"/>
            <w:tcW w:w="4365" w:type="dxa"/>
            <w:tcBorders>
              <w:top w:val="nil"/>
              <w:left w:val="nil"/>
              <w:bottom w:val="nil"/>
              <w:right w:val="nil"/>
            </w:tcBorders>
          </w:tcPr>
          <w:p w:rsidR="00A46DCA" w:rsidRPr="00DC33D3" w:rsidRDefault="00A46DCA" w:rsidP="00A26D04">
            <w:pPr>
              <w:keepLines w:val="0"/>
              <w:autoSpaceDE w:val="0"/>
              <w:autoSpaceDN w:val="0"/>
              <w:adjustRightInd w:val="0"/>
              <w:rPr>
                <w:rFonts w:eastAsiaTheme="minorEastAsia" w:cs="Calibri"/>
                <w:color w:val="000000"/>
                <w:szCs w:val="20"/>
                <w:vertAlign w:val="superscript"/>
                <w:lang w:eastAsia="en-AU"/>
              </w:rPr>
            </w:pPr>
            <w:r w:rsidRPr="00DC33D3">
              <w:rPr>
                <w:rFonts w:eastAsiaTheme="minorEastAsia" w:cs="Calibri"/>
                <w:color w:val="000000"/>
                <w:szCs w:val="20"/>
                <w:lang w:eastAsia="en-AU"/>
              </w:rPr>
              <w:t xml:space="preserve">Victorian Renewable Energy Target scheme </w:t>
            </w:r>
            <w:r w:rsidRPr="00DC33D3">
              <w:rPr>
                <w:rFonts w:eastAsiaTheme="minorEastAsia" w:cs="Calibri"/>
                <w:color w:val="000000"/>
                <w:szCs w:val="20"/>
                <w:vertAlign w:val="superscript"/>
                <w:lang w:eastAsia="en-AU"/>
              </w:rPr>
              <w:t>(a)</w:t>
            </w:r>
          </w:p>
        </w:tc>
        <w:tc>
          <w:tcPr>
            <w:tcW w:w="850" w:type="dxa"/>
            <w:tcBorders>
              <w:top w:val="nil"/>
              <w:left w:val="nil"/>
              <w:bottom w:val="nil"/>
              <w:right w:val="nil"/>
            </w:tcBorders>
          </w:tcPr>
          <w:p w:rsidR="00A46DCA" w:rsidRPr="00DC33D3"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DC33D3">
              <w:rPr>
                <w:rFonts w:eastAsiaTheme="minorEastAsia" w:cs="Calibri"/>
                <w:color w:val="000000"/>
                <w:szCs w:val="20"/>
                <w:lang w:eastAsia="en-AU"/>
              </w:rPr>
              <w:t>tbc</w:t>
            </w:r>
          </w:p>
        </w:tc>
        <w:tc>
          <w:tcPr>
            <w:tcW w:w="850" w:type="dxa"/>
            <w:tcBorders>
              <w:top w:val="nil"/>
              <w:left w:val="nil"/>
              <w:bottom w:val="nil"/>
              <w:right w:val="nil"/>
            </w:tcBorders>
          </w:tcPr>
          <w:p w:rsidR="00A46DCA" w:rsidRPr="00DC33D3"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DC33D3">
              <w:rPr>
                <w:rFonts w:eastAsiaTheme="minorEastAsia" w:cs="Calibri"/>
                <w:color w:val="000000"/>
                <w:szCs w:val="20"/>
                <w:lang w:eastAsia="en-AU"/>
              </w:rPr>
              <w:t>tbc</w:t>
            </w:r>
          </w:p>
        </w:tc>
        <w:tc>
          <w:tcPr>
            <w:tcW w:w="850" w:type="dxa"/>
            <w:tcBorders>
              <w:top w:val="nil"/>
              <w:left w:val="nil"/>
              <w:bottom w:val="nil"/>
              <w:right w:val="nil"/>
            </w:tcBorders>
          </w:tcPr>
          <w:p w:rsidR="00A46DCA" w:rsidRPr="00DC33D3"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DC33D3">
              <w:rPr>
                <w:rFonts w:eastAsiaTheme="minorEastAsia" w:cs="Calibri"/>
                <w:color w:val="000000"/>
                <w:szCs w:val="20"/>
                <w:lang w:eastAsia="en-AU"/>
              </w:rPr>
              <w:t>tbc</w:t>
            </w:r>
          </w:p>
        </w:tc>
        <w:tc>
          <w:tcPr>
            <w:tcW w:w="850" w:type="dxa"/>
            <w:tcBorders>
              <w:top w:val="nil"/>
              <w:left w:val="nil"/>
              <w:bottom w:val="nil"/>
              <w:right w:val="nil"/>
            </w:tcBorders>
          </w:tcPr>
          <w:p w:rsidR="00A46DCA" w:rsidRPr="00DC33D3"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DC33D3">
              <w:rPr>
                <w:rFonts w:eastAsiaTheme="minorEastAsia" w:cs="Calibri"/>
                <w:color w:val="000000"/>
                <w:szCs w:val="20"/>
                <w:lang w:eastAsia="en-AU"/>
              </w:rPr>
              <w:t>tbc</w:t>
            </w:r>
          </w:p>
        </w:tc>
      </w:tr>
      <w:tr w:rsidR="00A46DCA" w:rsidRPr="00DC33D3" w:rsidTr="00A26D04">
        <w:tc>
          <w:tcPr>
            <w:cnfStyle w:val="001000000000" w:firstRow="0" w:lastRow="0" w:firstColumn="1" w:lastColumn="0" w:oddVBand="0" w:evenVBand="0" w:oddHBand="0" w:evenHBand="0" w:firstRowFirstColumn="0" w:firstRowLastColumn="0" w:lastRowFirstColumn="0" w:lastRowLastColumn="0"/>
            <w:tcW w:w="4365" w:type="dxa"/>
            <w:tcBorders>
              <w:top w:val="single" w:sz="6" w:space="0" w:color="auto"/>
              <w:left w:val="nil"/>
              <w:bottom w:val="single" w:sz="12" w:space="0" w:color="auto"/>
              <w:right w:val="nil"/>
            </w:tcBorders>
          </w:tcPr>
          <w:p w:rsidR="00A46DCA" w:rsidRPr="00DC33D3" w:rsidRDefault="00A46DCA" w:rsidP="00A26D04">
            <w:pPr>
              <w:keepLines w:val="0"/>
              <w:autoSpaceDE w:val="0"/>
              <w:autoSpaceDN w:val="0"/>
              <w:adjustRightInd w:val="0"/>
              <w:rPr>
                <w:rFonts w:eastAsiaTheme="minorEastAsia" w:cs="Calibri"/>
                <w:b/>
                <w:bCs/>
                <w:color w:val="000000"/>
                <w:szCs w:val="20"/>
                <w:lang w:eastAsia="en-AU"/>
              </w:rPr>
            </w:pPr>
            <w:r w:rsidRPr="00DC33D3">
              <w:rPr>
                <w:rFonts w:eastAsiaTheme="minorEastAsia" w:cs="Calibri"/>
                <w:b/>
                <w:bCs/>
                <w:color w:val="000000"/>
                <w:szCs w:val="20"/>
                <w:lang w:eastAsia="en-AU"/>
              </w:rPr>
              <w:t>Total output initiatives</w:t>
            </w:r>
          </w:p>
        </w:tc>
        <w:tc>
          <w:tcPr>
            <w:tcW w:w="850" w:type="dxa"/>
            <w:tcBorders>
              <w:top w:val="single" w:sz="6" w:space="0" w:color="auto"/>
              <w:left w:val="nil"/>
              <w:bottom w:val="single" w:sz="12" w:space="0" w:color="auto"/>
              <w:right w:val="nil"/>
            </w:tcBorders>
          </w:tcPr>
          <w:p w:rsidR="00A46DCA" w:rsidRPr="00DC33D3"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0"/>
                <w:lang w:eastAsia="en-AU"/>
              </w:rPr>
            </w:pPr>
            <w:r w:rsidRPr="00DC33D3">
              <w:rPr>
                <w:rFonts w:eastAsiaTheme="minorEastAsia" w:cs="Calibri"/>
                <w:b/>
                <w:bCs/>
                <w:color w:val="000000"/>
                <w:szCs w:val="20"/>
                <w:lang w:eastAsia="en-AU"/>
              </w:rPr>
              <w:t>12.9</w:t>
            </w:r>
          </w:p>
        </w:tc>
        <w:tc>
          <w:tcPr>
            <w:tcW w:w="850" w:type="dxa"/>
            <w:tcBorders>
              <w:top w:val="single" w:sz="6" w:space="0" w:color="auto"/>
              <w:left w:val="nil"/>
              <w:bottom w:val="single" w:sz="12" w:space="0" w:color="auto"/>
              <w:right w:val="nil"/>
            </w:tcBorders>
          </w:tcPr>
          <w:p w:rsidR="00A46DCA" w:rsidRPr="00DC33D3"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0"/>
                <w:lang w:eastAsia="en-AU"/>
              </w:rPr>
            </w:pPr>
            <w:r w:rsidRPr="00DC33D3">
              <w:rPr>
                <w:rFonts w:eastAsiaTheme="minorEastAsia" w:cs="Calibri"/>
                <w:b/>
                <w:bCs/>
                <w:color w:val="000000"/>
                <w:szCs w:val="20"/>
                <w:lang w:eastAsia="en-AU"/>
              </w:rPr>
              <w:t>..</w:t>
            </w:r>
          </w:p>
        </w:tc>
        <w:tc>
          <w:tcPr>
            <w:tcW w:w="850" w:type="dxa"/>
            <w:tcBorders>
              <w:top w:val="single" w:sz="6" w:space="0" w:color="auto"/>
              <w:left w:val="nil"/>
              <w:bottom w:val="single" w:sz="12" w:space="0" w:color="auto"/>
              <w:right w:val="nil"/>
            </w:tcBorders>
          </w:tcPr>
          <w:p w:rsidR="00A46DCA" w:rsidRPr="00DC33D3"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0"/>
                <w:lang w:eastAsia="en-AU"/>
              </w:rPr>
            </w:pPr>
            <w:r w:rsidRPr="00DC33D3">
              <w:rPr>
                <w:rFonts w:eastAsiaTheme="minorEastAsia" w:cs="Calibri"/>
                <w:b/>
                <w:bCs/>
                <w:color w:val="000000"/>
                <w:szCs w:val="20"/>
                <w:lang w:eastAsia="en-AU"/>
              </w:rPr>
              <w:t>..</w:t>
            </w:r>
          </w:p>
        </w:tc>
        <w:tc>
          <w:tcPr>
            <w:tcW w:w="850" w:type="dxa"/>
            <w:tcBorders>
              <w:top w:val="single" w:sz="6" w:space="0" w:color="auto"/>
              <w:left w:val="nil"/>
              <w:bottom w:val="single" w:sz="12" w:space="0" w:color="auto"/>
              <w:right w:val="nil"/>
            </w:tcBorders>
          </w:tcPr>
          <w:p w:rsidR="00A46DCA" w:rsidRPr="00DC33D3"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0"/>
                <w:lang w:eastAsia="en-AU"/>
              </w:rPr>
            </w:pPr>
            <w:r w:rsidRPr="00DC33D3">
              <w:rPr>
                <w:rFonts w:eastAsiaTheme="minorEastAsia" w:cs="Calibri"/>
                <w:b/>
                <w:bCs/>
                <w:color w:val="000000"/>
                <w:szCs w:val="20"/>
                <w:lang w:eastAsia="en-AU"/>
              </w:rPr>
              <w:t>4.7</w:t>
            </w:r>
          </w:p>
        </w:tc>
      </w:tr>
    </w:tbl>
    <w:p w:rsidR="00A46DCA" w:rsidRDefault="00A46DCA" w:rsidP="00A26D04">
      <w:pPr>
        <w:pStyle w:val="Note"/>
        <w:rPr>
          <w:lang w:eastAsia="en-AU"/>
        </w:rPr>
      </w:pPr>
      <w:r>
        <w:rPr>
          <w:lang w:eastAsia="en-AU"/>
        </w:rPr>
        <w:t>Note:</w:t>
      </w:r>
    </w:p>
    <w:p w:rsidR="00A46DCA" w:rsidRDefault="00A46DCA" w:rsidP="00A26D04">
      <w:pPr>
        <w:pStyle w:val="Note"/>
      </w:pPr>
      <w:r>
        <w:t>(a)</w:t>
      </w:r>
      <w:r>
        <w:tab/>
      </w:r>
      <w:r w:rsidRPr="00EE3256">
        <w:t>Funding</w:t>
      </w:r>
      <w:r>
        <w:t xml:space="preserve"> is not reported at this time as commercial arrangements are still to be finalised.</w:t>
      </w:r>
    </w:p>
    <w:p w:rsidR="00A46DCA" w:rsidRDefault="00A46DCA" w:rsidP="00A26D04">
      <w:pPr>
        <w:pStyle w:val="Heading30"/>
        <w:spacing w:before="180"/>
        <w:rPr>
          <w:lang w:eastAsia="en-AU"/>
        </w:rPr>
      </w:pPr>
      <w:r>
        <w:rPr>
          <w:lang w:eastAsia="en-AU"/>
        </w:rPr>
        <w:t>Additional aviation resources for firefighting</w:t>
      </w:r>
    </w:p>
    <w:p w:rsidR="00A46DCA" w:rsidRDefault="00A46DCA" w:rsidP="00A26D04">
      <w:r>
        <w:rPr>
          <w:lang w:eastAsia="en-AU"/>
        </w:rPr>
        <w:t>An additional six</w:t>
      </w:r>
      <w:r>
        <w:t xml:space="preserve"> firefighting aviation resources, including two large air tankers, three </w:t>
      </w:r>
      <w:proofErr w:type="spellStart"/>
      <w:r>
        <w:t>helitaks</w:t>
      </w:r>
      <w:proofErr w:type="spellEnd"/>
      <w:r>
        <w:t xml:space="preserve"> and one fixed wing aircraft will be available to support the State’s firefighting capability for the 2017-18 bushfire season. </w:t>
      </w:r>
    </w:p>
    <w:p w:rsidR="00A46DCA" w:rsidRDefault="00A46DCA" w:rsidP="00A26D04">
      <w:r>
        <w:t>This initiative contributes to the Department of Environment, Land, Water and Planning’s Fire and Emergency Management output.</w:t>
      </w:r>
    </w:p>
    <w:p w:rsidR="00A46DCA" w:rsidRDefault="00A46DCA" w:rsidP="00A26D04">
      <w:pPr>
        <w:pStyle w:val="Heading30"/>
        <w:spacing w:before="180"/>
        <w:rPr>
          <w:lang w:eastAsia="en-AU"/>
        </w:rPr>
      </w:pPr>
      <w:r>
        <w:rPr>
          <w:lang w:eastAsia="en-AU"/>
        </w:rPr>
        <w:t>Securing our energy future – Solar trams</w:t>
      </w:r>
    </w:p>
    <w:p w:rsidR="00A46DCA" w:rsidRDefault="00A46DCA" w:rsidP="00A26D04">
      <w:r>
        <w:t>The S</w:t>
      </w:r>
      <w:r w:rsidRPr="00BF6331">
        <w:t>ecuring our ener</w:t>
      </w:r>
      <w:r>
        <w:t xml:space="preserve">gy future – Solar trams initiative will provide further funding until 2027-28 to </w:t>
      </w:r>
      <w:r w:rsidRPr="00BF6331">
        <w:t>promote investment i</w:t>
      </w:r>
      <w:r>
        <w:t>n renewable energy and offset the total electricity consumption of Yarra Trams.</w:t>
      </w:r>
    </w:p>
    <w:p w:rsidR="00A46DCA" w:rsidRDefault="00A46DCA" w:rsidP="00A26D04">
      <w:r>
        <w:t>This initiative will be funded from the Sustainability Fund.</w:t>
      </w:r>
    </w:p>
    <w:p w:rsidR="00A46DCA" w:rsidRDefault="00A46DCA" w:rsidP="00A26D04">
      <w:r w:rsidRPr="00C507A7">
        <w:t>This initiative contributes to the Department of Environment, Land, Water and Planning</w:t>
      </w:r>
      <w:r>
        <w:t>’</w:t>
      </w:r>
      <w:r w:rsidRPr="00C507A7">
        <w:t xml:space="preserve">s </w:t>
      </w:r>
      <w:r>
        <w:t>Energy</w:t>
      </w:r>
      <w:r w:rsidRPr="00C507A7">
        <w:t xml:space="preserve"> output.</w:t>
      </w:r>
    </w:p>
    <w:p w:rsidR="00A46DCA" w:rsidRDefault="00A46DCA" w:rsidP="00A26D04">
      <w:pPr>
        <w:pStyle w:val="Heading30"/>
        <w:spacing w:before="180"/>
        <w:rPr>
          <w:lang w:eastAsia="en-AU"/>
        </w:rPr>
      </w:pPr>
      <w:r>
        <w:rPr>
          <w:lang w:eastAsia="en-AU"/>
        </w:rPr>
        <w:t xml:space="preserve">Victorian Renewable Energy Target scheme </w:t>
      </w:r>
    </w:p>
    <w:p w:rsidR="00A46DCA" w:rsidRDefault="00A46DCA" w:rsidP="00A26D04">
      <w:pPr>
        <w:rPr>
          <w:lang w:val="en-US"/>
        </w:rPr>
      </w:pPr>
      <w:r>
        <w:rPr>
          <w:lang w:eastAsia="en-AU"/>
        </w:rPr>
        <w:t xml:space="preserve">The </w:t>
      </w:r>
      <w:bookmarkStart w:id="75" w:name="_9kR3WTr26649HjSgs54zjpWSE52C802I"/>
      <w:r>
        <w:t>Government</w:t>
      </w:r>
      <w:bookmarkEnd w:id="75"/>
      <w:r>
        <w:t xml:space="preserve"> will support up to 650 megawatts of new renewable energy generation, awarding commercial contracts through a reverse auction mechanism. This will bring forward </w:t>
      </w:r>
      <w:r w:rsidRPr="00D15993">
        <w:t xml:space="preserve">significant investment in </w:t>
      </w:r>
      <w:r>
        <w:t xml:space="preserve">new </w:t>
      </w:r>
      <w:r w:rsidRPr="00D15993">
        <w:t>renewable energy projects in Victoria</w:t>
      </w:r>
      <w:r>
        <w:t>.</w:t>
      </w:r>
    </w:p>
    <w:p w:rsidR="00A46DCA" w:rsidRDefault="00A46DCA" w:rsidP="00A26D04">
      <w:r w:rsidRPr="00C507A7">
        <w:t>This initiative contributes to the Department of Environment, Land, Water and Planning</w:t>
      </w:r>
      <w:r>
        <w:t>’</w:t>
      </w:r>
      <w:r w:rsidRPr="00C507A7">
        <w:t xml:space="preserve">s </w:t>
      </w:r>
      <w:r>
        <w:t>Energy</w:t>
      </w:r>
      <w:r w:rsidRPr="00C507A7">
        <w:t xml:space="preserve"> output.</w:t>
      </w:r>
    </w:p>
    <w:p w:rsidR="00A46DCA" w:rsidRDefault="00A46DCA" w:rsidP="00A26D04"/>
    <w:p w:rsidR="00A46DCA" w:rsidRDefault="00A46DCA" w:rsidP="00A26D04">
      <w:pPr>
        <w:pStyle w:val="Heading10"/>
        <w:rPr>
          <w:lang w:eastAsia="en-AU"/>
        </w:rPr>
      </w:pPr>
      <w:bookmarkStart w:id="76" w:name="_Toc500179547"/>
      <w:r>
        <w:rPr>
          <w:lang w:eastAsia="en-AU"/>
        </w:rPr>
        <w:br w:type="page"/>
      </w:r>
    </w:p>
    <w:p w:rsidR="00A46DCA" w:rsidRDefault="00A46DCA" w:rsidP="00A26D04">
      <w:pPr>
        <w:pStyle w:val="Heading10"/>
        <w:rPr>
          <w:lang w:eastAsia="en-AU"/>
        </w:rPr>
      </w:pPr>
      <w:bookmarkStart w:id="77" w:name="_Toc500435589"/>
      <w:r>
        <w:rPr>
          <w:lang w:eastAsia="en-AU"/>
        </w:rPr>
        <w:lastRenderedPageBreak/>
        <w:t>Department of Health and Human Services</w:t>
      </w:r>
      <w:bookmarkEnd w:id="76"/>
      <w:bookmarkEnd w:id="77"/>
    </w:p>
    <w:p w:rsidR="00A46DCA" w:rsidRDefault="00A46DCA" w:rsidP="00A26D04">
      <w:pPr>
        <w:pStyle w:val="Heading20"/>
        <w:rPr>
          <w:lang w:eastAsia="en-AU"/>
        </w:rPr>
      </w:pPr>
      <w:r>
        <w:rPr>
          <w:lang w:eastAsia="en-AU"/>
        </w:rPr>
        <w:t>Output initiatives</w:t>
      </w:r>
    </w:p>
    <w:p w:rsidR="00A46DCA" w:rsidRPr="00DC33D3" w:rsidRDefault="00A46DCA" w:rsidP="00A26D04">
      <w:pPr>
        <w:pStyle w:val="TableHeading"/>
        <w:rPr>
          <w:bCs/>
          <w:lang w:val="en-US" w:eastAsia="en-AU"/>
        </w:rPr>
      </w:pPr>
      <w:r>
        <w:rPr>
          <w:lang w:eastAsia="en-AU"/>
        </w:rPr>
        <w:t>Table A.7:</w:t>
      </w:r>
      <w:r>
        <w:rPr>
          <w:lang w:eastAsia="en-AU"/>
        </w:rPr>
        <w:tab/>
        <w:t xml:space="preserve">Output </w:t>
      </w:r>
      <w:r w:rsidRPr="00330CC4">
        <w:t>initiatives</w:t>
      </w:r>
      <w:r>
        <w:rPr>
          <w:lang w:eastAsia="en-AU"/>
        </w:rPr>
        <w:t xml:space="preserve"> – Department of Health and Human Services</w:t>
      </w:r>
      <w:r>
        <w:rPr>
          <w:lang w:eastAsia="en-AU"/>
        </w:rPr>
        <w:tab/>
        <w:t>($ million)</w:t>
      </w:r>
    </w:p>
    <w:tbl>
      <w:tblPr>
        <w:tblStyle w:val="DTFTable"/>
        <w:tblW w:w="7761" w:type="dxa"/>
        <w:tblInd w:w="45" w:type="dxa"/>
        <w:tblLayout w:type="fixed"/>
        <w:tblCellMar>
          <w:left w:w="45" w:type="dxa"/>
          <w:right w:w="45" w:type="dxa"/>
        </w:tblCellMar>
        <w:tblLook w:val="06A0" w:firstRow="1" w:lastRow="0" w:firstColumn="1" w:lastColumn="0" w:noHBand="1" w:noVBand="1"/>
      </w:tblPr>
      <w:tblGrid>
        <w:gridCol w:w="4677"/>
        <w:gridCol w:w="663"/>
        <w:gridCol w:w="805"/>
        <w:gridCol w:w="805"/>
        <w:gridCol w:w="811"/>
      </w:tblGrid>
      <w:tr w:rsidR="00A46DCA" w:rsidRPr="00DC33D3" w:rsidTr="004906A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677" w:type="dxa"/>
            <w:tcBorders>
              <w:top w:val="nil"/>
              <w:left w:val="nil"/>
              <w:bottom w:val="nil"/>
              <w:right w:val="nil"/>
            </w:tcBorders>
            <w:shd w:val="solid" w:color="000000" w:fill="auto"/>
          </w:tcPr>
          <w:p w:rsidR="00A46DCA" w:rsidRPr="00DC33D3" w:rsidRDefault="00A46DCA" w:rsidP="00A26D04">
            <w:pPr>
              <w:autoSpaceDE w:val="0"/>
              <w:autoSpaceDN w:val="0"/>
              <w:adjustRightInd w:val="0"/>
              <w:rPr>
                <w:rFonts w:eastAsiaTheme="minorEastAsia" w:cs="Calibri"/>
                <w:color w:val="FFFFFF"/>
                <w:szCs w:val="20"/>
                <w:lang w:eastAsia="en-AU"/>
              </w:rPr>
            </w:pPr>
            <w:r w:rsidRPr="00DC33D3">
              <w:rPr>
                <w:rFonts w:eastAsiaTheme="minorEastAsia" w:cs="Calibri"/>
                <w:color w:val="FFFFFF"/>
                <w:szCs w:val="20"/>
                <w:lang w:eastAsia="en-AU"/>
              </w:rPr>
              <w:t xml:space="preserve"> </w:t>
            </w:r>
          </w:p>
        </w:tc>
        <w:tc>
          <w:tcPr>
            <w:tcW w:w="663" w:type="dxa"/>
            <w:tcBorders>
              <w:top w:val="nil"/>
              <w:left w:val="nil"/>
              <w:bottom w:val="nil"/>
              <w:right w:val="nil"/>
            </w:tcBorders>
            <w:shd w:val="solid" w:color="000000" w:fill="auto"/>
          </w:tcPr>
          <w:p w:rsidR="00A46DCA" w:rsidRPr="00DC33D3" w:rsidRDefault="00A46DCA" w:rsidP="00A26D0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20"/>
                <w:lang w:eastAsia="en-AU"/>
              </w:rPr>
            </w:pPr>
            <w:r w:rsidRPr="00DC33D3">
              <w:rPr>
                <w:rFonts w:eastAsiaTheme="minorEastAsia" w:cs="Calibri"/>
                <w:iCs/>
                <w:color w:val="FFFFFF"/>
                <w:szCs w:val="20"/>
                <w:lang w:eastAsia="en-AU"/>
              </w:rPr>
              <w:t>2017-18</w:t>
            </w:r>
          </w:p>
        </w:tc>
        <w:tc>
          <w:tcPr>
            <w:tcW w:w="805" w:type="dxa"/>
            <w:tcBorders>
              <w:top w:val="nil"/>
              <w:left w:val="nil"/>
              <w:bottom w:val="nil"/>
              <w:right w:val="nil"/>
            </w:tcBorders>
            <w:shd w:val="solid" w:color="000000" w:fill="auto"/>
          </w:tcPr>
          <w:p w:rsidR="00A46DCA" w:rsidRPr="00DC33D3" w:rsidRDefault="00A46DCA" w:rsidP="00A26D0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20"/>
                <w:lang w:eastAsia="en-AU"/>
              </w:rPr>
            </w:pPr>
            <w:r w:rsidRPr="00DC33D3">
              <w:rPr>
                <w:rFonts w:eastAsiaTheme="minorEastAsia" w:cs="Calibri"/>
                <w:iCs/>
                <w:color w:val="FFFFFF"/>
                <w:szCs w:val="20"/>
                <w:lang w:eastAsia="en-AU"/>
              </w:rPr>
              <w:t>2018-19</w:t>
            </w:r>
          </w:p>
        </w:tc>
        <w:tc>
          <w:tcPr>
            <w:tcW w:w="805" w:type="dxa"/>
            <w:tcBorders>
              <w:top w:val="nil"/>
              <w:left w:val="nil"/>
              <w:bottom w:val="nil"/>
              <w:right w:val="nil"/>
            </w:tcBorders>
            <w:shd w:val="solid" w:color="000000" w:fill="auto"/>
          </w:tcPr>
          <w:p w:rsidR="00A46DCA" w:rsidRPr="00DC33D3" w:rsidRDefault="00A46DCA" w:rsidP="00A26D0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20"/>
                <w:lang w:eastAsia="en-AU"/>
              </w:rPr>
            </w:pPr>
            <w:r w:rsidRPr="00DC33D3">
              <w:rPr>
                <w:rFonts w:eastAsiaTheme="minorEastAsia" w:cs="Calibri"/>
                <w:iCs/>
                <w:color w:val="FFFFFF"/>
                <w:szCs w:val="20"/>
                <w:lang w:eastAsia="en-AU"/>
              </w:rPr>
              <w:t>2019-20</w:t>
            </w:r>
          </w:p>
        </w:tc>
        <w:tc>
          <w:tcPr>
            <w:tcW w:w="811" w:type="dxa"/>
            <w:tcBorders>
              <w:top w:val="nil"/>
              <w:left w:val="nil"/>
              <w:bottom w:val="nil"/>
              <w:right w:val="nil"/>
            </w:tcBorders>
            <w:shd w:val="solid" w:color="000000" w:fill="auto"/>
          </w:tcPr>
          <w:p w:rsidR="00A46DCA" w:rsidRPr="00DC33D3" w:rsidRDefault="00A46DCA" w:rsidP="00A26D0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20"/>
                <w:lang w:eastAsia="en-AU"/>
              </w:rPr>
            </w:pPr>
            <w:r w:rsidRPr="00DC33D3">
              <w:rPr>
                <w:rFonts w:eastAsiaTheme="minorEastAsia" w:cs="Calibri"/>
                <w:iCs/>
                <w:color w:val="FFFFFF"/>
                <w:szCs w:val="20"/>
                <w:lang w:eastAsia="en-AU"/>
              </w:rPr>
              <w:t>2020-21</w:t>
            </w:r>
          </w:p>
        </w:tc>
      </w:tr>
      <w:tr w:rsidR="00A46DCA" w:rsidRPr="00DC33D3" w:rsidTr="004906A4">
        <w:tc>
          <w:tcPr>
            <w:cnfStyle w:val="001000000000" w:firstRow="0" w:lastRow="0" w:firstColumn="1" w:lastColumn="0" w:oddVBand="0" w:evenVBand="0" w:oddHBand="0" w:evenHBand="0" w:firstRowFirstColumn="0" w:firstRowLastColumn="0" w:lastRowFirstColumn="0" w:lastRowLastColumn="0"/>
            <w:tcW w:w="4677" w:type="dxa"/>
            <w:tcBorders>
              <w:top w:val="nil"/>
              <w:left w:val="nil"/>
              <w:bottom w:val="nil"/>
              <w:right w:val="nil"/>
            </w:tcBorders>
          </w:tcPr>
          <w:p w:rsidR="00A46DCA" w:rsidRPr="00DC33D3" w:rsidRDefault="00A46DCA" w:rsidP="00A26D04">
            <w:pPr>
              <w:keepLines w:val="0"/>
              <w:autoSpaceDE w:val="0"/>
              <w:autoSpaceDN w:val="0"/>
              <w:adjustRightInd w:val="0"/>
              <w:rPr>
                <w:rFonts w:eastAsiaTheme="minorEastAsia" w:cs="Calibri"/>
                <w:color w:val="000000"/>
                <w:szCs w:val="20"/>
                <w:vertAlign w:val="superscript"/>
                <w:lang w:eastAsia="en-AU"/>
              </w:rPr>
            </w:pPr>
            <w:r w:rsidRPr="00DC33D3">
              <w:rPr>
                <w:rFonts w:eastAsiaTheme="minorEastAsia" w:cs="Calibri"/>
                <w:color w:val="000000"/>
                <w:szCs w:val="20"/>
                <w:lang w:eastAsia="en-AU"/>
              </w:rPr>
              <w:t xml:space="preserve">Establishment of a Victorian Fixated Threat Assessment Centre </w:t>
            </w:r>
            <w:r w:rsidRPr="00DC33D3">
              <w:rPr>
                <w:rFonts w:eastAsiaTheme="minorEastAsia" w:cs="Calibri"/>
                <w:color w:val="000000"/>
                <w:szCs w:val="20"/>
                <w:vertAlign w:val="superscript"/>
                <w:lang w:eastAsia="en-AU"/>
              </w:rPr>
              <w:t>(a)</w:t>
            </w:r>
          </w:p>
        </w:tc>
        <w:tc>
          <w:tcPr>
            <w:tcW w:w="663" w:type="dxa"/>
            <w:tcBorders>
              <w:top w:val="nil"/>
              <w:left w:val="nil"/>
              <w:bottom w:val="nil"/>
              <w:right w:val="nil"/>
            </w:tcBorders>
          </w:tcPr>
          <w:p w:rsidR="00A46DCA" w:rsidRPr="00DC33D3"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DC33D3">
              <w:rPr>
                <w:rFonts w:eastAsiaTheme="minorEastAsia" w:cs="Calibri"/>
                <w:color w:val="000000"/>
                <w:szCs w:val="20"/>
                <w:lang w:eastAsia="en-AU"/>
              </w:rPr>
              <w:t>8.7</w:t>
            </w:r>
          </w:p>
        </w:tc>
        <w:tc>
          <w:tcPr>
            <w:tcW w:w="805" w:type="dxa"/>
            <w:tcBorders>
              <w:top w:val="nil"/>
              <w:left w:val="nil"/>
              <w:bottom w:val="nil"/>
              <w:right w:val="nil"/>
            </w:tcBorders>
          </w:tcPr>
          <w:p w:rsidR="00A46DCA" w:rsidRPr="00DC33D3"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DC33D3">
              <w:rPr>
                <w:rFonts w:eastAsiaTheme="minorEastAsia" w:cs="Calibri"/>
                <w:color w:val="000000"/>
                <w:szCs w:val="20"/>
                <w:lang w:eastAsia="en-AU"/>
              </w:rPr>
              <w:t>15.8</w:t>
            </w:r>
          </w:p>
        </w:tc>
        <w:tc>
          <w:tcPr>
            <w:tcW w:w="805" w:type="dxa"/>
            <w:tcBorders>
              <w:top w:val="nil"/>
              <w:left w:val="nil"/>
              <w:bottom w:val="nil"/>
              <w:right w:val="nil"/>
            </w:tcBorders>
          </w:tcPr>
          <w:p w:rsidR="00A46DCA" w:rsidRPr="00DC33D3"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DC33D3">
              <w:rPr>
                <w:rFonts w:eastAsiaTheme="minorEastAsia" w:cs="Calibri"/>
                <w:color w:val="000000"/>
                <w:szCs w:val="20"/>
                <w:lang w:eastAsia="en-AU"/>
              </w:rPr>
              <w:t>..</w:t>
            </w:r>
          </w:p>
        </w:tc>
        <w:tc>
          <w:tcPr>
            <w:tcW w:w="811" w:type="dxa"/>
            <w:tcBorders>
              <w:top w:val="nil"/>
              <w:left w:val="nil"/>
              <w:bottom w:val="nil"/>
              <w:right w:val="nil"/>
            </w:tcBorders>
          </w:tcPr>
          <w:p w:rsidR="00A46DCA" w:rsidRPr="00DC33D3"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DC33D3">
              <w:rPr>
                <w:rFonts w:eastAsiaTheme="minorEastAsia" w:cs="Calibri"/>
                <w:color w:val="000000"/>
                <w:szCs w:val="20"/>
                <w:lang w:eastAsia="en-AU"/>
              </w:rPr>
              <w:t>..</w:t>
            </w:r>
          </w:p>
        </w:tc>
      </w:tr>
      <w:tr w:rsidR="00A46DCA" w:rsidRPr="00DC33D3" w:rsidTr="00A26D04">
        <w:tc>
          <w:tcPr>
            <w:cnfStyle w:val="001000000000" w:firstRow="0" w:lastRow="0" w:firstColumn="1" w:lastColumn="0" w:oddVBand="0" w:evenVBand="0" w:oddHBand="0" w:evenHBand="0" w:firstRowFirstColumn="0" w:firstRowLastColumn="0" w:lastRowFirstColumn="0" w:lastRowLastColumn="0"/>
            <w:tcW w:w="4677" w:type="dxa"/>
            <w:tcBorders>
              <w:top w:val="nil"/>
              <w:left w:val="nil"/>
              <w:bottom w:val="nil"/>
              <w:right w:val="nil"/>
            </w:tcBorders>
          </w:tcPr>
          <w:p w:rsidR="00A46DCA" w:rsidRPr="00DC33D3" w:rsidRDefault="00A46DCA" w:rsidP="00A26D04">
            <w:pPr>
              <w:keepLines w:val="0"/>
              <w:autoSpaceDE w:val="0"/>
              <w:autoSpaceDN w:val="0"/>
              <w:adjustRightInd w:val="0"/>
              <w:rPr>
                <w:rFonts w:eastAsiaTheme="minorEastAsia" w:cs="Calibri"/>
                <w:color w:val="000000"/>
                <w:szCs w:val="20"/>
                <w:vertAlign w:val="superscript"/>
                <w:lang w:eastAsia="en-AU"/>
              </w:rPr>
            </w:pPr>
            <w:r w:rsidRPr="00DC33D3">
              <w:rPr>
                <w:rFonts w:eastAsiaTheme="minorEastAsia" w:cs="Calibri"/>
                <w:color w:val="000000"/>
                <w:szCs w:val="20"/>
                <w:lang w:eastAsia="en-AU"/>
              </w:rPr>
              <w:t xml:space="preserve">Health service funding support </w:t>
            </w:r>
            <w:r w:rsidRPr="00DC33D3">
              <w:rPr>
                <w:rFonts w:eastAsiaTheme="minorEastAsia" w:cs="Calibri"/>
                <w:color w:val="000000"/>
                <w:szCs w:val="20"/>
                <w:vertAlign w:val="superscript"/>
                <w:lang w:eastAsia="en-AU"/>
              </w:rPr>
              <w:t>(a)</w:t>
            </w:r>
          </w:p>
        </w:tc>
        <w:tc>
          <w:tcPr>
            <w:tcW w:w="663" w:type="dxa"/>
            <w:tcBorders>
              <w:top w:val="nil"/>
              <w:left w:val="nil"/>
              <w:bottom w:val="nil"/>
              <w:right w:val="nil"/>
            </w:tcBorders>
          </w:tcPr>
          <w:p w:rsidR="00A46DCA" w:rsidRPr="00DC33D3"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DC33D3">
              <w:rPr>
                <w:rFonts w:eastAsiaTheme="minorEastAsia" w:cs="Calibri"/>
                <w:color w:val="000000"/>
                <w:szCs w:val="20"/>
                <w:lang w:eastAsia="en-AU"/>
              </w:rPr>
              <w:t>115.0</w:t>
            </w:r>
          </w:p>
        </w:tc>
        <w:tc>
          <w:tcPr>
            <w:tcW w:w="805" w:type="dxa"/>
            <w:tcBorders>
              <w:top w:val="nil"/>
              <w:left w:val="nil"/>
              <w:bottom w:val="nil"/>
              <w:right w:val="nil"/>
            </w:tcBorders>
          </w:tcPr>
          <w:p w:rsidR="00A46DCA" w:rsidRPr="00DC33D3"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DC33D3">
              <w:rPr>
                <w:rFonts w:eastAsiaTheme="minorEastAsia" w:cs="Calibri"/>
                <w:color w:val="000000"/>
                <w:szCs w:val="20"/>
                <w:lang w:eastAsia="en-AU"/>
              </w:rPr>
              <w:t>..</w:t>
            </w:r>
          </w:p>
        </w:tc>
        <w:tc>
          <w:tcPr>
            <w:tcW w:w="805" w:type="dxa"/>
            <w:tcBorders>
              <w:top w:val="nil"/>
              <w:left w:val="nil"/>
              <w:bottom w:val="nil"/>
              <w:right w:val="nil"/>
            </w:tcBorders>
          </w:tcPr>
          <w:p w:rsidR="00A46DCA" w:rsidRPr="00DC33D3"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DC33D3">
              <w:rPr>
                <w:rFonts w:eastAsiaTheme="minorEastAsia" w:cs="Calibri"/>
                <w:color w:val="000000"/>
                <w:szCs w:val="20"/>
                <w:lang w:eastAsia="en-AU"/>
              </w:rPr>
              <w:t>..</w:t>
            </w:r>
          </w:p>
        </w:tc>
        <w:tc>
          <w:tcPr>
            <w:tcW w:w="811" w:type="dxa"/>
            <w:tcBorders>
              <w:top w:val="nil"/>
              <w:left w:val="nil"/>
              <w:bottom w:val="nil"/>
              <w:right w:val="nil"/>
            </w:tcBorders>
          </w:tcPr>
          <w:p w:rsidR="00A46DCA" w:rsidRPr="00DC33D3"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DC33D3">
              <w:rPr>
                <w:rFonts w:eastAsiaTheme="minorEastAsia" w:cs="Calibri"/>
                <w:color w:val="000000"/>
                <w:szCs w:val="20"/>
                <w:lang w:eastAsia="en-AU"/>
              </w:rPr>
              <w:t>..</w:t>
            </w:r>
          </w:p>
        </w:tc>
      </w:tr>
      <w:tr w:rsidR="00A46DCA" w:rsidRPr="00DC33D3" w:rsidTr="00A26D04">
        <w:tc>
          <w:tcPr>
            <w:cnfStyle w:val="001000000000" w:firstRow="0" w:lastRow="0" w:firstColumn="1" w:lastColumn="0" w:oddVBand="0" w:evenVBand="0" w:oddHBand="0" w:evenHBand="0" w:firstRowFirstColumn="0" w:firstRowLastColumn="0" w:lastRowFirstColumn="0" w:lastRowLastColumn="0"/>
            <w:tcW w:w="4677" w:type="dxa"/>
            <w:tcBorders>
              <w:top w:val="nil"/>
              <w:left w:val="nil"/>
              <w:bottom w:val="nil"/>
              <w:right w:val="nil"/>
            </w:tcBorders>
          </w:tcPr>
          <w:p w:rsidR="00A46DCA" w:rsidRPr="00DC33D3" w:rsidRDefault="00A46DCA" w:rsidP="00A26D04">
            <w:pPr>
              <w:keepLines w:val="0"/>
              <w:autoSpaceDE w:val="0"/>
              <w:autoSpaceDN w:val="0"/>
              <w:adjustRightInd w:val="0"/>
              <w:rPr>
                <w:rFonts w:eastAsiaTheme="minorEastAsia" w:cs="Calibri"/>
                <w:color w:val="000000"/>
                <w:szCs w:val="20"/>
                <w:vertAlign w:val="superscript"/>
                <w:lang w:eastAsia="en-AU"/>
              </w:rPr>
            </w:pPr>
            <w:r w:rsidRPr="00DC33D3">
              <w:rPr>
                <w:rFonts w:eastAsiaTheme="minorEastAsia" w:cs="Calibri"/>
                <w:color w:val="000000"/>
                <w:szCs w:val="20"/>
                <w:lang w:eastAsia="en-AU"/>
              </w:rPr>
              <w:t>Responding better to people</w:t>
            </w:r>
            <w:r>
              <w:rPr>
                <w:rFonts w:eastAsiaTheme="minorEastAsia" w:cs="Calibri"/>
                <w:color w:val="000000"/>
                <w:szCs w:val="20"/>
                <w:lang w:eastAsia="en-AU"/>
              </w:rPr>
              <w:t>’</w:t>
            </w:r>
            <w:r w:rsidRPr="00DC33D3">
              <w:rPr>
                <w:rFonts w:eastAsiaTheme="minorEastAsia" w:cs="Calibri"/>
                <w:color w:val="000000"/>
                <w:szCs w:val="20"/>
                <w:lang w:eastAsia="en-AU"/>
              </w:rPr>
              <w:t xml:space="preserve">s end of life care preferences </w:t>
            </w:r>
            <w:r w:rsidRPr="00DC33D3">
              <w:rPr>
                <w:rFonts w:eastAsiaTheme="minorEastAsia" w:cs="Calibri"/>
                <w:color w:val="000000"/>
                <w:szCs w:val="20"/>
                <w:vertAlign w:val="superscript"/>
                <w:lang w:eastAsia="en-AU"/>
              </w:rPr>
              <w:t>(a)</w:t>
            </w:r>
          </w:p>
        </w:tc>
        <w:tc>
          <w:tcPr>
            <w:tcW w:w="663" w:type="dxa"/>
            <w:tcBorders>
              <w:top w:val="nil"/>
              <w:left w:val="nil"/>
              <w:bottom w:val="nil"/>
              <w:right w:val="nil"/>
            </w:tcBorders>
          </w:tcPr>
          <w:p w:rsidR="00A46DCA" w:rsidRPr="00DC33D3"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DC33D3">
              <w:rPr>
                <w:rFonts w:eastAsiaTheme="minorEastAsia" w:cs="Calibri"/>
                <w:color w:val="000000"/>
                <w:szCs w:val="20"/>
                <w:lang w:eastAsia="en-AU"/>
              </w:rPr>
              <w:t>19.0</w:t>
            </w:r>
          </w:p>
        </w:tc>
        <w:tc>
          <w:tcPr>
            <w:tcW w:w="805" w:type="dxa"/>
            <w:tcBorders>
              <w:top w:val="nil"/>
              <w:left w:val="nil"/>
              <w:bottom w:val="nil"/>
              <w:right w:val="nil"/>
            </w:tcBorders>
          </w:tcPr>
          <w:p w:rsidR="00A46DCA" w:rsidRPr="00DC33D3"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DC33D3">
              <w:rPr>
                <w:rFonts w:eastAsiaTheme="minorEastAsia" w:cs="Calibri"/>
                <w:color w:val="000000"/>
                <w:szCs w:val="20"/>
                <w:lang w:eastAsia="en-AU"/>
              </w:rPr>
              <w:t>10.4</w:t>
            </w:r>
          </w:p>
        </w:tc>
        <w:tc>
          <w:tcPr>
            <w:tcW w:w="805" w:type="dxa"/>
            <w:tcBorders>
              <w:top w:val="nil"/>
              <w:left w:val="nil"/>
              <w:bottom w:val="nil"/>
              <w:right w:val="nil"/>
            </w:tcBorders>
          </w:tcPr>
          <w:p w:rsidR="00A46DCA" w:rsidRPr="00DC33D3"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DC33D3">
              <w:rPr>
                <w:rFonts w:eastAsiaTheme="minorEastAsia" w:cs="Calibri"/>
                <w:color w:val="000000"/>
                <w:szCs w:val="20"/>
                <w:lang w:eastAsia="en-AU"/>
              </w:rPr>
              <w:t>10.6</w:t>
            </w:r>
          </w:p>
        </w:tc>
        <w:tc>
          <w:tcPr>
            <w:tcW w:w="811" w:type="dxa"/>
            <w:tcBorders>
              <w:top w:val="nil"/>
              <w:left w:val="nil"/>
              <w:bottom w:val="nil"/>
              <w:right w:val="nil"/>
            </w:tcBorders>
          </w:tcPr>
          <w:p w:rsidR="00A46DCA" w:rsidRPr="00DC33D3"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DC33D3">
              <w:rPr>
                <w:rFonts w:eastAsiaTheme="minorEastAsia" w:cs="Calibri"/>
                <w:color w:val="000000"/>
                <w:szCs w:val="20"/>
                <w:lang w:eastAsia="en-AU"/>
              </w:rPr>
              <w:t>10.9</w:t>
            </w:r>
          </w:p>
        </w:tc>
      </w:tr>
      <w:tr w:rsidR="00A46DCA" w:rsidRPr="00DC33D3" w:rsidTr="00A26D04">
        <w:tc>
          <w:tcPr>
            <w:cnfStyle w:val="001000000000" w:firstRow="0" w:lastRow="0" w:firstColumn="1" w:lastColumn="0" w:oddVBand="0" w:evenVBand="0" w:oddHBand="0" w:evenHBand="0" w:firstRowFirstColumn="0" w:firstRowLastColumn="0" w:lastRowFirstColumn="0" w:lastRowLastColumn="0"/>
            <w:tcW w:w="4677" w:type="dxa"/>
            <w:tcBorders>
              <w:top w:val="nil"/>
              <w:left w:val="nil"/>
              <w:bottom w:val="nil"/>
              <w:right w:val="nil"/>
            </w:tcBorders>
          </w:tcPr>
          <w:p w:rsidR="00A46DCA" w:rsidRPr="00DC33D3" w:rsidRDefault="004906A4" w:rsidP="00A26D04">
            <w:pPr>
              <w:keepLines w:val="0"/>
              <w:autoSpaceDE w:val="0"/>
              <w:autoSpaceDN w:val="0"/>
              <w:adjustRightInd w:val="0"/>
              <w:rPr>
                <w:rFonts w:eastAsiaTheme="minorEastAsia" w:cs="Calibri"/>
                <w:color w:val="000000"/>
                <w:szCs w:val="20"/>
                <w:lang w:eastAsia="en-AU"/>
              </w:rPr>
            </w:pPr>
            <w:r>
              <w:rPr>
                <w:rFonts w:eastAsiaTheme="minorEastAsia" w:cs="Calibri"/>
                <w:color w:val="000000"/>
                <w:szCs w:val="20"/>
                <w:lang w:eastAsia="en-AU"/>
              </w:rPr>
              <w:t>Social Impact Bonds –</w:t>
            </w:r>
            <w:r w:rsidR="00A46DCA" w:rsidRPr="00DC33D3">
              <w:rPr>
                <w:rFonts w:eastAsiaTheme="minorEastAsia" w:cs="Calibri"/>
                <w:color w:val="000000"/>
                <w:szCs w:val="20"/>
                <w:lang w:eastAsia="en-AU"/>
              </w:rPr>
              <w:t xml:space="preserve"> implementation of round one</w:t>
            </w:r>
          </w:p>
        </w:tc>
        <w:tc>
          <w:tcPr>
            <w:tcW w:w="663" w:type="dxa"/>
            <w:tcBorders>
              <w:top w:val="nil"/>
              <w:left w:val="nil"/>
              <w:bottom w:val="nil"/>
              <w:right w:val="nil"/>
            </w:tcBorders>
          </w:tcPr>
          <w:p w:rsidR="00A46DCA" w:rsidRPr="00DC33D3"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DC33D3">
              <w:rPr>
                <w:rFonts w:eastAsiaTheme="minorEastAsia" w:cs="Calibri"/>
                <w:color w:val="000000"/>
                <w:szCs w:val="20"/>
                <w:lang w:eastAsia="en-AU"/>
              </w:rPr>
              <w:t>..</w:t>
            </w:r>
          </w:p>
        </w:tc>
        <w:tc>
          <w:tcPr>
            <w:tcW w:w="805" w:type="dxa"/>
            <w:tcBorders>
              <w:top w:val="nil"/>
              <w:left w:val="nil"/>
              <w:bottom w:val="nil"/>
              <w:right w:val="nil"/>
            </w:tcBorders>
          </w:tcPr>
          <w:p w:rsidR="00A46DCA" w:rsidRPr="00DC33D3"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DC33D3">
              <w:rPr>
                <w:rFonts w:eastAsiaTheme="minorEastAsia" w:cs="Calibri"/>
                <w:color w:val="000000"/>
                <w:szCs w:val="20"/>
                <w:lang w:eastAsia="en-AU"/>
              </w:rPr>
              <w:t>2.8</w:t>
            </w:r>
          </w:p>
        </w:tc>
        <w:tc>
          <w:tcPr>
            <w:tcW w:w="805" w:type="dxa"/>
            <w:tcBorders>
              <w:top w:val="nil"/>
              <w:left w:val="nil"/>
              <w:bottom w:val="nil"/>
              <w:right w:val="nil"/>
            </w:tcBorders>
          </w:tcPr>
          <w:p w:rsidR="00A46DCA" w:rsidRPr="00DC33D3"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DC33D3">
              <w:rPr>
                <w:rFonts w:eastAsiaTheme="minorEastAsia" w:cs="Calibri"/>
                <w:color w:val="000000"/>
                <w:szCs w:val="20"/>
                <w:lang w:eastAsia="en-AU"/>
              </w:rPr>
              <w:t>3.7</w:t>
            </w:r>
          </w:p>
        </w:tc>
        <w:tc>
          <w:tcPr>
            <w:tcW w:w="811" w:type="dxa"/>
            <w:tcBorders>
              <w:top w:val="nil"/>
              <w:left w:val="nil"/>
              <w:bottom w:val="nil"/>
              <w:right w:val="nil"/>
            </w:tcBorders>
          </w:tcPr>
          <w:p w:rsidR="00A46DCA" w:rsidRPr="00DC33D3"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DC33D3">
              <w:rPr>
                <w:rFonts w:eastAsiaTheme="minorEastAsia" w:cs="Calibri"/>
                <w:color w:val="000000"/>
                <w:szCs w:val="20"/>
                <w:lang w:eastAsia="en-AU"/>
              </w:rPr>
              <w:t>5.1</w:t>
            </w:r>
          </w:p>
        </w:tc>
      </w:tr>
      <w:tr w:rsidR="00A46DCA" w:rsidRPr="00DC33D3" w:rsidTr="00A26D04">
        <w:tc>
          <w:tcPr>
            <w:cnfStyle w:val="001000000000" w:firstRow="0" w:lastRow="0" w:firstColumn="1" w:lastColumn="0" w:oddVBand="0" w:evenVBand="0" w:oddHBand="0" w:evenHBand="0" w:firstRowFirstColumn="0" w:firstRowLastColumn="0" w:lastRowFirstColumn="0" w:lastRowLastColumn="0"/>
            <w:tcW w:w="4677" w:type="dxa"/>
            <w:tcBorders>
              <w:top w:val="nil"/>
              <w:left w:val="nil"/>
              <w:bottom w:val="nil"/>
              <w:right w:val="nil"/>
            </w:tcBorders>
          </w:tcPr>
          <w:p w:rsidR="00A46DCA" w:rsidRPr="00DC33D3" w:rsidRDefault="00A46DCA" w:rsidP="00A26D04">
            <w:pPr>
              <w:keepLines w:val="0"/>
              <w:autoSpaceDE w:val="0"/>
              <w:autoSpaceDN w:val="0"/>
              <w:adjustRightInd w:val="0"/>
              <w:rPr>
                <w:rFonts w:eastAsiaTheme="minorEastAsia" w:cs="Calibri"/>
                <w:color w:val="000000"/>
                <w:szCs w:val="20"/>
                <w:vertAlign w:val="superscript"/>
                <w:lang w:eastAsia="en-AU"/>
              </w:rPr>
            </w:pPr>
            <w:r w:rsidRPr="00DC33D3">
              <w:rPr>
                <w:rFonts w:eastAsiaTheme="minorEastAsia" w:cs="Calibri"/>
                <w:color w:val="000000"/>
                <w:szCs w:val="20"/>
                <w:lang w:eastAsia="en-AU"/>
              </w:rPr>
              <w:t xml:space="preserve">Tackling the drug problem in Victoria </w:t>
            </w:r>
            <w:r w:rsidRPr="00DC33D3">
              <w:rPr>
                <w:rFonts w:eastAsiaTheme="minorEastAsia" w:cs="Calibri"/>
                <w:color w:val="000000"/>
                <w:szCs w:val="20"/>
                <w:vertAlign w:val="superscript"/>
                <w:lang w:eastAsia="en-AU"/>
              </w:rPr>
              <w:t>(a)</w:t>
            </w:r>
          </w:p>
        </w:tc>
        <w:tc>
          <w:tcPr>
            <w:tcW w:w="663" w:type="dxa"/>
            <w:tcBorders>
              <w:top w:val="nil"/>
              <w:left w:val="nil"/>
              <w:bottom w:val="nil"/>
              <w:right w:val="nil"/>
            </w:tcBorders>
          </w:tcPr>
          <w:p w:rsidR="00A46DCA" w:rsidRPr="00DC33D3"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DC33D3">
              <w:rPr>
                <w:rFonts w:eastAsiaTheme="minorEastAsia" w:cs="Calibri"/>
                <w:color w:val="000000"/>
                <w:szCs w:val="20"/>
                <w:lang w:eastAsia="en-AU"/>
              </w:rPr>
              <w:t>19.5</w:t>
            </w:r>
          </w:p>
        </w:tc>
        <w:tc>
          <w:tcPr>
            <w:tcW w:w="805" w:type="dxa"/>
            <w:tcBorders>
              <w:top w:val="nil"/>
              <w:left w:val="nil"/>
              <w:bottom w:val="nil"/>
              <w:right w:val="nil"/>
            </w:tcBorders>
          </w:tcPr>
          <w:p w:rsidR="00A46DCA" w:rsidRPr="00DC33D3"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DC33D3">
              <w:rPr>
                <w:rFonts w:eastAsiaTheme="minorEastAsia" w:cs="Calibri"/>
                <w:color w:val="000000"/>
                <w:szCs w:val="20"/>
                <w:lang w:eastAsia="en-AU"/>
              </w:rPr>
              <w:t>17.3</w:t>
            </w:r>
          </w:p>
        </w:tc>
        <w:tc>
          <w:tcPr>
            <w:tcW w:w="805" w:type="dxa"/>
            <w:tcBorders>
              <w:top w:val="nil"/>
              <w:left w:val="nil"/>
              <w:bottom w:val="nil"/>
              <w:right w:val="nil"/>
            </w:tcBorders>
          </w:tcPr>
          <w:p w:rsidR="00A46DCA" w:rsidRPr="00DC33D3"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DC33D3">
              <w:rPr>
                <w:rFonts w:eastAsiaTheme="minorEastAsia" w:cs="Calibri"/>
                <w:color w:val="000000"/>
                <w:szCs w:val="20"/>
                <w:lang w:eastAsia="en-AU"/>
              </w:rPr>
              <w:t>16.4</w:t>
            </w:r>
          </w:p>
        </w:tc>
        <w:tc>
          <w:tcPr>
            <w:tcW w:w="811" w:type="dxa"/>
            <w:tcBorders>
              <w:top w:val="nil"/>
              <w:left w:val="nil"/>
              <w:bottom w:val="nil"/>
              <w:right w:val="nil"/>
            </w:tcBorders>
          </w:tcPr>
          <w:p w:rsidR="00A46DCA" w:rsidRPr="00DC33D3"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DC33D3">
              <w:rPr>
                <w:rFonts w:eastAsiaTheme="minorEastAsia" w:cs="Calibri"/>
                <w:color w:val="000000"/>
                <w:szCs w:val="20"/>
                <w:lang w:eastAsia="en-AU"/>
              </w:rPr>
              <w:t>16.9</w:t>
            </w:r>
          </w:p>
        </w:tc>
      </w:tr>
      <w:tr w:rsidR="00A46DCA" w:rsidRPr="00DC33D3" w:rsidTr="00A26D04">
        <w:tc>
          <w:tcPr>
            <w:cnfStyle w:val="001000000000" w:firstRow="0" w:lastRow="0" w:firstColumn="1" w:lastColumn="0" w:oddVBand="0" w:evenVBand="0" w:oddHBand="0" w:evenHBand="0" w:firstRowFirstColumn="0" w:firstRowLastColumn="0" w:lastRowFirstColumn="0" w:lastRowLastColumn="0"/>
            <w:tcW w:w="4677" w:type="dxa"/>
            <w:tcBorders>
              <w:top w:val="single" w:sz="6" w:space="0" w:color="auto"/>
              <w:left w:val="nil"/>
              <w:bottom w:val="single" w:sz="12" w:space="0" w:color="auto"/>
              <w:right w:val="nil"/>
            </w:tcBorders>
          </w:tcPr>
          <w:p w:rsidR="00A46DCA" w:rsidRPr="00DC33D3" w:rsidRDefault="00A46DCA" w:rsidP="00A26D04">
            <w:pPr>
              <w:keepLines w:val="0"/>
              <w:autoSpaceDE w:val="0"/>
              <w:autoSpaceDN w:val="0"/>
              <w:adjustRightInd w:val="0"/>
              <w:rPr>
                <w:rFonts w:eastAsiaTheme="minorEastAsia" w:cs="Calibri"/>
                <w:b/>
                <w:bCs/>
                <w:color w:val="000000"/>
                <w:szCs w:val="20"/>
                <w:vertAlign w:val="superscript"/>
                <w:lang w:eastAsia="en-AU"/>
              </w:rPr>
            </w:pPr>
            <w:r w:rsidRPr="00DC33D3">
              <w:rPr>
                <w:rFonts w:eastAsiaTheme="minorEastAsia" w:cs="Calibri"/>
                <w:b/>
                <w:bCs/>
                <w:color w:val="000000"/>
                <w:szCs w:val="20"/>
                <w:lang w:eastAsia="en-AU"/>
              </w:rPr>
              <w:t xml:space="preserve">Total output initiatives </w:t>
            </w:r>
            <w:r w:rsidRPr="00DC33D3">
              <w:rPr>
                <w:rFonts w:eastAsiaTheme="minorEastAsia" w:cs="Calibri"/>
                <w:b/>
                <w:bCs/>
                <w:color w:val="000000"/>
                <w:szCs w:val="20"/>
                <w:vertAlign w:val="superscript"/>
                <w:lang w:eastAsia="en-AU"/>
              </w:rPr>
              <w:t>(b)</w:t>
            </w:r>
          </w:p>
        </w:tc>
        <w:tc>
          <w:tcPr>
            <w:tcW w:w="663" w:type="dxa"/>
            <w:tcBorders>
              <w:top w:val="single" w:sz="6" w:space="0" w:color="auto"/>
              <w:left w:val="nil"/>
              <w:bottom w:val="single" w:sz="12" w:space="0" w:color="auto"/>
              <w:right w:val="nil"/>
            </w:tcBorders>
          </w:tcPr>
          <w:p w:rsidR="00A46DCA" w:rsidRPr="00DC33D3"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0"/>
                <w:lang w:eastAsia="en-AU"/>
              </w:rPr>
            </w:pPr>
            <w:r w:rsidRPr="00DC33D3">
              <w:rPr>
                <w:rFonts w:eastAsiaTheme="minorEastAsia" w:cs="Calibri"/>
                <w:b/>
                <w:bCs/>
                <w:color w:val="000000"/>
                <w:szCs w:val="20"/>
                <w:lang w:eastAsia="en-AU"/>
              </w:rPr>
              <w:t>162.2</w:t>
            </w:r>
          </w:p>
        </w:tc>
        <w:tc>
          <w:tcPr>
            <w:tcW w:w="805" w:type="dxa"/>
            <w:tcBorders>
              <w:top w:val="single" w:sz="6" w:space="0" w:color="auto"/>
              <w:left w:val="nil"/>
              <w:bottom w:val="single" w:sz="12" w:space="0" w:color="auto"/>
              <w:right w:val="nil"/>
            </w:tcBorders>
          </w:tcPr>
          <w:p w:rsidR="00A46DCA" w:rsidRPr="00DC33D3"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0"/>
                <w:lang w:eastAsia="en-AU"/>
              </w:rPr>
            </w:pPr>
            <w:r w:rsidRPr="00DC33D3">
              <w:rPr>
                <w:rFonts w:eastAsiaTheme="minorEastAsia" w:cs="Calibri"/>
                <w:b/>
                <w:bCs/>
                <w:color w:val="000000"/>
                <w:szCs w:val="20"/>
                <w:lang w:eastAsia="en-AU"/>
              </w:rPr>
              <w:t>46.2</w:t>
            </w:r>
          </w:p>
        </w:tc>
        <w:tc>
          <w:tcPr>
            <w:tcW w:w="805" w:type="dxa"/>
            <w:tcBorders>
              <w:top w:val="single" w:sz="6" w:space="0" w:color="auto"/>
              <w:left w:val="nil"/>
              <w:bottom w:val="single" w:sz="12" w:space="0" w:color="auto"/>
              <w:right w:val="nil"/>
            </w:tcBorders>
          </w:tcPr>
          <w:p w:rsidR="00A46DCA" w:rsidRPr="00DC33D3"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0"/>
                <w:lang w:eastAsia="en-AU"/>
              </w:rPr>
            </w:pPr>
            <w:r w:rsidRPr="00DC33D3">
              <w:rPr>
                <w:rFonts w:eastAsiaTheme="minorEastAsia" w:cs="Calibri"/>
                <w:b/>
                <w:bCs/>
                <w:color w:val="000000"/>
                <w:szCs w:val="20"/>
                <w:lang w:eastAsia="en-AU"/>
              </w:rPr>
              <w:t>30.8</w:t>
            </w:r>
          </w:p>
        </w:tc>
        <w:tc>
          <w:tcPr>
            <w:tcW w:w="811" w:type="dxa"/>
            <w:tcBorders>
              <w:top w:val="single" w:sz="6" w:space="0" w:color="auto"/>
              <w:left w:val="nil"/>
              <w:bottom w:val="single" w:sz="12" w:space="0" w:color="auto"/>
              <w:right w:val="nil"/>
            </w:tcBorders>
          </w:tcPr>
          <w:p w:rsidR="00A46DCA" w:rsidRPr="00DC33D3"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0"/>
                <w:lang w:eastAsia="en-AU"/>
              </w:rPr>
            </w:pPr>
            <w:r w:rsidRPr="00DC33D3">
              <w:rPr>
                <w:rFonts w:eastAsiaTheme="minorEastAsia" w:cs="Calibri"/>
                <w:b/>
                <w:bCs/>
                <w:color w:val="000000"/>
                <w:szCs w:val="20"/>
                <w:lang w:eastAsia="en-AU"/>
              </w:rPr>
              <w:t>32.9</w:t>
            </w:r>
          </w:p>
        </w:tc>
      </w:tr>
    </w:tbl>
    <w:p w:rsidR="00A46DCA" w:rsidRDefault="00A46DCA" w:rsidP="00A26D04">
      <w:pPr>
        <w:pStyle w:val="Note"/>
        <w:rPr>
          <w:lang w:eastAsia="en-AU"/>
        </w:rPr>
      </w:pPr>
      <w:r>
        <w:rPr>
          <w:lang w:eastAsia="en-AU"/>
        </w:rPr>
        <w:t>Notes:</w:t>
      </w:r>
    </w:p>
    <w:p w:rsidR="00A46DCA" w:rsidRPr="00EE3256" w:rsidRDefault="00A46DCA" w:rsidP="00A26D04">
      <w:pPr>
        <w:pStyle w:val="Note"/>
      </w:pPr>
      <w:r>
        <w:t>(a)</w:t>
      </w:r>
      <w:r>
        <w:tab/>
      </w:r>
      <w:r w:rsidRPr="00EE3256">
        <w:t>These initiatives contribute to activity that attracts Commonwealth funding under the National Health Reform Agreement. Estimates of the Commonwealth</w:t>
      </w:r>
      <w:r>
        <w:t>’</w:t>
      </w:r>
      <w:r w:rsidRPr="00EE3256">
        <w:t>s contribution are included.</w:t>
      </w:r>
    </w:p>
    <w:p w:rsidR="00A46DCA" w:rsidRPr="00EE3256" w:rsidRDefault="00A46DCA" w:rsidP="00A26D04">
      <w:pPr>
        <w:pStyle w:val="Note"/>
      </w:pPr>
      <w:r>
        <w:t>(b)</w:t>
      </w:r>
      <w:r>
        <w:tab/>
      </w:r>
      <w:r w:rsidRPr="00EE3256">
        <w:t>Table may not add due to rounding.</w:t>
      </w:r>
    </w:p>
    <w:p w:rsidR="00A46DCA" w:rsidRDefault="00A46DCA" w:rsidP="00A26D04">
      <w:pPr>
        <w:pStyle w:val="Heading30"/>
        <w:rPr>
          <w:lang w:eastAsia="en-AU"/>
        </w:rPr>
      </w:pPr>
      <w:r>
        <w:rPr>
          <w:lang w:eastAsia="en-AU"/>
        </w:rPr>
        <w:t>Establishment of a Victorian Fixated Threat Assessment Centre</w:t>
      </w:r>
    </w:p>
    <w:p w:rsidR="00A46DCA" w:rsidRDefault="00A46DCA" w:rsidP="00A26D04">
      <w:pPr>
        <w:spacing w:after="200" w:line="276" w:lineRule="auto"/>
      </w:pPr>
      <w:r>
        <w:rPr>
          <w:lang w:eastAsia="en-AU"/>
        </w:rPr>
        <w:t xml:space="preserve">The </w:t>
      </w:r>
      <w:r>
        <w:t>Victorian Fixated Threat Assessment Centre (FTAC) will coordinate responses to serious threats of violence posed by people with complex needs. Co-located police and mental health clinicians will assess threats to public safety posed by high-risk individuals, facilitate joint responses to reduce those threats, and engage or re-engage individuals with mental health or alcohol and drug treatment needs with appropriate services.</w:t>
      </w:r>
    </w:p>
    <w:p w:rsidR="00A46DCA" w:rsidRDefault="00A46DCA" w:rsidP="00A26D04">
      <w:r>
        <w:t>Specialised public mental health services to meet the needs of this cohort will be established, including high-security bed-based models of care, lower security step-down facilities, and home-based treatment teams.</w:t>
      </w:r>
    </w:p>
    <w:p w:rsidR="00A46DCA" w:rsidRDefault="00A46DCA" w:rsidP="00A26D04">
      <w:r>
        <w:t>This initiative contributes to the Department of Health and Human Services’ Clinical Care output.</w:t>
      </w:r>
    </w:p>
    <w:p w:rsidR="00A46DCA" w:rsidRDefault="00A46DCA" w:rsidP="00A26D04">
      <w:r>
        <w:t xml:space="preserve">This initiative contributes to the Department of Justice and Regulation’s </w:t>
      </w:r>
      <w:r>
        <w:rPr>
          <w:lang w:eastAsia="en-AU"/>
        </w:rPr>
        <w:t>Policing and Crime Prevention output.</w:t>
      </w:r>
    </w:p>
    <w:p w:rsidR="00A46DCA" w:rsidRDefault="00A46DCA" w:rsidP="00A26D04">
      <w:pPr>
        <w:pStyle w:val="Heading30"/>
        <w:rPr>
          <w:lang w:eastAsia="en-AU"/>
        </w:rPr>
      </w:pPr>
      <w:r>
        <w:rPr>
          <w:lang w:eastAsia="en-AU"/>
        </w:rPr>
        <w:t>Health service funding support</w:t>
      </w:r>
    </w:p>
    <w:p w:rsidR="00A46DCA" w:rsidRDefault="00A46DCA" w:rsidP="00A26D04">
      <w:r>
        <w:rPr>
          <w:lang w:eastAsia="en-AU"/>
        </w:rPr>
        <w:t xml:space="preserve">Additional </w:t>
      </w:r>
      <w:r>
        <w:t>funding will be provided to support health services to deliver additional elective surgery procedures, support emergency departments in responding to an unprecedented flu season, provide additional inpatient hospital activity and meet rising costs of service delivery.</w:t>
      </w:r>
    </w:p>
    <w:p w:rsidR="00A46DCA" w:rsidRDefault="00A46DCA" w:rsidP="00A26D04">
      <w:r>
        <w:t>This initiative contributes to the Department of Health and Human Services’:</w:t>
      </w:r>
    </w:p>
    <w:p w:rsidR="00A46DCA" w:rsidRDefault="00A46DCA" w:rsidP="00A26D04">
      <w:pPr>
        <w:pStyle w:val="ListBullet"/>
        <w:numPr>
          <w:ilvl w:val="0"/>
          <w:numId w:val="25"/>
        </w:numPr>
        <w:rPr>
          <w:lang w:eastAsia="en-AU"/>
        </w:rPr>
      </w:pPr>
      <w:r>
        <w:rPr>
          <w:lang w:eastAsia="en-AU"/>
        </w:rPr>
        <w:t>Admitted Services output;</w:t>
      </w:r>
    </w:p>
    <w:p w:rsidR="00A46DCA" w:rsidRDefault="00A46DCA" w:rsidP="00A26D04">
      <w:pPr>
        <w:pStyle w:val="ListBullet"/>
        <w:numPr>
          <w:ilvl w:val="0"/>
          <w:numId w:val="25"/>
        </w:numPr>
        <w:rPr>
          <w:lang w:eastAsia="en-AU"/>
        </w:rPr>
      </w:pPr>
      <w:r>
        <w:rPr>
          <w:lang w:eastAsia="en-AU"/>
        </w:rPr>
        <w:t>Emergency Services output; and</w:t>
      </w:r>
    </w:p>
    <w:p w:rsidR="00A46DCA" w:rsidRDefault="00A46DCA" w:rsidP="00A26D04">
      <w:pPr>
        <w:pStyle w:val="ListBullet"/>
        <w:numPr>
          <w:ilvl w:val="0"/>
          <w:numId w:val="25"/>
        </w:numPr>
        <w:rPr>
          <w:lang w:eastAsia="en-AU"/>
        </w:rPr>
      </w:pPr>
      <w:r>
        <w:rPr>
          <w:lang w:eastAsia="en-AU"/>
        </w:rPr>
        <w:t>Small Rural Services – Acute Health output.</w:t>
      </w:r>
    </w:p>
    <w:p w:rsidR="00A46DCA" w:rsidRDefault="00A46DCA" w:rsidP="00A26D04">
      <w:pPr>
        <w:pStyle w:val="Heading30"/>
        <w:rPr>
          <w:lang w:eastAsia="en-AU"/>
        </w:rPr>
      </w:pPr>
      <w:r>
        <w:rPr>
          <w:lang w:eastAsia="en-AU"/>
        </w:rPr>
        <w:lastRenderedPageBreak/>
        <w:t xml:space="preserve">Responding better to people’s end of life care preferences </w:t>
      </w:r>
    </w:p>
    <w:p w:rsidR="00A46DCA" w:rsidRDefault="00A46DCA" w:rsidP="00A26D04">
      <w:pPr>
        <w:rPr>
          <w:lang w:eastAsia="en-AU"/>
        </w:rPr>
      </w:pPr>
      <w:r>
        <w:rPr>
          <w:lang w:eastAsia="en-AU"/>
        </w:rPr>
        <w:t>The Government will provide additional support to Victorians requiring end of life care including home-based palliative care in rural and regional Victoria and increased capacity in regional palliative care consultancy services. A 24-hour expert advice line will also be established to address the variability of access to after</w:t>
      </w:r>
      <w:r>
        <w:rPr>
          <w:lang w:eastAsia="en-AU"/>
        </w:rPr>
        <w:noBreakHyphen/>
        <w:t>hours palliative care advice for clients, carers and generalist health services. Funding will also support planning and implementation of the Voluntary Assisted Dying program.</w:t>
      </w:r>
    </w:p>
    <w:p w:rsidR="00A46DCA" w:rsidRDefault="00A46DCA" w:rsidP="00A26D04">
      <w:pPr>
        <w:ind w:right="-227"/>
        <w:rPr>
          <w:lang w:eastAsia="en-AU"/>
        </w:rPr>
      </w:pPr>
      <w:r>
        <w:rPr>
          <w:lang w:eastAsia="en-AU"/>
        </w:rPr>
        <w:t>This initiative contributes to the Department of Health and Human Services’ Non</w:t>
      </w:r>
      <w:r>
        <w:rPr>
          <w:lang w:eastAsia="en-AU"/>
        </w:rPr>
        <w:noBreakHyphen/>
        <w:t>admitted Services output.</w:t>
      </w:r>
    </w:p>
    <w:p w:rsidR="00A46DCA" w:rsidRDefault="00A46DCA" w:rsidP="00A26D04">
      <w:pPr>
        <w:pStyle w:val="Heading30"/>
        <w:rPr>
          <w:lang w:eastAsia="en-AU"/>
        </w:rPr>
      </w:pPr>
      <w:r>
        <w:rPr>
          <w:lang w:eastAsia="en-AU"/>
        </w:rPr>
        <w:t>Social Impact Bonds – implementation of round one</w:t>
      </w:r>
    </w:p>
    <w:p w:rsidR="00A46DCA" w:rsidRDefault="00A46DCA" w:rsidP="00A26D04">
      <w:pPr>
        <w:rPr>
          <w:lang w:eastAsia="en-AU"/>
        </w:rPr>
      </w:pPr>
      <w:r>
        <w:rPr>
          <w:lang w:eastAsia="en-AU"/>
        </w:rPr>
        <w:t>Social impact bonds allow investors to fund service providers to develop and test new programs that tackle complex social issues. The Government pays investors on the achievement of agreed outcomes. The initiative will fund two social impact bonds to deliver better outcomes for up to 180 long-term homeless people and 200 out-of-home care leavers. Programs are designed to prevent homelessness, improve educational attainment and employment opportunities, address health issues (including mental health and addiction), improve social inclusion, and create a positive pathway to independence.</w:t>
      </w:r>
    </w:p>
    <w:p w:rsidR="00A46DCA" w:rsidRDefault="00A46DCA" w:rsidP="00A26D04">
      <w:pPr>
        <w:rPr>
          <w:lang w:eastAsia="en-AU"/>
        </w:rPr>
      </w:pPr>
      <w:r>
        <w:rPr>
          <w:lang w:eastAsia="en-AU"/>
        </w:rPr>
        <w:t>This initiative contributes to the Department of Health and Human Services’:</w:t>
      </w:r>
    </w:p>
    <w:p w:rsidR="00A46DCA" w:rsidRDefault="00A46DCA" w:rsidP="00A26D04">
      <w:pPr>
        <w:pStyle w:val="ListBullet"/>
        <w:numPr>
          <w:ilvl w:val="0"/>
          <w:numId w:val="25"/>
        </w:numPr>
        <w:rPr>
          <w:lang w:eastAsia="en-AU"/>
        </w:rPr>
      </w:pPr>
      <w:r>
        <w:rPr>
          <w:lang w:eastAsia="en-AU"/>
        </w:rPr>
        <w:t>Housing Assistance output; and</w:t>
      </w:r>
    </w:p>
    <w:p w:rsidR="00A46DCA" w:rsidRPr="008E36C0" w:rsidRDefault="00A46DCA" w:rsidP="00A26D04">
      <w:pPr>
        <w:pStyle w:val="ListBullet"/>
        <w:numPr>
          <w:ilvl w:val="0"/>
          <w:numId w:val="25"/>
        </w:numPr>
        <w:rPr>
          <w:lang w:eastAsia="en-AU"/>
        </w:rPr>
      </w:pPr>
      <w:r>
        <w:rPr>
          <w:lang w:eastAsia="en-AU"/>
        </w:rPr>
        <w:t>Child Protection and Family Services output.</w:t>
      </w:r>
    </w:p>
    <w:p w:rsidR="00A46DCA" w:rsidRDefault="00A46DCA" w:rsidP="00A26D04">
      <w:pPr>
        <w:pStyle w:val="Heading30"/>
        <w:rPr>
          <w:lang w:eastAsia="en-AU"/>
        </w:rPr>
      </w:pPr>
      <w:r>
        <w:rPr>
          <w:lang w:eastAsia="en-AU"/>
        </w:rPr>
        <w:t>Tackling the drug problem in Victoria</w:t>
      </w:r>
    </w:p>
    <w:p w:rsidR="00A46DCA" w:rsidRDefault="00A46DCA" w:rsidP="00A26D04">
      <w:r>
        <w:t>An additional 69 residential rehabilitation beds will be established to address the impacts of drug use in Victoria. These additional services are part of a wider strategy including a trial of a single medically-supervised injecting centre in Richmond, new service models for complex clients, and work to address quality and safety concerns in privately operated rehabilitation services.</w:t>
      </w:r>
    </w:p>
    <w:p w:rsidR="00A46DCA" w:rsidRDefault="00A46DCA" w:rsidP="00A26D04">
      <w:r>
        <w:t>This initiative contributes to the Department of Health and Human Services’:</w:t>
      </w:r>
    </w:p>
    <w:p w:rsidR="00A46DCA" w:rsidRDefault="00A46DCA" w:rsidP="00A26D04">
      <w:pPr>
        <w:pStyle w:val="ListBullet"/>
        <w:numPr>
          <w:ilvl w:val="0"/>
          <w:numId w:val="25"/>
        </w:numPr>
      </w:pPr>
      <w:r>
        <w:t>Drug Prevention and Control output; and</w:t>
      </w:r>
    </w:p>
    <w:p w:rsidR="00A46DCA" w:rsidRDefault="00A46DCA" w:rsidP="00A26D04">
      <w:pPr>
        <w:pStyle w:val="ListBullet"/>
        <w:numPr>
          <w:ilvl w:val="0"/>
          <w:numId w:val="25"/>
        </w:numPr>
        <w:rPr>
          <w:lang w:eastAsia="en-AU"/>
        </w:rPr>
      </w:pPr>
      <w:r>
        <w:t>Drug Treatment and Rehabilitation output.</w:t>
      </w:r>
    </w:p>
    <w:p w:rsidR="00A46DCA" w:rsidRDefault="00A46DCA" w:rsidP="00A26D04">
      <w:pPr>
        <w:pStyle w:val="Heading20"/>
        <w:rPr>
          <w:lang w:eastAsia="en-AU"/>
        </w:rPr>
      </w:pPr>
      <w:r>
        <w:rPr>
          <w:lang w:eastAsia="en-AU"/>
        </w:rPr>
        <w:t>Asset initiatives</w:t>
      </w:r>
    </w:p>
    <w:p w:rsidR="00A46DCA" w:rsidRPr="001E00EF" w:rsidRDefault="00A46DCA" w:rsidP="00A26D04">
      <w:pPr>
        <w:pStyle w:val="TableHeading"/>
        <w:rPr>
          <w:bCs/>
          <w:lang w:val="en-US" w:eastAsia="en-AU"/>
        </w:rPr>
      </w:pPr>
      <w:r>
        <w:rPr>
          <w:lang w:eastAsia="en-AU"/>
        </w:rPr>
        <w:t>Table A.8:</w:t>
      </w:r>
      <w:r>
        <w:rPr>
          <w:lang w:eastAsia="en-AU"/>
        </w:rPr>
        <w:tab/>
        <w:t>Asset initiatives – Department of Health and Human Services</w:t>
      </w:r>
      <w:r>
        <w:rPr>
          <w:lang w:eastAsia="en-AU"/>
        </w:rPr>
        <w:tab/>
        <w:t>($ million)</w:t>
      </w:r>
    </w:p>
    <w:tbl>
      <w:tblPr>
        <w:tblStyle w:val="DTFTable"/>
        <w:tblW w:w="7766" w:type="dxa"/>
        <w:tblInd w:w="45" w:type="dxa"/>
        <w:tblLayout w:type="fixed"/>
        <w:tblCellMar>
          <w:left w:w="45" w:type="dxa"/>
          <w:right w:w="45" w:type="dxa"/>
        </w:tblCellMar>
        <w:tblLook w:val="06A0" w:firstRow="1" w:lastRow="0" w:firstColumn="1" w:lastColumn="0" w:noHBand="1" w:noVBand="1"/>
      </w:tblPr>
      <w:tblGrid>
        <w:gridCol w:w="3827"/>
        <w:gridCol w:w="816"/>
        <w:gridCol w:w="816"/>
        <w:gridCol w:w="816"/>
        <w:gridCol w:w="816"/>
        <w:gridCol w:w="675"/>
      </w:tblGrid>
      <w:tr w:rsidR="00A46DCA" w:rsidRPr="001E00EF" w:rsidTr="00A26D0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827" w:type="dxa"/>
            <w:tcBorders>
              <w:top w:val="single" w:sz="6" w:space="0" w:color="auto"/>
              <w:left w:val="single" w:sz="6" w:space="0" w:color="auto"/>
              <w:bottom w:val="single" w:sz="6" w:space="0" w:color="auto"/>
              <w:right w:val="nil"/>
            </w:tcBorders>
            <w:shd w:val="solid" w:color="000000" w:fill="auto"/>
          </w:tcPr>
          <w:p w:rsidR="00A46DCA" w:rsidRPr="001E00EF" w:rsidRDefault="00A46DCA" w:rsidP="00A26D04">
            <w:pPr>
              <w:autoSpaceDE w:val="0"/>
              <w:autoSpaceDN w:val="0"/>
              <w:adjustRightInd w:val="0"/>
              <w:rPr>
                <w:rFonts w:eastAsiaTheme="minorEastAsia" w:cs="Calibri"/>
                <w:color w:val="FFFFFF"/>
                <w:szCs w:val="20"/>
                <w:lang w:eastAsia="en-AU"/>
              </w:rPr>
            </w:pPr>
            <w:r w:rsidRPr="001E00EF">
              <w:rPr>
                <w:rFonts w:eastAsiaTheme="minorEastAsia" w:cs="Calibri"/>
                <w:color w:val="FFFFFF"/>
                <w:szCs w:val="20"/>
                <w:lang w:eastAsia="en-AU"/>
              </w:rPr>
              <w:t xml:space="preserve"> </w:t>
            </w:r>
          </w:p>
        </w:tc>
        <w:tc>
          <w:tcPr>
            <w:tcW w:w="816" w:type="dxa"/>
            <w:tcBorders>
              <w:top w:val="single" w:sz="6" w:space="0" w:color="auto"/>
              <w:left w:val="nil"/>
              <w:bottom w:val="single" w:sz="6" w:space="0" w:color="auto"/>
              <w:right w:val="nil"/>
            </w:tcBorders>
            <w:shd w:val="solid" w:color="000000" w:fill="auto"/>
          </w:tcPr>
          <w:p w:rsidR="00A46DCA" w:rsidRPr="001E00EF" w:rsidRDefault="00A46DCA" w:rsidP="00A26D0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20"/>
                <w:lang w:eastAsia="en-AU"/>
              </w:rPr>
            </w:pPr>
            <w:r w:rsidRPr="001E00EF">
              <w:rPr>
                <w:rFonts w:eastAsiaTheme="minorEastAsia" w:cs="Calibri"/>
                <w:iCs/>
                <w:color w:val="FFFFFF"/>
                <w:szCs w:val="20"/>
                <w:lang w:eastAsia="en-AU"/>
              </w:rPr>
              <w:t>2017-18</w:t>
            </w:r>
          </w:p>
        </w:tc>
        <w:tc>
          <w:tcPr>
            <w:tcW w:w="816" w:type="dxa"/>
            <w:tcBorders>
              <w:top w:val="single" w:sz="6" w:space="0" w:color="auto"/>
              <w:left w:val="nil"/>
              <w:bottom w:val="single" w:sz="6" w:space="0" w:color="auto"/>
              <w:right w:val="nil"/>
            </w:tcBorders>
            <w:shd w:val="solid" w:color="000000" w:fill="auto"/>
          </w:tcPr>
          <w:p w:rsidR="00A46DCA" w:rsidRPr="001E00EF" w:rsidRDefault="00A46DCA" w:rsidP="00A26D0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20"/>
                <w:lang w:eastAsia="en-AU"/>
              </w:rPr>
            </w:pPr>
            <w:r w:rsidRPr="001E00EF">
              <w:rPr>
                <w:rFonts w:eastAsiaTheme="minorEastAsia" w:cs="Calibri"/>
                <w:iCs/>
                <w:color w:val="FFFFFF"/>
                <w:szCs w:val="20"/>
                <w:lang w:eastAsia="en-AU"/>
              </w:rPr>
              <w:t>2018-19</w:t>
            </w:r>
          </w:p>
        </w:tc>
        <w:tc>
          <w:tcPr>
            <w:tcW w:w="816" w:type="dxa"/>
            <w:tcBorders>
              <w:top w:val="single" w:sz="6" w:space="0" w:color="auto"/>
              <w:left w:val="nil"/>
              <w:bottom w:val="single" w:sz="6" w:space="0" w:color="auto"/>
              <w:right w:val="nil"/>
            </w:tcBorders>
            <w:shd w:val="solid" w:color="000000" w:fill="auto"/>
          </w:tcPr>
          <w:p w:rsidR="00A46DCA" w:rsidRPr="001E00EF" w:rsidRDefault="00A46DCA" w:rsidP="00A26D0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20"/>
                <w:lang w:eastAsia="en-AU"/>
              </w:rPr>
            </w:pPr>
            <w:r w:rsidRPr="001E00EF">
              <w:rPr>
                <w:rFonts w:eastAsiaTheme="minorEastAsia" w:cs="Calibri"/>
                <w:iCs/>
                <w:color w:val="FFFFFF"/>
                <w:szCs w:val="20"/>
                <w:lang w:eastAsia="en-AU"/>
              </w:rPr>
              <w:t>2019-20</w:t>
            </w:r>
          </w:p>
        </w:tc>
        <w:tc>
          <w:tcPr>
            <w:tcW w:w="816" w:type="dxa"/>
            <w:tcBorders>
              <w:top w:val="single" w:sz="6" w:space="0" w:color="auto"/>
              <w:left w:val="nil"/>
              <w:bottom w:val="single" w:sz="6" w:space="0" w:color="auto"/>
              <w:right w:val="nil"/>
            </w:tcBorders>
            <w:shd w:val="solid" w:color="000000" w:fill="auto"/>
          </w:tcPr>
          <w:p w:rsidR="00A46DCA" w:rsidRPr="001E00EF" w:rsidRDefault="00A46DCA" w:rsidP="00A26D0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20"/>
                <w:lang w:eastAsia="en-AU"/>
              </w:rPr>
            </w:pPr>
            <w:r w:rsidRPr="001E00EF">
              <w:rPr>
                <w:rFonts w:eastAsiaTheme="minorEastAsia" w:cs="Calibri"/>
                <w:iCs/>
                <w:color w:val="FFFFFF"/>
                <w:szCs w:val="20"/>
                <w:lang w:eastAsia="en-AU"/>
              </w:rPr>
              <w:t>2020-21</w:t>
            </w:r>
          </w:p>
        </w:tc>
        <w:tc>
          <w:tcPr>
            <w:tcW w:w="675" w:type="dxa"/>
            <w:tcBorders>
              <w:top w:val="single" w:sz="6" w:space="0" w:color="auto"/>
              <w:left w:val="nil"/>
              <w:bottom w:val="single" w:sz="6" w:space="0" w:color="auto"/>
              <w:right w:val="nil"/>
            </w:tcBorders>
            <w:shd w:val="solid" w:color="000000" w:fill="auto"/>
          </w:tcPr>
          <w:p w:rsidR="00A46DCA" w:rsidRPr="001E00EF" w:rsidRDefault="00A46DCA" w:rsidP="00A26D0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20"/>
                <w:lang w:eastAsia="en-AU"/>
              </w:rPr>
            </w:pPr>
            <w:r w:rsidRPr="001E00EF">
              <w:rPr>
                <w:rFonts w:eastAsiaTheme="minorEastAsia" w:cs="Calibri"/>
                <w:iCs/>
                <w:color w:val="FFFFFF"/>
                <w:szCs w:val="20"/>
                <w:lang w:eastAsia="en-AU"/>
              </w:rPr>
              <w:t>TEI</w:t>
            </w:r>
          </w:p>
        </w:tc>
      </w:tr>
      <w:tr w:rsidR="00A46DCA" w:rsidRPr="001E00EF" w:rsidTr="00A26D04">
        <w:tc>
          <w:tcPr>
            <w:cnfStyle w:val="001000000000" w:firstRow="0" w:lastRow="0" w:firstColumn="1" w:lastColumn="0" w:oddVBand="0" w:evenVBand="0" w:oddHBand="0" w:evenHBand="0" w:firstRowFirstColumn="0" w:firstRowLastColumn="0" w:lastRowFirstColumn="0" w:lastRowLastColumn="0"/>
            <w:tcW w:w="3827" w:type="dxa"/>
            <w:tcBorders>
              <w:top w:val="nil"/>
              <w:left w:val="nil"/>
              <w:bottom w:val="nil"/>
              <w:right w:val="nil"/>
            </w:tcBorders>
          </w:tcPr>
          <w:p w:rsidR="00A46DCA" w:rsidRPr="001E00EF" w:rsidRDefault="00A46DCA" w:rsidP="00A26D04">
            <w:pPr>
              <w:keepLines w:val="0"/>
              <w:autoSpaceDE w:val="0"/>
              <w:autoSpaceDN w:val="0"/>
              <w:adjustRightInd w:val="0"/>
              <w:rPr>
                <w:rFonts w:eastAsiaTheme="minorEastAsia" w:cs="Calibri"/>
                <w:color w:val="000000"/>
                <w:szCs w:val="20"/>
                <w:lang w:eastAsia="en-AU"/>
              </w:rPr>
            </w:pPr>
            <w:r w:rsidRPr="001E00EF">
              <w:rPr>
                <w:rFonts w:eastAsiaTheme="minorEastAsia" w:cs="Calibri"/>
                <w:color w:val="000000"/>
                <w:szCs w:val="20"/>
                <w:lang w:eastAsia="en-AU"/>
              </w:rPr>
              <w:t>Establishment of a Victorian Fixated Threat Assessment Centre</w:t>
            </w:r>
          </w:p>
        </w:tc>
        <w:tc>
          <w:tcPr>
            <w:tcW w:w="816" w:type="dxa"/>
            <w:tcBorders>
              <w:top w:val="nil"/>
              <w:left w:val="nil"/>
              <w:bottom w:val="nil"/>
              <w:right w:val="nil"/>
            </w:tcBorders>
          </w:tcPr>
          <w:p w:rsidR="00A46DCA" w:rsidRPr="001E00EF"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1E00EF">
              <w:rPr>
                <w:rFonts w:eastAsiaTheme="minorEastAsia" w:cs="Calibri"/>
                <w:color w:val="000000"/>
                <w:szCs w:val="20"/>
                <w:lang w:eastAsia="en-AU"/>
              </w:rPr>
              <w:t>0.5</w:t>
            </w:r>
          </w:p>
        </w:tc>
        <w:tc>
          <w:tcPr>
            <w:tcW w:w="816" w:type="dxa"/>
            <w:tcBorders>
              <w:top w:val="nil"/>
              <w:left w:val="nil"/>
              <w:bottom w:val="nil"/>
              <w:right w:val="nil"/>
            </w:tcBorders>
          </w:tcPr>
          <w:p w:rsidR="00A46DCA" w:rsidRPr="001E00EF"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1E00EF">
              <w:rPr>
                <w:rFonts w:eastAsiaTheme="minorEastAsia" w:cs="Calibri"/>
                <w:color w:val="000000"/>
                <w:szCs w:val="20"/>
                <w:lang w:eastAsia="en-AU"/>
              </w:rPr>
              <w:t>1.0</w:t>
            </w:r>
          </w:p>
        </w:tc>
        <w:tc>
          <w:tcPr>
            <w:tcW w:w="816" w:type="dxa"/>
            <w:tcBorders>
              <w:top w:val="nil"/>
              <w:left w:val="nil"/>
              <w:bottom w:val="nil"/>
              <w:right w:val="nil"/>
            </w:tcBorders>
          </w:tcPr>
          <w:p w:rsidR="00A46DCA" w:rsidRPr="001E00EF"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1E00EF">
              <w:rPr>
                <w:rFonts w:eastAsiaTheme="minorEastAsia" w:cs="Calibri"/>
                <w:color w:val="000000"/>
                <w:szCs w:val="20"/>
                <w:lang w:eastAsia="en-AU"/>
              </w:rPr>
              <w:t>..</w:t>
            </w:r>
          </w:p>
        </w:tc>
        <w:tc>
          <w:tcPr>
            <w:tcW w:w="816" w:type="dxa"/>
            <w:tcBorders>
              <w:top w:val="nil"/>
              <w:left w:val="nil"/>
              <w:bottom w:val="nil"/>
              <w:right w:val="nil"/>
            </w:tcBorders>
          </w:tcPr>
          <w:p w:rsidR="00A46DCA" w:rsidRPr="001E00EF"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1E00EF">
              <w:rPr>
                <w:rFonts w:eastAsiaTheme="minorEastAsia" w:cs="Calibri"/>
                <w:color w:val="000000"/>
                <w:szCs w:val="20"/>
                <w:lang w:eastAsia="en-AU"/>
              </w:rPr>
              <w:t>..</w:t>
            </w:r>
          </w:p>
        </w:tc>
        <w:tc>
          <w:tcPr>
            <w:tcW w:w="675" w:type="dxa"/>
            <w:tcBorders>
              <w:top w:val="nil"/>
              <w:left w:val="nil"/>
              <w:bottom w:val="nil"/>
              <w:right w:val="nil"/>
            </w:tcBorders>
          </w:tcPr>
          <w:p w:rsidR="00A46DCA" w:rsidRPr="001E00EF"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1E00EF">
              <w:rPr>
                <w:rFonts w:eastAsiaTheme="minorEastAsia" w:cs="Calibri"/>
                <w:color w:val="000000"/>
                <w:szCs w:val="20"/>
                <w:lang w:eastAsia="en-AU"/>
              </w:rPr>
              <w:t>1.5</w:t>
            </w:r>
          </w:p>
        </w:tc>
      </w:tr>
      <w:tr w:rsidR="00A46DCA" w:rsidRPr="001E00EF" w:rsidTr="00A26D04">
        <w:tc>
          <w:tcPr>
            <w:cnfStyle w:val="001000000000" w:firstRow="0" w:lastRow="0" w:firstColumn="1" w:lastColumn="0" w:oddVBand="0" w:evenVBand="0" w:oddHBand="0" w:evenHBand="0" w:firstRowFirstColumn="0" w:firstRowLastColumn="0" w:lastRowFirstColumn="0" w:lastRowLastColumn="0"/>
            <w:tcW w:w="3827" w:type="dxa"/>
            <w:tcBorders>
              <w:top w:val="single" w:sz="6" w:space="0" w:color="auto"/>
              <w:left w:val="nil"/>
              <w:bottom w:val="single" w:sz="12" w:space="0" w:color="auto"/>
              <w:right w:val="nil"/>
            </w:tcBorders>
          </w:tcPr>
          <w:p w:rsidR="00A46DCA" w:rsidRPr="001E00EF" w:rsidRDefault="00A46DCA" w:rsidP="00A26D04">
            <w:pPr>
              <w:keepLines w:val="0"/>
              <w:autoSpaceDE w:val="0"/>
              <w:autoSpaceDN w:val="0"/>
              <w:adjustRightInd w:val="0"/>
              <w:rPr>
                <w:rFonts w:eastAsiaTheme="minorEastAsia" w:cs="Calibri"/>
                <w:b/>
                <w:bCs/>
                <w:color w:val="000000"/>
                <w:szCs w:val="20"/>
                <w:lang w:eastAsia="en-AU"/>
              </w:rPr>
            </w:pPr>
            <w:r w:rsidRPr="001E00EF">
              <w:rPr>
                <w:rFonts w:eastAsiaTheme="minorEastAsia" w:cs="Calibri"/>
                <w:b/>
                <w:bCs/>
                <w:color w:val="000000"/>
                <w:szCs w:val="20"/>
                <w:lang w:eastAsia="en-AU"/>
              </w:rPr>
              <w:t>Total asset initiatives</w:t>
            </w:r>
          </w:p>
        </w:tc>
        <w:tc>
          <w:tcPr>
            <w:tcW w:w="816" w:type="dxa"/>
            <w:tcBorders>
              <w:top w:val="single" w:sz="6" w:space="0" w:color="auto"/>
              <w:left w:val="nil"/>
              <w:bottom w:val="single" w:sz="12" w:space="0" w:color="auto"/>
              <w:right w:val="nil"/>
            </w:tcBorders>
          </w:tcPr>
          <w:p w:rsidR="00A46DCA" w:rsidRPr="001E00EF"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0"/>
                <w:lang w:eastAsia="en-AU"/>
              </w:rPr>
            </w:pPr>
            <w:r w:rsidRPr="001E00EF">
              <w:rPr>
                <w:rFonts w:eastAsiaTheme="minorEastAsia" w:cs="Calibri"/>
                <w:b/>
                <w:bCs/>
                <w:color w:val="000000"/>
                <w:szCs w:val="20"/>
                <w:lang w:eastAsia="en-AU"/>
              </w:rPr>
              <w:t>0.5</w:t>
            </w:r>
          </w:p>
        </w:tc>
        <w:tc>
          <w:tcPr>
            <w:tcW w:w="816" w:type="dxa"/>
            <w:tcBorders>
              <w:top w:val="single" w:sz="6" w:space="0" w:color="auto"/>
              <w:left w:val="nil"/>
              <w:bottom w:val="single" w:sz="12" w:space="0" w:color="auto"/>
              <w:right w:val="nil"/>
            </w:tcBorders>
          </w:tcPr>
          <w:p w:rsidR="00A46DCA" w:rsidRPr="001E00EF"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0"/>
                <w:lang w:eastAsia="en-AU"/>
              </w:rPr>
            </w:pPr>
            <w:r w:rsidRPr="001E00EF">
              <w:rPr>
                <w:rFonts w:eastAsiaTheme="minorEastAsia" w:cs="Calibri"/>
                <w:b/>
                <w:bCs/>
                <w:color w:val="000000"/>
                <w:szCs w:val="20"/>
                <w:lang w:eastAsia="en-AU"/>
              </w:rPr>
              <w:t>1.0</w:t>
            </w:r>
          </w:p>
        </w:tc>
        <w:tc>
          <w:tcPr>
            <w:tcW w:w="816" w:type="dxa"/>
            <w:tcBorders>
              <w:top w:val="single" w:sz="6" w:space="0" w:color="auto"/>
              <w:left w:val="nil"/>
              <w:bottom w:val="single" w:sz="12" w:space="0" w:color="auto"/>
              <w:right w:val="nil"/>
            </w:tcBorders>
          </w:tcPr>
          <w:p w:rsidR="00A46DCA" w:rsidRPr="001E00EF"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0"/>
                <w:lang w:eastAsia="en-AU"/>
              </w:rPr>
            </w:pPr>
            <w:r w:rsidRPr="001E00EF">
              <w:rPr>
                <w:rFonts w:eastAsiaTheme="minorEastAsia" w:cs="Calibri"/>
                <w:b/>
                <w:bCs/>
                <w:color w:val="000000"/>
                <w:szCs w:val="20"/>
                <w:lang w:eastAsia="en-AU"/>
              </w:rPr>
              <w:t>..</w:t>
            </w:r>
          </w:p>
        </w:tc>
        <w:tc>
          <w:tcPr>
            <w:tcW w:w="816" w:type="dxa"/>
            <w:tcBorders>
              <w:top w:val="single" w:sz="6" w:space="0" w:color="auto"/>
              <w:left w:val="nil"/>
              <w:bottom w:val="single" w:sz="12" w:space="0" w:color="auto"/>
              <w:right w:val="nil"/>
            </w:tcBorders>
          </w:tcPr>
          <w:p w:rsidR="00A46DCA" w:rsidRPr="001E00EF"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0"/>
                <w:lang w:eastAsia="en-AU"/>
              </w:rPr>
            </w:pPr>
            <w:r w:rsidRPr="001E00EF">
              <w:rPr>
                <w:rFonts w:eastAsiaTheme="minorEastAsia" w:cs="Calibri"/>
                <w:b/>
                <w:bCs/>
                <w:color w:val="000000"/>
                <w:szCs w:val="20"/>
                <w:lang w:eastAsia="en-AU"/>
              </w:rPr>
              <w:t>..</w:t>
            </w:r>
          </w:p>
        </w:tc>
        <w:tc>
          <w:tcPr>
            <w:tcW w:w="675" w:type="dxa"/>
            <w:tcBorders>
              <w:top w:val="single" w:sz="6" w:space="0" w:color="auto"/>
              <w:left w:val="nil"/>
              <w:bottom w:val="single" w:sz="12" w:space="0" w:color="auto"/>
              <w:right w:val="nil"/>
            </w:tcBorders>
          </w:tcPr>
          <w:p w:rsidR="00A46DCA" w:rsidRPr="001E00EF"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0"/>
                <w:lang w:eastAsia="en-AU"/>
              </w:rPr>
            </w:pPr>
            <w:r w:rsidRPr="001E00EF">
              <w:rPr>
                <w:rFonts w:eastAsiaTheme="minorEastAsia" w:cs="Calibri"/>
                <w:b/>
                <w:bCs/>
                <w:color w:val="000000"/>
                <w:szCs w:val="20"/>
                <w:lang w:eastAsia="en-AU"/>
              </w:rPr>
              <w:t>1.5</w:t>
            </w:r>
          </w:p>
        </w:tc>
      </w:tr>
    </w:tbl>
    <w:p w:rsidR="00A46DCA" w:rsidRDefault="00A46DCA" w:rsidP="00A26D04">
      <w:pPr>
        <w:pStyle w:val="Heading30"/>
        <w:rPr>
          <w:lang w:eastAsia="en-AU"/>
        </w:rPr>
      </w:pPr>
      <w:r>
        <w:rPr>
          <w:lang w:eastAsia="en-AU"/>
        </w:rPr>
        <w:t>Establishment of a Victorian Fixated Threat Assessment Centre</w:t>
      </w:r>
    </w:p>
    <w:p w:rsidR="00A46DCA" w:rsidRDefault="00A46DCA" w:rsidP="00A26D04">
      <w:r>
        <w:t xml:space="preserve">Refer </w:t>
      </w:r>
      <w:r w:rsidRPr="00DA04AF">
        <w:t>to the output initiative</w:t>
      </w:r>
      <w:r>
        <w:t xml:space="preserve"> </w:t>
      </w:r>
      <w:r w:rsidRPr="00DA04AF">
        <w:t>for a description of this initiative.</w:t>
      </w:r>
    </w:p>
    <w:p w:rsidR="00A46DCA" w:rsidRDefault="00A46DCA" w:rsidP="00A26D04">
      <w:pPr>
        <w:pStyle w:val="Heading10"/>
        <w:rPr>
          <w:lang w:eastAsia="en-AU"/>
        </w:rPr>
      </w:pPr>
      <w:bookmarkStart w:id="78" w:name="_Toc500179548"/>
      <w:bookmarkStart w:id="79" w:name="_Toc500435590"/>
      <w:r>
        <w:rPr>
          <w:lang w:eastAsia="en-AU"/>
        </w:rPr>
        <w:lastRenderedPageBreak/>
        <w:t>Department of Justice and Regulation</w:t>
      </w:r>
      <w:bookmarkEnd w:id="78"/>
      <w:bookmarkEnd w:id="79"/>
    </w:p>
    <w:p w:rsidR="00A46DCA" w:rsidRDefault="00A46DCA" w:rsidP="004906A4">
      <w:pPr>
        <w:pStyle w:val="Heading20"/>
        <w:spacing w:before="200"/>
        <w:rPr>
          <w:lang w:eastAsia="en-AU"/>
        </w:rPr>
      </w:pPr>
      <w:r>
        <w:rPr>
          <w:lang w:eastAsia="en-AU"/>
        </w:rPr>
        <w:t>Output initiatives</w:t>
      </w:r>
    </w:p>
    <w:p w:rsidR="00A46DCA" w:rsidRPr="001919F9" w:rsidRDefault="00A46DCA" w:rsidP="00A26D04">
      <w:pPr>
        <w:pStyle w:val="TableHeading"/>
        <w:spacing w:before="180"/>
        <w:rPr>
          <w:bCs/>
          <w:lang w:val="en-US" w:eastAsia="en-AU"/>
        </w:rPr>
      </w:pPr>
      <w:r>
        <w:rPr>
          <w:lang w:eastAsia="en-AU"/>
        </w:rPr>
        <w:t>Table A.9:</w:t>
      </w:r>
      <w:r>
        <w:rPr>
          <w:lang w:eastAsia="en-AU"/>
        </w:rPr>
        <w:tab/>
        <w:t>Output initiatives – Department of Justice and Regulation</w:t>
      </w:r>
      <w:r>
        <w:rPr>
          <w:lang w:eastAsia="en-AU"/>
        </w:rPr>
        <w:tab/>
        <w:t>($ million)</w:t>
      </w:r>
    </w:p>
    <w:tbl>
      <w:tblPr>
        <w:tblStyle w:val="DTFTable"/>
        <w:tblW w:w="7765" w:type="dxa"/>
        <w:tblInd w:w="45" w:type="dxa"/>
        <w:tblLayout w:type="fixed"/>
        <w:tblCellMar>
          <w:left w:w="45" w:type="dxa"/>
          <w:right w:w="45" w:type="dxa"/>
        </w:tblCellMar>
        <w:tblLook w:val="06A0" w:firstRow="1" w:lastRow="0" w:firstColumn="1" w:lastColumn="0" w:noHBand="1" w:noVBand="1"/>
      </w:tblPr>
      <w:tblGrid>
        <w:gridCol w:w="4450"/>
        <w:gridCol w:w="765"/>
        <w:gridCol w:w="850"/>
        <w:gridCol w:w="850"/>
        <w:gridCol w:w="850"/>
      </w:tblGrid>
      <w:tr w:rsidR="00A46DCA" w:rsidRPr="001919F9" w:rsidTr="004906A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450" w:type="dxa"/>
            <w:tcBorders>
              <w:top w:val="nil"/>
              <w:left w:val="nil"/>
              <w:bottom w:val="nil"/>
              <w:right w:val="nil"/>
            </w:tcBorders>
            <w:shd w:val="solid" w:color="000000" w:fill="auto"/>
          </w:tcPr>
          <w:p w:rsidR="00A46DCA" w:rsidRPr="001919F9" w:rsidRDefault="00A46DCA" w:rsidP="00A26D04">
            <w:pPr>
              <w:autoSpaceDE w:val="0"/>
              <w:autoSpaceDN w:val="0"/>
              <w:adjustRightInd w:val="0"/>
              <w:rPr>
                <w:rFonts w:eastAsiaTheme="minorEastAsia" w:cs="Calibri"/>
                <w:color w:val="FFFFFF"/>
                <w:szCs w:val="20"/>
                <w:lang w:eastAsia="en-AU"/>
              </w:rPr>
            </w:pPr>
            <w:r w:rsidRPr="001919F9">
              <w:rPr>
                <w:rFonts w:eastAsiaTheme="minorEastAsia" w:cs="Calibri"/>
                <w:color w:val="FFFFFF"/>
                <w:szCs w:val="20"/>
                <w:lang w:eastAsia="en-AU"/>
              </w:rPr>
              <w:t xml:space="preserve"> </w:t>
            </w:r>
          </w:p>
        </w:tc>
        <w:tc>
          <w:tcPr>
            <w:tcW w:w="765" w:type="dxa"/>
            <w:tcBorders>
              <w:top w:val="nil"/>
              <w:left w:val="nil"/>
              <w:bottom w:val="nil"/>
              <w:right w:val="nil"/>
            </w:tcBorders>
            <w:shd w:val="solid" w:color="000000" w:fill="auto"/>
          </w:tcPr>
          <w:p w:rsidR="00A46DCA" w:rsidRPr="001919F9" w:rsidRDefault="00A46DCA" w:rsidP="00A26D0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20"/>
                <w:lang w:eastAsia="en-AU"/>
              </w:rPr>
            </w:pPr>
            <w:r w:rsidRPr="001919F9">
              <w:rPr>
                <w:rFonts w:eastAsiaTheme="minorEastAsia" w:cs="Calibri"/>
                <w:iCs/>
                <w:color w:val="FFFFFF"/>
                <w:szCs w:val="20"/>
                <w:lang w:eastAsia="en-AU"/>
              </w:rPr>
              <w:t>2017-18</w:t>
            </w:r>
          </w:p>
        </w:tc>
        <w:tc>
          <w:tcPr>
            <w:tcW w:w="850" w:type="dxa"/>
            <w:tcBorders>
              <w:top w:val="nil"/>
              <w:left w:val="nil"/>
              <w:bottom w:val="nil"/>
              <w:right w:val="nil"/>
            </w:tcBorders>
            <w:shd w:val="solid" w:color="000000" w:fill="auto"/>
          </w:tcPr>
          <w:p w:rsidR="00A46DCA" w:rsidRPr="001919F9" w:rsidRDefault="00A46DCA" w:rsidP="00A26D0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20"/>
                <w:lang w:eastAsia="en-AU"/>
              </w:rPr>
            </w:pPr>
            <w:r w:rsidRPr="001919F9">
              <w:rPr>
                <w:rFonts w:eastAsiaTheme="minorEastAsia" w:cs="Calibri"/>
                <w:iCs/>
                <w:color w:val="FFFFFF"/>
                <w:szCs w:val="20"/>
                <w:lang w:eastAsia="en-AU"/>
              </w:rPr>
              <w:t>2018-19</w:t>
            </w:r>
          </w:p>
        </w:tc>
        <w:tc>
          <w:tcPr>
            <w:tcW w:w="850" w:type="dxa"/>
            <w:tcBorders>
              <w:top w:val="nil"/>
              <w:left w:val="nil"/>
              <w:bottom w:val="nil"/>
              <w:right w:val="nil"/>
            </w:tcBorders>
            <w:shd w:val="solid" w:color="000000" w:fill="auto"/>
          </w:tcPr>
          <w:p w:rsidR="00A46DCA" w:rsidRPr="001919F9" w:rsidRDefault="00A46DCA" w:rsidP="00A26D0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20"/>
                <w:lang w:eastAsia="en-AU"/>
              </w:rPr>
            </w:pPr>
            <w:r w:rsidRPr="001919F9">
              <w:rPr>
                <w:rFonts w:eastAsiaTheme="minorEastAsia" w:cs="Calibri"/>
                <w:iCs/>
                <w:color w:val="FFFFFF"/>
                <w:szCs w:val="20"/>
                <w:lang w:eastAsia="en-AU"/>
              </w:rPr>
              <w:t>2019-20</w:t>
            </w:r>
          </w:p>
        </w:tc>
        <w:tc>
          <w:tcPr>
            <w:tcW w:w="850" w:type="dxa"/>
            <w:tcBorders>
              <w:top w:val="nil"/>
              <w:left w:val="nil"/>
              <w:bottom w:val="nil"/>
              <w:right w:val="nil"/>
            </w:tcBorders>
            <w:shd w:val="solid" w:color="000000" w:fill="auto"/>
          </w:tcPr>
          <w:p w:rsidR="00A46DCA" w:rsidRPr="001919F9" w:rsidRDefault="00A46DCA" w:rsidP="00A26D0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20"/>
                <w:lang w:eastAsia="en-AU"/>
              </w:rPr>
            </w:pPr>
            <w:r w:rsidRPr="001919F9">
              <w:rPr>
                <w:rFonts w:eastAsiaTheme="minorEastAsia" w:cs="Calibri"/>
                <w:iCs/>
                <w:color w:val="FFFFFF"/>
                <w:szCs w:val="20"/>
                <w:lang w:eastAsia="en-AU"/>
              </w:rPr>
              <w:t>2020-21</w:t>
            </w:r>
          </w:p>
        </w:tc>
      </w:tr>
      <w:tr w:rsidR="00A46DCA" w:rsidRPr="001919F9" w:rsidTr="004906A4">
        <w:tc>
          <w:tcPr>
            <w:cnfStyle w:val="001000000000" w:firstRow="0" w:lastRow="0" w:firstColumn="1" w:lastColumn="0" w:oddVBand="0" w:evenVBand="0" w:oddHBand="0" w:evenHBand="0" w:firstRowFirstColumn="0" w:firstRowLastColumn="0" w:lastRowFirstColumn="0" w:lastRowLastColumn="0"/>
            <w:tcW w:w="4450" w:type="dxa"/>
            <w:tcBorders>
              <w:top w:val="nil"/>
              <w:left w:val="nil"/>
              <w:bottom w:val="nil"/>
              <w:right w:val="nil"/>
            </w:tcBorders>
          </w:tcPr>
          <w:p w:rsidR="00A46DCA" w:rsidRPr="001919F9" w:rsidRDefault="00A46DCA" w:rsidP="00A26D04">
            <w:pPr>
              <w:keepLines w:val="0"/>
              <w:autoSpaceDE w:val="0"/>
              <w:autoSpaceDN w:val="0"/>
              <w:adjustRightInd w:val="0"/>
              <w:rPr>
                <w:rFonts w:eastAsiaTheme="minorEastAsia" w:cs="Calibri"/>
                <w:color w:val="000000"/>
                <w:szCs w:val="20"/>
                <w:lang w:eastAsia="en-AU"/>
              </w:rPr>
            </w:pPr>
            <w:r w:rsidRPr="001919F9">
              <w:rPr>
                <w:rFonts w:eastAsiaTheme="minorEastAsia" w:cs="Calibri"/>
                <w:color w:val="000000"/>
                <w:szCs w:val="20"/>
                <w:lang w:eastAsia="en-AU"/>
              </w:rPr>
              <w:t>Access to Justice</w:t>
            </w:r>
          </w:p>
        </w:tc>
        <w:tc>
          <w:tcPr>
            <w:tcW w:w="765" w:type="dxa"/>
            <w:tcBorders>
              <w:top w:val="nil"/>
              <w:left w:val="nil"/>
              <w:bottom w:val="nil"/>
              <w:right w:val="nil"/>
            </w:tcBorders>
          </w:tcPr>
          <w:p w:rsidR="00A46DCA" w:rsidRPr="001919F9"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1919F9">
              <w:rPr>
                <w:rFonts w:eastAsiaTheme="minorEastAsia" w:cs="Calibri"/>
                <w:color w:val="000000"/>
                <w:szCs w:val="20"/>
                <w:lang w:eastAsia="en-AU"/>
              </w:rPr>
              <w:t>4.0</w:t>
            </w:r>
          </w:p>
        </w:tc>
        <w:tc>
          <w:tcPr>
            <w:tcW w:w="850" w:type="dxa"/>
            <w:tcBorders>
              <w:top w:val="nil"/>
              <w:left w:val="nil"/>
              <w:bottom w:val="nil"/>
              <w:right w:val="nil"/>
            </w:tcBorders>
          </w:tcPr>
          <w:p w:rsidR="00A46DCA" w:rsidRPr="001919F9"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1919F9">
              <w:rPr>
                <w:rFonts w:eastAsiaTheme="minorEastAsia" w:cs="Calibri"/>
                <w:color w:val="000000"/>
                <w:szCs w:val="20"/>
                <w:lang w:eastAsia="en-AU"/>
              </w:rPr>
              <w:t>5.2</w:t>
            </w:r>
          </w:p>
        </w:tc>
        <w:tc>
          <w:tcPr>
            <w:tcW w:w="850" w:type="dxa"/>
            <w:tcBorders>
              <w:top w:val="nil"/>
              <w:left w:val="nil"/>
              <w:bottom w:val="nil"/>
              <w:right w:val="nil"/>
            </w:tcBorders>
          </w:tcPr>
          <w:p w:rsidR="00A46DCA" w:rsidRPr="001919F9"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1919F9">
              <w:rPr>
                <w:rFonts w:eastAsiaTheme="minorEastAsia" w:cs="Calibri"/>
                <w:color w:val="000000"/>
                <w:szCs w:val="20"/>
                <w:lang w:eastAsia="en-AU"/>
              </w:rPr>
              <w:t>6.3</w:t>
            </w:r>
          </w:p>
        </w:tc>
        <w:tc>
          <w:tcPr>
            <w:tcW w:w="850" w:type="dxa"/>
            <w:tcBorders>
              <w:top w:val="nil"/>
              <w:left w:val="nil"/>
              <w:bottom w:val="nil"/>
              <w:right w:val="nil"/>
            </w:tcBorders>
          </w:tcPr>
          <w:p w:rsidR="00A46DCA" w:rsidRPr="001919F9"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1919F9">
              <w:rPr>
                <w:rFonts w:eastAsiaTheme="minorEastAsia" w:cs="Calibri"/>
                <w:color w:val="000000"/>
                <w:szCs w:val="20"/>
                <w:lang w:eastAsia="en-AU"/>
              </w:rPr>
              <w:t>7.9</w:t>
            </w:r>
          </w:p>
        </w:tc>
      </w:tr>
      <w:tr w:rsidR="00A46DCA" w:rsidRPr="001919F9" w:rsidTr="00A26D04">
        <w:tc>
          <w:tcPr>
            <w:cnfStyle w:val="001000000000" w:firstRow="0" w:lastRow="0" w:firstColumn="1" w:lastColumn="0" w:oddVBand="0" w:evenVBand="0" w:oddHBand="0" w:evenHBand="0" w:firstRowFirstColumn="0" w:firstRowLastColumn="0" w:lastRowFirstColumn="0" w:lastRowLastColumn="0"/>
            <w:tcW w:w="4450" w:type="dxa"/>
            <w:tcBorders>
              <w:top w:val="nil"/>
              <w:left w:val="nil"/>
              <w:bottom w:val="nil"/>
              <w:right w:val="nil"/>
            </w:tcBorders>
          </w:tcPr>
          <w:p w:rsidR="00A46DCA" w:rsidRPr="001919F9" w:rsidRDefault="00A46DCA" w:rsidP="00A26D04">
            <w:pPr>
              <w:keepLines w:val="0"/>
              <w:autoSpaceDE w:val="0"/>
              <w:autoSpaceDN w:val="0"/>
              <w:adjustRightInd w:val="0"/>
              <w:rPr>
                <w:rFonts w:eastAsiaTheme="minorEastAsia" w:cs="Calibri"/>
                <w:color w:val="000000"/>
                <w:szCs w:val="20"/>
                <w:lang w:eastAsia="en-AU"/>
              </w:rPr>
            </w:pPr>
            <w:r w:rsidRPr="001919F9">
              <w:rPr>
                <w:rFonts w:eastAsiaTheme="minorEastAsia" w:cs="Calibri"/>
                <w:color w:val="000000"/>
                <w:szCs w:val="20"/>
                <w:lang w:eastAsia="en-AU"/>
              </w:rPr>
              <w:t>Establishment of a Victorian Fixated Threat Assessment Centre</w:t>
            </w:r>
          </w:p>
        </w:tc>
        <w:tc>
          <w:tcPr>
            <w:tcW w:w="765" w:type="dxa"/>
            <w:tcBorders>
              <w:top w:val="nil"/>
              <w:left w:val="nil"/>
              <w:bottom w:val="nil"/>
              <w:right w:val="nil"/>
            </w:tcBorders>
          </w:tcPr>
          <w:p w:rsidR="00A46DCA" w:rsidRPr="001919F9"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1919F9">
              <w:rPr>
                <w:rFonts w:eastAsiaTheme="minorEastAsia" w:cs="Calibri"/>
                <w:color w:val="000000"/>
                <w:szCs w:val="20"/>
                <w:lang w:eastAsia="en-AU"/>
              </w:rPr>
              <w:t>1.9</w:t>
            </w:r>
          </w:p>
        </w:tc>
        <w:tc>
          <w:tcPr>
            <w:tcW w:w="850" w:type="dxa"/>
            <w:tcBorders>
              <w:top w:val="nil"/>
              <w:left w:val="nil"/>
              <w:bottom w:val="nil"/>
              <w:right w:val="nil"/>
            </w:tcBorders>
          </w:tcPr>
          <w:p w:rsidR="00A46DCA" w:rsidRPr="001919F9"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1919F9">
              <w:rPr>
                <w:rFonts w:eastAsiaTheme="minorEastAsia" w:cs="Calibri"/>
                <w:color w:val="000000"/>
                <w:szCs w:val="20"/>
                <w:lang w:eastAsia="en-AU"/>
              </w:rPr>
              <w:t>3.1</w:t>
            </w:r>
          </w:p>
        </w:tc>
        <w:tc>
          <w:tcPr>
            <w:tcW w:w="850" w:type="dxa"/>
            <w:tcBorders>
              <w:top w:val="nil"/>
              <w:left w:val="nil"/>
              <w:bottom w:val="nil"/>
              <w:right w:val="nil"/>
            </w:tcBorders>
          </w:tcPr>
          <w:p w:rsidR="00A46DCA" w:rsidRPr="001919F9"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1919F9">
              <w:rPr>
                <w:rFonts w:eastAsiaTheme="minorEastAsia" w:cs="Calibri"/>
                <w:color w:val="000000"/>
                <w:szCs w:val="20"/>
                <w:lang w:eastAsia="en-AU"/>
              </w:rPr>
              <w:t>..</w:t>
            </w:r>
          </w:p>
        </w:tc>
        <w:tc>
          <w:tcPr>
            <w:tcW w:w="850" w:type="dxa"/>
            <w:tcBorders>
              <w:top w:val="nil"/>
              <w:left w:val="nil"/>
              <w:bottom w:val="nil"/>
              <w:right w:val="nil"/>
            </w:tcBorders>
          </w:tcPr>
          <w:p w:rsidR="00A46DCA" w:rsidRPr="001919F9"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1919F9">
              <w:rPr>
                <w:rFonts w:eastAsiaTheme="minorEastAsia" w:cs="Calibri"/>
                <w:color w:val="000000"/>
                <w:szCs w:val="20"/>
                <w:lang w:eastAsia="en-AU"/>
              </w:rPr>
              <w:t>..</w:t>
            </w:r>
          </w:p>
        </w:tc>
      </w:tr>
      <w:tr w:rsidR="00A46DCA" w:rsidRPr="001919F9" w:rsidTr="00A26D04">
        <w:tc>
          <w:tcPr>
            <w:cnfStyle w:val="001000000000" w:firstRow="0" w:lastRow="0" w:firstColumn="1" w:lastColumn="0" w:oddVBand="0" w:evenVBand="0" w:oddHBand="0" w:evenHBand="0" w:firstRowFirstColumn="0" w:firstRowLastColumn="0" w:lastRowFirstColumn="0" w:lastRowLastColumn="0"/>
            <w:tcW w:w="4450" w:type="dxa"/>
            <w:tcBorders>
              <w:top w:val="nil"/>
              <w:left w:val="nil"/>
              <w:bottom w:val="nil"/>
              <w:right w:val="nil"/>
            </w:tcBorders>
          </w:tcPr>
          <w:p w:rsidR="00A46DCA" w:rsidRPr="001919F9" w:rsidRDefault="00A46DCA" w:rsidP="00A26D04">
            <w:pPr>
              <w:keepLines w:val="0"/>
              <w:autoSpaceDE w:val="0"/>
              <w:autoSpaceDN w:val="0"/>
              <w:adjustRightInd w:val="0"/>
              <w:rPr>
                <w:rFonts w:eastAsiaTheme="minorEastAsia" w:cs="Calibri"/>
                <w:color w:val="000000"/>
                <w:szCs w:val="20"/>
                <w:lang w:eastAsia="en-AU"/>
              </w:rPr>
            </w:pPr>
            <w:r w:rsidRPr="001919F9">
              <w:rPr>
                <w:rFonts w:eastAsiaTheme="minorEastAsia" w:cs="Calibri"/>
                <w:color w:val="000000"/>
                <w:szCs w:val="20"/>
                <w:lang w:eastAsia="en-AU"/>
              </w:rPr>
              <w:t>Prison capacity expansion</w:t>
            </w:r>
          </w:p>
        </w:tc>
        <w:tc>
          <w:tcPr>
            <w:tcW w:w="765" w:type="dxa"/>
            <w:tcBorders>
              <w:top w:val="nil"/>
              <w:left w:val="nil"/>
              <w:bottom w:val="nil"/>
              <w:right w:val="nil"/>
            </w:tcBorders>
          </w:tcPr>
          <w:p w:rsidR="00A46DCA" w:rsidRPr="001919F9"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1919F9">
              <w:rPr>
                <w:rFonts w:eastAsiaTheme="minorEastAsia" w:cs="Calibri"/>
                <w:color w:val="000000"/>
                <w:szCs w:val="20"/>
                <w:lang w:eastAsia="en-AU"/>
              </w:rPr>
              <w:t>34.3</w:t>
            </w:r>
          </w:p>
        </w:tc>
        <w:tc>
          <w:tcPr>
            <w:tcW w:w="850" w:type="dxa"/>
            <w:tcBorders>
              <w:top w:val="nil"/>
              <w:left w:val="nil"/>
              <w:bottom w:val="nil"/>
              <w:right w:val="nil"/>
            </w:tcBorders>
          </w:tcPr>
          <w:p w:rsidR="00A46DCA" w:rsidRPr="001919F9"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1919F9">
              <w:rPr>
                <w:rFonts w:eastAsiaTheme="minorEastAsia" w:cs="Calibri"/>
                <w:color w:val="000000"/>
                <w:szCs w:val="20"/>
                <w:lang w:eastAsia="en-AU"/>
              </w:rPr>
              <w:t>67.4</w:t>
            </w:r>
          </w:p>
        </w:tc>
        <w:tc>
          <w:tcPr>
            <w:tcW w:w="850" w:type="dxa"/>
            <w:tcBorders>
              <w:top w:val="nil"/>
              <w:left w:val="nil"/>
              <w:bottom w:val="nil"/>
              <w:right w:val="nil"/>
            </w:tcBorders>
          </w:tcPr>
          <w:p w:rsidR="00A46DCA" w:rsidRPr="001919F9"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1919F9">
              <w:rPr>
                <w:rFonts w:eastAsiaTheme="minorEastAsia" w:cs="Calibri"/>
                <w:color w:val="000000"/>
                <w:szCs w:val="20"/>
                <w:lang w:eastAsia="en-AU"/>
              </w:rPr>
              <w:t>67.8</w:t>
            </w:r>
          </w:p>
        </w:tc>
        <w:tc>
          <w:tcPr>
            <w:tcW w:w="850" w:type="dxa"/>
            <w:tcBorders>
              <w:top w:val="nil"/>
              <w:left w:val="nil"/>
              <w:bottom w:val="nil"/>
              <w:right w:val="nil"/>
            </w:tcBorders>
          </w:tcPr>
          <w:p w:rsidR="00A46DCA" w:rsidRPr="001919F9"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1919F9">
              <w:rPr>
                <w:rFonts w:eastAsiaTheme="minorEastAsia" w:cs="Calibri"/>
                <w:color w:val="000000"/>
                <w:szCs w:val="20"/>
                <w:lang w:eastAsia="en-AU"/>
              </w:rPr>
              <w:t>70.4</w:t>
            </w:r>
          </w:p>
        </w:tc>
      </w:tr>
      <w:tr w:rsidR="00A46DCA" w:rsidRPr="001919F9" w:rsidTr="00A26D04">
        <w:tc>
          <w:tcPr>
            <w:cnfStyle w:val="001000000000" w:firstRow="0" w:lastRow="0" w:firstColumn="1" w:lastColumn="0" w:oddVBand="0" w:evenVBand="0" w:oddHBand="0" w:evenHBand="0" w:firstRowFirstColumn="0" w:firstRowLastColumn="0" w:lastRowFirstColumn="0" w:lastRowLastColumn="0"/>
            <w:tcW w:w="4450" w:type="dxa"/>
            <w:tcBorders>
              <w:top w:val="nil"/>
              <w:left w:val="nil"/>
              <w:bottom w:val="nil"/>
              <w:right w:val="nil"/>
            </w:tcBorders>
          </w:tcPr>
          <w:p w:rsidR="00A46DCA" w:rsidRPr="001919F9" w:rsidRDefault="00A46DCA" w:rsidP="00A26D04">
            <w:pPr>
              <w:keepLines w:val="0"/>
              <w:autoSpaceDE w:val="0"/>
              <w:autoSpaceDN w:val="0"/>
              <w:adjustRightInd w:val="0"/>
              <w:rPr>
                <w:rFonts w:eastAsiaTheme="minorEastAsia" w:cs="Calibri"/>
                <w:color w:val="000000"/>
                <w:szCs w:val="20"/>
                <w:lang w:eastAsia="en-AU"/>
              </w:rPr>
            </w:pPr>
            <w:r w:rsidRPr="001919F9">
              <w:rPr>
                <w:rFonts w:eastAsiaTheme="minorEastAsia" w:cs="Calibri"/>
                <w:color w:val="000000"/>
                <w:szCs w:val="20"/>
                <w:lang w:eastAsia="en-AU"/>
              </w:rPr>
              <w:t>Residential Tenancies Act reforms</w:t>
            </w:r>
          </w:p>
        </w:tc>
        <w:tc>
          <w:tcPr>
            <w:tcW w:w="765" w:type="dxa"/>
            <w:tcBorders>
              <w:top w:val="nil"/>
              <w:left w:val="nil"/>
              <w:bottom w:val="nil"/>
              <w:right w:val="nil"/>
            </w:tcBorders>
          </w:tcPr>
          <w:p w:rsidR="00A46DCA" w:rsidRPr="001919F9"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1919F9">
              <w:rPr>
                <w:rFonts w:eastAsiaTheme="minorEastAsia" w:cs="Calibri"/>
                <w:color w:val="000000"/>
                <w:szCs w:val="20"/>
                <w:lang w:eastAsia="en-AU"/>
              </w:rPr>
              <w:t>0.5</w:t>
            </w:r>
          </w:p>
        </w:tc>
        <w:tc>
          <w:tcPr>
            <w:tcW w:w="850" w:type="dxa"/>
            <w:tcBorders>
              <w:top w:val="nil"/>
              <w:left w:val="nil"/>
              <w:bottom w:val="nil"/>
              <w:right w:val="nil"/>
            </w:tcBorders>
          </w:tcPr>
          <w:p w:rsidR="00A46DCA" w:rsidRPr="001919F9"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1919F9">
              <w:rPr>
                <w:rFonts w:eastAsiaTheme="minorEastAsia" w:cs="Calibri"/>
                <w:color w:val="000000"/>
                <w:szCs w:val="20"/>
                <w:lang w:eastAsia="en-AU"/>
              </w:rPr>
              <w:t>2.9</w:t>
            </w:r>
          </w:p>
        </w:tc>
        <w:tc>
          <w:tcPr>
            <w:tcW w:w="850" w:type="dxa"/>
            <w:tcBorders>
              <w:top w:val="nil"/>
              <w:left w:val="nil"/>
              <w:bottom w:val="nil"/>
              <w:right w:val="nil"/>
            </w:tcBorders>
          </w:tcPr>
          <w:p w:rsidR="00A46DCA" w:rsidRPr="001919F9"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1919F9">
              <w:rPr>
                <w:rFonts w:eastAsiaTheme="minorEastAsia" w:cs="Calibri"/>
                <w:color w:val="000000"/>
                <w:szCs w:val="20"/>
                <w:lang w:eastAsia="en-AU"/>
              </w:rPr>
              <w:t>1.0</w:t>
            </w:r>
          </w:p>
        </w:tc>
        <w:tc>
          <w:tcPr>
            <w:tcW w:w="850" w:type="dxa"/>
            <w:tcBorders>
              <w:top w:val="nil"/>
              <w:left w:val="nil"/>
              <w:bottom w:val="nil"/>
              <w:right w:val="nil"/>
            </w:tcBorders>
          </w:tcPr>
          <w:p w:rsidR="00A46DCA" w:rsidRPr="001919F9"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1919F9">
              <w:rPr>
                <w:rFonts w:eastAsiaTheme="minorEastAsia" w:cs="Calibri"/>
                <w:color w:val="000000"/>
                <w:szCs w:val="20"/>
                <w:lang w:eastAsia="en-AU"/>
              </w:rPr>
              <w:t>0.5</w:t>
            </w:r>
          </w:p>
        </w:tc>
      </w:tr>
      <w:tr w:rsidR="00A46DCA" w:rsidRPr="001919F9" w:rsidTr="00A26D04">
        <w:tc>
          <w:tcPr>
            <w:cnfStyle w:val="001000000000" w:firstRow="0" w:lastRow="0" w:firstColumn="1" w:lastColumn="0" w:oddVBand="0" w:evenVBand="0" w:oddHBand="0" w:evenHBand="0" w:firstRowFirstColumn="0" w:firstRowLastColumn="0" w:lastRowFirstColumn="0" w:lastRowLastColumn="0"/>
            <w:tcW w:w="4450" w:type="dxa"/>
            <w:tcBorders>
              <w:top w:val="nil"/>
              <w:left w:val="nil"/>
              <w:bottom w:val="nil"/>
              <w:right w:val="nil"/>
            </w:tcBorders>
          </w:tcPr>
          <w:p w:rsidR="00A46DCA" w:rsidRPr="001919F9" w:rsidRDefault="00A46DCA" w:rsidP="00A26D04">
            <w:pPr>
              <w:keepLines w:val="0"/>
              <w:autoSpaceDE w:val="0"/>
              <w:autoSpaceDN w:val="0"/>
              <w:adjustRightInd w:val="0"/>
              <w:rPr>
                <w:rFonts w:eastAsiaTheme="minorEastAsia" w:cs="Calibri"/>
                <w:color w:val="000000"/>
                <w:szCs w:val="20"/>
                <w:lang w:eastAsia="en-AU"/>
              </w:rPr>
            </w:pPr>
            <w:r w:rsidRPr="001919F9">
              <w:rPr>
                <w:rFonts w:eastAsiaTheme="minorEastAsia" w:cs="Calibri"/>
                <w:color w:val="000000"/>
                <w:szCs w:val="20"/>
                <w:lang w:eastAsia="en-AU"/>
              </w:rPr>
              <w:t>Summer fire information and education program</w:t>
            </w:r>
          </w:p>
        </w:tc>
        <w:tc>
          <w:tcPr>
            <w:tcW w:w="765" w:type="dxa"/>
            <w:tcBorders>
              <w:top w:val="nil"/>
              <w:left w:val="nil"/>
              <w:bottom w:val="nil"/>
              <w:right w:val="nil"/>
            </w:tcBorders>
          </w:tcPr>
          <w:p w:rsidR="00A46DCA" w:rsidRPr="001919F9"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1919F9">
              <w:rPr>
                <w:rFonts w:eastAsiaTheme="minorEastAsia" w:cs="Calibri"/>
                <w:color w:val="000000"/>
                <w:szCs w:val="20"/>
                <w:lang w:eastAsia="en-AU"/>
              </w:rPr>
              <w:t>4.0</w:t>
            </w:r>
          </w:p>
        </w:tc>
        <w:tc>
          <w:tcPr>
            <w:tcW w:w="850" w:type="dxa"/>
            <w:tcBorders>
              <w:top w:val="nil"/>
              <w:left w:val="nil"/>
              <w:bottom w:val="nil"/>
              <w:right w:val="nil"/>
            </w:tcBorders>
          </w:tcPr>
          <w:p w:rsidR="00A46DCA" w:rsidRPr="001919F9"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1919F9">
              <w:rPr>
                <w:rFonts w:eastAsiaTheme="minorEastAsia" w:cs="Calibri"/>
                <w:color w:val="000000"/>
                <w:szCs w:val="20"/>
                <w:lang w:eastAsia="en-AU"/>
              </w:rPr>
              <w:t>..</w:t>
            </w:r>
          </w:p>
        </w:tc>
        <w:tc>
          <w:tcPr>
            <w:tcW w:w="850" w:type="dxa"/>
            <w:tcBorders>
              <w:top w:val="nil"/>
              <w:left w:val="nil"/>
              <w:bottom w:val="nil"/>
              <w:right w:val="nil"/>
            </w:tcBorders>
          </w:tcPr>
          <w:p w:rsidR="00A46DCA" w:rsidRPr="001919F9"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1919F9">
              <w:rPr>
                <w:rFonts w:eastAsiaTheme="minorEastAsia" w:cs="Calibri"/>
                <w:color w:val="000000"/>
                <w:szCs w:val="20"/>
                <w:lang w:eastAsia="en-AU"/>
              </w:rPr>
              <w:t>..</w:t>
            </w:r>
          </w:p>
        </w:tc>
        <w:tc>
          <w:tcPr>
            <w:tcW w:w="850" w:type="dxa"/>
            <w:tcBorders>
              <w:top w:val="nil"/>
              <w:left w:val="nil"/>
              <w:bottom w:val="nil"/>
              <w:right w:val="nil"/>
            </w:tcBorders>
          </w:tcPr>
          <w:p w:rsidR="00A46DCA" w:rsidRPr="001919F9"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1919F9">
              <w:rPr>
                <w:rFonts w:eastAsiaTheme="minorEastAsia" w:cs="Calibri"/>
                <w:color w:val="000000"/>
                <w:szCs w:val="20"/>
                <w:lang w:eastAsia="en-AU"/>
              </w:rPr>
              <w:t>..</w:t>
            </w:r>
          </w:p>
        </w:tc>
      </w:tr>
      <w:tr w:rsidR="00A46DCA" w:rsidRPr="001919F9" w:rsidTr="00A26D04">
        <w:tc>
          <w:tcPr>
            <w:cnfStyle w:val="001000000000" w:firstRow="0" w:lastRow="0" w:firstColumn="1" w:lastColumn="0" w:oddVBand="0" w:evenVBand="0" w:oddHBand="0" w:evenHBand="0" w:firstRowFirstColumn="0" w:firstRowLastColumn="0" w:lastRowFirstColumn="0" w:lastRowLastColumn="0"/>
            <w:tcW w:w="4450" w:type="dxa"/>
            <w:tcBorders>
              <w:top w:val="nil"/>
              <w:left w:val="nil"/>
              <w:bottom w:val="nil"/>
              <w:right w:val="nil"/>
            </w:tcBorders>
          </w:tcPr>
          <w:p w:rsidR="00A46DCA" w:rsidRPr="001919F9" w:rsidRDefault="00A46DCA" w:rsidP="00A26D04">
            <w:pPr>
              <w:keepLines w:val="0"/>
              <w:autoSpaceDE w:val="0"/>
              <w:autoSpaceDN w:val="0"/>
              <w:adjustRightInd w:val="0"/>
              <w:rPr>
                <w:rFonts w:eastAsiaTheme="minorEastAsia" w:cs="Calibri"/>
                <w:color w:val="000000"/>
                <w:szCs w:val="20"/>
                <w:lang w:eastAsia="en-AU"/>
              </w:rPr>
            </w:pPr>
            <w:r w:rsidRPr="001919F9">
              <w:rPr>
                <w:rFonts w:eastAsiaTheme="minorEastAsia" w:cs="Calibri"/>
                <w:color w:val="000000"/>
                <w:szCs w:val="20"/>
                <w:lang w:eastAsia="en-AU"/>
              </w:rPr>
              <w:t>Youth Justice Review and Strategy</w:t>
            </w:r>
          </w:p>
        </w:tc>
        <w:tc>
          <w:tcPr>
            <w:tcW w:w="765" w:type="dxa"/>
            <w:tcBorders>
              <w:top w:val="nil"/>
              <w:left w:val="nil"/>
              <w:bottom w:val="nil"/>
              <w:right w:val="nil"/>
            </w:tcBorders>
          </w:tcPr>
          <w:p w:rsidR="00A46DCA" w:rsidRPr="001919F9"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1919F9">
              <w:rPr>
                <w:rFonts w:eastAsiaTheme="minorEastAsia" w:cs="Calibri"/>
                <w:color w:val="000000"/>
                <w:szCs w:val="20"/>
                <w:lang w:eastAsia="en-AU"/>
              </w:rPr>
              <w:t>13.1</w:t>
            </w:r>
          </w:p>
        </w:tc>
        <w:tc>
          <w:tcPr>
            <w:tcW w:w="850" w:type="dxa"/>
            <w:tcBorders>
              <w:top w:val="nil"/>
              <w:left w:val="nil"/>
              <w:bottom w:val="nil"/>
              <w:right w:val="nil"/>
            </w:tcBorders>
          </w:tcPr>
          <w:p w:rsidR="00A46DCA" w:rsidRPr="001919F9"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1919F9">
              <w:rPr>
                <w:rFonts w:eastAsiaTheme="minorEastAsia" w:cs="Calibri"/>
                <w:color w:val="000000"/>
                <w:szCs w:val="20"/>
                <w:lang w:eastAsia="en-AU"/>
              </w:rPr>
              <w:t>12.2</w:t>
            </w:r>
          </w:p>
        </w:tc>
        <w:tc>
          <w:tcPr>
            <w:tcW w:w="850" w:type="dxa"/>
            <w:tcBorders>
              <w:top w:val="nil"/>
              <w:left w:val="nil"/>
              <w:bottom w:val="nil"/>
              <w:right w:val="nil"/>
            </w:tcBorders>
          </w:tcPr>
          <w:p w:rsidR="00A46DCA" w:rsidRPr="001919F9"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1919F9">
              <w:rPr>
                <w:rFonts w:eastAsiaTheme="minorEastAsia" w:cs="Calibri"/>
                <w:color w:val="000000"/>
                <w:szCs w:val="20"/>
                <w:lang w:eastAsia="en-AU"/>
              </w:rPr>
              <w:t>11.8</w:t>
            </w:r>
          </w:p>
        </w:tc>
        <w:tc>
          <w:tcPr>
            <w:tcW w:w="850" w:type="dxa"/>
            <w:tcBorders>
              <w:top w:val="nil"/>
              <w:left w:val="nil"/>
              <w:bottom w:val="nil"/>
              <w:right w:val="nil"/>
            </w:tcBorders>
          </w:tcPr>
          <w:p w:rsidR="00A46DCA" w:rsidRPr="001919F9"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1919F9">
              <w:rPr>
                <w:rFonts w:eastAsiaTheme="minorEastAsia" w:cs="Calibri"/>
                <w:color w:val="000000"/>
                <w:szCs w:val="20"/>
                <w:lang w:eastAsia="en-AU"/>
              </w:rPr>
              <w:t>12.9</w:t>
            </w:r>
          </w:p>
        </w:tc>
      </w:tr>
      <w:tr w:rsidR="00A46DCA" w:rsidRPr="001919F9" w:rsidTr="00A26D04">
        <w:tc>
          <w:tcPr>
            <w:cnfStyle w:val="001000000000" w:firstRow="0" w:lastRow="0" w:firstColumn="1" w:lastColumn="0" w:oddVBand="0" w:evenVBand="0" w:oddHBand="0" w:evenHBand="0" w:firstRowFirstColumn="0" w:firstRowLastColumn="0" w:lastRowFirstColumn="0" w:lastRowLastColumn="0"/>
            <w:tcW w:w="4450" w:type="dxa"/>
            <w:tcBorders>
              <w:top w:val="single" w:sz="6" w:space="0" w:color="auto"/>
              <w:left w:val="nil"/>
              <w:bottom w:val="single" w:sz="12" w:space="0" w:color="auto"/>
              <w:right w:val="nil"/>
            </w:tcBorders>
          </w:tcPr>
          <w:p w:rsidR="00A46DCA" w:rsidRPr="001919F9" w:rsidRDefault="00A46DCA" w:rsidP="00A26D04">
            <w:pPr>
              <w:keepLines w:val="0"/>
              <w:autoSpaceDE w:val="0"/>
              <w:autoSpaceDN w:val="0"/>
              <w:adjustRightInd w:val="0"/>
              <w:rPr>
                <w:rFonts w:eastAsiaTheme="minorEastAsia" w:cs="Calibri"/>
                <w:b/>
                <w:bCs/>
                <w:color w:val="000000"/>
                <w:szCs w:val="20"/>
                <w:vertAlign w:val="superscript"/>
                <w:lang w:eastAsia="en-AU"/>
              </w:rPr>
            </w:pPr>
            <w:r w:rsidRPr="001919F9">
              <w:rPr>
                <w:rFonts w:eastAsiaTheme="minorEastAsia" w:cs="Calibri"/>
                <w:b/>
                <w:bCs/>
                <w:color w:val="000000"/>
                <w:szCs w:val="20"/>
                <w:lang w:eastAsia="en-AU"/>
              </w:rPr>
              <w:t xml:space="preserve">Total output initiatives </w:t>
            </w:r>
            <w:r w:rsidRPr="001919F9">
              <w:rPr>
                <w:rFonts w:eastAsiaTheme="minorEastAsia" w:cs="Calibri"/>
                <w:b/>
                <w:bCs/>
                <w:color w:val="000000"/>
                <w:szCs w:val="20"/>
                <w:vertAlign w:val="superscript"/>
                <w:lang w:eastAsia="en-AU"/>
              </w:rPr>
              <w:t>(a)</w:t>
            </w:r>
          </w:p>
        </w:tc>
        <w:tc>
          <w:tcPr>
            <w:tcW w:w="765" w:type="dxa"/>
            <w:tcBorders>
              <w:top w:val="single" w:sz="6" w:space="0" w:color="auto"/>
              <w:left w:val="nil"/>
              <w:bottom w:val="single" w:sz="12" w:space="0" w:color="auto"/>
              <w:right w:val="nil"/>
            </w:tcBorders>
          </w:tcPr>
          <w:p w:rsidR="00A46DCA" w:rsidRPr="001919F9"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0"/>
                <w:lang w:eastAsia="en-AU"/>
              </w:rPr>
            </w:pPr>
            <w:r w:rsidRPr="001919F9">
              <w:rPr>
                <w:rFonts w:eastAsiaTheme="minorEastAsia" w:cs="Calibri"/>
                <w:b/>
                <w:bCs/>
                <w:color w:val="000000"/>
                <w:szCs w:val="20"/>
                <w:lang w:eastAsia="en-AU"/>
              </w:rPr>
              <w:t>57.8</w:t>
            </w:r>
          </w:p>
        </w:tc>
        <w:tc>
          <w:tcPr>
            <w:tcW w:w="850" w:type="dxa"/>
            <w:tcBorders>
              <w:top w:val="single" w:sz="6" w:space="0" w:color="auto"/>
              <w:left w:val="nil"/>
              <w:bottom w:val="single" w:sz="12" w:space="0" w:color="auto"/>
              <w:right w:val="nil"/>
            </w:tcBorders>
          </w:tcPr>
          <w:p w:rsidR="00A46DCA" w:rsidRPr="001919F9"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0"/>
                <w:lang w:eastAsia="en-AU"/>
              </w:rPr>
            </w:pPr>
            <w:r w:rsidRPr="001919F9">
              <w:rPr>
                <w:rFonts w:eastAsiaTheme="minorEastAsia" w:cs="Calibri"/>
                <w:b/>
                <w:bCs/>
                <w:color w:val="000000"/>
                <w:szCs w:val="20"/>
                <w:lang w:eastAsia="en-AU"/>
              </w:rPr>
              <w:t>90.8</w:t>
            </w:r>
          </w:p>
        </w:tc>
        <w:tc>
          <w:tcPr>
            <w:tcW w:w="850" w:type="dxa"/>
            <w:tcBorders>
              <w:top w:val="single" w:sz="6" w:space="0" w:color="auto"/>
              <w:left w:val="nil"/>
              <w:bottom w:val="single" w:sz="12" w:space="0" w:color="auto"/>
              <w:right w:val="nil"/>
            </w:tcBorders>
          </w:tcPr>
          <w:p w:rsidR="00A46DCA" w:rsidRPr="001919F9"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0"/>
                <w:lang w:eastAsia="en-AU"/>
              </w:rPr>
            </w:pPr>
            <w:r w:rsidRPr="001919F9">
              <w:rPr>
                <w:rFonts w:eastAsiaTheme="minorEastAsia" w:cs="Calibri"/>
                <w:b/>
                <w:bCs/>
                <w:color w:val="000000"/>
                <w:szCs w:val="20"/>
                <w:lang w:eastAsia="en-AU"/>
              </w:rPr>
              <w:t>86.9</w:t>
            </w:r>
          </w:p>
        </w:tc>
        <w:tc>
          <w:tcPr>
            <w:tcW w:w="850" w:type="dxa"/>
            <w:tcBorders>
              <w:top w:val="single" w:sz="6" w:space="0" w:color="auto"/>
              <w:left w:val="nil"/>
              <w:bottom w:val="single" w:sz="12" w:space="0" w:color="auto"/>
              <w:right w:val="nil"/>
            </w:tcBorders>
          </w:tcPr>
          <w:p w:rsidR="00A46DCA" w:rsidRPr="001919F9"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0"/>
                <w:lang w:eastAsia="en-AU"/>
              </w:rPr>
            </w:pPr>
            <w:r w:rsidRPr="001919F9">
              <w:rPr>
                <w:rFonts w:eastAsiaTheme="minorEastAsia" w:cs="Calibri"/>
                <w:b/>
                <w:bCs/>
                <w:color w:val="000000"/>
                <w:szCs w:val="20"/>
                <w:lang w:eastAsia="en-AU"/>
              </w:rPr>
              <w:t>91.6</w:t>
            </w:r>
          </w:p>
        </w:tc>
      </w:tr>
    </w:tbl>
    <w:p w:rsidR="00A46DCA" w:rsidRDefault="00A46DCA" w:rsidP="00A26D04">
      <w:pPr>
        <w:pStyle w:val="Note"/>
        <w:rPr>
          <w:lang w:eastAsia="en-AU"/>
        </w:rPr>
      </w:pPr>
      <w:r>
        <w:rPr>
          <w:lang w:eastAsia="en-AU"/>
        </w:rPr>
        <w:t>Note:</w:t>
      </w:r>
    </w:p>
    <w:p w:rsidR="00A46DCA" w:rsidRPr="00762145" w:rsidRDefault="00A46DCA" w:rsidP="00A26D04">
      <w:pPr>
        <w:pStyle w:val="Note"/>
      </w:pPr>
      <w:r>
        <w:rPr>
          <w:lang w:eastAsia="en-AU"/>
        </w:rPr>
        <w:t>(a)</w:t>
      </w:r>
      <w:r>
        <w:rPr>
          <w:lang w:eastAsia="en-AU"/>
        </w:rPr>
        <w:tab/>
        <w:t>Table may not add due to rounding.</w:t>
      </w:r>
    </w:p>
    <w:p w:rsidR="00A46DCA" w:rsidRDefault="00A46DCA" w:rsidP="004906A4">
      <w:pPr>
        <w:pStyle w:val="Heading30"/>
        <w:spacing w:before="160"/>
        <w:rPr>
          <w:lang w:eastAsia="en-AU"/>
        </w:rPr>
      </w:pPr>
      <w:r>
        <w:rPr>
          <w:lang w:eastAsia="en-AU"/>
        </w:rPr>
        <w:t>Access to Justice</w:t>
      </w:r>
    </w:p>
    <w:p w:rsidR="00A46DCA" w:rsidRDefault="00A46DCA" w:rsidP="004906A4">
      <w:pPr>
        <w:spacing w:before="100"/>
        <w:rPr>
          <w:lang w:eastAsia="en-AU"/>
        </w:rPr>
      </w:pPr>
      <w:r>
        <w:rPr>
          <w:lang w:eastAsia="en-AU"/>
        </w:rPr>
        <w:t>Funding will be provided for additional legal assistance services, alternative dispute resolution services for small civil claims, and support for self-represented litigants to respond to the recommendations of the Access to Justice Review. The Victorian Civil and Administrative Tribunal will also modernise processes, including automatic online registration of orders. This will reduce barriers faced by disadvantaged people accessing the legal system.</w:t>
      </w:r>
    </w:p>
    <w:p w:rsidR="00A46DCA" w:rsidRDefault="00A46DCA" w:rsidP="004906A4">
      <w:pPr>
        <w:spacing w:before="100"/>
        <w:rPr>
          <w:lang w:eastAsia="en-AU"/>
        </w:rPr>
      </w:pPr>
      <w:r>
        <w:rPr>
          <w:lang w:eastAsia="en-AU"/>
        </w:rPr>
        <w:t>This initiative contributes to the Department of Justice and Regulation’s Public Prosecutions and Legal Assistance and Dispute Resolution and Civil Justice Support Services outputs.</w:t>
      </w:r>
    </w:p>
    <w:p w:rsidR="00A46DCA" w:rsidRPr="001B5B31" w:rsidRDefault="00A46DCA" w:rsidP="004906A4">
      <w:pPr>
        <w:spacing w:before="100"/>
        <w:rPr>
          <w:lang w:eastAsia="en-AU"/>
        </w:rPr>
      </w:pPr>
      <w:r>
        <w:rPr>
          <w:lang w:eastAsia="en-AU"/>
        </w:rPr>
        <w:t>This initiative contributes to Court Services Victoria’s Courts output.</w:t>
      </w:r>
    </w:p>
    <w:p w:rsidR="00A46DCA" w:rsidRDefault="00A46DCA" w:rsidP="004906A4">
      <w:pPr>
        <w:pStyle w:val="Heading30"/>
        <w:spacing w:before="160"/>
        <w:rPr>
          <w:lang w:eastAsia="en-AU"/>
        </w:rPr>
      </w:pPr>
      <w:r>
        <w:rPr>
          <w:lang w:eastAsia="en-AU"/>
        </w:rPr>
        <w:t>Establishment of a Victorian Fixated Threat Assessment Centre</w:t>
      </w:r>
    </w:p>
    <w:p w:rsidR="00A46DCA" w:rsidRDefault="00A46DCA" w:rsidP="004906A4">
      <w:pPr>
        <w:spacing w:before="100"/>
        <w:rPr>
          <w:lang w:eastAsia="en-AU"/>
        </w:rPr>
      </w:pPr>
      <w:r>
        <w:rPr>
          <w:lang w:eastAsia="en-AU"/>
        </w:rPr>
        <w:t>Refer to the initiative description under Department of Health and Human Services.</w:t>
      </w:r>
    </w:p>
    <w:p w:rsidR="00A46DCA" w:rsidRDefault="00A46DCA" w:rsidP="004906A4">
      <w:pPr>
        <w:pStyle w:val="Heading30"/>
        <w:spacing w:before="160"/>
        <w:rPr>
          <w:lang w:eastAsia="en-AU"/>
        </w:rPr>
      </w:pPr>
      <w:r>
        <w:rPr>
          <w:lang w:eastAsia="en-AU"/>
        </w:rPr>
        <w:t>Prison capacity expansion</w:t>
      </w:r>
    </w:p>
    <w:p w:rsidR="00A46DCA" w:rsidRDefault="00A46DCA" w:rsidP="004906A4">
      <w:pPr>
        <w:spacing w:before="100"/>
        <w:rPr>
          <w:lang w:eastAsia="en-AU"/>
        </w:rPr>
      </w:pPr>
      <w:r>
        <w:rPr>
          <w:lang w:eastAsia="en-AU"/>
        </w:rPr>
        <w:t>Increased bed capacity and associated essential services will be funded across Victoria’s prison system in response to a growing prison population. This includes dedicated premises for the Adult Parole Board and the new Post-Sentence Authority.</w:t>
      </w:r>
    </w:p>
    <w:p w:rsidR="00A46DCA" w:rsidRDefault="00A46DCA" w:rsidP="004906A4">
      <w:pPr>
        <w:spacing w:before="100"/>
        <w:rPr>
          <w:rFonts w:asciiTheme="majorHAnsi" w:eastAsiaTheme="majorEastAsia" w:hAnsiTheme="majorHAnsi" w:cstheme="majorBidi"/>
          <w:b/>
          <w:bCs/>
          <w:spacing w:val="-2"/>
          <w:szCs w:val="26"/>
          <w:lang w:eastAsia="en-AU"/>
        </w:rPr>
      </w:pPr>
      <w:r>
        <w:rPr>
          <w:lang w:eastAsia="en-AU"/>
        </w:rPr>
        <w:t>This initiative contributes to the Department of Justice and Regulation’s Prisoner Supervision and Support output.</w:t>
      </w:r>
    </w:p>
    <w:p w:rsidR="00A46DCA" w:rsidRDefault="00A46DCA" w:rsidP="004906A4">
      <w:pPr>
        <w:pStyle w:val="Heading30"/>
        <w:spacing w:before="160"/>
        <w:rPr>
          <w:lang w:eastAsia="en-AU"/>
        </w:rPr>
      </w:pPr>
      <w:r>
        <w:rPr>
          <w:lang w:eastAsia="en-AU"/>
        </w:rPr>
        <w:t>Residential Tenancies Act reforms</w:t>
      </w:r>
    </w:p>
    <w:p w:rsidR="00A46DCA" w:rsidRDefault="00A46DCA" w:rsidP="004906A4">
      <w:pPr>
        <w:spacing w:before="100"/>
        <w:ind w:right="-227"/>
        <w:rPr>
          <w:lang w:eastAsia="en-AU"/>
        </w:rPr>
      </w:pPr>
      <w:r>
        <w:rPr>
          <w:lang w:eastAsia="en-AU"/>
        </w:rPr>
        <w:t>A number of initiatives will be funded to assist residential tenants. These include enabling faster release of bonds at the end of a tenancy, introducing a landlord and agent blacklist available to renters, and the establishment of a new Commissioner for Residential Tenancies.</w:t>
      </w:r>
    </w:p>
    <w:p w:rsidR="00A46DCA" w:rsidRDefault="00A46DCA" w:rsidP="004906A4">
      <w:pPr>
        <w:spacing w:before="100"/>
        <w:rPr>
          <w:lang w:eastAsia="en-AU"/>
        </w:rPr>
      </w:pPr>
      <w:r>
        <w:rPr>
          <w:lang w:eastAsia="en-AU"/>
        </w:rPr>
        <w:t>This initiative contributes to the Department of Justice and Regulation’s Regulation of the Victorian Consumer Marketplace output.</w:t>
      </w:r>
    </w:p>
    <w:p w:rsidR="00A46DCA" w:rsidRDefault="00A46DCA" w:rsidP="004906A4">
      <w:pPr>
        <w:spacing w:before="100"/>
        <w:rPr>
          <w:lang w:eastAsia="en-AU"/>
        </w:rPr>
      </w:pPr>
      <w:r>
        <w:rPr>
          <w:lang w:eastAsia="en-AU"/>
        </w:rPr>
        <w:t>This initiative contributes to the Department of Premier and Cabinet’s Strategic Advice and Government Support output.</w:t>
      </w:r>
    </w:p>
    <w:p w:rsidR="00A46DCA" w:rsidRDefault="00A46DCA" w:rsidP="00A26D04">
      <w:pPr>
        <w:pStyle w:val="Heading30"/>
        <w:rPr>
          <w:lang w:eastAsia="en-AU"/>
        </w:rPr>
      </w:pPr>
      <w:r>
        <w:rPr>
          <w:lang w:eastAsia="en-AU"/>
        </w:rPr>
        <w:lastRenderedPageBreak/>
        <w:t>Summer fire information and education program</w:t>
      </w:r>
    </w:p>
    <w:p w:rsidR="00A46DCA" w:rsidRDefault="00A46DCA" w:rsidP="00A26D04">
      <w:pPr>
        <w:ind w:right="-227"/>
        <w:rPr>
          <w:lang w:eastAsia="en-AU"/>
        </w:rPr>
      </w:pPr>
      <w:r>
        <w:rPr>
          <w:lang w:eastAsia="en-AU"/>
        </w:rPr>
        <w:t>A program of fire safety information and education will be delivered through a combination of direct marketing, traditional and social media, and public relations. The program will provide fire safety advice and promote community awareness of fire risk and planning in preparation for the 2017-18 summer period.</w:t>
      </w:r>
    </w:p>
    <w:p w:rsidR="00A46DCA" w:rsidRDefault="00A46DCA" w:rsidP="00A26D04">
      <w:pPr>
        <w:rPr>
          <w:lang w:eastAsia="en-AU"/>
        </w:rPr>
      </w:pPr>
      <w:r>
        <w:rPr>
          <w:lang w:eastAsia="en-AU"/>
        </w:rPr>
        <w:t>This initiative contributes to the Department of Justice and Regulation’s Emergency Management Capability output.</w:t>
      </w:r>
    </w:p>
    <w:p w:rsidR="00A46DCA" w:rsidRDefault="00A46DCA" w:rsidP="00A26D04">
      <w:pPr>
        <w:pStyle w:val="Heading30"/>
        <w:rPr>
          <w:lang w:eastAsia="en-AU"/>
        </w:rPr>
      </w:pPr>
      <w:r>
        <w:rPr>
          <w:lang w:eastAsia="en-AU"/>
        </w:rPr>
        <w:t>Youth Justice Review and Strategy</w:t>
      </w:r>
    </w:p>
    <w:p w:rsidR="00A46DCA" w:rsidRDefault="00A46DCA" w:rsidP="00A26D04">
      <w:r>
        <w:t xml:space="preserve">Funding will be provided to implement priority recommendations of the </w:t>
      </w:r>
      <w:proofErr w:type="spellStart"/>
      <w:r>
        <w:t>Armytage</w:t>
      </w:r>
      <w:proofErr w:type="spellEnd"/>
      <w:r>
        <w:t xml:space="preserve"> and </w:t>
      </w:r>
      <w:proofErr w:type="spellStart"/>
      <w:r>
        <w:t>Ogloff</w:t>
      </w:r>
      <w:proofErr w:type="spellEnd"/>
      <w:r>
        <w:t xml:space="preserve"> review, and strengthen and modernise the youth justice system.</w:t>
      </w:r>
    </w:p>
    <w:p w:rsidR="00A46DCA" w:rsidRDefault="00A46DCA" w:rsidP="00A26D04">
      <w:r>
        <w:t>Actions funded include a new custodial operating model, better staff training, a targeted recruitment campaign, additional Safety and Emergency Response Team staff, an Aboriginal Liaison Officer, and improved risk and needs assessment.</w:t>
      </w:r>
    </w:p>
    <w:p w:rsidR="00A46DCA" w:rsidRDefault="00A46DCA" w:rsidP="00A26D04">
      <w:r>
        <w:t>This initiative contributes to the Department of Justice and Regulation’s Youth Justice Custodial Services output.</w:t>
      </w:r>
    </w:p>
    <w:p w:rsidR="00A46DCA" w:rsidRDefault="00A46DCA">
      <w:pPr>
        <w:keepLines w:val="0"/>
        <w:rPr>
          <w:rFonts w:asciiTheme="majorHAnsi" w:eastAsiaTheme="majorEastAsia" w:hAnsiTheme="majorHAnsi" w:cstheme="majorBidi"/>
          <w:b/>
          <w:spacing w:val="-2"/>
          <w:sz w:val="26"/>
          <w:szCs w:val="26"/>
          <w:lang w:eastAsia="en-AU"/>
        </w:rPr>
      </w:pPr>
      <w:r>
        <w:rPr>
          <w:lang w:eastAsia="en-AU"/>
        </w:rPr>
        <w:br w:type="page"/>
      </w:r>
    </w:p>
    <w:p w:rsidR="00A46DCA" w:rsidRDefault="00A46DCA" w:rsidP="00A26D04">
      <w:pPr>
        <w:pStyle w:val="Heading20"/>
      </w:pPr>
      <w:r>
        <w:rPr>
          <w:lang w:eastAsia="en-AU"/>
        </w:rPr>
        <w:lastRenderedPageBreak/>
        <w:t>Asset initiatives</w:t>
      </w:r>
    </w:p>
    <w:p w:rsidR="00A46DCA" w:rsidRPr="001919F9" w:rsidRDefault="00A46DCA" w:rsidP="00A26D04">
      <w:pPr>
        <w:pStyle w:val="TableHeading"/>
        <w:spacing w:before="200"/>
        <w:rPr>
          <w:bCs/>
          <w:lang w:val="en-US" w:eastAsia="en-AU"/>
        </w:rPr>
      </w:pPr>
      <w:r>
        <w:rPr>
          <w:lang w:eastAsia="en-AU"/>
        </w:rPr>
        <w:t>Table A.10:</w:t>
      </w:r>
      <w:r>
        <w:rPr>
          <w:lang w:eastAsia="en-AU"/>
        </w:rPr>
        <w:tab/>
        <w:t>Asset initiatives – Department of Justice and Regulation</w:t>
      </w:r>
      <w:r>
        <w:rPr>
          <w:lang w:eastAsia="en-AU"/>
        </w:rPr>
        <w:tab/>
        <w:t>($ million)</w:t>
      </w:r>
    </w:p>
    <w:tbl>
      <w:tblPr>
        <w:tblStyle w:val="DTFTable"/>
        <w:tblW w:w="7760" w:type="dxa"/>
        <w:tblInd w:w="45" w:type="dxa"/>
        <w:tblLayout w:type="fixed"/>
        <w:tblCellMar>
          <w:left w:w="45" w:type="dxa"/>
          <w:right w:w="45" w:type="dxa"/>
        </w:tblCellMar>
        <w:tblLook w:val="06A0" w:firstRow="1" w:lastRow="0" w:firstColumn="1" w:lastColumn="0" w:noHBand="1" w:noVBand="1"/>
      </w:tblPr>
      <w:tblGrid>
        <w:gridCol w:w="3685"/>
        <w:gridCol w:w="850"/>
        <w:gridCol w:w="850"/>
        <w:gridCol w:w="850"/>
        <w:gridCol w:w="850"/>
        <w:gridCol w:w="675"/>
      </w:tblGrid>
      <w:tr w:rsidR="00A46DCA" w:rsidRPr="001919F9" w:rsidTr="004906A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685" w:type="dxa"/>
            <w:tcBorders>
              <w:top w:val="nil"/>
              <w:left w:val="nil"/>
              <w:bottom w:val="nil"/>
              <w:right w:val="nil"/>
            </w:tcBorders>
            <w:shd w:val="solid" w:color="000000" w:fill="auto"/>
          </w:tcPr>
          <w:p w:rsidR="00A46DCA" w:rsidRPr="001919F9" w:rsidRDefault="00A46DCA" w:rsidP="00A26D04">
            <w:pPr>
              <w:autoSpaceDE w:val="0"/>
              <w:autoSpaceDN w:val="0"/>
              <w:adjustRightInd w:val="0"/>
              <w:rPr>
                <w:rFonts w:eastAsiaTheme="minorEastAsia" w:cs="Calibri"/>
                <w:color w:val="FFFFFF"/>
                <w:szCs w:val="20"/>
                <w:lang w:eastAsia="en-AU"/>
              </w:rPr>
            </w:pPr>
            <w:r w:rsidRPr="001919F9">
              <w:rPr>
                <w:rFonts w:eastAsiaTheme="minorEastAsia" w:cs="Calibri"/>
                <w:color w:val="FFFFFF"/>
                <w:szCs w:val="20"/>
                <w:lang w:eastAsia="en-AU"/>
              </w:rPr>
              <w:t xml:space="preserve"> </w:t>
            </w:r>
          </w:p>
        </w:tc>
        <w:tc>
          <w:tcPr>
            <w:tcW w:w="850" w:type="dxa"/>
            <w:tcBorders>
              <w:top w:val="nil"/>
              <w:left w:val="nil"/>
              <w:bottom w:val="nil"/>
              <w:right w:val="nil"/>
            </w:tcBorders>
            <w:shd w:val="solid" w:color="000000" w:fill="auto"/>
          </w:tcPr>
          <w:p w:rsidR="00A46DCA" w:rsidRPr="001919F9" w:rsidRDefault="00A46DCA" w:rsidP="00A26D0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20"/>
                <w:lang w:eastAsia="en-AU"/>
              </w:rPr>
            </w:pPr>
            <w:r w:rsidRPr="001919F9">
              <w:rPr>
                <w:rFonts w:eastAsiaTheme="minorEastAsia" w:cs="Calibri"/>
                <w:iCs/>
                <w:color w:val="FFFFFF"/>
                <w:szCs w:val="20"/>
                <w:lang w:eastAsia="en-AU"/>
              </w:rPr>
              <w:t>2017-18</w:t>
            </w:r>
          </w:p>
        </w:tc>
        <w:tc>
          <w:tcPr>
            <w:tcW w:w="850" w:type="dxa"/>
            <w:tcBorders>
              <w:top w:val="nil"/>
              <w:left w:val="nil"/>
              <w:bottom w:val="nil"/>
              <w:right w:val="nil"/>
            </w:tcBorders>
            <w:shd w:val="solid" w:color="000000" w:fill="auto"/>
          </w:tcPr>
          <w:p w:rsidR="00A46DCA" w:rsidRPr="001919F9" w:rsidRDefault="00A46DCA" w:rsidP="00A26D0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20"/>
                <w:lang w:eastAsia="en-AU"/>
              </w:rPr>
            </w:pPr>
            <w:r w:rsidRPr="001919F9">
              <w:rPr>
                <w:rFonts w:eastAsiaTheme="minorEastAsia" w:cs="Calibri"/>
                <w:iCs/>
                <w:color w:val="FFFFFF"/>
                <w:szCs w:val="20"/>
                <w:lang w:eastAsia="en-AU"/>
              </w:rPr>
              <w:t>2018-19</w:t>
            </w:r>
          </w:p>
        </w:tc>
        <w:tc>
          <w:tcPr>
            <w:tcW w:w="850" w:type="dxa"/>
            <w:tcBorders>
              <w:top w:val="nil"/>
              <w:left w:val="nil"/>
              <w:bottom w:val="nil"/>
              <w:right w:val="nil"/>
            </w:tcBorders>
            <w:shd w:val="solid" w:color="000000" w:fill="auto"/>
          </w:tcPr>
          <w:p w:rsidR="00A46DCA" w:rsidRPr="001919F9" w:rsidRDefault="00A46DCA" w:rsidP="00A26D0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20"/>
                <w:lang w:eastAsia="en-AU"/>
              </w:rPr>
            </w:pPr>
            <w:r w:rsidRPr="001919F9">
              <w:rPr>
                <w:rFonts w:eastAsiaTheme="minorEastAsia" w:cs="Calibri"/>
                <w:iCs/>
                <w:color w:val="FFFFFF"/>
                <w:szCs w:val="20"/>
                <w:lang w:eastAsia="en-AU"/>
              </w:rPr>
              <w:t>2019-20</w:t>
            </w:r>
          </w:p>
        </w:tc>
        <w:tc>
          <w:tcPr>
            <w:tcW w:w="850" w:type="dxa"/>
            <w:tcBorders>
              <w:top w:val="nil"/>
              <w:left w:val="nil"/>
              <w:bottom w:val="nil"/>
              <w:right w:val="nil"/>
            </w:tcBorders>
            <w:shd w:val="solid" w:color="000000" w:fill="auto"/>
          </w:tcPr>
          <w:p w:rsidR="00A46DCA" w:rsidRPr="001919F9" w:rsidRDefault="00A46DCA" w:rsidP="00A26D0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20"/>
                <w:lang w:eastAsia="en-AU"/>
              </w:rPr>
            </w:pPr>
            <w:r w:rsidRPr="001919F9">
              <w:rPr>
                <w:rFonts w:eastAsiaTheme="minorEastAsia" w:cs="Calibri"/>
                <w:iCs/>
                <w:color w:val="FFFFFF"/>
                <w:szCs w:val="20"/>
                <w:lang w:eastAsia="en-AU"/>
              </w:rPr>
              <w:t>2020-21</w:t>
            </w:r>
          </w:p>
        </w:tc>
        <w:tc>
          <w:tcPr>
            <w:tcW w:w="675" w:type="dxa"/>
            <w:tcBorders>
              <w:top w:val="nil"/>
              <w:left w:val="nil"/>
              <w:bottom w:val="nil"/>
              <w:right w:val="nil"/>
            </w:tcBorders>
            <w:shd w:val="solid" w:color="000000" w:fill="auto"/>
          </w:tcPr>
          <w:p w:rsidR="00A46DCA" w:rsidRPr="001919F9" w:rsidRDefault="00A46DCA" w:rsidP="00A26D0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20"/>
                <w:lang w:eastAsia="en-AU"/>
              </w:rPr>
            </w:pPr>
            <w:r w:rsidRPr="001919F9">
              <w:rPr>
                <w:rFonts w:eastAsiaTheme="minorEastAsia" w:cs="Calibri"/>
                <w:iCs/>
                <w:color w:val="FFFFFF"/>
                <w:szCs w:val="20"/>
                <w:lang w:eastAsia="en-AU"/>
              </w:rPr>
              <w:t>TEI</w:t>
            </w:r>
          </w:p>
        </w:tc>
      </w:tr>
      <w:tr w:rsidR="00A46DCA" w:rsidRPr="001919F9" w:rsidTr="004906A4">
        <w:tc>
          <w:tcPr>
            <w:cnfStyle w:val="001000000000" w:firstRow="0" w:lastRow="0" w:firstColumn="1" w:lastColumn="0" w:oddVBand="0" w:evenVBand="0" w:oddHBand="0" w:evenHBand="0" w:firstRowFirstColumn="0" w:firstRowLastColumn="0" w:lastRowFirstColumn="0" w:lastRowLastColumn="0"/>
            <w:tcW w:w="3685" w:type="dxa"/>
            <w:tcBorders>
              <w:top w:val="nil"/>
              <w:left w:val="nil"/>
              <w:bottom w:val="nil"/>
              <w:right w:val="nil"/>
            </w:tcBorders>
          </w:tcPr>
          <w:p w:rsidR="00A46DCA" w:rsidRPr="001919F9" w:rsidRDefault="00A46DCA" w:rsidP="00A26D04">
            <w:pPr>
              <w:keepLines w:val="0"/>
              <w:autoSpaceDE w:val="0"/>
              <w:autoSpaceDN w:val="0"/>
              <w:adjustRightInd w:val="0"/>
              <w:rPr>
                <w:rFonts w:eastAsiaTheme="minorEastAsia" w:cs="Calibri"/>
                <w:color w:val="000000"/>
                <w:szCs w:val="20"/>
                <w:lang w:eastAsia="en-AU"/>
              </w:rPr>
            </w:pPr>
            <w:r w:rsidRPr="001919F9">
              <w:rPr>
                <w:rFonts w:eastAsiaTheme="minorEastAsia" w:cs="Calibri"/>
                <w:color w:val="000000"/>
                <w:szCs w:val="20"/>
                <w:lang w:eastAsia="en-AU"/>
              </w:rPr>
              <w:t>Establishment of a Victorian Fixated Threat Assessment Centre</w:t>
            </w:r>
          </w:p>
        </w:tc>
        <w:tc>
          <w:tcPr>
            <w:tcW w:w="850" w:type="dxa"/>
            <w:tcBorders>
              <w:top w:val="nil"/>
              <w:left w:val="nil"/>
              <w:bottom w:val="nil"/>
              <w:right w:val="nil"/>
            </w:tcBorders>
          </w:tcPr>
          <w:p w:rsidR="00A46DCA" w:rsidRPr="001919F9"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1919F9">
              <w:rPr>
                <w:rFonts w:eastAsiaTheme="minorEastAsia" w:cs="Calibri"/>
                <w:color w:val="000000"/>
                <w:szCs w:val="20"/>
                <w:lang w:eastAsia="en-AU"/>
              </w:rPr>
              <w:t>0.6</w:t>
            </w:r>
          </w:p>
        </w:tc>
        <w:tc>
          <w:tcPr>
            <w:tcW w:w="850" w:type="dxa"/>
            <w:tcBorders>
              <w:top w:val="nil"/>
              <w:left w:val="nil"/>
              <w:bottom w:val="nil"/>
              <w:right w:val="nil"/>
            </w:tcBorders>
          </w:tcPr>
          <w:p w:rsidR="00A46DCA" w:rsidRPr="001919F9"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1919F9">
              <w:rPr>
                <w:rFonts w:eastAsiaTheme="minorEastAsia" w:cs="Calibri"/>
                <w:color w:val="000000"/>
                <w:szCs w:val="20"/>
                <w:lang w:eastAsia="en-AU"/>
              </w:rPr>
              <w:t>..</w:t>
            </w:r>
          </w:p>
        </w:tc>
        <w:tc>
          <w:tcPr>
            <w:tcW w:w="850" w:type="dxa"/>
            <w:tcBorders>
              <w:top w:val="nil"/>
              <w:left w:val="nil"/>
              <w:bottom w:val="nil"/>
              <w:right w:val="nil"/>
            </w:tcBorders>
          </w:tcPr>
          <w:p w:rsidR="00A46DCA" w:rsidRPr="001919F9"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1919F9">
              <w:rPr>
                <w:rFonts w:eastAsiaTheme="minorEastAsia" w:cs="Calibri"/>
                <w:color w:val="000000"/>
                <w:szCs w:val="20"/>
                <w:lang w:eastAsia="en-AU"/>
              </w:rPr>
              <w:t>..</w:t>
            </w:r>
          </w:p>
        </w:tc>
        <w:tc>
          <w:tcPr>
            <w:tcW w:w="850" w:type="dxa"/>
            <w:tcBorders>
              <w:top w:val="nil"/>
              <w:left w:val="nil"/>
              <w:bottom w:val="nil"/>
              <w:right w:val="nil"/>
            </w:tcBorders>
          </w:tcPr>
          <w:p w:rsidR="00A46DCA" w:rsidRPr="001919F9"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1919F9">
              <w:rPr>
                <w:rFonts w:eastAsiaTheme="minorEastAsia" w:cs="Calibri"/>
                <w:color w:val="000000"/>
                <w:szCs w:val="20"/>
                <w:lang w:eastAsia="en-AU"/>
              </w:rPr>
              <w:t>..</w:t>
            </w:r>
          </w:p>
        </w:tc>
        <w:tc>
          <w:tcPr>
            <w:tcW w:w="675" w:type="dxa"/>
            <w:tcBorders>
              <w:top w:val="nil"/>
              <w:left w:val="nil"/>
              <w:bottom w:val="nil"/>
              <w:right w:val="nil"/>
            </w:tcBorders>
          </w:tcPr>
          <w:p w:rsidR="00A46DCA" w:rsidRPr="001919F9"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1919F9">
              <w:rPr>
                <w:rFonts w:eastAsiaTheme="minorEastAsia" w:cs="Calibri"/>
                <w:color w:val="000000"/>
                <w:szCs w:val="20"/>
                <w:lang w:eastAsia="en-AU"/>
              </w:rPr>
              <w:t>0.6</w:t>
            </w:r>
          </w:p>
        </w:tc>
      </w:tr>
      <w:tr w:rsidR="00A46DCA" w:rsidRPr="001919F9" w:rsidTr="00A26D04">
        <w:tc>
          <w:tcPr>
            <w:cnfStyle w:val="001000000000" w:firstRow="0" w:lastRow="0" w:firstColumn="1" w:lastColumn="0" w:oddVBand="0" w:evenVBand="0" w:oddHBand="0" w:evenHBand="0" w:firstRowFirstColumn="0" w:firstRowLastColumn="0" w:lastRowFirstColumn="0" w:lastRowLastColumn="0"/>
            <w:tcW w:w="3685" w:type="dxa"/>
            <w:tcBorders>
              <w:top w:val="nil"/>
              <w:left w:val="nil"/>
              <w:bottom w:val="nil"/>
              <w:right w:val="nil"/>
            </w:tcBorders>
          </w:tcPr>
          <w:p w:rsidR="00A46DCA" w:rsidRPr="001919F9" w:rsidRDefault="00A46DCA" w:rsidP="00A26D04">
            <w:pPr>
              <w:keepLines w:val="0"/>
              <w:autoSpaceDE w:val="0"/>
              <w:autoSpaceDN w:val="0"/>
              <w:adjustRightInd w:val="0"/>
              <w:rPr>
                <w:rFonts w:eastAsiaTheme="minorEastAsia" w:cs="Calibri"/>
                <w:color w:val="000000"/>
                <w:szCs w:val="20"/>
                <w:lang w:eastAsia="en-AU"/>
              </w:rPr>
            </w:pPr>
            <w:r w:rsidRPr="001919F9">
              <w:rPr>
                <w:rFonts w:eastAsiaTheme="minorEastAsia" w:cs="Calibri"/>
                <w:color w:val="000000"/>
                <w:szCs w:val="20"/>
                <w:lang w:eastAsia="en-AU"/>
              </w:rPr>
              <w:t>Prison capacity expansion</w:t>
            </w:r>
          </w:p>
        </w:tc>
        <w:tc>
          <w:tcPr>
            <w:tcW w:w="850" w:type="dxa"/>
            <w:tcBorders>
              <w:top w:val="nil"/>
              <w:left w:val="nil"/>
              <w:bottom w:val="nil"/>
              <w:right w:val="nil"/>
            </w:tcBorders>
          </w:tcPr>
          <w:p w:rsidR="00A46DCA" w:rsidRPr="001919F9"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1919F9">
              <w:rPr>
                <w:rFonts w:eastAsiaTheme="minorEastAsia" w:cs="Calibri"/>
                <w:color w:val="000000"/>
                <w:szCs w:val="20"/>
                <w:lang w:eastAsia="en-AU"/>
              </w:rPr>
              <w:t>39.8</w:t>
            </w:r>
          </w:p>
        </w:tc>
        <w:tc>
          <w:tcPr>
            <w:tcW w:w="850" w:type="dxa"/>
            <w:tcBorders>
              <w:top w:val="nil"/>
              <w:left w:val="nil"/>
              <w:bottom w:val="nil"/>
              <w:right w:val="nil"/>
            </w:tcBorders>
          </w:tcPr>
          <w:p w:rsidR="00A46DCA" w:rsidRPr="001919F9"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1919F9">
              <w:rPr>
                <w:rFonts w:eastAsiaTheme="minorEastAsia" w:cs="Calibri"/>
                <w:color w:val="000000"/>
                <w:szCs w:val="20"/>
                <w:lang w:eastAsia="en-AU"/>
              </w:rPr>
              <w:t>54.6</w:t>
            </w:r>
          </w:p>
        </w:tc>
        <w:tc>
          <w:tcPr>
            <w:tcW w:w="850" w:type="dxa"/>
            <w:tcBorders>
              <w:top w:val="nil"/>
              <w:left w:val="nil"/>
              <w:bottom w:val="nil"/>
              <w:right w:val="nil"/>
            </w:tcBorders>
          </w:tcPr>
          <w:p w:rsidR="00A46DCA" w:rsidRPr="001919F9"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1919F9">
              <w:rPr>
                <w:rFonts w:eastAsiaTheme="minorEastAsia" w:cs="Calibri"/>
                <w:color w:val="000000"/>
                <w:szCs w:val="20"/>
                <w:lang w:eastAsia="en-AU"/>
              </w:rPr>
              <w:t>11.1</w:t>
            </w:r>
          </w:p>
        </w:tc>
        <w:tc>
          <w:tcPr>
            <w:tcW w:w="850" w:type="dxa"/>
            <w:tcBorders>
              <w:top w:val="nil"/>
              <w:left w:val="nil"/>
              <w:bottom w:val="nil"/>
              <w:right w:val="nil"/>
            </w:tcBorders>
          </w:tcPr>
          <w:p w:rsidR="00A46DCA" w:rsidRPr="001919F9"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1919F9">
              <w:rPr>
                <w:rFonts w:eastAsiaTheme="minorEastAsia" w:cs="Calibri"/>
                <w:color w:val="000000"/>
                <w:szCs w:val="20"/>
                <w:lang w:eastAsia="en-AU"/>
              </w:rPr>
              <w:t>..</w:t>
            </w:r>
          </w:p>
        </w:tc>
        <w:tc>
          <w:tcPr>
            <w:tcW w:w="675" w:type="dxa"/>
            <w:tcBorders>
              <w:top w:val="nil"/>
              <w:left w:val="nil"/>
              <w:bottom w:val="nil"/>
              <w:right w:val="nil"/>
            </w:tcBorders>
          </w:tcPr>
          <w:p w:rsidR="00A46DCA" w:rsidRPr="001919F9"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1919F9">
              <w:rPr>
                <w:rFonts w:eastAsiaTheme="minorEastAsia" w:cs="Calibri"/>
                <w:color w:val="000000"/>
                <w:szCs w:val="20"/>
                <w:lang w:eastAsia="en-AU"/>
              </w:rPr>
              <w:t>105.6</w:t>
            </w:r>
          </w:p>
        </w:tc>
      </w:tr>
      <w:tr w:rsidR="00A46DCA" w:rsidRPr="001919F9" w:rsidTr="00A26D04">
        <w:tc>
          <w:tcPr>
            <w:cnfStyle w:val="001000000000" w:firstRow="0" w:lastRow="0" w:firstColumn="1" w:lastColumn="0" w:oddVBand="0" w:evenVBand="0" w:oddHBand="0" w:evenHBand="0" w:firstRowFirstColumn="0" w:firstRowLastColumn="0" w:lastRowFirstColumn="0" w:lastRowLastColumn="0"/>
            <w:tcW w:w="3685" w:type="dxa"/>
            <w:tcBorders>
              <w:top w:val="nil"/>
              <w:left w:val="nil"/>
              <w:bottom w:val="nil"/>
              <w:right w:val="nil"/>
            </w:tcBorders>
          </w:tcPr>
          <w:p w:rsidR="00A46DCA" w:rsidRPr="001919F9" w:rsidRDefault="00A46DCA" w:rsidP="00A26D04">
            <w:pPr>
              <w:keepLines w:val="0"/>
              <w:autoSpaceDE w:val="0"/>
              <w:autoSpaceDN w:val="0"/>
              <w:adjustRightInd w:val="0"/>
              <w:rPr>
                <w:rFonts w:eastAsiaTheme="minorEastAsia" w:cs="Calibri"/>
                <w:color w:val="000000"/>
                <w:szCs w:val="20"/>
                <w:lang w:eastAsia="en-AU"/>
              </w:rPr>
            </w:pPr>
            <w:r w:rsidRPr="001919F9">
              <w:rPr>
                <w:rFonts w:eastAsiaTheme="minorEastAsia" w:cs="Calibri"/>
                <w:color w:val="000000"/>
                <w:szCs w:val="20"/>
                <w:lang w:eastAsia="en-AU"/>
              </w:rPr>
              <w:t>Victoria State Emergency Services Northcote Unit relocation</w:t>
            </w:r>
          </w:p>
        </w:tc>
        <w:tc>
          <w:tcPr>
            <w:tcW w:w="850" w:type="dxa"/>
            <w:tcBorders>
              <w:top w:val="nil"/>
              <w:left w:val="nil"/>
              <w:bottom w:val="nil"/>
              <w:right w:val="nil"/>
            </w:tcBorders>
          </w:tcPr>
          <w:p w:rsidR="00A46DCA" w:rsidRPr="001919F9"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1919F9">
              <w:rPr>
                <w:rFonts w:eastAsiaTheme="minorEastAsia" w:cs="Calibri"/>
                <w:color w:val="000000"/>
                <w:szCs w:val="20"/>
                <w:lang w:eastAsia="en-AU"/>
              </w:rPr>
              <w:t>3.0</w:t>
            </w:r>
          </w:p>
        </w:tc>
        <w:tc>
          <w:tcPr>
            <w:tcW w:w="850" w:type="dxa"/>
            <w:tcBorders>
              <w:top w:val="nil"/>
              <w:left w:val="nil"/>
              <w:bottom w:val="nil"/>
              <w:right w:val="nil"/>
            </w:tcBorders>
          </w:tcPr>
          <w:p w:rsidR="00A46DCA" w:rsidRPr="001919F9"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1919F9">
              <w:rPr>
                <w:rFonts w:eastAsiaTheme="minorEastAsia" w:cs="Calibri"/>
                <w:color w:val="000000"/>
                <w:szCs w:val="20"/>
                <w:lang w:eastAsia="en-AU"/>
              </w:rPr>
              <w:t>..</w:t>
            </w:r>
          </w:p>
        </w:tc>
        <w:tc>
          <w:tcPr>
            <w:tcW w:w="850" w:type="dxa"/>
            <w:tcBorders>
              <w:top w:val="nil"/>
              <w:left w:val="nil"/>
              <w:bottom w:val="nil"/>
              <w:right w:val="nil"/>
            </w:tcBorders>
          </w:tcPr>
          <w:p w:rsidR="00A46DCA" w:rsidRPr="001919F9"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1919F9">
              <w:rPr>
                <w:rFonts w:eastAsiaTheme="minorEastAsia" w:cs="Calibri"/>
                <w:color w:val="000000"/>
                <w:szCs w:val="20"/>
                <w:lang w:eastAsia="en-AU"/>
              </w:rPr>
              <w:t>..</w:t>
            </w:r>
          </w:p>
        </w:tc>
        <w:tc>
          <w:tcPr>
            <w:tcW w:w="850" w:type="dxa"/>
            <w:tcBorders>
              <w:top w:val="nil"/>
              <w:left w:val="nil"/>
              <w:bottom w:val="nil"/>
              <w:right w:val="nil"/>
            </w:tcBorders>
          </w:tcPr>
          <w:p w:rsidR="00A46DCA" w:rsidRPr="001919F9"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1919F9">
              <w:rPr>
                <w:rFonts w:eastAsiaTheme="minorEastAsia" w:cs="Calibri"/>
                <w:color w:val="000000"/>
                <w:szCs w:val="20"/>
                <w:lang w:eastAsia="en-AU"/>
              </w:rPr>
              <w:t>..</w:t>
            </w:r>
          </w:p>
        </w:tc>
        <w:tc>
          <w:tcPr>
            <w:tcW w:w="675" w:type="dxa"/>
            <w:tcBorders>
              <w:top w:val="nil"/>
              <w:left w:val="nil"/>
              <w:bottom w:val="nil"/>
              <w:right w:val="nil"/>
            </w:tcBorders>
          </w:tcPr>
          <w:p w:rsidR="00A46DCA" w:rsidRPr="001919F9"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1919F9">
              <w:rPr>
                <w:rFonts w:eastAsiaTheme="minorEastAsia" w:cs="Calibri"/>
                <w:color w:val="000000"/>
                <w:szCs w:val="20"/>
                <w:lang w:eastAsia="en-AU"/>
              </w:rPr>
              <w:t>3.0</w:t>
            </w:r>
          </w:p>
        </w:tc>
      </w:tr>
      <w:tr w:rsidR="00A46DCA" w:rsidRPr="001919F9" w:rsidTr="00A26D04">
        <w:tc>
          <w:tcPr>
            <w:cnfStyle w:val="001000000000" w:firstRow="0" w:lastRow="0" w:firstColumn="1" w:lastColumn="0" w:oddVBand="0" w:evenVBand="0" w:oddHBand="0" w:evenHBand="0" w:firstRowFirstColumn="0" w:firstRowLastColumn="0" w:lastRowFirstColumn="0" w:lastRowLastColumn="0"/>
            <w:tcW w:w="3685" w:type="dxa"/>
            <w:tcBorders>
              <w:top w:val="nil"/>
              <w:left w:val="nil"/>
              <w:bottom w:val="nil"/>
              <w:right w:val="nil"/>
            </w:tcBorders>
          </w:tcPr>
          <w:p w:rsidR="00A46DCA" w:rsidRPr="001919F9" w:rsidRDefault="00A46DCA" w:rsidP="00A26D04">
            <w:pPr>
              <w:keepLines w:val="0"/>
              <w:autoSpaceDE w:val="0"/>
              <w:autoSpaceDN w:val="0"/>
              <w:adjustRightInd w:val="0"/>
              <w:rPr>
                <w:rFonts w:eastAsiaTheme="minorEastAsia" w:cs="Calibri"/>
                <w:color w:val="000000"/>
                <w:szCs w:val="20"/>
                <w:lang w:eastAsia="en-AU"/>
              </w:rPr>
            </w:pPr>
            <w:r w:rsidRPr="001919F9">
              <w:rPr>
                <w:rFonts w:eastAsiaTheme="minorEastAsia" w:cs="Calibri"/>
                <w:color w:val="000000"/>
                <w:szCs w:val="20"/>
                <w:lang w:eastAsia="en-AU"/>
              </w:rPr>
              <w:t>Youth Justice secure bed expansion</w:t>
            </w:r>
          </w:p>
        </w:tc>
        <w:tc>
          <w:tcPr>
            <w:tcW w:w="850" w:type="dxa"/>
            <w:tcBorders>
              <w:top w:val="nil"/>
              <w:left w:val="nil"/>
              <w:bottom w:val="nil"/>
              <w:right w:val="nil"/>
            </w:tcBorders>
          </w:tcPr>
          <w:p w:rsidR="00A46DCA" w:rsidRPr="001919F9"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1919F9">
              <w:rPr>
                <w:rFonts w:eastAsiaTheme="minorEastAsia" w:cs="Calibri"/>
                <w:color w:val="000000"/>
                <w:szCs w:val="20"/>
                <w:lang w:eastAsia="en-AU"/>
              </w:rPr>
              <w:t>17.8</w:t>
            </w:r>
          </w:p>
        </w:tc>
        <w:tc>
          <w:tcPr>
            <w:tcW w:w="850" w:type="dxa"/>
            <w:tcBorders>
              <w:top w:val="nil"/>
              <w:left w:val="nil"/>
              <w:bottom w:val="nil"/>
              <w:right w:val="nil"/>
            </w:tcBorders>
          </w:tcPr>
          <w:p w:rsidR="00A46DCA" w:rsidRPr="001919F9"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1919F9">
              <w:rPr>
                <w:rFonts w:eastAsiaTheme="minorEastAsia" w:cs="Calibri"/>
                <w:color w:val="000000"/>
                <w:szCs w:val="20"/>
                <w:lang w:eastAsia="en-AU"/>
              </w:rPr>
              <w:t>61.7</w:t>
            </w:r>
          </w:p>
        </w:tc>
        <w:tc>
          <w:tcPr>
            <w:tcW w:w="850" w:type="dxa"/>
            <w:tcBorders>
              <w:top w:val="nil"/>
              <w:left w:val="nil"/>
              <w:bottom w:val="nil"/>
              <w:right w:val="nil"/>
            </w:tcBorders>
          </w:tcPr>
          <w:p w:rsidR="00A46DCA" w:rsidRPr="001919F9"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1919F9">
              <w:rPr>
                <w:rFonts w:eastAsiaTheme="minorEastAsia" w:cs="Calibri"/>
                <w:color w:val="000000"/>
                <w:szCs w:val="20"/>
                <w:lang w:eastAsia="en-AU"/>
              </w:rPr>
              <w:t>..</w:t>
            </w:r>
          </w:p>
        </w:tc>
        <w:tc>
          <w:tcPr>
            <w:tcW w:w="850" w:type="dxa"/>
            <w:tcBorders>
              <w:top w:val="nil"/>
              <w:left w:val="nil"/>
              <w:bottom w:val="nil"/>
              <w:right w:val="nil"/>
            </w:tcBorders>
          </w:tcPr>
          <w:p w:rsidR="00A46DCA" w:rsidRPr="001919F9"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1919F9">
              <w:rPr>
                <w:rFonts w:eastAsiaTheme="minorEastAsia" w:cs="Calibri"/>
                <w:color w:val="000000"/>
                <w:szCs w:val="20"/>
                <w:lang w:eastAsia="en-AU"/>
              </w:rPr>
              <w:t>..</w:t>
            </w:r>
          </w:p>
        </w:tc>
        <w:tc>
          <w:tcPr>
            <w:tcW w:w="675" w:type="dxa"/>
            <w:tcBorders>
              <w:top w:val="nil"/>
              <w:left w:val="nil"/>
              <w:bottom w:val="nil"/>
              <w:right w:val="nil"/>
            </w:tcBorders>
          </w:tcPr>
          <w:p w:rsidR="00A46DCA" w:rsidRPr="001919F9"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1919F9">
              <w:rPr>
                <w:rFonts w:eastAsiaTheme="minorEastAsia" w:cs="Calibri"/>
                <w:color w:val="000000"/>
                <w:szCs w:val="20"/>
                <w:lang w:eastAsia="en-AU"/>
              </w:rPr>
              <w:t>79.6</w:t>
            </w:r>
          </w:p>
        </w:tc>
      </w:tr>
      <w:tr w:rsidR="00A46DCA" w:rsidRPr="001919F9" w:rsidTr="00A26D04">
        <w:tc>
          <w:tcPr>
            <w:cnfStyle w:val="001000000000" w:firstRow="0" w:lastRow="0" w:firstColumn="1" w:lastColumn="0" w:oddVBand="0" w:evenVBand="0" w:oddHBand="0" w:evenHBand="0" w:firstRowFirstColumn="0" w:firstRowLastColumn="0" w:lastRowFirstColumn="0" w:lastRowLastColumn="0"/>
            <w:tcW w:w="3685" w:type="dxa"/>
            <w:tcBorders>
              <w:top w:val="single" w:sz="6" w:space="0" w:color="auto"/>
              <w:left w:val="nil"/>
              <w:bottom w:val="single" w:sz="12" w:space="0" w:color="auto"/>
              <w:right w:val="nil"/>
            </w:tcBorders>
          </w:tcPr>
          <w:p w:rsidR="00A46DCA" w:rsidRPr="001919F9" w:rsidRDefault="00A46DCA" w:rsidP="00A26D04">
            <w:pPr>
              <w:keepLines w:val="0"/>
              <w:autoSpaceDE w:val="0"/>
              <w:autoSpaceDN w:val="0"/>
              <w:adjustRightInd w:val="0"/>
              <w:rPr>
                <w:rFonts w:eastAsiaTheme="minorEastAsia" w:cs="Calibri"/>
                <w:b/>
                <w:bCs/>
                <w:color w:val="000000"/>
                <w:szCs w:val="20"/>
                <w:vertAlign w:val="superscript"/>
                <w:lang w:eastAsia="en-AU"/>
              </w:rPr>
            </w:pPr>
            <w:r w:rsidRPr="001919F9">
              <w:rPr>
                <w:rFonts w:eastAsiaTheme="minorEastAsia" w:cs="Calibri"/>
                <w:b/>
                <w:bCs/>
                <w:color w:val="000000"/>
                <w:szCs w:val="20"/>
                <w:lang w:eastAsia="en-AU"/>
              </w:rPr>
              <w:t xml:space="preserve">Total asset initiatives </w:t>
            </w:r>
            <w:r w:rsidRPr="001919F9">
              <w:rPr>
                <w:rFonts w:eastAsiaTheme="minorEastAsia" w:cs="Calibri"/>
                <w:b/>
                <w:bCs/>
                <w:color w:val="000000"/>
                <w:szCs w:val="20"/>
                <w:vertAlign w:val="superscript"/>
                <w:lang w:eastAsia="en-AU"/>
              </w:rPr>
              <w:t>(a)</w:t>
            </w:r>
          </w:p>
        </w:tc>
        <w:tc>
          <w:tcPr>
            <w:tcW w:w="850" w:type="dxa"/>
            <w:tcBorders>
              <w:top w:val="single" w:sz="6" w:space="0" w:color="auto"/>
              <w:left w:val="nil"/>
              <w:bottom w:val="single" w:sz="12" w:space="0" w:color="auto"/>
              <w:right w:val="nil"/>
            </w:tcBorders>
          </w:tcPr>
          <w:p w:rsidR="00A46DCA" w:rsidRPr="001919F9"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0"/>
                <w:lang w:eastAsia="en-AU"/>
              </w:rPr>
            </w:pPr>
            <w:r w:rsidRPr="001919F9">
              <w:rPr>
                <w:rFonts w:eastAsiaTheme="minorEastAsia" w:cs="Calibri"/>
                <w:b/>
                <w:bCs/>
                <w:color w:val="000000"/>
                <w:szCs w:val="20"/>
                <w:lang w:eastAsia="en-AU"/>
              </w:rPr>
              <w:t>61.2</w:t>
            </w:r>
          </w:p>
        </w:tc>
        <w:tc>
          <w:tcPr>
            <w:tcW w:w="850" w:type="dxa"/>
            <w:tcBorders>
              <w:top w:val="single" w:sz="6" w:space="0" w:color="auto"/>
              <w:left w:val="nil"/>
              <w:bottom w:val="single" w:sz="12" w:space="0" w:color="auto"/>
              <w:right w:val="nil"/>
            </w:tcBorders>
          </w:tcPr>
          <w:p w:rsidR="00A46DCA" w:rsidRPr="001919F9"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0"/>
                <w:lang w:eastAsia="en-AU"/>
              </w:rPr>
            </w:pPr>
            <w:r w:rsidRPr="001919F9">
              <w:rPr>
                <w:rFonts w:eastAsiaTheme="minorEastAsia" w:cs="Calibri"/>
                <w:b/>
                <w:bCs/>
                <w:color w:val="000000"/>
                <w:szCs w:val="20"/>
                <w:lang w:eastAsia="en-AU"/>
              </w:rPr>
              <w:t>116.4</w:t>
            </w:r>
          </w:p>
        </w:tc>
        <w:tc>
          <w:tcPr>
            <w:tcW w:w="850" w:type="dxa"/>
            <w:tcBorders>
              <w:top w:val="single" w:sz="6" w:space="0" w:color="auto"/>
              <w:left w:val="nil"/>
              <w:bottom w:val="single" w:sz="12" w:space="0" w:color="auto"/>
              <w:right w:val="nil"/>
            </w:tcBorders>
          </w:tcPr>
          <w:p w:rsidR="00A46DCA" w:rsidRPr="001919F9"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0"/>
                <w:lang w:eastAsia="en-AU"/>
              </w:rPr>
            </w:pPr>
            <w:r w:rsidRPr="001919F9">
              <w:rPr>
                <w:rFonts w:eastAsiaTheme="minorEastAsia" w:cs="Calibri"/>
                <w:b/>
                <w:bCs/>
                <w:color w:val="000000"/>
                <w:szCs w:val="20"/>
                <w:lang w:eastAsia="en-AU"/>
              </w:rPr>
              <w:t>11.1</w:t>
            </w:r>
          </w:p>
        </w:tc>
        <w:tc>
          <w:tcPr>
            <w:tcW w:w="850" w:type="dxa"/>
            <w:tcBorders>
              <w:top w:val="single" w:sz="6" w:space="0" w:color="auto"/>
              <w:left w:val="nil"/>
              <w:bottom w:val="single" w:sz="12" w:space="0" w:color="auto"/>
              <w:right w:val="nil"/>
            </w:tcBorders>
          </w:tcPr>
          <w:p w:rsidR="00A46DCA" w:rsidRPr="001919F9"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0"/>
                <w:lang w:eastAsia="en-AU"/>
              </w:rPr>
            </w:pPr>
            <w:r w:rsidRPr="001919F9">
              <w:rPr>
                <w:rFonts w:eastAsiaTheme="minorEastAsia" w:cs="Calibri"/>
                <w:b/>
                <w:bCs/>
                <w:color w:val="000000"/>
                <w:szCs w:val="20"/>
                <w:lang w:eastAsia="en-AU"/>
              </w:rPr>
              <w:t>..</w:t>
            </w:r>
          </w:p>
        </w:tc>
        <w:tc>
          <w:tcPr>
            <w:tcW w:w="675" w:type="dxa"/>
            <w:tcBorders>
              <w:top w:val="single" w:sz="6" w:space="0" w:color="auto"/>
              <w:left w:val="nil"/>
              <w:bottom w:val="single" w:sz="12" w:space="0" w:color="auto"/>
              <w:right w:val="nil"/>
            </w:tcBorders>
          </w:tcPr>
          <w:p w:rsidR="00A46DCA" w:rsidRPr="001919F9"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0"/>
                <w:lang w:eastAsia="en-AU"/>
              </w:rPr>
            </w:pPr>
            <w:r w:rsidRPr="001919F9">
              <w:rPr>
                <w:rFonts w:eastAsiaTheme="minorEastAsia" w:cs="Calibri"/>
                <w:b/>
                <w:bCs/>
                <w:color w:val="000000"/>
                <w:szCs w:val="20"/>
                <w:lang w:eastAsia="en-AU"/>
              </w:rPr>
              <w:t>188.7</w:t>
            </w:r>
          </w:p>
        </w:tc>
      </w:tr>
    </w:tbl>
    <w:p w:rsidR="00A46DCA" w:rsidRDefault="00A46DCA" w:rsidP="00A26D04">
      <w:pPr>
        <w:pStyle w:val="Note"/>
        <w:rPr>
          <w:lang w:eastAsia="en-AU"/>
        </w:rPr>
      </w:pPr>
      <w:r>
        <w:rPr>
          <w:lang w:eastAsia="en-AU"/>
        </w:rPr>
        <w:t>Note:</w:t>
      </w:r>
    </w:p>
    <w:p w:rsidR="00A46DCA" w:rsidRDefault="00A46DCA" w:rsidP="00A26D04">
      <w:pPr>
        <w:pStyle w:val="Note"/>
        <w:rPr>
          <w:lang w:eastAsia="en-AU"/>
        </w:rPr>
      </w:pPr>
      <w:r>
        <w:rPr>
          <w:lang w:eastAsia="en-AU"/>
        </w:rPr>
        <w:t>(a)</w:t>
      </w:r>
      <w:r>
        <w:rPr>
          <w:lang w:eastAsia="en-AU"/>
        </w:rPr>
        <w:tab/>
        <w:t>Table may not add due to rounding.</w:t>
      </w:r>
    </w:p>
    <w:p w:rsidR="00A46DCA" w:rsidRDefault="00A46DCA" w:rsidP="00A26D04">
      <w:pPr>
        <w:pStyle w:val="Heading30"/>
        <w:rPr>
          <w:lang w:eastAsia="en-AU"/>
        </w:rPr>
      </w:pPr>
      <w:r>
        <w:rPr>
          <w:lang w:eastAsia="en-AU"/>
        </w:rPr>
        <w:t>Establishment of a Victorian Fixated Threat Assessment Centre</w:t>
      </w:r>
    </w:p>
    <w:p w:rsidR="00A46DCA" w:rsidRDefault="00A46DCA" w:rsidP="00A26D04">
      <w:pPr>
        <w:rPr>
          <w:lang w:eastAsia="en-AU"/>
        </w:rPr>
      </w:pPr>
      <w:r>
        <w:rPr>
          <w:lang w:eastAsia="en-AU"/>
        </w:rPr>
        <w:t>Refer to the initiative description under Department of Health and Human Services.</w:t>
      </w:r>
    </w:p>
    <w:p w:rsidR="00A46DCA" w:rsidRDefault="00A46DCA" w:rsidP="00A26D04">
      <w:pPr>
        <w:pStyle w:val="Heading30"/>
        <w:spacing w:before="200"/>
        <w:rPr>
          <w:lang w:eastAsia="en-AU"/>
        </w:rPr>
      </w:pPr>
      <w:r>
        <w:rPr>
          <w:lang w:eastAsia="en-AU"/>
        </w:rPr>
        <w:t>Prison capacity expansion</w:t>
      </w:r>
    </w:p>
    <w:p w:rsidR="00A46DCA" w:rsidRDefault="00A46DCA" w:rsidP="00A26D04">
      <w:pPr>
        <w:rPr>
          <w:lang w:eastAsia="en-AU"/>
        </w:rPr>
      </w:pPr>
      <w:r>
        <w:rPr>
          <w:lang w:eastAsia="en-AU"/>
        </w:rPr>
        <w:t>Refer to the output initiative for a description of this initiative.</w:t>
      </w:r>
    </w:p>
    <w:p w:rsidR="00A46DCA" w:rsidRDefault="00A46DCA" w:rsidP="00A26D04">
      <w:pPr>
        <w:pStyle w:val="Heading30"/>
        <w:spacing w:before="200"/>
        <w:rPr>
          <w:lang w:eastAsia="en-AU"/>
        </w:rPr>
      </w:pPr>
      <w:r>
        <w:rPr>
          <w:lang w:eastAsia="en-AU"/>
        </w:rPr>
        <w:t>Victorian State Emergency Services Northcote Unit relocation</w:t>
      </w:r>
    </w:p>
    <w:p w:rsidR="00A46DCA" w:rsidRDefault="00A46DCA" w:rsidP="00A26D04">
      <w:pPr>
        <w:rPr>
          <w:lang w:eastAsia="en-AU"/>
        </w:rPr>
      </w:pPr>
      <w:r>
        <w:rPr>
          <w:lang w:eastAsia="en-AU"/>
        </w:rPr>
        <w:t>An expanded and upgraded facility will be built as part of relocating the Victorian State Emergency Services (VICSES) Unit in Northcote to the former Heidelberg West Police station. This will equip VICSES with fit-for-purpose facilities to train and attract volunteers to continue servicing the community during emergency events.</w:t>
      </w:r>
    </w:p>
    <w:p w:rsidR="00A46DCA" w:rsidRDefault="00A46DCA" w:rsidP="00A26D04">
      <w:pPr>
        <w:rPr>
          <w:lang w:eastAsia="en-AU"/>
        </w:rPr>
      </w:pPr>
      <w:r>
        <w:rPr>
          <w:lang w:eastAsia="en-AU"/>
        </w:rPr>
        <w:t>This initiative contributes to the Department of Justice and Regulation’s Emergency Management Capability output.</w:t>
      </w:r>
    </w:p>
    <w:p w:rsidR="00A46DCA" w:rsidRDefault="00A46DCA" w:rsidP="00A26D04">
      <w:pPr>
        <w:pStyle w:val="Heading30"/>
        <w:spacing w:before="200"/>
        <w:rPr>
          <w:lang w:eastAsia="en-AU"/>
        </w:rPr>
      </w:pPr>
      <w:r>
        <w:rPr>
          <w:lang w:eastAsia="en-AU"/>
        </w:rPr>
        <w:t>Youth Justice secure bed expansion</w:t>
      </w:r>
    </w:p>
    <w:p w:rsidR="00A46DCA" w:rsidRDefault="00A46DCA" w:rsidP="00A26D04">
      <w:pPr>
        <w:ind w:right="-86"/>
        <w:rPr>
          <w:lang w:eastAsia="en-AU"/>
        </w:rPr>
      </w:pPr>
      <w:r>
        <w:rPr>
          <w:lang w:eastAsia="en-AU"/>
        </w:rPr>
        <w:t>Additional beds at the Parkville Youth Justice Precinct and the Malmsbury Youth Justice precinct will be constructed to increase capacity across the youth justice system. A new comprehensive security solution including upgraded fencing and CCTV surveillance will also be constructed around the secure area at the Malmsbury Youth Justice Precinct.</w:t>
      </w:r>
    </w:p>
    <w:p w:rsidR="00A46DCA" w:rsidRDefault="00A46DCA" w:rsidP="00A26D04">
      <w:pPr>
        <w:rPr>
          <w:lang w:eastAsia="en-AU"/>
        </w:rPr>
      </w:pPr>
      <w:r>
        <w:rPr>
          <w:lang w:eastAsia="en-AU"/>
        </w:rPr>
        <w:t>This initiative contributes to the Department of Justice and Regulation’s Youth Justice Custodial Services output.</w:t>
      </w:r>
    </w:p>
    <w:p w:rsidR="00A46DCA" w:rsidRDefault="00A46DCA">
      <w:pPr>
        <w:keepLines w:val="0"/>
        <w:rPr>
          <w:rFonts w:asciiTheme="majorHAnsi" w:eastAsiaTheme="majorEastAsia" w:hAnsiTheme="majorHAnsi" w:cstheme="majorBidi"/>
          <w:b/>
          <w:bCs/>
          <w:caps/>
          <w:spacing w:val="-2"/>
          <w:sz w:val="26"/>
          <w:szCs w:val="28"/>
          <w:lang w:eastAsia="en-AU"/>
        </w:rPr>
      </w:pPr>
      <w:r>
        <w:rPr>
          <w:lang w:eastAsia="en-AU"/>
        </w:rPr>
        <w:br w:type="page"/>
      </w:r>
    </w:p>
    <w:p w:rsidR="00A46DCA" w:rsidRDefault="00A46DCA" w:rsidP="00A26D04">
      <w:pPr>
        <w:pStyle w:val="Heading10"/>
        <w:rPr>
          <w:lang w:eastAsia="en-AU"/>
        </w:rPr>
      </w:pPr>
      <w:bookmarkStart w:id="80" w:name="_Toc500179549"/>
      <w:bookmarkStart w:id="81" w:name="_Toc500435591"/>
      <w:r>
        <w:rPr>
          <w:lang w:eastAsia="en-AU"/>
        </w:rPr>
        <w:lastRenderedPageBreak/>
        <w:t>Department of Premier and Cabinet</w:t>
      </w:r>
      <w:bookmarkEnd w:id="80"/>
      <w:bookmarkEnd w:id="81"/>
    </w:p>
    <w:p w:rsidR="00A46DCA" w:rsidRDefault="00A46DCA" w:rsidP="00A26D04">
      <w:pPr>
        <w:pStyle w:val="Heading20"/>
        <w:rPr>
          <w:lang w:eastAsia="en-AU"/>
        </w:rPr>
      </w:pPr>
      <w:r>
        <w:rPr>
          <w:lang w:eastAsia="en-AU"/>
        </w:rPr>
        <w:t>Output initiatives</w:t>
      </w:r>
    </w:p>
    <w:p w:rsidR="00A46DCA" w:rsidRPr="00907345" w:rsidRDefault="00A46DCA" w:rsidP="00A26D04">
      <w:pPr>
        <w:pStyle w:val="TableHeading"/>
        <w:rPr>
          <w:bCs/>
          <w:lang w:val="en-US" w:eastAsia="en-AU"/>
        </w:rPr>
      </w:pPr>
      <w:r>
        <w:rPr>
          <w:lang w:eastAsia="en-AU"/>
        </w:rPr>
        <w:t>Table A.11:</w:t>
      </w:r>
      <w:r>
        <w:rPr>
          <w:lang w:eastAsia="en-AU"/>
        </w:rPr>
        <w:tab/>
        <w:t>Output initiatives – Department of Premier and Cabinet</w:t>
      </w:r>
      <w:r>
        <w:rPr>
          <w:lang w:eastAsia="en-AU"/>
        </w:rPr>
        <w:tab/>
        <w:t>($ million)</w:t>
      </w:r>
    </w:p>
    <w:tbl>
      <w:tblPr>
        <w:tblStyle w:val="DTFTable"/>
        <w:tblW w:w="7765" w:type="dxa"/>
        <w:tblInd w:w="45" w:type="dxa"/>
        <w:tblLayout w:type="fixed"/>
        <w:tblCellMar>
          <w:left w:w="45" w:type="dxa"/>
          <w:right w:w="45" w:type="dxa"/>
        </w:tblCellMar>
        <w:tblLook w:val="06E0" w:firstRow="1" w:lastRow="1" w:firstColumn="1" w:lastColumn="0" w:noHBand="1" w:noVBand="1"/>
      </w:tblPr>
      <w:tblGrid>
        <w:gridCol w:w="4365"/>
        <w:gridCol w:w="850"/>
        <w:gridCol w:w="850"/>
        <w:gridCol w:w="850"/>
        <w:gridCol w:w="850"/>
      </w:tblGrid>
      <w:tr w:rsidR="00A46DCA" w:rsidRPr="00907345" w:rsidTr="004906A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365" w:type="dxa"/>
            <w:tcBorders>
              <w:top w:val="nil"/>
              <w:left w:val="nil"/>
              <w:bottom w:val="nil"/>
              <w:right w:val="nil"/>
            </w:tcBorders>
            <w:shd w:val="solid" w:color="000000" w:fill="auto"/>
          </w:tcPr>
          <w:p w:rsidR="00A46DCA" w:rsidRPr="00907345" w:rsidRDefault="00A46DCA" w:rsidP="00A26D04">
            <w:pPr>
              <w:autoSpaceDE w:val="0"/>
              <w:autoSpaceDN w:val="0"/>
              <w:adjustRightInd w:val="0"/>
              <w:rPr>
                <w:rFonts w:eastAsiaTheme="minorEastAsia" w:cs="Calibri"/>
                <w:color w:val="FFFFFF"/>
                <w:szCs w:val="20"/>
                <w:lang w:eastAsia="en-AU"/>
              </w:rPr>
            </w:pPr>
            <w:r w:rsidRPr="00907345">
              <w:rPr>
                <w:rFonts w:eastAsiaTheme="minorEastAsia" w:cs="Calibri"/>
                <w:color w:val="FFFFFF"/>
                <w:szCs w:val="20"/>
                <w:lang w:eastAsia="en-AU"/>
              </w:rPr>
              <w:t xml:space="preserve"> </w:t>
            </w:r>
          </w:p>
        </w:tc>
        <w:tc>
          <w:tcPr>
            <w:tcW w:w="850" w:type="dxa"/>
            <w:tcBorders>
              <w:top w:val="nil"/>
              <w:left w:val="nil"/>
              <w:bottom w:val="nil"/>
              <w:right w:val="nil"/>
            </w:tcBorders>
            <w:shd w:val="solid" w:color="000000" w:fill="auto"/>
          </w:tcPr>
          <w:p w:rsidR="00A46DCA" w:rsidRPr="00907345" w:rsidRDefault="00A46DCA" w:rsidP="00A26D0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20"/>
                <w:lang w:eastAsia="en-AU"/>
              </w:rPr>
            </w:pPr>
            <w:r w:rsidRPr="00907345">
              <w:rPr>
                <w:rFonts w:eastAsiaTheme="minorEastAsia" w:cs="Calibri"/>
                <w:iCs/>
                <w:color w:val="FFFFFF"/>
                <w:szCs w:val="20"/>
                <w:lang w:eastAsia="en-AU"/>
              </w:rPr>
              <w:t>2017-18</w:t>
            </w:r>
          </w:p>
        </w:tc>
        <w:tc>
          <w:tcPr>
            <w:tcW w:w="850" w:type="dxa"/>
            <w:tcBorders>
              <w:top w:val="nil"/>
              <w:left w:val="nil"/>
              <w:bottom w:val="nil"/>
              <w:right w:val="nil"/>
            </w:tcBorders>
            <w:shd w:val="solid" w:color="000000" w:fill="auto"/>
          </w:tcPr>
          <w:p w:rsidR="00A46DCA" w:rsidRPr="00907345" w:rsidRDefault="00A46DCA" w:rsidP="00A26D0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20"/>
                <w:lang w:eastAsia="en-AU"/>
              </w:rPr>
            </w:pPr>
            <w:r w:rsidRPr="00907345">
              <w:rPr>
                <w:rFonts w:eastAsiaTheme="minorEastAsia" w:cs="Calibri"/>
                <w:iCs/>
                <w:color w:val="FFFFFF"/>
                <w:szCs w:val="20"/>
                <w:lang w:eastAsia="en-AU"/>
              </w:rPr>
              <w:t>2018-19</w:t>
            </w:r>
          </w:p>
        </w:tc>
        <w:tc>
          <w:tcPr>
            <w:tcW w:w="850" w:type="dxa"/>
            <w:tcBorders>
              <w:top w:val="nil"/>
              <w:left w:val="nil"/>
              <w:bottom w:val="nil"/>
              <w:right w:val="nil"/>
            </w:tcBorders>
            <w:shd w:val="solid" w:color="000000" w:fill="auto"/>
          </w:tcPr>
          <w:p w:rsidR="00A46DCA" w:rsidRPr="00907345" w:rsidRDefault="00A46DCA" w:rsidP="00A26D0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20"/>
                <w:lang w:eastAsia="en-AU"/>
              </w:rPr>
            </w:pPr>
            <w:r w:rsidRPr="00907345">
              <w:rPr>
                <w:rFonts w:eastAsiaTheme="minorEastAsia" w:cs="Calibri"/>
                <w:iCs/>
                <w:color w:val="FFFFFF"/>
                <w:szCs w:val="20"/>
                <w:lang w:eastAsia="en-AU"/>
              </w:rPr>
              <w:t>2019-20</w:t>
            </w:r>
          </w:p>
        </w:tc>
        <w:tc>
          <w:tcPr>
            <w:tcW w:w="850" w:type="dxa"/>
            <w:tcBorders>
              <w:top w:val="nil"/>
              <w:left w:val="nil"/>
              <w:bottom w:val="nil"/>
              <w:right w:val="nil"/>
            </w:tcBorders>
            <w:shd w:val="solid" w:color="000000" w:fill="auto"/>
          </w:tcPr>
          <w:p w:rsidR="00A46DCA" w:rsidRPr="00907345" w:rsidRDefault="00A46DCA" w:rsidP="00A26D0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20"/>
                <w:lang w:eastAsia="en-AU"/>
              </w:rPr>
            </w:pPr>
            <w:r w:rsidRPr="00907345">
              <w:rPr>
                <w:rFonts w:eastAsiaTheme="minorEastAsia" w:cs="Calibri"/>
                <w:iCs/>
                <w:color w:val="FFFFFF"/>
                <w:szCs w:val="20"/>
                <w:lang w:eastAsia="en-AU"/>
              </w:rPr>
              <w:t>2020-21</w:t>
            </w:r>
          </w:p>
        </w:tc>
      </w:tr>
      <w:tr w:rsidR="00A46DCA" w:rsidRPr="00907345" w:rsidTr="004906A4">
        <w:tc>
          <w:tcPr>
            <w:cnfStyle w:val="001000000000" w:firstRow="0" w:lastRow="0" w:firstColumn="1" w:lastColumn="0" w:oddVBand="0" w:evenVBand="0" w:oddHBand="0" w:evenHBand="0" w:firstRowFirstColumn="0" w:firstRowLastColumn="0" w:lastRowFirstColumn="0" w:lastRowLastColumn="0"/>
            <w:tcW w:w="4365" w:type="dxa"/>
            <w:tcBorders>
              <w:top w:val="nil"/>
              <w:left w:val="nil"/>
              <w:bottom w:val="nil"/>
              <w:right w:val="nil"/>
            </w:tcBorders>
          </w:tcPr>
          <w:p w:rsidR="00A46DCA" w:rsidRPr="00907345" w:rsidRDefault="00A46DCA" w:rsidP="00A26D04">
            <w:pPr>
              <w:keepLines w:val="0"/>
              <w:autoSpaceDE w:val="0"/>
              <w:autoSpaceDN w:val="0"/>
              <w:adjustRightInd w:val="0"/>
              <w:rPr>
                <w:rFonts w:eastAsiaTheme="minorEastAsia" w:cs="Calibri"/>
                <w:color w:val="000000"/>
                <w:szCs w:val="20"/>
                <w:lang w:eastAsia="en-AU"/>
              </w:rPr>
            </w:pPr>
            <w:r w:rsidRPr="00907345">
              <w:rPr>
                <w:rFonts w:eastAsiaTheme="minorEastAsia" w:cs="Calibri"/>
                <w:color w:val="000000"/>
                <w:szCs w:val="20"/>
                <w:lang w:eastAsia="en-AU"/>
              </w:rPr>
              <w:t>Residential Tenancies Act reforms</w:t>
            </w:r>
          </w:p>
        </w:tc>
        <w:tc>
          <w:tcPr>
            <w:tcW w:w="850" w:type="dxa"/>
            <w:tcBorders>
              <w:top w:val="nil"/>
              <w:left w:val="nil"/>
              <w:bottom w:val="nil"/>
              <w:right w:val="nil"/>
            </w:tcBorders>
          </w:tcPr>
          <w:p w:rsidR="00A46DCA" w:rsidRPr="00907345"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907345">
              <w:rPr>
                <w:rFonts w:eastAsiaTheme="minorEastAsia" w:cs="Calibri"/>
                <w:color w:val="000000"/>
                <w:szCs w:val="20"/>
                <w:lang w:eastAsia="en-AU"/>
              </w:rPr>
              <w:t>0.1</w:t>
            </w:r>
          </w:p>
        </w:tc>
        <w:tc>
          <w:tcPr>
            <w:tcW w:w="850" w:type="dxa"/>
            <w:tcBorders>
              <w:top w:val="nil"/>
              <w:left w:val="nil"/>
              <w:bottom w:val="nil"/>
              <w:right w:val="nil"/>
            </w:tcBorders>
          </w:tcPr>
          <w:p w:rsidR="00A46DCA" w:rsidRPr="00907345"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907345">
              <w:rPr>
                <w:rFonts w:eastAsiaTheme="minorEastAsia" w:cs="Calibri"/>
                <w:color w:val="000000"/>
                <w:szCs w:val="20"/>
                <w:lang w:eastAsia="en-AU"/>
              </w:rPr>
              <w:t>..</w:t>
            </w:r>
          </w:p>
        </w:tc>
        <w:tc>
          <w:tcPr>
            <w:tcW w:w="850" w:type="dxa"/>
            <w:tcBorders>
              <w:top w:val="nil"/>
              <w:left w:val="nil"/>
              <w:bottom w:val="nil"/>
              <w:right w:val="nil"/>
            </w:tcBorders>
          </w:tcPr>
          <w:p w:rsidR="00A46DCA" w:rsidRPr="00907345"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907345">
              <w:rPr>
                <w:rFonts w:eastAsiaTheme="minorEastAsia" w:cs="Calibri"/>
                <w:color w:val="000000"/>
                <w:szCs w:val="20"/>
                <w:lang w:eastAsia="en-AU"/>
              </w:rPr>
              <w:t>..</w:t>
            </w:r>
          </w:p>
        </w:tc>
        <w:tc>
          <w:tcPr>
            <w:tcW w:w="850" w:type="dxa"/>
            <w:tcBorders>
              <w:top w:val="nil"/>
              <w:left w:val="nil"/>
              <w:bottom w:val="nil"/>
              <w:right w:val="nil"/>
            </w:tcBorders>
          </w:tcPr>
          <w:p w:rsidR="00A46DCA" w:rsidRPr="00907345"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907345">
              <w:rPr>
                <w:rFonts w:eastAsiaTheme="minorEastAsia" w:cs="Calibri"/>
                <w:color w:val="000000"/>
                <w:szCs w:val="20"/>
                <w:lang w:eastAsia="en-AU"/>
              </w:rPr>
              <w:t>..</w:t>
            </w:r>
          </w:p>
        </w:tc>
      </w:tr>
      <w:tr w:rsidR="00A46DCA" w:rsidRPr="00907345" w:rsidTr="00A26D04">
        <w:tc>
          <w:tcPr>
            <w:cnfStyle w:val="001000000000" w:firstRow="0" w:lastRow="0" w:firstColumn="1" w:lastColumn="0" w:oddVBand="0" w:evenVBand="0" w:oddHBand="0" w:evenHBand="0" w:firstRowFirstColumn="0" w:firstRowLastColumn="0" w:lastRowFirstColumn="0" w:lastRowLastColumn="0"/>
            <w:tcW w:w="4365" w:type="dxa"/>
            <w:tcBorders>
              <w:top w:val="nil"/>
              <w:left w:val="nil"/>
              <w:bottom w:val="nil"/>
              <w:right w:val="nil"/>
            </w:tcBorders>
          </w:tcPr>
          <w:p w:rsidR="00A46DCA" w:rsidRPr="00907345" w:rsidRDefault="00A46DCA" w:rsidP="00A26D04">
            <w:pPr>
              <w:keepLines w:val="0"/>
              <w:autoSpaceDE w:val="0"/>
              <w:autoSpaceDN w:val="0"/>
              <w:adjustRightInd w:val="0"/>
              <w:rPr>
                <w:rFonts w:eastAsiaTheme="minorEastAsia" w:cs="Calibri"/>
                <w:color w:val="000000"/>
                <w:szCs w:val="20"/>
                <w:vertAlign w:val="superscript"/>
                <w:lang w:eastAsia="en-AU"/>
              </w:rPr>
            </w:pPr>
            <w:r w:rsidRPr="00907345">
              <w:rPr>
                <w:rFonts w:eastAsiaTheme="minorEastAsia" w:cs="Calibri"/>
                <w:color w:val="000000"/>
                <w:szCs w:val="20"/>
                <w:lang w:eastAsia="en-AU"/>
              </w:rPr>
              <w:t xml:space="preserve">Latrobe Valley </w:t>
            </w:r>
            <w:proofErr w:type="spellStart"/>
            <w:r w:rsidRPr="00907345">
              <w:rPr>
                <w:rFonts w:eastAsiaTheme="minorEastAsia" w:cs="Calibri"/>
                <w:color w:val="000000"/>
                <w:szCs w:val="20"/>
                <w:lang w:eastAsia="en-AU"/>
              </w:rPr>
              <w:t>GovHub</w:t>
            </w:r>
            <w:proofErr w:type="spellEnd"/>
            <w:r w:rsidRPr="00907345">
              <w:rPr>
                <w:rFonts w:eastAsiaTheme="minorEastAsia" w:cs="Calibri"/>
                <w:color w:val="000000"/>
                <w:szCs w:val="20"/>
                <w:lang w:eastAsia="en-AU"/>
              </w:rPr>
              <w:t xml:space="preserve"> </w:t>
            </w:r>
            <w:r w:rsidRPr="00907345">
              <w:rPr>
                <w:rFonts w:eastAsiaTheme="minorEastAsia" w:cs="Calibri"/>
                <w:color w:val="000000"/>
                <w:szCs w:val="20"/>
                <w:vertAlign w:val="superscript"/>
                <w:lang w:eastAsia="en-AU"/>
              </w:rPr>
              <w:t>(a)</w:t>
            </w:r>
          </w:p>
        </w:tc>
        <w:tc>
          <w:tcPr>
            <w:tcW w:w="850" w:type="dxa"/>
            <w:tcBorders>
              <w:top w:val="nil"/>
              <w:left w:val="nil"/>
              <w:bottom w:val="nil"/>
              <w:right w:val="nil"/>
            </w:tcBorders>
          </w:tcPr>
          <w:p w:rsidR="00A46DCA" w:rsidRPr="00907345"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907345">
              <w:rPr>
                <w:rFonts w:eastAsiaTheme="minorEastAsia" w:cs="Calibri"/>
                <w:color w:val="000000"/>
                <w:szCs w:val="20"/>
                <w:lang w:eastAsia="en-AU"/>
              </w:rPr>
              <w:t>1.0</w:t>
            </w:r>
          </w:p>
        </w:tc>
        <w:tc>
          <w:tcPr>
            <w:tcW w:w="850" w:type="dxa"/>
            <w:tcBorders>
              <w:top w:val="nil"/>
              <w:left w:val="nil"/>
              <w:bottom w:val="nil"/>
              <w:right w:val="nil"/>
            </w:tcBorders>
          </w:tcPr>
          <w:p w:rsidR="00A46DCA" w:rsidRPr="00907345"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907345">
              <w:rPr>
                <w:rFonts w:eastAsiaTheme="minorEastAsia" w:cs="Calibri"/>
                <w:color w:val="000000"/>
                <w:szCs w:val="20"/>
                <w:lang w:eastAsia="en-AU"/>
              </w:rPr>
              <w:t>17.0</w:t>
            </w:r>
          </w:p>
        </w:tc>
        <w:tc>
          <w:tcPr>
            <w:tcW w:w="850" w:type="dxa"/>
            <w:tcBorders>
              <w:top w:val="nil"/>
              <w:left w:val="nil"/>
              <w:bottom w:val="nil"/>
              <w:right w:val="nil"/>
            </w:tcBorders>
          </w:tcPr>
          <w:p w:rsidR="00A46DCA" w:rsidRPr="00907345"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907345">
              <w:rPr>
                <w:rFonts w:eastAsiaTheme="minorEastAsia" w:cs="Calibri"/>
                <w:color w:val="000000"/>
                <w:szCs w:val="20"/>
                <w:lang w:eastAsia="en-AU"/>
              </w:rPr>
              <w:t>..</w:t>
            </w:r>
          </w:p>
        </w:tc>
        <w:tc>
          <w:tcPr>
            <w:tcW w:w="850" w:type="dxa"/>
            <w:tcBorders>
              <w:top w:val="nil"/>
              <w:left w:val="nil"/>
              <w:bottom w:val="nil"/>
              <w:right w:val="nil"/>
            </w:tcBorders>
          </w:tcPr>
          <w:p w:rsidR="00A46DCA" w:rsidRPr="00907345"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907345">
              <w:rPr>
                <w:rFonts w:eastAsiaTheme="minorEastAsia" w:cs="Calibri"/>
                <w:color w:val="000000"/>
                <w:szCs w:val="20"/>
                <w:lang w:eastAsia="en-AU"/>
              </w:rPr>
              <w:t>..</w:t>
            </w:r>
          </w:p>
        </w:tc>
      </w:tr>
      <w:tr w:rsidR="00A46DCA" w:rsidRPr="00907345" w:rsidTr="00A26D04">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5" w:type="dxa"/>
            <w:tcBorders>
              <w:top w:val="single" w:sz="6" w:space="0" w:color="auto"/>
              <w:bottom w:val="single" w:sz="12" w:space="0" w:color="auto"/>
            </w:tcBorders>
          </w:tcPr>
          <w:p w:rsidR="00A46DCA" w:rsidRPr="00907345" w:rsidRDefault="00A46DCA" w:rsidP="00A26D04">
            <w:pPr>
              <w:keepLines w:val="0"/>
              <w:autoSpaceDE w:val="0"/>
              <w:autoSpaceDN w:val="0"/>
              <w:adjustRightInd w:val="0"/>
              <w:rPr>
                <w:rFonts w:eastAsiaTheme="minorEastAsia" w:cs="Calibri"/>
                <w:bCs/>
                <w:color w:val="000000"/>
                <w:szCs w:val="20"/>
                <w:lang w:eastAsia="en-AU"/>
              </w:rPr>
            </w:pPr>
            <w:r w:rsidRPr="00907345">
              <w:rPr>
                <w:rFonts w:eastAsiaTheme="minorEastAsia" w:cs="Calibri"/>
                <w:bCs/>
                <w:color w:val="000000"/>
                <w:szCs w:val="20"/>
                <w:lang w:eastAsia="en-AU"/>
              </w:rPr>
              <w:t>Total output initiatives</w:t>
            </w:r>
          </w:p>
        </w:tc>
        <w:tc>
          <w:tcPr>
            <w:tcW w:w="850" w:type="dxa"/>
            <w:tcBorders>
              <w:top w:val="single" w:sz="6" w:space="0" w:color="auto"/>
              <w:bottom w:val="single" w:sz="12" w:space="0" w:color="auto"/>
            </w:tcBorders>
          </w:tcPr>
          <w:p w:rsidR="00A46DCA" w:rsidRPr="00907345" w:rsidRDefault="00A46DCA" w:rsidP="00A26D0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20"/>
                <w:lang w:eastAsia="en-AU"/>
              </w:rPr>
            </w:pPr>
            <w:r w:rsidRPr="00907345">
              <w:rPr>
                <w:rFonts w:eastAsiaTheme="minorEastAsia" w:cs="Calibri"/>
                <w:bCs/>
                <w:color w:val="000000"/>
                <w:szCs w:val="20"/>
                <w:lang w:eastAsia="en-AU"/>
              </w:rPr>
              <w:t>1.1</w:t>
            </w:r>
          </w:p>
        </w:tc>
        <w:tc>
          <w:tcPr>
            <w:tcW w:w="850" w:type="dxa"/>
            <w:tcBorders>
              <w:top w:val="single" w:sz="6" w:space="0" w:color="auto"/>
              <w:bottom w:val="single" w:sz="12" w:space="0" w:color="auto"/>
            </w:tcBorders>
          </w:tcPr>
          <w:p w:rsidR="00A46DCA" w:rsidRPr="00907345" w:rsidRDefault="00A46DCA" w:rsidP="00A26D0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20"/>
                <w:lang w:eastAsia="en-AU"/>
              </w:rPr>
            </w:pPr>
            <w:r w:rsidRPr="00907345">
              <w:rPr>
                <w:rFonts w:eastAsiaTheme="minorEastAsia" w:cs="Calibri"/>
                <w:bCs/>
                <w:color w:val="000000"/>
                <w:szCs w:val="20"/>
                <w:lang w:eastAsia="en-AU"/>
              </w:rPr>
              <w:t>17.0</w:t>
            </w:r>
          </w:p>
        </w:tc>
        <w:tc>
          <w:tcPr>
            <w:tcW w:w="850" w:type="dxa"/>
            <w:tcBorders>
              <w:top w:val="single" w:sz="6" w:space="0" w:color="auto"/>
              <w:bottom w:val="single" w:sz="12" w:space="0" w:color="auto"/>
            </w:tcBorders>
          </w:tcPr>
          <w:p w:rsidR="00A46DCA" w:rsidRPr="00907345" w:rsidRDefault="00A46DCA" w:rsidP="00A26D0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20"/>
                <w:lang w:eastAsia="en-AU"/>
              </w:rPr>
            </w:pPr>
            <w:r w:rsidRPr="00907345">
              <w:rPr>
                <w:rFonts w:eastAsiaTheme="minorEastAsia" w:cs="Calibri"/>
                <w:bCs/>
                <w:color w:val="000000"/>
                <w:szCs w:val="20"/>
                <w:lang w:eastAsia="en-AU"/>
              </w:rPr>
              <w:t>..</w:t>
            </w:r>
          </w:p>
        </w:tc>
        <w:tc>
          <w:tcPr>
            <w:tcW w:w="850" w:type="dxa"/>
            <w:tcBorders>
              <w:top w:val="single" w:sz="6" w:space="0" w:color="auto"/>
              <w:bottom w:val="single" w:sz="12" w:space="0" w:color="auto"/>
            </w:tcBorders>
          </w:tcPr>
          <w:p w:rsidR="00A46DCA" w:rsidRPr="00907345" w:rsidRDefault="00A46DCA" w:rsidP="00A26D0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20"/>
                <w:lang w:eastAsia="en-AU"/>
              </w:rPr>
            </w:pPr>
            <w:r w:rsidRPr="00907345">
              <w:rPr>
                <w:rFonts w:eastAsiaTheme="minorEastAsia" w:cs="Calibri"/>
                <w:bCs/>
                <w:color w:val="000000"/>
                <w:szCs w:val="20"/>
                <w:lang w:eastAsia="en-AU"/>
              </w:rPr>
              <w:t>..</w:t>
            </w:r>
          </w:p>
        </w:tc>
      </w:tr>
    </w:tbl>
    <w:p w:rsidR="00A46DCA" w:rsidRDefault="00A46DCA" w:rsidP="00A26D04">
      <w:pPr>
        <w:pStyle w:val="Note"/>
        <w:rPr>
          <w:lang w:eastAsia="en-AU"/>
        </w:rPr>
      </w:pPr>
      <w:r>
        <w:rPr>
          <w:lang w:eastAsia="en-AU"/>
        </w:rPr>
        <w:t>Note:</w:t>
      </w:r>
    </w:p>
    <w:p w:rsidR="00A46DCA" w:rsidRPr="00762145" w:rsidRDefault="00A46DCA" w:rsidP="00A26D04">
      <w:pPr>
        <w:pStyle w:val="Note"/>
        <w:rPr>
          <w:i w:val="0"/>
          <w:lang w:eastAsia="en-AU"/>
        </w:rPr>
      </w:pPr>
      <w:r>
        <w:rPr>
          <w:lang w:eastAsia="en-AU"/>
        </w:rPr>
        <w:t>(a)</w:t>
      </w:r>
      <w:r>
        <w:rPr>
          <w:lang w:eastAsia="en-AU"/>
        </w:rPr>
        <w:tab/>
        <w:t xml:space="preserve">Includes funding from the Latrobe Valley Community Infrastructure and Investment Fund announced as part of the </w:t>
      </w:r>
      <w:r w:rsidRPr="00762145">
        <w:rPr>
          <w:i w:val="0"/>
          <w:lang w:eastAsia="en-AU"/>
        </w:rPr>
        <w:t>2016-17 Budget Update.</w:t>
      </w:r>
    </w:p>
    <w:p w:rsidR="00A46DCA" w:rsidRDefault="00A46DCA" w:rsidP="00A26D04">
      <w:pPr>
        <w:pStyle w:val="Heading30"/>
        <w:rPr>
          <w:lang w:eastAsia="en-AU"/>
        </w:rPr>
      </w:pPr>
      <w:r>
        <w:rPr>
          <w:lang w:eastAsia="en-AU"/>
        </w:rPr>
        <w:t>Residential Tenancies Act reforms</w:t>
      </w:r>
    </w:p>
    <w:p w:rsidR="00A46DCA" w:rsidRDefault="00A46DCA" w:rsidP="00A26D04">
      <w:pPr>
        <w:rPr>
          <w:lang w:eastAsia="en-AU"/>
        </w:rPr>
      </w:pPr>
      <w:r>
        <w:rPr>
          <w:lang w:eastAsia="en-AU"/>
        </w:rPr>
        <w:t>Refer to the initiative description under the Department of Justice and Regulation.</w:t>
      </w:r>
    </w:p>
    <w:p w:rsidR="00A46DCA" w:rsidRDefault="00A46DCA" w:rsidP="00A26D04">
      <w:pPr>
        <w:pStyle w:val="Heading30"/>
        <w:rPr>
          <w:lang w:eastAsia="en-AU"/>
        </w:rPr>
      </w:pPr>
      <w:r>
        <w:rPr>
          <w:lang w:eastAsia="en-AU"/>
        </w:rPr>
        <w:t xml:space="preserve">Latrobe Valley </w:t>
      </w:r>
      <w:proofErr w:type="spellStart"/>
      <w:r>
        <w:rPr>
          <w:lang w:eastAsia="en-AU"/>
        </w:rPr>
        <w:t>GovHub</w:t>
      </w:r>
      <w:proofErr w:type="spellEnd"/>
    </w:p>
    <w:p w:rsidR="00A46DCA" w:rsidRDefault="00A46DCA" w:rsidP="00A26D04">
      <w:pPr>
        <w:rPr>
          <w:lang w:eastAsia="en-AU"/>
        </w:rPr>
      </w:pPr>
      <w:r>
        <w:rPr>
          <w:lang w:eastAsia="en-AU"/>
        </w:rPr>
        <w:t>A new high-quality professional services hub will be developed in the Latrobe Valley to consolidate and house Victorian public service functions and agencies. Private sector tenants will also be sought for the development.</w:t>
      </w:r>
    </w:p>
    <w:p w:rsidR="00A46DCA" w:rsidRDefault="00A46DCA" w:rsidP="00A26D04">
      <w:pPr>
        <w:rPr>
          <w:lang w:eastAsia="en-AU"/>
        </w:rPr>
      </w:pPr>
      <w:r>
        <w:rPr>
          <w:lang w:eastAsia="en-AU"/>
        </w:rPr>
        <w:t>This support will encourage long-term jobs growth and economic diversification in the Latrobe Valley, and assist in activating urban renewal in the area surrounding the hub.</w:t>
      </w:r>
    </w:p>
    <w:p w:rsidR="00A46DCA" w:rsidRDefault="00A46DCA" w:rsidP="00A26D04">
      <w:pPr>
        <w:rPr>
          <w:lang w:eastAsia="en-AU"/>
        </w:rPr>
      </w:pPr>
      <w:r>
        <w:rPr>
          <w:lang w:eastAsia="en-AU"/>
        </w:rPr>
        <w:t>This initiative contributes to the Department of Premier and Cabinet’s Government-wide Leadership, Reform and Implementation output.</w:t>
      </w:r>
    </w:p>
    <w:p w:rsidR="004906A4" w:rsidRDefault="004906A4" w:rsidP="00A26D04">
      <w:pPr>
        <w:rPr>
          <w:lang w:eastAsia="en-AU"/>
        </w:rPr>
      </w:pPr>
    </w:p>
    <w:p w:rsidR="00A46DCA" w:rsidRPr="0028624E" w:rsidRDefault="00A46DCA" w:rsidP="00A26D04">
      <w:pPr>
        <w:pStyle w:val="Heading20"/>
        <w:rPr>
          <w:lang w:eastAsia="en-AU"/>
        </w:rPr>
      </w:pPr>
      <w:r>
        <w:rPr>
          <w:lang w:eastAsia="en-AU"/>
        </w:rPr>
        <w:t>Asset initiatives</w:t>
      </w:r>
    </w:p>
    <w:p w:rsidR="00A46DCA" w:rsidRPr="00907345" w:rsidRDefault="00A46DCA" w:rsidP="00A26D04">
      <w:pPr>
        <w:pStyle w:val="TableHeading"/>
        <w:rPr>
          <w:bCs/>
          <w:lang w:val="en-US" w:eastAsia="en-AU"/>
        </w:rPr>
      </w:pPr>
      <w:r>
        <w:rPr>
          <w:lang w:eastAsia="en-AU"/>
        </w:rPr>
        <w:t>Table A.12:</w:t>
      </w:r>
      <w:r>
        <w:rPr>
          <w:lang w:eastAsia="en-AU"/>
        </w:rPr>
        <w:tab/>
        <w:t>Asset initiatives – Department of Premier and Cabinet</w:t>
      </w:r>
      <w:r>
        <w:rPr>
          <w:lang w:eastAsia="en-AU"/>
        </w:rPr>
        <w:tab/>
        <w:t>($ million)</w:t>
      </w:r>
    </w:p>
    <w:tbl>
      <w:tblPr>
        <w:tblStyle w:val="DTFTable"/>
        <w:tblW w:w="7765" w:type="dxa"/>
        <w:tblInd w:w="45" w:type="dxa"/>
        <w:tblLayout w:type="fixed"/>
        <w:tblCellMar>
          <w:left w:w="45" w:type="dxa"/>
          <w:right w:w="45" w:type="dxa"/>
        </w:tblCellMar>
        <w:tblLook w:val="06E0" w:firstRow="1" w:lastRow="1" w:firstColumn="1" w:lastColumn="0" w:noHBand="1" w:noVBand="1"/>
      </w:tblPr>
      <w:tblGrid>
        <w:gridCol w:w="3515"/>
        <w:gridCol w:w="850"/>
        <w:gridCol w:w="850"/>
        <w:gridCol w:w="850"/>
        <w:gridCol w:w="850"/>
        <w:gridCol w:w="850"/>
      </w:tblGrid>
      <w:tr w:rsidR="00A46DCA" w:rsidRPr="00907345" w:rsidTr="004906A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shd w:val="solid" w:color="000000" w:fill="auto"/>
          </w:tcPr>
          <w:p w:rsidR="00A46DCA" w:rsidRPr="00907345" w:rsidRDefault="00A46DCA" w:rsidP="00A26D04">
            <w:pPr>
              <w:autoSpaceDE w:val="0"/>
              <w:autoSpaceDN w:val="0"/>
              <w:adjustRightInd w:val="0"/>
              <w:rPr>
                <w:rFonts w:eastAsiaTheme="minorEastAsia" w:cs="Calibri"/>
                <w:color w:val="FFFFFF"/>
                <w:szCs w:val="20"/>
                <w:lang w:eastAsia="en-AU"/>
              </w:rPr>
            </w:pPr>
            <w:r w:rsidRPr="00907345">
              <w:rPr>
                <w:rFonts w:eastAsiaTheme="minorEastAsia" w:cs="Calibri"/>
                <w:color w:val="FFFFFF"/>
                <w:szCs w:val="20"/>
                <w:lang w:eastAsia="en-AU"/>
              </w:rPr>
              <w:t xml:space="preserve"> </w:t>
            </w:r>
          </w:p>
        </w:tc>
        <w:tc>
          <w:tcPr>
            <w:tcW w:w="850" w:type="dxa"/>
            <w:tcBorders>
              <w:top w:val="nil"/>
              <w:left w:val="nil"/>
              <w:bottom w:val="nil"/>
              <w:right w:val="nil"/>
            </w:tcBorders>
            <w:shd w:val="solid" w:color="000000" w:fill="auto"/>
          </w:tcPr>
          <w:p w:rsidR="00A46DCA" w:rsidRPr="00907345" w:rsidRDefault="00A46DCA" w:rsidP="00A26D0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20"/>
                <w:lang w:eastAsia="en-AU"/>
              </w:rPr>
            </w:pPr>
            <w:r w:rsidRPr="00907345">
              <w:rPr>
                <w:rFonts w:eastAsiaTheme="minorEastAsia" w:cs="Calibri"/>
                <w:iCs/>
                <w:color w:val="FFFFFF"/>
                <w:szCs w:val="20"/>
                <w:lang w:eastAsia="en-AU"/>
              </w:rPr>
              <w:t>2017-18</w:t>
            </w:r>
          </w:p>
        </w:tc>
        <w:tc>
          <w:tcPr>
            <w:tcW w:w="850" w:type="dxa"/>
            <w:tcBorders>
              <w:top w:val="nil"/>
              <w:left w:val="nil"/>
              <w:bottom w:val="nil"/>
              <w:right w:val="nil"/>
            </w:tcBorders>
            <w:shd w:val="solid" w:color="000000" w:fill="auto"/>
          </w:tcPr>
          <w:p w:rsidR="00A46DCA" w:rsidRPr="00907345" w:rsidRDefault="00A46DCA" w:rsidP="00A26D0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20"/>
                <w:lang w:eastAsia="en-AU"/>
              </w:rPr>
            </w:pPr>
            <w:r w:rsidRPr="00907345">
              <w:rPr>
                <w:rFonts w:eastAsiaTheme="minorEastAsia" w:cs="Calibri"/>
                <w:iCs/>
                <w:color w:val="FFFFFF"/>
                <w:szCs w:val="20"/>
                <w:lang w:eastAsia="en-AU"/>
              </w:rPr>
              <w:t>2018-19</w:t>
            </w:r>
          </w:p>
        </w:tc>
        <w:tc>
          <w:tcPr>
            <w:tcW w:w="850" w:type="dxa"/>
            <w:tcBorders>
              <w:top w:val="nil"/>
              <w:left w:val="nil"/>
              <w:bottom w:val="nil"/>
              <w:right w:val="nil"/>
            </w:tcBorders>
            <w:shd w:val="solid" w:color="000000" w:fill="auto"/>
          </w:tcPr>
          <w:p w:rsidR="00A46DCA" w:rsidRPr="00907345" w:rsidRDefault="00A46DCA" w:rsidP="00A26D0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20"/>
                <w:lang w:eastAsia="en-AU"/>
              </w:rPr>
            </w:pPr>
            <w:r w:rsidRPr="00907345">
              <w:rPr>
                <w:rFonts w:eastAsiaTheme="minorEastAsia" w:cs="Calibri"/>
                <w:iCs/>
                <w:color w:val="FFFFFF"/>
                <w:szCs w:val="20"/>
                <w:lang w:eastAsia="en-AU"/>
              </w:rPr>
              <w:t>2019-20</w:t>
            </w:r>
          </w:p>
        </w:tc>
        <w:tc>
          <w:tcPr>
            <w:tcW w:w="850" w:type="dxa"/>
            <w:tcBorders>
              <w:top w:val="nil"/>
              <w:left w:val="nil"/>
              <w:bottom w:val="nil"/>
              <w:right w:val="nil"/>
            </w:tcBorders>
            <w:shd w:val="solid" w:color="000000" w:fill="auto"/>
          </w:tcPr>
          <w:p w:rsidR="00A46DCA" w:rsidRPr="00907345" w:rsidRDefault="00A46DCA" w:rsidP="00A26D0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20"/>
                <w:lang w:eastAsia="en-AU"/>
              </w:rPr>
            </w:pPr>
            <w:r w:rsidRPr="00907345">
              <w:rPr>
                <w:rFonts w:eastAsiaTheme="minorEastAsia" w:cs="Calibri"/>
                <w:iCs/>
                <w:color w:val="FFFFFF"/>
                <w:szCs w:val="20"/>
                <w:lang w:eastAsia="en-AU"/>
              </w:rPr>
              <w:t>2020-21</w:t>
            </w:r>
          </w:p>
        </w:tc>
        <w:tc>
          <w:tcPr>
            <w:tcW w:w="850" w:type="dxa"/>
            <w:tcBorders>
              <w:top w:val="nil"/>
              <w:left w:val="nil"/>
              <w:bottom w:val="nil"/>
              <w:right w:val="nil"/>
            </w:tcBorders>
            <w:shd w:val="solid" w:color="000000" w:fill="auto"/>
          </w:tcPr>
          <w:p w:rsidR="00A46DCA" w:rsidRPr="00907345" w:rsidRDefault="00A46DCA" w:rsidP="00A26D0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20"/>
                <w:lang w:eastAsia="en-AU"/>
              </w:rPr>
            </w:pPr>
            <w:r w:rsidRPr="00907345">
              <w:rPr>
                <w:rFonts w:eastAsiaTheme="minorEastAsia" w:cs="Calibri"/>
                <w:iCs/>
                <w:color w:val="FFFFFF"/>
                <w:szCs w:val="20"/>
                <w:lang w:eastAsia="en-AU"/>
              </w:rPr>
              <w:t>TEI</w:t>
            </w:r>
          </w:p>
        </w:tc>
      </w:tr>
      <w:tr w:rsidR="00A46DCA" w:rsidRPr="00907345" w:rsidTr="004906A4">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A46DCA" w:rsidRPr="00907345" w:rsidRDefault="00A46DCA" w:rsidP="00A26D04">
            <w:pPr>
              <w:keepLines w:val="0"/>
              <w:autoSpaceDE w:val="0"/>
              <w:autoSpaceDN w:val="0"/>
              <w:adjustRightInd w:val="0"/>
              <w:rPr>
                <w:rFonts w:eastAsiaTheme="minorEastAsia" w:cs="Calibri"/>
                <w:color w:val="000000"/>
                <w:szCs w:val="20"/>
                <w:lang w:eastAsia="en-AU"/>
              </w:rPr>
            </w:pPr>
            <w:r w:rsidRPr="00907345">
              <w:rPr>
                <w:rFonts w:eastAsiaTheme="minorEastAsia" w:cs="Calibri"/>
                <w:color w:val="000000"/>
                <w:szCs w:val="20"/>
                <w:lang w:eastAsia="en-AU"/>
              </w:rPr>
              <w:t xml:space="preserve">Latrobe Valley </w:t>
            </w:r>
            <w:proofErr w:type="spellStart"/>
            <w:r w:rsidRPr="00907345">
              <w:rPr>
                <w:rFonts w:eastAsiaTheme="minorEastAsia" w:cs="Calibri"/>
                <w:color w:val="000000"/>
                <w:szCs w:val="20"/>
                <w:lang w:eastAsia="en-AU"/>
              </w:rPr>
              <w:t>GovHub</w:t>
            </w:r>
            <w:proofErr w:type="spellEnd"/>
          </w:p>
        </w:tc>
        <w:tc>
          <w:tcPr>
            <w:tcW w:w="850" w:type="dxa"/>
            <w:tcBorders>
              <w:top w:val="nil"/>
              <w:left w:val="nil"/>
              <w:bottom w:val="nil"/>
              <w:right w:val="nil"/>
            </w:tcBorders>
          </w:tcPr>
          <w:p w:rsidR="00A46DCA" w:rsidRPr="00907345"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907345">
              <w:rPr>
                <w:rFonts w:eastAsiaTheme="minorEastAsia" w:cs="Calibri"/>
                <w:color w:val="000000"/>
                <w:szCs w:val="20"/>
                <w:lang w:eastAsia="en-AU"/>
              </w:rPr>
              <w:t>..</w:t>
            </w:r>
          </w:p>
        </w:tc>
        <w:tc>
          <w:tcPr>
            <w:tcW w:w="850" w:type="dxa"/>
            <w:tcBorders>
              <w:top w:val="nil"/>
              <w:left w:val="nil"/>
              <w:bottom w:val="nil"/>
              <w:right w:val="nil"/>
            </w:tcBorders>
          </w:tcPr>
          <w:p w:rsidR="00A46DCA" w:rsidRPr="00907345"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907345">
              <w:rPr>
                <w:rFonts w:eastAsiaTheme="minorEastAsia" w:cs="Calibri"/>
                <w:color w:val="000000"/>
                <w:szCs w:val="20"/>
                <w:lang w:eastAsia="en-AU"/>
              </w:rPr>
              <w:t>3.0</w:t>
            </w:r>
          </w:p>
        </w:tc>
        <w:tc>
          <w:tcPr>
            <w:tcW w:w="850" w:type="dxa"/>
            <w:tcBorders>
              <w:top w:val="nil"/>
              <w:left w:val="nil"/>
              <w:bottom w:val="nil"/>
              <w:right w:val="nil"/>
            </w:tcBorders>
          </w:tcPr>
          <w:p w:rsidR="00A46DCA" w:rsidRPr="00907345"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p>
        </w:tc>
        <w:tc>
          <w:tcPr>
            <w:tcW w:w="850" w:type="dxa"/>
            <w:tcBorders>
              <w:top w:val="nil"/>
              <w:left w:val="nil"/>
              <w:bottom w:val="nil"/>
              <w:right w:val="nil"/>
            </w:tcBorders>
          </w:tcPr>
          <w:p w:rsidR="00A46DCA" w:rsidRPr="00907345"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907345">
              <w:rPr>
                <w:rFonts w:eastAsiaTheme="minorEastAsia" w:cs="Calibri"/>
                <w:color w:val="000000"/>
                <w:szCs w:val="20"/>
                <w:lang w:eastAsia="en-AU"/>
              </w:rPr>
              <w:t>..</w:t>
            </w:r>
          </w:p>
        </w:tc>
        <w:tc>
          <w:tcPr>
            <w:tcW w:w="850" w:type="dxa"/>
            <w:tcBorders>
              <w:top w:val="nil"/>
              <w:left w:val="nil"/>
              <w:bottom w:val="nil"/>
              <w:right w:val="nil"/>
            </w:tcBorders>
          </w:tcPr>
          <w:p w:rsidR="00A46DCA" w:rsidRPr="00907345"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907345">
              <w:rPr>
                <w:rFonts w:eastAsiaTheme="minorEastAsia" w:cs="Calibri"/>
                <w:color w:val="000000"/>
                <w:szCs w:val="20"/>
                <w:lang w:eastAsia="en-AU"/>
              </w:rPr>
              <w:t>3.0</w:t>
            </w:r>
          </w:p>
        </w:tc>
      </w:tr>
      <w:tr w:rsidR="00A46DCA" w:rsidRPr="00907345" w:rsidTr="00A26D04">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5" w:type="dxa"/>
            <w:tcBorders>
              <w:top w:val="single" w:sz="6" w:space="0" w:color="auto"/>
              <w:bottom w:val="single" w:sz="12" w:space="0" w:color="auto"/>
            </w:tcBorders>
          </w:tcPr>
          <w:p w:rsidR="00A46DCA" w:rsidRPr="00907345" w:rsidRDefault="00A46DCA" w:rsidP="00A26D04">
            <w:pPr>
              <w:keepLines w:val="0"/>
              <w:autoSpaceDE w:val="0"/>
              <w:autoSpaceDN w:val="0"/>
              <w:adjustRightInd w:val="0"/>
              <w:rPr>
                <w:rFonts w:eastAsiaTheme="minorEastAsia" w:cs="Calibri"/>
                <w:bCs/>
                <w:color w:val="000000"/>
                <w:szCs w:val="20"/>
                <w:lang w:eastAsia="en-AU"/>
              </w:rPr>
            </w:pPr>
            <w:r w:rsidRPr="00907345">
              <w:rPr>
                <w:rFonts w:eastAsiaTheme="minorEastAsia" w:cs="Calibri"/>
                <w:bCs/>
                <w:color w:val="000000"/>
                <w:szCs w:val="20"/>
                <w:lang w:eastAsia="en-AU"/>
              </w:rPr>
              <w:t>Total asset initiatives</w:t>
            </w:r>
          </w:p>
        </w:tc>
        <w:tc>
          <w:tcPr>
            <w:tcW w:w="850" w:type="dxa"/>
            <w:tcBorders>
              <w:top w:val="single" w:sz="6" w:space="0" w:color="auto"/>
              <w:bottom w:val="single" w:sz="12" w:space="0" w:color="auto"/>
            </w:tcBorders>
          </w:tcPr>
          <w:p w:rsidR="00A46DCA" w:rsidRPr="00907345" w:rsidRDefault="00A46DCA" w:rsidP="00A26D0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20"/>
                <w:lang w:eastAsia="en-AU"/>
              </w:rPr>
            </w:pPr>
            <w:r w:rsidRPr="00907345">
              <w:rPr>
                <w:rFonts w:eastAsiaTheme="minorEastAsia" w:cs="Calibri"/>
                <w:bCs/>
                <w:color w:val="000000"/>
                <w:szCs w:val="20"/>
                <w:lang w:eastAsia="en-AU"/>
              </w:rPr>
              <w:t>..</w:t>
            </w:r>
          </w:p>
        </w:tc>
        <w:tc>
          <w:tcPr>
            <w:tcW w:w="850" w:type="dxa"/>
            <w:tcBorders>
              <w:top w:val="single" w:sz="6" w:space="0" w:color="auto"/>
              <w:bottom w:val="single" w:sz="12" w:space="0" w:color="auto"/>
            </w:tcBorders>
          </w:tcPr>
          <w:p w:rsidR="00A46DCA" w:rsidRPr="00907345" w:rsidRDefault="00A46DCA" w:rsidP="00A26D0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20"/>
                <w:lang w:eastAsia="en-AU"/>
              </w:rPr>
            </w:pPr>
            <w:r w:rsidRPr="00907345">
              <w:rPr>
                <w:rFonts w:eastAsiaTheme="minorEastAsia" w:cs="Calibri"/>
                <w:bCs/>
                <w:color w:val="000000"/>
                <w:szCs w:val="20"/>
                <w:lang w:eastAsia="en-AU"/>
              </w:rPr>
              <w:t>3.0</w:t>
            </w:r>
          </w:p>
        </w:tc>
        <w:tc>
          <w:tcPr>
            <w:tcW w:w="850" w:type="dxa"/>
            <w:tcBorders>
              <w:top w:val="single" w:sz="6" w:space="0" w:color="auto"/>
              <w:bottom w:val="single" w:sz="12" w:space="0" w:color="auto"/>
            </w:tcBorders>
          </w:tcPr>
          <w:p w:rsidR="00A46DCA" w:rsidRPr="00907345" w:rsidRDefault="00A46DCA" w:rsidP="00A26D0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20"/>
                <w:lang w:eastAsia="en-AU"/>
              </w:rPr>
            </w:pPr>
            <w:r w:rsidRPr="00907345">
              <w:rPr>
                <w:rFonts w:eastAsiaTheme="minorEastAsia" w:cs="Calibri"/>
                <w:bCs/>
                <w:color w:val="000000"/>
                <w:szCs w:val="20"/>
                <w:lang w:eastAsia="en-AU"/>
              </w:rPr>
              <w:t>..</w:t>
            </w:r>
          </w:p>
        </w:tc>
        <w:tc>
          <w:tcPr>
            <w:tcW w:w="850" w:type="dxa"/>
            <w:tcBorders>
              <w:top w:val="single" w:sz="6" w:space="0" w:color="auto"/>
              <w:bottom w:val="single" w:sz="12" w:space="0" w:color="auto"/>
            </w:tcBorders>
          </w:tcPr>
          <w:p w:rsidR="00A46DCA" w:rsidRPr="00907345" w:rsidRDefault="00A46DCA" w:rsidP="00A26D0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20"/>
                <w:lang w:eastAsia="en-AU"/>
              </w:rPr>
            </w:pPr>
            <w:r w:rsidRPr="00907345">
              <w:rPr>
                <w:rFonts w:eastAsiaTheme="minorEastAsia" w:cs="Calibri"/>
                <w:bCs/>
                <w:color w:val="000000"/>
                <w:szCs w:val="20"/>
                <w:lang w:eastAsia="en-AU"/>
              </w:rPr>
              <w:t>..</w:t>
            </w:r>
          </w:p>
        </w:tc>
        <w:tc>
          <w:tcPr>
            <w:tcW w:w="850" w:type="dxa"/>
            <w:tcBorders>
              <w:top w:val="single" w:sz="6" w:space="0" w:color="auto"/>
              <w:bottom w:val="single" w:sz="12" w:space="0" w:color="auto"/>
            </w:tcBorders>
          </w:tcPr>
          <w:p w:rsidR="00A46DCA" w:rsidRPr="00907345" w:rsidRDefault="00A46DCA" w:rsidP="00A26D0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20"/>
                <w:lang w:eastAsia="en-AU"/>
              </w:rPr>
            </w:pPr>
            <w:r w:rsidRPr="00907345">
              <w:rPr>
                <w:rFonts w:eastAsiaTheme="minorEastAsia" w:cs="Calibri"/>
                <w:bCs/>
                <w:color w:val="000000"/>
                <w:szCs w:val="20"/>
                <w:lang w:eastAsia="en-AU"/>
              </w:rPr>
              <w:t>3.0</w:t>
            </w:r>
          </w:p>
        </w:tc>
      </w:tr>
    </w:tbl>
    <w:p w:rsidR="00A46DCA" w:rsidRDefault="00A46DCA" w:rsidP="00A26D04">
      <w:pPr>
        <w:pStyle w:val="Heading30"/>
        <w:rPr>
          <w:lang w:eastAsia="en-AU"/>
        </w:rPr>
      </w:pPr>
      <w:r>
        <w:rPr>
          <w:lang w:eastAsia="en-AU"/>
        </w:rPr>
        <w:t xml:space="preserve">Latrobe Valley </w:t>
      </w:r>
      <w:proofErr w:type="spellStart"/>
      <w:r>
        <w:rPr>
          <w:lang w:eastAsia="en-AU"/>
        </w:rPr>
        <w:t>GovHub</w:t>
      </w:r>
      <w:proofErr w:type="spellEnd"/>
    </w:p>
    <w:p w:rsidR="00A46DCA" w:rsidRPr="00A90F3A" w:rsidRDefault="00A46DCA" w:rsidP="00A26D04">
      <w:pPr>
        <w:rPr>
          <w:lang w:eastAsia="en-AU"/>
        </w:rPr>
      </w:pPr>
      <w:r>
        <w:rPr>
          <w:lang w:eastAsia="en-AU"/>
        </w:rPr>
        <w:t>Refer to output initiative for a description of this initiative.</w:t>
      </w:r>
    </w:p>
    <w:p w:rsidR="00A46DCA" w:rsidRDefault="00A46DCA">
      <w:pPr>
        <w:keepLines w:val="0"/>
        <w:rPr>
          <w:rFonts w:asciiTheme="majorHAnsi" w:eastAsiaTheme="majorEastAsia" w:hAnsiTheme="majorHAnsi" w:cstheme="majorBidi"/>
          <w:b/>
          <w:bCs/>
          <w:caps/>
          <w:spacing w:val="-2"/>
          <w:sz w:val="26"/>
          <w:szCs w:val="28"/>
          <w:lang w:eastAsia="en-AU"/>
        </w:rPr>
      </w:pPr>
      <w:r>
        <w:rPr>
          <w:lang w:eastAsia="en-AU"/>
        </w:rPr>
        <w:br w:type="page"/>
      </w:r>
    </w:p>
    <w:p w:rsidR="00A46DCA" w:rsidRDefault="00A46DCA" w:rsidP="00A26D04">
      <w:pPr>
        <w:pStyle w:val="Heading10"/>
        <w:rPr>
          <w:lang w:eastAsia="en-AU"/>
        </w:rPr>
      </w:pPr>
      <w:bookmarkStart w:id="82" w:name="_Toc500179550"/>
      <w:bookmarkStart w:id="83" w:name="_Toc500435592"/>
      <w:r>
        <w:rPr>
          <w:lang w:eastAsia="en-AU"/>
        </w:rPr>
        <w:lastRenderedPageBreak/>
        <w:t>Department of Treasury and Finance</w:t>
      </w:r>
      <w:bookmarkEnd w:id="82"/>
      <w:bookmarkEnd w:id="83"/>
    </w:p>
    <w:p w:rsidR="00A46DCA" w:rsidRDefault="00A46DCA" w:rsidP="00A26D04">
      <w:pPr>
        <w:pStyle w:val="Heading20"/>
        <w:rPr>
          <w:lang w:eastAsia="en-AU"/>
        </w:rPr>
      </w:pPr>
      <w:r>
        <w:rPr>
          <w:lang w:eastAsia="en-AU"/>
        </w:rPr>
        <w:t>Output initiatives</w:t>
      </w:r>
    </w:p>
    <w:p w:rsidR="00A46DCA" w:rsidRPr="00DC33D3" w:rsidRDefault="00A46DCA" w:rsidP="00A26D04">
      <w:pPr>
        <w:pStyle w:val="TableHeading"/>
        <w:rPr>
          <w:bCs/>
          <w:lang w:val="en-US" w:eastAsia="en-AU"/>
        </w:rPr>
      </w:pPr>
      <w:r>
        <w:rPr>
          <w:lang w:eastAsia="en-AU"/>
        </w:rPr>
        <w:t>Table A.13:</w:t>
      </w:r>
      <w:r>
        <w:rPr>
          <w:lang w:eastAsia="en-AU"/>
        </w:rPr>
        <w:tab/>
        <w:t>Output initiatives – Department of Treasury and Finance</w:t>
      </w:r>
      <w:r>
        <w:rPr>
          <w:lang w:eastAsia="en-AU"/>
        </w:rPr>
        <w:tab/>
        <w:t>($ million)</w:t>
      </w:r>
    </w:p>
    <w:tbl>
      <w:tblPr>
        <w:tblStyle w:val="DTFTable"/>
        <w:tblW w:w="7765" w:type="dxa"/>
        <w:tblInd w:w="45" w:type="dxa"/>
        <w:tblLayout w:type="fixed"/>
        <w:tblCellMar>
          <w:left w:w="45" w:type="dxa"/>
          <w:right w:w="45" w:type="dxa"/>
        </w:tblCellMar>
        <w:tblLook w:val="06E0" w:firstRow="1" w:lastRow="1" w:firstColumn="1" w:lastColumn="0" w:noHBand="1" w:noVBand="1"/>
      </w:tblPr>
      <w:tblGrid>
        <w:gridCol w:w="4365"/>
        <w:gridCol w:w="850"/>
        <w:gridCol w:w="850"/>
        <w:gridCol w:w="850"/>
        <w:gridCol w:w="850"/>
      </w:tblGrid>
      <w:tr w:rsidR="00A46DCA" w:rsidRPr="00DC33D3" w:rsidTr="004906A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365" w:type="dxa"/>
            <w:tcBorders>
              <w:top w:val="nil"/>
              <w:left w:val="nil"/>
              <w:bottom w:val="nil"/>
              <w:right w:val="nil"/>
            </w:tcBorders>
            <w:shd w:val="solid" w:color="000000" w:fill="auto"/>
          </w:tcPr>
          <w:p w:rsidR="00A46DCA" w:rsidRPr="00DC33D3" w:rsidRDefault="00A46DCA" w:rsidP="00A26D04">
            <w:pPr>
              <w:autoSpaceDE w:val="0"/>
              <w:autoSpaceDN w:val="0"/>
              <w:adjustRightInd w:val="0"/>
              <w:rPr>
                <w:rFonts w:eastAsiaTheme="minorEastAsia" w:cs="Calibri"/>
                <w:color w:val="FFFFFF"/>
                <w:szCs w:val="20"/>
                <w:lang w:eastAsia="en-AU"/>
              </w:rPr>
            </w:pPr>
            <w:r w:rsidRPr="00DC33D3">
              <w:rPr>
                <w:rFonts w:eastAsiaTheme="minorEastAsia" w:cs="Calibri"/>
                <w:color w:val="FFFFFF"/>
                <w:szCs w:val="20"/>
                <w:lang w:eastAsia="en-AU"/>
              </w:rPr>
              <w:t xml:space="preserve"> </w:t>
            </w:r>
          </w:p>
        </w:tc>
        <w:tc>
          <w:tcPr>
            <w:tcW w:w="850" w:type="dxa"/>
            <w:tcBorders>
              <w:top w:val="nil"/>
              <w:left w:val="nil"/>
              <w:bottom w:val="nil"/>
              <w:right w:val="nil"/>
            </w:tcBorders>
            <w:shd w:val="solid" w:color="000000" w:fill="auto"/>
          </w:tcPr>
          <w:p w:rsidR="00A46DCA" w:rsidRPr="00DC33D3" w:rsidRDefault="00A46DCA" w:rsidP="00A26D0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20"/>
                <w:lang w:eastAsia="en-AU"/>
              </w:rPr>
            </w:pPr>
            <w:r w:rsidRPr="00DC33D3">
              <w:rPr>
                <w:rFonts w:eastAsiaTheme="minorEastAsia" w:cs="Calibri"/>
                <w:iCs/>
                <w:color w:val="FFFFFF"/>
                <w:szCs w:val="20"/>
                <w:lang w:eastAsia="en-AU"/>
              </w:rPr>
              <w:t>2017-18</w:t>
            </w:r>
          </w:p>
        </w:tc>
        <w:tc>
          <w:tcPr>
            <w:tcW w:w="850" w:type="dxa"/>
            <w:tcBorders>
              <w:top w:val="nil"/>
              <w:left w:val="nil"/>
              <w:bottom w:val="nil"/>
              <w:right w:val="nil"/>
            </w:tcBorders>
            <w:shd w:val="solid" w:color="000000" w:fill="auto"/>
          </w:tcPr>
          <w:p w:rsidR="00A46DCA" w:rsidRPr="00DC33D3" w:rsidRDefault="00A46DCA" w:rsidP="00A26D0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20"/>
                <w:lang w:eastAsia="en-AU"/>
              </w:rPr>
            </w:pPr>
            <w:r w:rsidRPr="00DC33D3">
              <w:rPr>
                <w:rFonts w:eastAsiaTheme="minorEastAsia" w:cs="Calibri"/>
                <w:iCs/>
                <w:color w:val="FFFFFF"/>
                <w:szCs w:val="20"/>
                <w:lang w:eastAsia="en-AU"/>
              </w:rPr>
              <w:t>2018-19</w:t>
            </w:r>
          </w:p>
        </w:tc>
        <w:tc>
          <w:tcPr>
            <w:tcW w:w="850" w:type="dxa"/>
            <w:tcBorders>
              <w:top w:val="nil"/>
              <w:left w:val="nil"/>
              <w:bottom w:val="nil"/>
              <w:right w:val="nil"/>
            </w:tcBorders>
            <w:shd w:val="solid" w:color="000000" w:fill="auto"/>
          </w:tcPr>
          <w:p w:rsidR="00A46DCA" w:rsidRPr="00DC33D3" w:rsidRDefault="00A46DCA" w:rsidP="00A26D0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20"/>
                <w:lang w:eastAsia="en-AU"/>
              </w:rPr>
            </w:pPr>
            <w:r w:rsidRPr="00DC33D3">
              <w:rPr>
                <w:rFonts w:eastAsiaTheme="minorEastAsia" w:cs="Calibri"/>
                <w:iCs/>
                <w:color w:val="FFFFFF"/>
                <w:szCs w:val="20"/>
                <w:lang w:eastAsia="en-AU"/>
              </w:rPr>
              <w:t>2019-20</w:t>
            </w:r>
          </w:p>
        </w:tc>
        <w:tc>
          <w:tcPr>
            <w:tcW w:w="850" w:type="dxa"/>
            <w:tcBorders>
              <w:top w:val="nil"/>
              <w:left w:val="nil"/>
              <w:bottom w:val="nil"/>
              <w:right w:val="nil"/>
            </w:tcBorders>
            <w:shd w:val="solid" w:color="000000" w:fill="auto"/>
          </w:tcPr>
          <w:p w:rsidR="00A46DCA" w:rsidRPr="00DC33D3" w:rsidRDefault="00A46DCA" w:rsidP="00A26D0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20"/>
                <w:lang w:eastAsia="en-AU"/>
              </w:rPr>
            </w:pPr>
            <w:r w:rsidRPr="00DC33D3">
              <w:rPr>
                <w:rFonts w:eastAsiaTheme="minorEastAsia" w:cs="Calibri"/>
                <w:iCs/>
                <w:color w:val="FFFFFF"/>
                <w:szCs w:val="20"/>
                <w:lang w:eastAsia="en-AU"/>
              </w:rPr>
              <w:t>2020-21</w:t>
            </w:r>
          </w:p>
        </w:tc>
      </w:tr>
      <w:tr w:rsidR="00A46DCA" w:rsidRPr="00DC33D3" w:rsidTr="004906A4">
        <w:tc>
          <w:tcPr>
            <w:cnfStyle w:val="001000000000" w:firstRow="0" w:lastRow="0" w:firstColumn="1" w:lastColumn="0" w:oddVBand="0" w:evenVBand="0" w:oddHBand="0" w:evenHBand="0" w:firstRowFirstColumn="0" w:firstRowLastColumn="0" w:lastRowFirstColumn="0" w:lastRowLastColumn="0"/>
            <w:tcW w:w="4365" w:type="dxa"/>
            <w:tcBorders>
              <w:top w:val="nil"/>
              <w:left w:val="nil"/>
              <w:bottom w:val="nil"/>
              <w:right w:val="nil"/>
            </w:tcBorders>
          </w:tcPr>
          <w:p w:rsidR="00A46DCA" w:rsidRPr="00DC33D3" w:rsidRDefault="004906A4" w:rsidP="00A26D04">
            <w:pPr>
              <w:keepLines w:val="0"/>
              <w:autoSpaceDE w:val="0"/>
              <w:autoSpaceDN w:val="0"/>
              <w:adjustRightInd w:val="0"/>
              <w:rPr>
                <w:rFonts w:eastAsiaTheme="minorEastAsia" w:cs="Calibri"/>
                <w:color w:val="000000"/>
                <w:szCs w:val="20"/>
                <w:lang w:eastAsia="en-AU"/>
              </w:rPr>
            </w:pPr>
            <w:r>
              <w:rPr>
                <w:rFonts w:eastAsiaTheme="minorEastAsia" w:cs="Calibri"/>
                <w:color w:val="000000"/>
                <w:szCs w:val="20"/>
                <w:lang w:eastAsia="en-AU"/>
              </w:rPr>
              <w:t>Essential Services Commission –</w:t>
            </w:r>
            <w:r w:rsidR="00A46DCA" w:rsidRPr="00DC33D3">
              <w:rPr>
                <w:rFonts w:eastAsiaTheme="minorEastAsia" w:cs="Calibri"/>
                <w:color w:val="000000"/>
                <w:szCs w:val="20"/>
                <w:lang w:eastAsia="en-AU"/>
              </w:rPr>
              <w:t xml:space="preserve"> new regulatory information system</w:t>
            </w:r>
          </w:p>
        </w:tc>
        <w:tc>
          <w:tcPr>
            <w:tcW w:w="850" w:type="dxa"/>
            <w:tcBorders>
              <w:top w:val="nil"/>
              <w:left w:val="nil"/>
              <w:bottom w:val="nil"/>
              <w:right w:val="nil"/>
            </w:tcBorders>
          </w:tcPr>
          <w:p w:rsidR="00A46DCA" w:rsidRPr="00DC33D3"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DC33D3">
              <w:rPr>
                <w:rFonts w:eastAsiaTheme="minorEastAsia" w:cs="Calibri"/>
                <w:color w:val="000000"/>
                <w:szCs w:val="20"/>
                <w:lang w:eastAsia="en-AU"/>
              </w:rPr>
              <w:t>0.7</w:t>
            </w:r>
          </w:p>
        </w:tc>
        <w:tc>
          <w:tcPr>
            <w:tcW w:w="850" w:type="dxa"/>
            <w:tcBorders>
              <w:top w:val="nil"/>
              <w:left w:val="nil"/>
              <w:bottom w:val="nil"/>
              <w:right w:val="nil"/>
            </w:tcBorders>
          </w:tcPr>
          <w:p w:rsidR="00A46DCA" w:rsidRPr="00DC33D3"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DC33D3">
              <w:rPr>
                <w:rFonts w:eastAsiaTheme="minorEastAsia" w:cs="Calibri"/>
                <w:color w:val="000000"/>
                <w:szCs w:val="20"/>
                <w:lang w:eastAsia="en-AU"/>
              </w:rPr>
              <w:t>..</w:t>
            </w:r>
          </w:p>
        </w:tc>
        <w:tc>
          <w:tcPr>
            <w:tcW w:w="850" w:type="dxa"/>
            <w:tcBorders>
              <w:top w:val="nil"/>
              <w:left w:val="nil"/>
              <w:bottom w:val="nil"/>
              <w:right w:val="nil"/>
            </w:tcBorders>
          </w:tcPr>
          <w:p w:rsidR="00A46DCA" w:rsidRPr="00DC33D3"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DC33D3">
              <w:rPr>
                <w:rFonts w:eastAsiaTheme="minorEastAsia" w:cs="Calibri"/>
                <w:color w:val="000000"/>
                <w:szCs w:val="20"/>
                <w:lang w:eastAsia="en-AU"/>
              </w:rPr>
              <w:t>..</w:t>
            </w:r>
          </w:p>
        </w:tc>
        <w:tc>
          <w:tcPr>
            <w:tcW w:w="850" w:type="dxa"/>
            <w:tcBorders>
              <w:top w:val="nil"/>
              <w:left w:val="nil"/>
              <w:bottom w:val="nil"/>
              <w:right w:val="nil"/>
            </w:tcBorders>
          </w:tcPr>
          <w:p w:rsidR="00A46DCA" w:rsidRPr="00DC33D3"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DC33D3">
              <w:rPr>
                <w:rFonts w:eastAsiaTheme="minorEastAsia" w:cs="Calibri"/>
                <w:color w:val="000000"/>
                <w:szCs w:val="20"/>
                <w:lang w:eastAsia="en-AU"/>
              </w:rPr>
              <w:t>..</w:t>
            </w:r>
          </w:p>
        </w:tc>
      </w:tr>
      <w:tr w:rsidR="00A46DCA" w:rsidRPr="00DC33D3" w:rsidTr="00A26D04">
        <w:tc>
          <w:tcPr>
            <w:cnfStyle w:val="001000000000" w:firstRow="0" w:lastRow="0" w:firstColumn="1" w:lastColumn="0" w:oddVBand="0" w:evenVBand="0" w:oddHBand="0" w:evenHBand="0" w:firstRowFirstColumn="0" w:firstRowLastColumn="0" w:lastRowFirstColumn="0" w:lastRowLastColumn="0"/>
            <w:tcW w:w="4365" w:type="dxa"/>
            <w:tcBorders>
              <w:top w:val="nil"/>
              <w:left w:val="nil"/>
              <w:bottom w:val="nil"/>
              <w:right w:val="nil"/>
            </w:tcBorders>
          </w:tcPr>
          <w:p w:rsidR="00A46DCA" w:rsidRPr="00DC33D3" w:rsidRDefault="00A46DCA" w:rsidP="00A26D04">
            <w:pPr>
              <w:keepLines w:val="0"/>
              <w:autoSpaceDE w:val="0"/>
              <w:autoSpaceDN w:val="0"/>
              <w:adjustRightInd w:val="0"/>
              <w:rPr>
                <w:rFonts w:eastAsiaTheme="minorEastAsia" w:cs="Calibri"/>
                <w:color w:val="000000"/>
                <w:szCs w:val="20"/>
                <w:lang w:eastAsia="en-AU"/>
              </w:rPr>
            </w:pPr>
            <w:r w:rsidRPr="00DC33D3">
              <w:rPr>
                <w:rFonts w:eastAsiaTheme="minorEastAsia" w:cs="Calibri"/>
                <w:color w:val="000000"/>
                <w:szCs w:val="20"/>
                <w:lang w:eastAsia="en-AU"/>
              </w:rPr>
              <w:t>Incentive fund for regulatory burden reduction</w:t>
            </w:r>
          </w:p>
        </w:tc>
        <w:tc>
          <w:tcPr>
            <w:tcW w:w="850" w:type="dxa"/>
            <w:tcBorders>
              <w:top w:val="nil"/>
              <w:left w:val="nil"/>
              <w:bottom w:val="nil"/>
              <w:right w:val="nil"/>
            </w:tcBorders>
          </w:tcPr>
          <w:p w:rsidR="00A46DCA" w:rsidRPr="00DC33D3"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DC33D3">
              <w:rPr>
                <w:rFonts w:eastAsiaTheme="minorEastAsia" w:cs="Calibri"/>
                <w:color w:val="000000"/>
                <w:szCs w:val="20"/>
                <w:lang w:eastAsia="en-AU"/>
              </w:rPr>
              <w:t>8.7</w:t>
            </w:r>
          </w:p>
        </w:tc>
        <w:tc>
          <w:tcPr>
            <w:tcW w:w="850" w:type="dxa"/>
            <w:tcBorders>
              <w:top w:val="nil"/>
              <w:left w:val="nil"/>
              <w:bottom w:val="nil"/>
              <w:right w:val="nil"/>
            </w:tcBorders>
          </w:tcPr>
          <w:p w:rsidR="00A46DCA" w:rsidRPr="00DC33D3"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DC33D3">
              <w:rPr>
                <w:rFonts w:eastAsiaTheme="minorEastAsia" w:cs="Calibri"/>
                <w:color w:val="000000"/>
                <w:szCs w:val="20"/>
                <w:lang w:eastAsia="en-AU"/>
              </w:rPr>
              <w:t>6.8</w:t>
            </w:r>
          </w:p>
        </w:tc>
        <w:tc>
          <w:tcPr>
            <w:tcW w:w="850" w:type="dxa"/>
            <w:tcBorders>
              <w:top w:val="nil"/>
              <w:left w:val="nil"/>
              <w:bottom w:val="nil"/>
              <w:right w:val="nil"/>
            </w:tcBorders>
          </w:tcPr>
          <w:p w:rsidR="00A46DCA" w:rsidRPr="00DC33D3"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DC33D3">
              <w:rPr>
                <w:rFonts w:eastAsiaTheme="minorEastAsia" w:cs="Calibri"/>
                <w:color w:val="000000"/>
                <w:szCs w:val="20"/>
                <w:lang w:eastAsia="en-AU"/>
              </w:rPr>
              <w:t>3.0</w:t>
            </w:r>
          </w:p>
        </w:tc>
        <w:tc>
          <w:tcPr>
            <w:tcW w:w="850" w:type="dxa"/>
            <w:tcBorders>
              <w:top w:val="nil"/>
              <w:left w:val="nil"/>
              <w:bottom w:val="nil"/>
              <w:right w:val="nil"/>
            </w:tcBorders>
          </w:tcPr>
          <w:p w:rsidR="00A46DCA" w:rsidRPr="00DC33D3"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DC33D3">
              <w:rPr>
                <w:rFonts w:eastAsiaTheme="minorEastAsia" w:cs="Calibri"/>
                <w:color w:val="000000"/>
                <w:szCs w:val="20"/>
                <w:lang w:eastAsia="en-AU"/>
              </w:rPr>
              <w:t>1.1</w:t>
            </w:r>
          </w:p>
        </w:tc>
      </w:tr>
      <w:tr w:rsidR="00A46DCA" w:rsidRPr="00DC33D3" w:rsidTr="00A26D04">
        <w:tc>
          <w:tcPr>
            <w:cnfStyle w:val="001000000000" w:firstRow="0" w:lastRow="0" w:firstColumn="1" w:lastColumn="0" w:oddVBand="0" w:evenVBand="0" w:oddHBand="0" w:evenHBand="0" w:firstRowFirstColumn="0" w:firstRowLastColumn="0" w:lastRowFirstColumn="0" w:lastRowLastColumn="0"/>
            <w:tcW w:w="4365" w:type="dxa"/>
            <w:tcBorders>
              <w:top w:val="nil"/>
              <w:left w:val="nil"/>
              <w:bottom w:val="nil"/>
              <w:right w:val="nil"/>
            </w:tcBorders>
          </w:tcPr>
          <w:p w:rsidR="00A46DCA" w:rsidRPr="00DC33D3" w:rsidRDefault="00A46DCA" w:rsidP="004906A4">
            <w:pPr>
              <w:keepLines w:val="0"/>
              <w:autoSpaceDE w:val="0"/>
              <w:autoSpaceDN w:val="0"/>
              <w:adjustRightInd w:val="0"/>
              <w:rPr>
                <w:rFonts w:eastAsiaTheme="minorEastAsia" w:cs="Calibri"/>
                <w:color w:val="000000"/>
                <w:szCs w:val="20"/>
                <w:lang w:eastAsia="en-AU"/>
              </w:rPr>
            </w:pPr>
            <w:r w:rsidRPr="00DC33D3">
              <w:rPr>
                <w:rFonts w:eastAsiaTheme="minorEastAsia" w:cs="Calibri"/>
                <w:color w:val="000000"/>
                <w:szCs w:val="20"/>
                <w:lang w:eastAsia="en-AU"/>
              </w:rPr>
              <w:t xml:space="preserve">Social Impact Bonds </w:t>
            </w:r>
            <w:r w:rsidR="004906A4">
              <w:rPr>
                <w:rFonts w:eastAsiaTheme="minorEastAsia" w:cs="Calibri"/>
                <w:color w:val="000000"/>
                <w:szCs w:val="20"/>
                <w:lang w:eastAsia="en-AU"/>
              </w:rPr>
              <w:t>–</w:t>
            </w:r>
            <w:r w:rsidRPr="00DC33D3">
              <w:rPr>
                <w:rFonts w:eastAsiaTheme="minorEastAsia" w:cs="Calibri"/>
                <w:color w:val="000000"/>
                <w:szCs w:val="20"/>
                <w:lang w:eastAsia="en-AU"/>
              </w:rPr>
              <w:t xml:space="preserve"> commencement of round two</w:t>
            </w:r>
          </w:p>
        </w:tc>
        <w:tc>
          <w:tcPr>
            <w:tcW w:w="850" w:type="dxa"/>
            <w:tcBorders>
              <w:top w:val="nil"/>
              <w:left w:val="nil"/>
              <w:bottom w:val="nil"/>
              <w:right w:val="nil"/>
            </w:tcBorders>
          </w:tcPr>
          <w:p w:rsidR="00A46DCA" w:rsidRPr="00DC33D3"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DC33D3">
              <w:rPr>
                <w:rFonts w:eastAsiaTheme="minorEastAsia" w:cs="Calibri"/>
                <w:color w:val="000000"/>
                <w:szCs w:val="20"/>
                <w:lang w:eastAsia="en-AU"/>
              </w:rPr>
              <w:t>0.5</w:t>
            </w:r>
          </w:p>
        </w:tc>
        <w:tc>
          <w:tcPr>
            <w:tcW w:w="850" w:type="dxa"/>
            <w:tcBorders>
              <w:top w:val="nil"/>
              <w:left w:val="nil"/>
              <w:bottom w:val="nil"/>
              <w:right w:val="nil"/>
            </w:tcBorders>
          </w:tcPr>
          <w:p w:rsidR="00A46DCA" w:rsidRPr="00DC33D3"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DC33D3">
              <w:rPr>
                <w:rFonts w:eastAsiaTheme="minorEastAsia" w:cs="Calibri"/>
                <w:color w:val="000000"/>
                <w:szCs w:val="20"/>
                <w:lang w:eastAsia="en-AU"/>
              </w:rPr>
              <w:t>..</w:t>
            </w:r>
          </w:p>
        </w:tc>
        <w:tc>
          <w:tcPr>
            <w:tcW w:w="850" w:type="dxa"/>
            <w:tcBorders>
              <w:top w:val="nil"/>
              <w:left w:val="nil"/>
              <w:bottom w:val="nil"/>
              <w:right w:val="nil"/>
            </w:tcBorders>
          </w:tcPr>
          <w:p w:rsidR="00A46DCA" w:rsidRPr="00DC33D3"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DC33D3">
              <w:rPr>
                <w:rFonts w:eastAsiaTheme="minorEastAsia" w:cs="Calibri"/>
                <w:color w:val="000000"/>
                <w:szCs w:val="20"/>
                <w:lang w:eastAsia="en-AU"/>
              </w:rPr>
              <w:t>..</w:t>
            </w:r>
          </w:p>
        </w:tc>
        <w:tc>
          <w:tcPr>
            <w:tcW w:w="850" w:type="dxa"/>
            <w:tcBorders>
              <w:top w:val="nil"/>
              <w:left w:val="nil"/>
              <w:bottom w:val="nil"/>
              <w:right w:val="nil"/>
            </w:tcBorders>
          </w:tcPr>
          <w:p w:rsidR="00A46DCA" w:rsidRPr="00DC33D3"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DC33D3">
              <w:rPr>
                <w:rFonts w:eastAsiaTheme="minorEastAsia" w:cs="Calibri"/>
                <w:color w:val="000000"/>
                <w:szCs w:val="20"/>
                <w:lang w:eastAsia="en-AU"/>
              </w:rPr>
              <w:t>..</w:t>
            </w:r>
          </w:p>
        </w:tc>
      </w:tr>
      <w:tr w:rsidR="00A46DCA" w:rsidRPr="00DC33D3" w:rsidTr="00A26D04">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5" w:type="dxa"/>
            <w:tcBorders>
              <w:top w:val="single" w:sz="6" w:space="0" w:color="auto"/>
              <w:bottom w:val="single" w:sz="12" w:space="0" w:color="auto"/>
            </w:tcBorders>
          </w:tcPr>
          <w:p w:rsidR="00A46DCA" w:rsidRPr="00DC33D3" w:rsidRDefault="00A46DCA" w:rsidP="00A26D04">
            <w:pPr>
              <w:keepLines w:val="0"/>
              <w:autoSpaceDE w:val="0"/>
              <w:autoSpaceDN w:val="0"/>
              <w:adjustRightInd w:val="0"/>
              <w:rPr>
                <w:rFonts w:eastAsiaTheme="minorEastAsia" w:cs="Calibri"/>
                <w:bCs/>
                <w:color w:val="000000"/>
                <w:szCs w:val="20"/>
                <w:lang w:eastAsia="en-AU"/>
              </w:rPr>
            </w:pPr>
            <w:r w:rsidRPr="00DC33D3">
              <w:rPr>
                <w:rFonts w:eastAsiaTheme="minorEastAsia" w:cs="Calibri"/>
                <w:bCs/>
                <w:color w:val="000000"/>
                <w:szCs w:val="20"/>
                <w:lang w:eastAsia="en-AU"/>
              </w:rPr>
              <w:t>Total output initiatives</w:t>
            </w:r>
          </w:p>
        </w:tc>
        <w:tc>
          <w:tcPr>
            <w:tcW w:w="850" w:type="dxa"/>
            <w:tcBorders>
              <w:top w:val="single" w:sz="6" w:space="0" w:color="auto"/>
              <w:bottom w:val="single" w:sz="12" w:space="0" w:color="auto"/>
            </w:tcBorders>
          </w:tcPr>
          <w:p w:rsidR="00A46DCA" w:rsidRPr="00DC33D3" w:rsidRDefault="00A46DCA" w:rsidP="00A26D0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20"/>
                <w:lang w:eastAsia="en-AU"/>
              </w:rPr>
            </w:pPr>
            <w:r w:rsidRPr="00DC33D3">
              <w:rPr>
                <w:rFonts w:eastAsiaTheme="minorEastAsia" w:cs="Calibri"/>
                <w:bCs/>
                <w:color w:val="000000"/>
                <w:szCs w:val="20"/>
                <w:lang w:eastAsia="en-AU"/>
              </w:rPr>
              <w:t>9.9</w:t>
            </w:r>
          </w:p>
        </w:tc>
        <w:tc>
          <w:tcPr>
            <w:tcW w:w="850" w:type="dxa"/>
            <w:tcBorders>
              <w:top w:val="single" w:sz="6" w:space="0" w:color="auto"/>
              <w:bottom w:val="single" w:sz="12" w:space="0" w:color="auto"/>
            </w:tcBorders>
          </w:tcPr>
          <w:p w:rsidR="00A46DCA" w:rsidRPr="00DC33D3" w:rsidRDefault="00A46DCA" w:rsidP="00A26D0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20"/>
                <w:lang w:eastAsia="en-AU"/>
              </w:rPr>
            </w:pPr>
            <w:r w:rsidRPr="00DC33D3">
              <w:rPr>
                <w:rFonts w:eastAsiaTheme="minorEastAsia" w:cs="Calibri"/>
                <w:bCs/>
                <w:color w:val="000000"/>
                <w:szCs w:val="20"/>
                <w:lang w:eastAsia="en-AU"/>
              </w:rPr>
              <w:t>6.8</w:t>
            </w:r>
          </w:p>
        </w:tc>
        <w:tc>
          <w:tcPr>
            <w:tcW w:w="850" w:type="dxa"/>
            <w:tcBorders>
              <w:top w:val="single" w:sz="6" w:space="0" w:color="auto"/>
              <w:bottom w:val="single" w:sz="12" w:space="0" w:color="auto"/>
            </w:tcBorders>
          </w:tcPr>
          <w:p w:rsidR="00A46DCA" w:rsidRPr="00DC33D3" w:rsidRDefault="00A46DCA" w:rsidP="00A26D0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20"/>
                <w:lang w:eastAsia="en-AU"/>
              </w:rPr>
            </w:pPr>
            <w:r w:rsidRPr="00DC33D3">
              <w:rPr>
                <w:rFonts w:eastAsiaTheme="minorEastAsia" w:cs="Calibri"/>
                <w:bCs/>
                <w:color w:val="000000"/>
                <w:szCs w:val="20"/>
                <w:lang w:eastAsia="en-AU"/>
              </w:rPr>
              <w:t>3.0</w:t>
            </w:r>
          </w:p>
        </w:tc>
        <w:tc>
          <w:tcPr>
            <w:tcW w:w="850" w:type="dxa"/>
            <w:tcBorders>
              <w:top w:val="single" w:sz="6" w:space="0" w:color="auto"/>
              <w:bottom w:val="single" w:sz="12" w:space="0" w:color="auto"/>
            </w:tcBorders>
          </w:tcPr>
          <w:p w:rsidR="00A46DCA" w:rsidRPr="00DC33D3" w:rsidRDefault="00A46DCA" w:rsidP="00A26D0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20"/>
                <w:lang w:eastAsia="en-AU"/>
              </w:rPr>
            </w:pPr>
            <w:r w:rsidRPr="00DC33D3">
              <w:rPr>
                <w:rFonts w:eastAsiaTheme="minorEastAsia" w:cs="Calibri"/>
                <w:bCs/>
                <w:color w:val="000000"/>
                <w:szCs w:val="20"/>
                <w:lang w:eastAsia="en-AU"/>
              </w:rPr>
              <w:t>1.1</w:t>
            </w:r>
          </w:p>
        </w:tc>
      </w:tr>
    </w:tbl>
    <w:p w:rsidR="00A46DCA" w:rsidRDefault="00A46DCA" w:rsidP="00A26D04">
      <w:pPr>
        <w:pStyle w:val="Heading30"/>
        <w:rPr>
          <w:lang w:eastAsia="en-AU"/>
        </w:rPr>
      </w:pPr>
      <w:r>
        <w:rPr>
          <w:lang w:eastAsia="en-AU"/>
        </w:rPr>
        <w:t>Essential Services Commission – new regulatory information system</w:t>
      </w:r>
    </w:p>
    <w:p w:rsidR="00A46DCA" w:rsidRDefault="00A46DCA" w:rsidP="00A26D04">
      <w:pPr>
        <w:rPr>
          <w:lang w:eastAsia="en-AU"/>
        </w:rPr>
      </w:pPr>
      <w:r>
        <w:rPr>
          <w:lang w:eastAsia="en-AU"/>
        </w:rPr>
        <w:t xml:space="preserve">Work will be undertaken to develop a new regulatory information system for the Essential Services Commission and upgrade the existing website and </w:t>
      </w:r>
      <w:proofErr w:type="spellStart"/>
      <w:r>
        <w:rPr>
          <w:lang w:eastAsia="en-AU"/>
        </w:rPr>
        <w:t>wi-fi</w:t>
      </w:r>
      <w:proofErr w:type="spellEnd"/>
      <w:r>
        <w:rPr>
          <w:lang w:eastAsia="en-AU"/>
        </w:rPr>
        <w:t xml:space="preserve"> technology.</w:t>
      </w:r>
    </w:p>
    <w:p w:rsidR="00A46DCA" w:rsidRDefault="00A46DCA" w:rsidP="00A26D04">
      <w:pPr>
        <w:rPr>
          <w:lang w:eastAsia="en-AU"/>
        </w:rPr>
      </w:pPr>
      <w:r>
        <w:rPr>
          <w:lang w:eastAsia="en-AU"/>
        </w:rPr>
        <w:t>This initiative contributes to the Department of Treasury and Finance’s Economic Regulatory Services output.</w:t>
      </w:r>
    </w:p>
    <w:p w:rsidR="00A46DCA" w:rsidRDefault="00A46DCA" w:rsidP="00A26D04">
      <w:pPr>
        <w:pStyle w:val="Heading30"/>
        <w:rPr>
          <w:lang w:eastAsia="en-AU"/>
        </w:rPr>
      </w:pPr>
      <w:r>
        <w:rPr>
          <w:lang w:eastAsia="en-AU"/>
        </w:rPr>
        <w:t>Incentive fund for regulatory burden reduction</w:t>
      </w:r>
    </w:p>
    <w:p w:rsidR="00A46DCA" w:rsidRDefault="00A46DCA" w:rsidP="00A26D04">
      <w:pPr>
        <w:rPr>
          <w:lang w:eastAsia="en-AU"/>
        </w:rPr>
      </w:pPr>
      <w:r>
        <w:rPr>
          <w:lang w:eastAsia="en-AU"/>
        </w:rPr>
        <w:t>An incentive fund will be established to continue Government’s commitment to reducing red tape for Victorian businesses, individuals, not-for-profit organisations and government service providers. This will support the attraction of new business to Victoria.</w:t>
      </w:r>
    </w:p>
    <w:p w:rsidR="00A46DCA" w:rsidRPr="00BB6942" w:rsidRDefault="00A46DCA" w:rsidP="00A26D04">
      <w:pPr>
        <w:rPr>
          <w:lang w:eastAsia="en-AU"/>
        </w:rPr>
      </w:pPr>
      <w:r>
        <w:rPr>
          <w:lang w:eastAsia="en-AU"/>
        </w:rPr>
        <w:t>This initiative contributes to the Department of Treasury and Finance’s Economic and Policy Advice output.</w:t>
      </w:r>
    </w:p>
    <w:p w:rsidR="00A46DCA" w:rsidRDefault="00A46DCA" w:rsidP="00A26D04">
      <w:pPr>
        <w:pStyle w:val="Heading30"/>
        <w:rPr>
          <w:lang w:eastAsia="en-AU"/>
        </w:rPr>
      </w:pPr>
      <w:r>
        <w:rPr>
          <w:lang w:eastAsia="en-AU"/>
        </w:rPr>
        <w:t>Social Impact Bonds – commencement of round two</w:t>
      </w:r>
    </w:p>
    <w:p w:rsidR="00A46DCA" w:rsidRDefault="00A46DCA" w:rsidP="00A26D04">
      <w:pPr>
        <w:rPr>
          <w:lang w:eastAsia="en-AU"/>
        </w:rPr>
      </w:pPr>
      <w:r>
        <w:rPr>
          <w:lang w:eastAsia="en-AU"/>
        </w:rPr>
        <w:t>Social impact bonds enable investors to fund service providers to develop and test new programs to address complex social issues. This funding will enable the Government to engage the market on a second round of social impact bonds.</w:t>
      </w:r>
    </w:p>
    <w:p w:rsidR="00A46DCA" w:rsidRDefault="00A46DCA" w:rsidP="00A26D04">
      <w:pPr>
        <w:rPr>
          <w:lang w:eastAsia="en-AU"/>
        </w:rPr>
      </w:pPr>
      <w:r>
        <w:rPr>
          <w:lang w:eastAsia="en-AU"/>
        </w:rPr>
        <w:t>This initiative contributes to the Department of Treasury and Finance’s Economic and Policy Advice output.</w:t>
      </w:r>
    </w:p>
    <w:p w:rsidR="00A46DCA" w:rsidRPr="00971450" w:rsidRDefault="00A46DCA" w:rsidP="00A26D04">
      <w:pPr>
        <w:rPr>
          <w:lang w:eastAsia="en-AU"/>
        </w:rPr>
      </w:pPr>
      <w:r>
        <w:rPr>
          <w:lang w:eastAsia="en-AU"/>
        </w:rPr>
        <w:br w:type="page"/>
      </w:r>
    </w:p>
    <w:p w:rsidR="00A46DCA" w:rsidRDefault="00A46DCA" w:rsidP="00A26D04">
      <w:pPr>
        <w:pStyle w:val="Heading10"/>
        <w:rPr>
          <w:lang w:eastAsia="en-AU"/>
        </w:rPr>
      </w:pPr>
      <w:bookmarkStart w:id="84" w:name="_Toc500179551"/>
      <w:bookmarkStart w:id="85" w:name="_Toc500435593"/>
      <w:r>
        <w:rPr>
          <w:lang w:eastAsia="en-AU"/>
        </w:rPr>
        <w:lastRenderedPageBreak/>
        <w:t>Parliament</w:t>
      </w:r>
      <w:bookmarkEnd w:id="84"/>
      <w:bookmarkEnd w:id="85"/>
    </w:p>
    <w:p w:rsidR="00A46DCA" w:rsidRDefault="00A46DCA" w:rsidP="00A26D04">
      <w:pPr>
        <w:pStyle w:val="Heading20"/>
        <w:rPr>
          <w:lang w:eastAsia="en-AU"/>
        </w:rPr>
      </w:pPr>
      <w:r>
        <w:rPr>
          <w:lang w:eastAsia="en-AU"/>
        </w:rPr>
        <w:t>Output initiatives</w:t>
      </w:r>
    </w:p>
    <w:p w:rsidR="00A46DCA" w:rsidRPr="00DC33D3" w:rsidRDefault="00A46DCA" w:rsidP="00A26D04">
      <w:pPr>
        <w:pStyle w:val="TableHeading"/>
        <w:rPr>
          <w:bCs/>
          <w:lang w:val="en-US" w:eastAsia="en-AU"/>
        </w:rPr>
      </w:pPr>
      <w:r>
        <w:rPr>
          <w:lang w:eastAsia="en-AU"/>
        </w:rPr>
        <w:t>Table A.14:</w:t>
      </w:r>
      <w:r>
        <w:rPr>
          <w:lang w:eastAsia="en-AU"/>
        </w:rPr>
        <w:tab/>
        <w:t>Output initiatives – Parliament</w:t>
      </w:r>
      <w:r>
        <w:rPr>
          <w:lang w:eastAsia="en-AU"/>
        </w:rPr>
        <w:tab/>
        <w:t>($ million)</w:t>
      </w:r>
    </w:p>
    <w:tbl>
      <w:tblPr>
        <w:tblStyle w:val="DTFTable"/>
        <w:tblW w:w="7765" w:type="dxa"/>
        <w:tblInd w:w="45" w:type="dxa"/>
        <w:tblLayout w:type="fixed"/>
        <w:tblCellMar>
          <w:left w:w="45" w:type="dxa"/>
          <w:right w:w="45" w:type="dxa"/>
        </w:tblCellMar>
        <w:tblLook w:val="06A0" w:firstRow="1" w:lastRow="0" w:firstColumn="1" w:lastColumn="0" w:noHBand="1" w:noVBand="1"/>
      </w:tblPr>
      <w:tblGrid>
        <w:gridCol w:w="4535"/>
        <w:gridCol w:w="97"/>
        <w:gridCol w:w="583"/>
        <w:gridCol w:w="850"/>
        <w:gridCol w:w="850"/>
        <w:gridCol w:w="850"/>
      </w:tblGrid>
      <w:tr w:rsidR="00A46DCA" w:rsidRPr="00DC33D3" w:rsidTr="004906A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535" w:type="dxa"/>
            <w:tcBorders>
              <w:top w:val="nil"/>
              <w:left w:val="nil"/>
              <w:bottom w:val="nil"/>
              <w:right w:val="nil"/>
            </w:tcBorders>
            <w:shd w:val="solid" w:color="000000" w:fill="auto"/>
          </w:tcPr>
          <w:p w:rsidR="00A46DCA" w:rsidRPr="00DC33D3" w:rsidRDefault="00A46DCA" w:rsidP="00A26D04">
            <w:pPr>
              <w:autoSpaceDE w:val="0"/>
              <w:autoSpaceDN w:val="0"/>
              <w:adjustRightInd w:val="0"/>
              <w:rPr>
                <w:rFonts w:eastAsiaTheme="minorEastAsia" w:cs="Calibri"/>
                <w:color w:val="FFFFFF"/>
                <w:szCs w:val="20"/>
                <w:lang w:eastAsia="en-AU"/>
              </w:rPr>
            </w:pPr>
            <w:r w:rsidRPr="00DC33D3">
              <w:rPr>
                <w:rFonts w:eastAsiaTheme="minorEastAsia" w:cs="Calibri"/>
                <w:color w:val="FFFFFF"/>
                <w:szCs w:val="20"/>
                <w:lang w:eastAsia="en-AU"/>
              </w:rPr>
              <w:t xml:space="preserve"> </w:t>
            </w:r>
          </w:p>
        </w:tc>
        <w:tc>
          <w:tcPr>
            <w:tcW w:w="680" w:type="dxa"/>
            <w:gridSpan w:val="2"/>
            <w:tcBorders>
              <w:top w:val="nil"/>
              <w:left w:val="nil"/>
              <w:bottom w:val="nil"/>
              <w:right w:val="nil"/>
            </w:tcBorders>
            <w:shd w:val="solid" w:color="000000" w:fill="auto"/>
          </w:tcPr>
          <w:p w:rsidR="00A46DCA" w:rsidRPr="00DC33D3" w:rsidRDefault="00A46DCA" w:rsidP="00A26D0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20"/>
                <w:lang w:eastAsia="en-AU"/>
              </w:rPr>
            </w:pPr>
            <w:r w:rsidRPr="00DC33D3">
              <w:rPr>
                <w:rFonts w:eastAsiaTheme="minorEastAsia" w:cs="Calibri"/>
                <w:iCs/>
                <w:color w:val="FFFFFF"/>
                <w:szCs w:val="20"/>
                <w:lang w:eastAsia="en-AU"/>
              </w:rPr>
              <w:t>2017-18</w:t>
            </w:r>
          </w:p>
        </w:tc>
        <w:tc>
          <w:tcPr>
            <w:tcW w:w="850" w:type="dxa"/>
            <w:tcBorders>
              <w:top w:val="nil"/>
              <w:left w:val="nil"/>
              <w:bottom w:val="nil"/>
              <w:right w:val="nil"/>
            </w:tcBorders>
            <w:shd w:val="solid" w:color="000000" w:fill="auto"/>
          </w:tcPr>
          <w:p w:rsidR="00A46DCA" w:rsidRPr="00DC33D3" w:rsidRDefault="00A46DCA" w:rsidP="00A26D0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20"/>
                <w:lang w:eastAsia="en-AU"/>
              </w:rPr>
            </w:pPr>
            <w:r w:rsidRPr="00DC33D3">
              <w:rPr>
                <w:rFonts w:eastAsiaTheme="minorEastAsia" w:cs="Calibri"/>
                <w:iCs/>
                <w:color w:val="FFFFFF"/>
                <w:szCs w:val="20"/>
                <w:lang w:eastAsia="en-AU"/>
              </w:rPr>
              <w:t>2018-19</w:t>
            </w:r>
          </w:p>
        </w:tc>
        <w:tc>
          <w:tcPr>
            <w:tcW w:w="850" w:type="dxa"/>
            <w:tcBorders>
              <w:top w:val="nil"/>
              <w:left w:val="nil"/>
              <w:bottom w:val="nil"/>
              <w:right w:val="nil"/>
            </w:tcBorders>
            <w:shd w:val="solid" w:color="000000" w:fill="auto"/>
          </w:tcPr>
          <w:p w:rsidR="00A46DCA" w:rsidRPr="00DC33D3" w:rsidRDefault="00A46DCA" w:rsidP="00A26D0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20"/>
                <w:lang w:eastAsia="en-AU"/>
              </w:rPr>
            </w:pPr>
            <w:r w:rsidRPr="00DC33D3">
              <w:rPr>
                <w:rFonts w:eastAsiaTheme="minorEastAsia" w:cs="Calibri"/>
                <w:iCs/>
                <w:color w:val="FFFFFF"/>
                <w:szCs w:val="20"/>
                <w:lang w:eastAsia="en-AU"/>
              </w:rPr>
              <w:t>2019-20</w:t>
            </w:r>
          </w:p>
        </w:tc>
        <w:tc>
          <w:tcPr>
            <w:tcW w:w="850" w:type="dxa"/>
            <w:tcBorders>
              <w:top w:val="nil"/>
              <w:left w:val="nil"/>
              <w:bottom w:val="nil"/>
              <w:right w:val="nil"/>
            </w:tcBorders>
            <w:shd w:val="solid" w:color="000000" w:fill="auto"/>
          </w:tcPr>
          <w:p w:rsidR="00A46DCA" w:rsidRPr="00DC33D3" w:rsidRDefault="00A46DCA" w:rsidP="00A26D0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20"/>
                <w:lang w:eastAsia="en-AU"/>
              </w:rPr>
            </w:pPr>
            <w:r w:rsidRPr="00DC33D3">
              <w:rPr>
                <w:rFonts w:eastAsiaTheme="minorEastAsia" w:cs="Calibri"/>
                <w:iCs/>
                <w:color w:val="FFFFFF"/>
                <w:szCs w:val="20"/>
                <w:lang w:eastAsia="en-AU"/>
              </w:rPr>
              <w:t>2020-21</w:t>
            </w:r>
          </w:p>
        </w:tc>
      </w:tr>
      <w:tr w:rsidR="00A46DCA" w:rsidRPr="00DC33D3" w:rsidTr="004906A4">
        <w:tc>
          <w:tcPr>
            <w:cnfStyle w:val="001000000000" w:firstRow="0" w:lastRow="0" w:firstColumn="1" w:lastColumn="0" w:oddVBand="0" w:evenVBand="0" w:oddHBand="0" w:evenHBand="0" w:firstRowFirstColumn="0" w:firstRowLastColumn="0" w:lastRowFirstColumn="0" w:lastRowLastColumn="0"/>
            <w:tcW w:w="4535" w:type="dxa"/>
            <w:tcBorders>
              <w:top w:val="nil"/>
              <w:left w:val="nil"/>
              <w:bottom w:val="nil"/>
              <w:right w:val="nil"/>
            </w:tcBorders>
          </w:tcPr>
          <w:p w:rsidR="00A46DCA" w:rsidRPr="00DC33D3" w:rsidRDefault="00A46DCA" w:rsidP="00A26D04">
            <w:pPr>
              <w:keepLines w:val="0"/>
              <w:autoSpaceDE w:val="0"/>
              <w:autoSpaceDN w:val="0"/>
              <w:adjustRightInd w:val="0"/>
              <w:rPr>
                <w:rFonts w:eastAsiaTheme="minorEastAsia" w:cs="Calibri"/>
                <w:color w:val="000000"/>
                <w:szCs w:val="20"/>
                <w:lang w:eastAsia="en-AU"/>
              </w:rPr>
            </w:pPr>
            <w:r w:rsidRPr="00DC33D3">
              <w:rPr>
                <w:rFonts w:eastAsiaTheme="minorEastAsia" w:cs="Calibri"/>
                <w:color w:val="000000"/>
                <w:szCs w:val="20"/>
                <w:lang w:eastAsia="en-AU"/>
              </w:rPr>
              <w:t>Additional funding for Electorate Officers</w:t>
            </w:r>
          </w:p>
        </w:tc>
        <w:tc>
          <w:tcPr>
            <w:tcW w:w="680" w:type="dxa"/>
            <w:gridSpan w:val="2"/>
            <w:tcBorders>
              <w:top w:val="nil"/>
              <w:left w:val="nil"/>
              <w:bottom w:val="nil"/>
              <w:right w:val="nil"/>
            </w:tcBorders>
          </w:tcPr>
          <w:p w:rsidR="00A46DCA" w:rsidRPr="00DC33D3"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DC33D3">
              <w:rPr>
                <w:rFonts w:eastAsiaTheme="minorEastAsia" w:cs="Calibri"/>
                <w:color w:val="000000"/>
                <w:szCs w:val="20"/>
                <w:lang w:eastAsia="en-AU"/>
              </w:rPr>
              <w:t>0.2</w:t>
            </w:r>
          </w:p>
        </w:tc>
        <w:tc>
          <w:tcPr>
            <w:tcW w:w="850" w:type="dxa"/>
            <w:tcBorders>
              <w:top w:val="nil"/>
              <w:left w:val="nil"/>
              <w:bottom w:val="nil"/>
              <w:right w:val="nil"/>
            </w:tcBorders>
          </w:tcPr>
          <w:p w:rsidR="00A46DCA" w:rsidRPr="00DC33D3"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DC33D3">
              <w:rPr>
                <w:rFonts w:eastAsiaTheme="minorEastAsia" w:cs="Calibri"/>
                <w:color w:val="000000"/>
                <w:szCs w:val="20"/>
                <w:lang w:eastAsia="en-AU"/>
              </w:rPr>
              <w:t>0.2</w:t>
            </w:r>
          </w:p>
        </w:tc>
        <w:tc>
          <w:tcPr>
            <w:tcW w:w="850" w:type="dxa"/>
            <w:tcBorders>
              <w:top w:val="nil"/>
              <w:left w:val="nil"/>
              <w:bottom w:val="nil"/>
              <w:right w:val="nil"/>
            </w:tcBorders>
          </w:tcPr>
          <w:p w:rsidR="00A46DCA" w:rsidRPr="00DC33D3"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DC33D3">
              <w:rPr>
                <w:rFonts w:eastAsiaTheme="minorEastAsia" w:cs="Calibri"/>
                <w:color w:val="000000"/>
                <w:szCs w:val="20"/>
                <w:lang w:eastAsia="en-AU"/>
              </w:rPr>
              <w:t>0.2</w:t>
            </w:r>
          </w:p>
        </w:tc>
        <w:tc>
          <w:tcPr>
            <w:tcW w:w="850" w:type="dxa"/>
            <w:tcBorders>
              <w:top w:val="nil"/>
              <w:left w:val="nil"/>
              <w:bottom w:val="nil"/>
              <w:right w:val="nil"/>
            </w:tcBorders>
          </w:tcPr>
          <w:p w:rsidR="00A46DCA" w:rsidRPr="00DC33D3"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DC33D3">
              <w:rPr>
                <w:rFonts w:eastAsiaTheme="minorEastAsia" w:cs="Calibri"/>
                <w:color w:val="000000"/>
                <w:szCs w:val="20"/>
                <w:lang w:eastAsia="en-AU"/>
              </w:rPr>
              <w:t>0.2</w:t>
            </w:r>
          </w:p>
        </w:tc>
      </w:tr>
      <w:tr w:rsidR="00A46DCA" w:rsidRPr="00DC33D3" w:rsidTr="00A26D04">
        <w:tc>
          <w:tcPr>
            <w:cnfStyle w:val="001000000000" w:firstRow="0" w:lastRow="0" w:firstColumn="1" w:lastColumn="0" w:oddVBand="0" w:evenVBand="0" w:oddHBand="0" w:evenHBand="0" w:firstRowFirstColumn="0" w:firstRowLastColumn="0" w:lastRowFirstColumn="0" w:lastRowLastColumn="0"/>
            <w:tcW w:w="4632" w:type="dxa"/>
            <w:gridSpan w:val="2"/>
            <w:tcBorders>
              <w:top w:val="nil"/>
              <w:left w:val="nil"/>
              <w:bottom w:val="nil"/>
              <w:right w:val="nil"/>
            </w:tcBorders>
          </w:tcPr>
          <w:p w:rsidR="00A46DCA" w:rsidRPr="00DC33D3" w:rsidRDefault="00A46DCA" w:rsidP="00A26D04">
            <w:pPr>
              <w:keepLines w:val="0"/>
              <w:autoSpaceDE w:val="0"/>
              <w:autoSpaceDN w:val="0"/>
              <w:adjustRightInd w:val="0"/>
              <w:rPr>
                <w:rFonts w:eastAsiaTheme="minorEastAsia" w:cs="Calibri"/>
                <w:color w:val="000000"/>
                <w:szCs w:val="20"/>
                <w:lang w:eastAsia="en-AU"/>
              </w:rPr>
            </w:pPr>
            <w:r w:rsidRPr="00DC33D3">
              <w:rPr>
                <w:rFonts w:eastAsiaTheme="minorEastAsia" w:cs="Calibri"/>
                <w:color w:val="000000"/>
                <w:szCs w:val="20"/>
                <w:lang w:eastAsia="en-AU"/>
              </w:rPr>
              <w:t>Increase support for Legislative Council Investigative Committees</w:t>
            </w:r>
          </w:p>
        </w:tc>
        <w:tc>
          <w:tcPr>
            <w:tcW w:w="578" w:type="dxa"/>
            <w:tcBorders>
              <w:top w:val="nil"/>
              <w:left w:val="nil"/>
              <w:bottom w:val="nil"/>
              <w:right w:val="nil"/>
            </w:tcBorders>
          </w:tcPr>
          <w:p w:rsidR="00A46DCA" w:rsidRPr="00DC33D3"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DC33D3">
              <w:rPr>
                <w:rFonts w:eastAsiaTheme="minorEastAsia" w:cs="Calibri"/>
                <w:color w:val="000000"/>
                <w:szCs w:val="20"/>
                <w:lang w:eastAsia="en-AU"/>
              </w:rPr>
              <w:t>..</w:t>
            </w:r>
          </w:p>
        </w:tc>
        <w:tc>
          <w:tcPr>
            <w:tcW w:w="850" w:type="dxa"/>
            <w:tcBorders>
              <w:top w:val="nil"/>
              <w:left w:val="nil"/>
              <w:bottom w:val="nil"/>
              <w:right w:val="nil"/>
            </w:tcBorders>
          </w:tcPr>
          <w:p w:rsidR="00A46DCA" w:rsidRPr="00DC33D3"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DC33D3">
              <w:rPr>
                <w:rFonts w:eastAsiaTheme="minorEastAsia" w:cs="Calibri"/>
                <w:color w:val="000000"/>
                <w:szCs w:val="20"/>
                <w:lang w:eastAsia="en-AU"/>
              </w:rPr>
              <w:t>0.7</w:t>
            </w:r>
          </w:p>
        </w:tc>
        <w:tc>
          <w:tcPr>
            <w:tcW w:w="850" w:type="dxa"/>
            <w:tcBorders>
              <w:top w:val="nil"/>
              <w:left w:val="nil"/>
              <w:bottom w:val="nil"/>
              <w:right w:val="nil"/>
            </w:tcBorders>
          </w:tcPr>
          <w:p w:rsidR="00A46DCA" w:rsidRPr="00DC33D3"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DC33D3">
              <w:rPr>
                <w:rFonts w:eastAsiaTheme="minorEastAsia" w:cs="Calibri"/>
                <w:color w:val="000000"/>
                <w:szCs w:val="20"/>
                <w:lang w:eastAsia="en-AU"/>
              </w:rPr>
              <w:t>0.7</w:t>
            </w:r>
          </w:p>
        </w:tc>
        <w:tc>
          <w:tcPr>
            <w:tcW w:w="850" w:type="dxa"/>
            <w:tcBorders>
              <w:top w:val="nil"/>
              <w:left w:val="nil"/>
              <w:bottom w:val="nil"/>
              <w:right w:val="nil"/>
            </w:tcBorders>
          </w:tcPr>
          <w:p w:rsidR="00A46DCA" w:rsidRPr="00DC33D3"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DC33D3">
              <w:rPr>
                <w:rFonts w:eastAsiaTheme="minorEastAsia" w:cs="Calibri"/>
                <w:color w:val="000000"/>
                <w:szCs w:val="20"/>
                <w:lang w:eastAsia="en-AU"/>
              </w:rPr>
              <w:t>0.8</w:t>
            </w:r>
          </w:p>
        </w:tc>
      </w:tr>
      <w:tr w:rsidR="00A46DCA" w:rsidRPr="00DC33D3" w:rsidTr="00A26D04">
        <w:tc>
          <w:tcPr>
            <w:cnfStyle w:val="001000000000" w:firstRow="0" w:lastRow="0" w:firstColumn="1" w:lastColumn="0" w:oddVBand="0" w:evenVBand="0" w:oddHBand="0" w:evenHBand="0" w:firstRowFirstColumn="0" w:firstRowLastColumn="0" w:lastRowFirstColumn="0" w:lastRowLastColumn="0"/>
            <w:tcW w:w="4535" w:type="dxa"/>
            <w:tcBorders>
              <w:top w:val="single" w:sz="6" w:space="0" w:color="auto"/>
              <w:left w:val="nil"/>
              <w:bottom w:val="single" w:sz="12" w:space="0" w:color="auto"/>
              <w:right w:val="nil"/>
            </w:tcBorders>
          </w:tcPr>
          <w:p w:rsidR="00A46DCA" w:rsidRPr="00DC33D3" w:rsidRDefault="00A46DCA" w:rsidP="00A26D04">
            <w:pPr>
              <w:keepLines w:val="0"/>
              <w:autoSpaceDE w:val="0"/>
              <w:autoSpaceDN w:val="0"/>
              <w:adjustRightInd w:val="0"/>
              <w:rPr>
                <w:rFonts w:eastAsiaTheme="minorEastAsia" w:cs="Calibri"/>
                <w:b/>
                <w:bCs/>
                <w:color w:val="000000"/>
                <w:szCs w:val="20"/>
                <w:vertAlign w:val="superscript"/>
                <w:lang w:eastAsia="en-AU"/>
              </w:rPr>
            </w:pPr>
            <w:r w:rsidRPr="00DC33D3">
              <w:rPr>
                <w:rFonts w:eastAsiaTheme="minorEastAsia" w:cs="Calibri"/>
                <w:b/>
                <w:bCs/>
                <w:color w:val="000000"/>
                <w:szCs w:val="20"/>
                <w:lang w:eastAsia="en-AU"/>
              </w:rPr>
              <w:t>Total output initiatives</w:t>
            </w:r>
            <w:r w:rsidR="004906A4">
              <w:rPr>
                <w:rFonts w:eastAsiaTheme="minorEastAsia" w:cs="Calibri"/>
                <w:b/>
                <w:bCs/>
                <w:color w:val="000000"/>
                <w:szCs w:val="20"/>
                <w:lang w:eastAsia="en-AU"/>
              </w:rPr>
              <w:t xml:space="preserve"> </w:t>
            </w:r>
            <w:r w:rsidRPr="00DC33D3">
              <w:rPr>
                <w:rFonts w:eastAsiaTheme="minorEastAsia" w:cs="Calibri"/>
                <w:b/>
                <w:bCs/>
                <w:color w:val="000000"/>
                <w:szCs w:val="20"/>
                <w:vertAlign w:val="superscript"/>
                <w:lang w:eastAsia="en-AU"/>
              </w:rPr>
              <w:t>(a)</w:t>
            </w:r>
          </w:p>
        </w:tc>
        <w:tc>
          <w:tcPr>
            <w:tcW w:w="680" w:type="dxa"/>
            <w:gridSpan w:val="2"/>
            <w:tcBorders>
              <w:top w:val="single" w:sz="6" w:space="0" w:color="auto"/>
              <w:left w:val="nil"/>
              <w:bottom w:val="single" w:sz="12" w:space="0" w:color="auto"/>
              <w:right w:val="nil"/>
            </w:tcBorders>
          </w:tcPr>
          <w:p w:rsidR="00A46DCA" w:rsidRPr="00DC33D3"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0"/>
                <w:lang w:eastAsia="en-AU"/>
              </w:rPr>
            </w:pPr>
            <w:r w:rsidRPr="00DC33D3">
              <w:rPr>
                <w:rFonts w:eastAsiaTheme="minorEastAsia" w:cs="Calibri"/>
                <w:b/>
                <w:bCs/>
                <w:color w:val="000000"/>
                <w:szCs w:val="20"/>
                <w:lang w:eastAsia="en-AU"/>
              </w:rPr>
              <w:t>0.2</w:t>
            </w:r>
          </w:p>
        </w:tc>
        <w:tc>
          <w:tcPr>
            <w:tcW w:w="850" w:type="dxa"/>
            <w:tcBorders>
              <w:top w:val="single" w:sz="6" w:space="0" w:color="auto"/>
              <w:left w:val="nil"/>
              <w:bottom w:val="single" w:sz="12" w:space="0" w:color="auto"/>
              <w:right w:val="nil"/>
            </w:tcBorders>
          </w:tcPr>
          <w:p w:rsidR="00A46DCA" w:rsidRPr="00DC33D3"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0"/>
                <w:lang w:eastAsia="en-AU"/>
              </w:rPr>
            </w:pPr>
            <w:r w:rsidRPr="00DC33D3">
              <w:rPr>
                <w:rFonts w:eastAsiaTheme="minorEastAsia" w:cs="Calibri"/>
                <w:b/>
                <w:bCs/>
                <w:color w:val="000000"/>
                <w:szCs w:val="20"/>
                <w:lang w:eastAsia="en-AU"/>
              </w:rPr>
              <w:t>0.9</w:t>
            </w:r>
          </w:p>
        </w:tc>
        <w:tc>
          <w:tcPr>
            <w:tcW w:w="850" w:type="dxa"/>
            <w:tcBorders>
              <w:top w:val="single" w:sz="6" w:space="0" w:color="auto"/>
              <w:left w:val="nil"/>
              <w:bottom w:val="single" w:sz="12" w:space="0" w:color="auto"/>
              <w:right w:val="nil"/>
            </w:tcBorders>
          </w:tcPr>
          <w:p w:rsidR="00A46DCA" w:rsidRPr="00DC33D3"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0"/>
                <w:lang w:eastAsia="en-AU"/>
              </w:rPr>
            </w:pPr>
            <w:r w:rsidRPr="00DC33D3">
              <w:rPr>
                <w:rFonts w:eastAsiaTheme="minorEastAsia" w:cs="Calibri"/>
                <w:b/>
                <w:bCs/>
                <w:color w:val="000000"/>
                <w:szCs w:val="20"/>
                <w:lang w:eastAsia="en-AU"/>
              </w:rPr>
              <w:t>0.9</w:t>
            </w:r>
          </w:p>
        </w:tc>
        <w:tc>
          <w:tcPr>
            <w:tcW w:w="850" w:type="dxa"/>
            <w:tcBorders>
              <w:top w:val="single" w:sz="6" w:space="0" w:color="auto"/>
              <w:left w:val="nil"/>
              <w:bottom w:val="single" w:sz="12" w:space="0" w:color="auto"/>
              <w:right w:val="nil"/>
            </w:tcBorders>
          </w:tcPr>
          <w:p w:rsidR="00A46DCA" w:rsidRPr="00DC33D3"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0"/>
                <w:lang w:eastAsia="en-AU"/>
              </w:rPr>
            </w:pPr>
            <w:r w:rsidRPr="00DC33D3">
              <w:rPr>
                <w:rFonts w:eastAsiaTheme="minorEastAsia" w:cs="Calibri"/>
                <w:b/>
                <w:bCs/>
                <w:color w:val="000000"/>
                <w:szCs w:val="20"/>
                <w:lang w:eastAsia="en-AU"/>
              </w:rPr>
              <w:t>0.9</w:t>
            </w:r>
          </w:p>
        </w:tc>
      </w:tr>
    </w:tbl>
    <w:p w:rsidR="00A46DCA" w:rsidRDefault="00A46DCA" w:rsidP="00A26D04">
      <w:pPr>
        <w:pStyle w:val="Note"/>
        <w:rPr>
          <w:lang w:eastAsia="en-AU"/>
        </w:rPr>
      </w:pPr>
      <w:r>
        <w:rPr>
          <w:lang w:eastAsia="en-AU"/>
        </w:rPr>
        <w:t>Note:</w:t>
      </w:r>
    </w:p>
    <w:p w:rsidR="00A46DCA" w:rsidRDefault="00A46DCA" w:rsidP="00A26D04">
      <w:pPr>
        <w:pStyle w:val="Note"/>
        <w:rPr>
          <w:lang w:eastAsia="en-AU"/>
        </w:rPr>
      </w:pPr>
      <w:r>
        <w:rPr>
          <w:lang w:eastAsia="en-AU"/>
        </w:rPr>
        <w:t>(a)</w:t>
      </w:r>
      <w:r>
        <w:rPr>
          <w:lang w:eastAsia="en-AU"/>
        </w:rPr>
        <w:tab/>
        <w:t>Table may not add due to rounding.</w:t>
      </w:r>
    </w:p>
    <w:p w:rsidR="00A46DCA" w:rsidRDefault="00A46DCA" w:rsidP="00A26D04">
      <w:pPr>
        <w:pStyle w:val="Heading30"/>
        <w:rPr>
          <w:lang w:eastAsia="en-AU"/>
        </w:rPr>
      </w:pPr>
      <w:r>
        <w:rPr>
          <w:lang w:eastAsia="en-AU"/>
        </w:rPr>
        <w:t>Additional funding for Electorate Officers</w:t>
      </w:r>
    </w:p>
    <w:p w:rsidR="00A46DCA" w:rsidRDefault="00A46DCA" w:rsidP="00A26D04">
      <w:r>
        <w:t>Parliament will receive additional funding for Electorate Officers for the Speaker of the Legislative Assembly and the President of the Legislative Council, recognising increases in their respective workload.</w:t>
      </w:r>
    </w:p>
    <w:p w:rsidR="00A46DCA" w:rsidRDefault="00A46DCA" w:rsidP="00A26D04">
      <w:pPr>
        <w:rPr>
          <w:lang w:eastAsia="en-AU"/>
        </w:rPr>
      </w:pPr>
      <w:r>
        <w:rPr>
          <w:lang w:eastAsia="en-AU"/>
        </w:rPr>
        <w:t>This initiative contributes to Parliament’s Provision of Information and Resources to Parliament output.</w:t>
      </w:r>
    </w:p>
    <w:p w:rsidR="00A46DCA" w:rsidRDefault="00A46DCA" w:rsidP="00A26D04">
      <w:pPr>
        <w:pStyle w:val="Heading30"/>
        <w:rPr>
          <w:lang w:eastAsia="en-AU"/>
        </w:rPr>
      </w:pPr>
      <w:r>
        <w:rPr>
          <w:lang w:eastAsia="en-AU"/>
        </w:rPr>
        <w:t>Increase support for Legislative Council Investigative Committees</w:t>
      </w:r>
    </w:p>
    <w:p w:rsidR="00A46DCA" w:rsidRPr="00A82B6E" w:rsidRDefault="00A46DCA" w:rsidP="00A26D04">
      <w:r>
        <w:rPr>
          <w:lang w:eastAsia="en-AU"/>
        </w:rPr>
        <w:t xml:space="preserve">Parliament will receive </w:t>
      </w:r>
      <w:r>
        <w:t>additional funding to support the work of Legislative Council Investigative Committees.</w:t>
      </w:r>
    </w:p>
    <w:p w:rsidR="00A46DCA" w:rsidRDefault="00A46DCA" w:rsidP="00A26D04">
      <w:r w:rsidRPr="00A82B6E">
        <w:t>This initiative contributes to Parliament</w:t>
      </w:r>
      <w:r>
        <w:t>’</w:t>
      </w:r>
      <w:r w:rsidRPr="00A82B6E">
        <w:t>s Provision of Information and Resources to</w:t>
      </w:r>
      <w:r>
        <w:t xml:space="preserve"> </w:t>
      </w:r>
      <w:r w:rsidRPr="00A82B6E">
        <w:t>Parliament output.</w:t>
      </w:r>
    </w:p>
    <w:p w:rsidR="00A46DCA" w:rsidRDefault="00A46DCA" w:rsidP="00A26D04">
      <w:r>
        <w:br w:type="page"/>
      </w:r>
    </w:p>
    <w:p w:rsidR="00A46DCA" w:rsidRDefault="00A46DCA" w:rsidP="00A26D04">
      <w:pPr>
        <w:pStyle w:val="Heading10"/>
      </w:pPr>
      <w:bookmarkStart w:id="86" w:name="_Toc500179552"/>
      <w:bookmarkStart w:id="87" w:name="_Toc500435594"/>
      <w:r>
        <w:lastRenderedPageBreak/>
        <w:t>Court Services Victoria</w:t>
      </w:r>
      <w:bookmarkEnd w:id="86"/>
      <w:bookmarkEnd w:id="87"/>
    </w:p>
    <w:p w:rsidR="00A46DCA" w:rsidRDefault="00A46DCA" w:rsidP="00A26D04">
      <w:pPr>
        <w:pStyle w:val="Heading20"/>
        <w:rPr>
          <w:lang w:eastAsia="en-AU"/>
        </w:rPr>
      </w:pPr>
      <w:r>
        <w:rPr>
          <w:lang w:eastAsia="en-AU"/>
        </w:rPr>
        <w:t>Output initiatives</w:t>
      </w:r>
    </w:p>
    <w:p w:rsidR="00A46DCA" w:rsidRPr="00DC33D3" w:rsidRDefault="00A46DCA" w:rsidP="00A26D04">
      <w:pPr>
        <w:pStyle w:val="TableHeading"/>
        <w:rPr>
          <w:bCs/>
          <w:lang w:val="en-US" w:eastAsia="en-AU"/>
        </w:rPr>
      </w:pPr>
      <w:r>
        <w:rPr>
          <w:lang w:eastAsia="en-AU"/>
        </w:rPr>
        <w:t>Table A.15:</w:t>
      </w:r>
      <w:r>
        <w:rPr>
          <w:lang w:eastAsia="en-AU"/>
        </w:rPr>
        <w:tab/>
        <w:t>Output initiatives – Court Services Victoria</w:t>
      </w:r>
      <w:r>
        <w:rPr>
          <w:lang w:eastAsia="en-AU"/>
        </w:rPr>
        <w:tab/>
        <w:t>($ million)</w:t>
      </w:r>
    </w:p>
    <w:tbl>
      <w:tblPr>
        <w:tblStyle w:val="DTFTable"/>
        <w:tblW w:w="7765" w:type="dxa"/>
        <w:tblInd w:w="45" w:type="dxa"/>
        <w:tblLayout w:type="fixed"/>
        <w:tblCellMar>
          <w:left w:w="45" w:type="dxa"/>
          <w:right w:w="45" w:type="dxa"/>
        </w:tblCellMar>
        <w:tblLook w:val="06E0" w:firstRow="1" w:lastRow="1" w:firstColumn="1" w:lastColumn="0" w:noHBand="1" w:noVBand="1"/>
      </w:tblPr>
      <w:tblGrid>
        <w:gridCol w:w="4365"/>
        <w:gridCol w:w="850"/>
        <w:gridCol w:w="850"/>
        <w:gridCol w:w="850"/>
        <w:gridCol w:w="850"/>
      </w:tblGrid>
      <w:tr w:rsidR="00A46DCA" w:rsidRPr="00DC33D3" w:rsidTr="004906A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365" w:type="dxa"/>
            <w:tcBorders>
              <w:top w:val="nil"/>
              <w:left w:val="nil"/>
              <w:bottom w:val="nil"/>
              <w:right w:val="nil"/>
            </w:tcBorders>
            <w:shd w:val="solid" w:color="000000" w:fill="auto"/>
          </w:tcPr>
          <w:p w:rsidR="00A46DCA" w:rsidRPr="00DC33D3" w:rsidRDefault="00A46DCA" w:rsidP="00A26D04">
            <w:pPr>
              <w:autoSpaceDE w:val="0"/>
              <w:autoSpaceDN w:val="0"/>
              <w:adjustRightInd w:val="0"/>
              <w:rPr>
                <w:rFonts w:eastAsiaTheme="minorEastAsia" w:cs="Calibri"/>
                <w:color w:val="FFFFFF"/>
                <w:szCs w:val="20"/>
                <w:lang w:eastAsia="en-AU"/>
              </w:rPr>
            </w:pPr>
            <w:r w:rsidRPr="00DC33D3">
              <w:rPr>
                <w:rFonts w:eastAsiaTheme="minorEastAsia" w:cs="Calibri"/>
                <w:color w:val="FFFFFF"/>
                <w:szCs w:val="20"/>
                <w:lang w:eastAsia="en-AU"/>
              </w:rPr>
              <w:t xml:space="preserve"> </w:t>
            </w:r>
          </w:p>
        </w:tc>
        <w:tc>
          <w:tcPr>
            <w:tcW w:w="850" w:type="dxa"/>
            <w:tcBorders>
              <w:top w:val="nil"/>
              <w:left w:val="nil"/>
              <w:bottom w:val="nil"/>
              <w:right w:val="nil"/>
            </w:tcBorders>
            <w:shd w:val="solid" w:color="000000" w:fill="auto"/>
          </w:tcPr>
          <w:p w:rsidR="00A46DCA" w:rsidRPr="00DC33D3" w:rsidRDefault="00A46DCA" w:rsidP="00A26D0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20"/>
                <w:lang w:eastAsia="en-AU"/>
              </w:rPr>
            </w:pPr>
            <w:r w:rsidRPr="00DC33D3">
              <w:rPr>
                <w:rFonts w:eastAsiaTheme="minorEastAsia" w:cs="Calibri"/>
                <w:iCs/>
                <w:color w:val="FFFFFF"/>
                <w:szCs w:val="20"/>
                <w:lang w:eastAsia="en-AU"/>
              </w:rPr>
              <w:t>2017-18</w:t>
            </w:r>
          </w:p>
        </w:tc>
        <w:tc>
          <w:tcPr>
            <w:tcW w:w="850" w:type="dxa"/>
            <w:tcBorders>
              <w:top w:val="nil"/>
              <w:left w:val="nil"/>
              <w:bottom w:val="nil"/>
              <w:right w:val="nil"/>
            </w:tcBorders>
            <w:shd w:val="solid" w:color="000000" w:fill="auto"/>
          </w:tcPr>
          <w:p w:rsidR="00A46DCA" w:rsidRPr="00DC33D3" w:rsidRDefault="00A46DCA" w:rsidP="00A26D0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20"/>
                <w:lang w:eastAsia="en-AU"/>
              </w:rPr>
            </w:pPr>
            <w:r w:rsidRPr="00DC33D3">
              <w:rPr>
                <w:rFonts w:eastAsiaTheme="minorEastAsia" w:cs="Calibri"/>
                <w:iCs/>
                <w:color w:val="FFFFFF"/>
                <w:szCs w:val="20"/>
                <w:lang w:eastAsia="en-AU"/>
              </w:rPr>
              <w:t>2018-19</w:t>
            </w:r>
          </w:p>
        </w:tc>
        <w:tc>
          <w:tcPr>
            <w:tcW w:w="850" w:type="dxa"/>
            <w:tcBorders>
              <w:top w:val="nil"/>
              <w:left w:val="nil"/>
              <w:bottom w:val="nil"/>
              <w:right w:val="nil"/>
            </w:tcBorders>
            <w:shd w:val="solid" w:color="000000" w:fill="auto"/>
          </w:tcPr>
          <w:p w:rsidR="00A46DCA" w:rsidRPr="00DC33D3" w:rsidRDefault="00A46DCA" w:rsidP="00A26D0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20"/>
                <w:lang w:eastAsia="en-AU"/>
              </w:rPr>
            </w:pPr>
            <w:r w:rsidRPr="00DC33D3">
              <w:rPr>
                <w:rFonts w:eastAsiaTheme="minorEastAsia" w:cs="Calibri"/>
                <w:iCs/>
                <w:color w:val="FFFFFF"/>
                <w:szCs w:val="20"/>
                <w:lang w:eastAsia="en-AU"/>
              </w:rPr>
              <w:t>2019-20</w:t>
            </w:r>
          </w:p>
        </w:tc>
        <w:tc>
          <w:tcPr>
            <w:tcW w:w="850" w:type="dxa"/>
            <w:tcBorders>
              <w:top w:val="nil"/>
              <w:left w:val="nil"/>
              <w:bottom w:val="nil"/>
              <w:right w:val="nil"/>
            </w:tcBorders>
            <w:shd w:val="solid" w:color="000000" w:fill="auto"/>
          </w:tcPr>
          <w:p w:rsidR="00A46DCA" w:rsidRPr="00DC33D3" w:rsidRDefault="00A46DCA" w:rsidP="00A26D0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20"/>
                <w:lang w:eastAsia="en-AU"/>
              </w:rPr>
            </w:pPr>
            <w:r w:rsidRPr="00DC33D3">
              <w:rPr>
                <w:rFonts w:eastAsiaTheme="minorEastAsia" w:cs="Calibri"/>
                <w:iCs/>
                <w:color w:val="FFFFFF"/>
                <w:szCs w:val="20"/>
                <w:lang w:eastAsia="en-AU"/>
              </w:rPr>
              <w:t>2020-21</w:t>
            </w:r>
          </w:p>
        </w:tc>
      </w:tr>
      <w:tr w:rsidR="00A46DCA" w:rsidRPr="00DC33D3" w:rsidTr="004906A4">
        <w:tc>
          <w:tcPr>
            <w:cnfStyle w:val="001000000000" w:firstRow="0" w:lastRow="0" w:firstColumn="1" w:lastColumn="0" w:oddVBand="0" w:evenVBand="0" w:oddHBand="0" w:evenHBand="0" w:firstRowFirstColumn="0" w:firstRowLastColumn="0" w:lastRowFirstColumn="0" w:lastRowLastColumn="0"/>
            <w:tcW w:w="4365" w:type="dxa"/>
            <w:tcBorders>
              <w:top w:val="nil"/>
              <w:left w:val="nil"/>
              <w:bottom w:val="nil"/>
              <w:right w:val="nil"/>
            </w:tcBorders>
          </w:tcPr>
          <w:p w:rsidR="00A46DCA" w:rsidRPr="00DC33D3" w:rsidRDefault="00A46DCA" w:rsidP="00A26D04">
            <w:pPr>
              <w:keepLines w:val="0"/>
              <w:autoSpaceDE w:val="0"/>
              <w:autoSpaceDN w:val="0"/>
              <w:adjustRightInd w:val="0"/>
              <w:rPr>
                <w:rFonts w:eastAsiaTheme="minorEastAsia" w:cs="Calibri"/>
                <w:color w:val="000000"/>
                <w:szCs w:val="20"/>
                <w:lang w:eastAsia="en-AU"/>
              </w:rPr>
            </w:pPr>
            <w:r w:rsidRPr="00DC33D3">
              <w:rPr>
                <w:rFonts w:eastAsiaTheme="minorEastAsia" w:cs="Calibri"/>
                <w:color w:val="000000"/>
                <w:szCs w:val="20"/>
                <w:lang w:eastAsia="en-AU"/>
              </w:rPr>
              <w:t>Access to Justice</w:t>
            </w:r>
          </w:p>
        </w:tc>
        <w:tc>
          <w:tcPr>
            <w:tcW w:w="850" w:type="dxa"/>
            <w:tcBorders>
              <w:top w:val="nil"/>
              <w:left w:val="nil"/>
              <w:bottom w:val="nil"/>
              <w:right w:val="nil"/>
            </w:tcBorders>
          </w:tcPr>
          <w:p w:rsidR="00A46DCA" w:rsidRPr="00DC33D3"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DC33D3">
              <w:rPr>
                <w:rFonts w:eastAsiaTheme="minorEastAsia" w:cs="Calibri"/>
                <w:color w:val="000000"/>
                <w:szCs w:val="20"/>
                <w:lang w:eastAsia="en-AU"/>
              </w:rPr>
              <w:t>1.9</w:t>
            </w:r>
          </w:p>
        </w:tc>
        <w:tc>
          <w:tcPr>
            <w:tcW w:w="850" w:type="dxa"/>
            <w:tcBorders>
              <w:top w:val="nil"/>
              <w:left w:val="nil"/>
              <w:bottom w:val="nil"/>
              <w:right w:val="nil"/>
            </w:tcBorders>
          </w:tcPr>
          <w:p w:rsidR="00A46DCA" w:rsidRPr="00DC33D3"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DC33D3">
              <w:rPr>
                <w:rFonts w:eastAsiaTheme="minorEastAsia" w:cs="Calibri"/>
                <w:color w:val="000000"/>
                <w:szCs w:val="20"/>
                <w:lang w:eastAsia="en-AU"/>
              </w:rPr>
              <w:t>1.1</w:t>
            </w:r>
          </w:p>
        </w:tc>
        <w:tc>
          <w:tcPr>
            <w:tcW w:w="850" w:type="dxa"/>
            <w:tcBorders>
              <w:top w:val="nil"/>
              <w:left w:val="nil"/>
              <w:bottom w:val="nil"/>
              <w:right w:val="nil"/>
            </w:tcBorders>
          </w:tcPr>
          <w:p w:rsidR="00A46DCA" w:rsidRPr="00DC33D3"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DC33D3">
              <w:rPr>
                <w:rFonts w:eastAsiaTheme="minorEastAsia" w:cs="Calibri"/>
                <w:color w:val="000000"/>
                <w:szCs w:val="20"/>
                <w:lang w:eastAsia="en-AU"/>
              </w:rPr>
              <w:t>1.1</w:t>
            </w:r>
          </w:p>
        </w:tc>
        <w:tc>
          <w:tcPr>
            <w:tcW w:w="850" w:type="dxa"/>
            <w:tcBorders>
              <w:top w:val="nil"/>
              <w:left w:val="nil"/>
              <w:bottom w:val="nil"/>
              <w:right w:val="nil"/>
            </w:tcBorders>
          </w:tcPr>
          <w:p w:rsidR="00A46DCA" w:rsidRPr="00DC33D3"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DC33D3">
              <w:rPr>
                <w:rFonts w:eastAsiaTheme="minorEastAsia" w:cs="Calibri"/>
                <w:color w:val="000000"/>
                <w:szCs w:val="20"/>
                <w:lang w:eastAsia="en-AU"/>
              </w:rPr>
              <w:t>1.2</w:t>
            </w:r>
          </w:p>
        </w:tc>
      </w:tr>
      <w:tr w:rsidR="00A46DCA" w:rsidRPr="00DC33D3" w:rsidTr="00A26D04">
        <w:tc>
          <w:tcPr>
            <w:cnfStyle w:val="001000000000" w:firstRow="0" w:lastRow="0" w:firstColumn="1" w:lastColumn="0" w:oddVBand="0" w:evenVBand="0" w:oddHBand="0" w:evenHBand="0" w:firstRowFirstColumn="0" w:firstRowLastColumn="0" w:lastRowFirstColumn="0" w:lastRowLastColumn="0"/>
            <w:tcW w:w="4365" w:type="dxa"/>
            <w:tcBorders>
              <w:top w:val="nil"/>
              <w:left w:val="nil"/>
              <w:bottom w:val="nil"/>
              <w:right w:val="nil"/>
            </w:tcBorders>
          </w:tcPr>
          <w:p w:rsidR="00A46DCA" w:rsidRPr="00DC33D3" w:rsidRDefault="00A46DCA" w:rsidP="00A26D04">
            <w:pPr>
              <w:keepLines w:val="0"/>
              <w:autoSpaceDE w:val="0"/>
              <w:autoSpaceDN w:val="0"/>
              <w:adjustRightInd w:val="0"/>
              <w:rPr>
                <w:rFonts w:eastAsiaTheme="minorEastAsia" w:cs="Calibri"/>
                <w:color w:val="000000"/>
                <w:szCs w:val="20"/>
                <w:lang w:eastAsia="en-AU"/>
              </w:rPr>
            </w:pPr>
            <w:r w:rsidRPr="00DC33D3">
              <w:rPr>
                <w:rFonts w:eastAsiaTheme="minorEastAsia" w:cs="Calibri"/>
                <w:color w:val="000000"/>
                <w:szCs w:val="20"/>
                <w:lang w:eastAsia="en-AU"/>
              </w:rPr>
              <w:t>Implementation of Youth Justice Reform</w:t>
            </w:r>
          </w:p>
        </w:tc>
        <w:tc>
          <w:tcPr>
            <w:tcW w:w="850" w:type="dxa"/>
            <w:tcBorders>
              <w:top w:val="nil"/>
              <w:left w:val="nil"/>
              <w:bottom w:val="nil"/>
              <w:right w:val="nil"/>
            </w:tcBorders>
          </w:tcPr>
          <w:p w:rsidR="00A46DCA" w:rsidRPr="00DC33D3"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DC33D3">
              <w:rPr>
                <w:rFonts w:eastAsiaTheme="minorEastAsia" w:cs="Calibri"/>
                <w:color w:val="000000"/>
                <w:szCs w:val="20"/>
                <w:lang w:eastAsia="en-AU"/>
              </w:rPr>
              <w:t>5.1</w:t>
            </w:r>
          </w:p>
        </w:tc>
        <w:tc>
          <w:tcPr>
            <w:tcW w:w="850" w:type="dxa"/>
            <w:tcBorders>
              <w:top w:val="nil"/>
              <w:left w:val="nil"/>
              <w:bottom w:val="nil"/>
              <w:right w:val="nil"/>
            </w:tcBorders>
          </w:tcPr>
          <w:p w:rsidR="00A46DCA" w:rsidRPr="00DC33D3"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DC33D3">
              <w:rPr>
                <w:rFonts w:eastAsiaTheme="minorEastAsia" w:cs="Calibri"/>
                <w:color w:val="000000"/>
                <w:szCs w:val="20"/>
                <w:lang w:eastAsia="en-AU"/>
              </w:rPr>
              <w:t>5.1</w:t>
            </w:r>
          </w:p>
        </w:tc>
        <w:tc>
          <w:tcPr>
            <w:tcW w:w="850" w:type="dxa"/>
            <w:tcBorders>
              <w:top w:val="nil"/>
              <w:left w:val="nil"/>
              <w:bottom w:val="nil"/>
              <w:right w:val="nil"/>
            </w:tcBorders>
          </w:tcPr>
          <w:p w:rsidR="00A46DCA" w:rsidRPr="00DC33D3"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DC33D3">
              <w:rPr>
                <w:rFonts w:eastAsiaTheme="minorEastAsia" w:cs="Calibri"/>
                <w:color w:val="000000"/>
                <w:szCs w:val="20"/>
                <w:lang w:eastAsia="en-AU"/>
              </w:rPr>
              <w:t>..</w:t>
            </w:r>
          </w:p>
        </w:tc>
        <w:tc>
          <w:tcPr>
            <w:tcW w:w="850" w:type="dxa"/>
            <w:tcBorders>
              <w:top w:val="nil"/>
              <w:left w:val="nil"/>
              <w:bottom w:val="nil"/>
              <w:right w:val="nil"/>
            </w:tcBorders>
          </w:tcPr>
          <w:p w:rsidR="00A46DCA" w:rsidRPr="00DC33D3"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DC33D3">
              <w:rPr>
                <w:rFonts w:eastAsiaTheme="minorEastAsia" w:cs="Calibri"/>
                <w:color w:val="000000"/>
                <w:szCs w:val="20"/>
                <w:lang w:eastAsia="en-AU"/>
              </w:rPr>
              <w:t>..</w:t>
            </w:r>
          </w:p>
        </w:tc>
      </w:tr>
      <w:tr w:rsidR="00A46DCA" w:rsidRPr="00DC33D3" w:rsidTr="00A26D04">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5" w:type="dxa"/>
            <w:tcBorders>
              <w:top w:val="single" w:sz="6" w:space="0" w:color="auto"/>
              <w:bottom w:val="single" w:sz="12" w:space="0" w:color="auto"/>
            </w:tcBorders>
          </w:tcPr>
          <w:p w:rsidR="00A46DCA" w:rsidRPr="00DC33D3" w:rsidRDefault="00A46DCA" w:rsidP="00A26D04">
            <w:pPr>
              <w:keepLines w:val="0"/>
              <w:autoSpaceDE w:val="0"/>
              <w:autoSpaceDN w:val="0"/>
              <w:adjustRightInd w:val="0"/>
              <w:rPr>
                <w:rFonts w:eastAsiaTheme="minorEastAsia" w:cs="Calibri"/>
                <w:bCs/>
                <w:color w:val="000000"/>
                <w:szCs w:val="20"/>
                <w:vertAlign w:val="superscript"/>
                <w:lang w:eastAsia="en-AU"/>
              </w:rPr>
            </w:pPr>
            <w:r w:rsidRPr="00DC33D3">
              <w:rPr>
                <w:rFonts w:eastAsiaTheme="minorEastAsia" w:cs="Calibri"/>
                <w:bCs/>
                <w:color w:val="000000"/>
                <w:szCs w:val="20"/>
                <w:lang w:eastAsia="en-AU"/>
              </w:rPr>
              <w:t>Total output initiatives</w:t>
            </w:r>
            <w:r w:rsidR="004906A4">
              <w:rPr>
                <w:rFonts w:eastAsiaTheme="minorEastAsia" w:cs="Calibri"/>
                <w:bCs/>
                <w:color w:val="000000"/>
                <w:szCs w:val="20"/>
                <w:lang w:eastAsia="en-AU"/>
              </w:rPr>
              <w:t xml:space="preserve"> </w:t>
            </w:r>
            <w:r w:rsidRPr="00DC33D3">
              <w:rPr>
                <w:rFonts w:eastAsiaTheme="minorEastAsia" w:cs="Calibri"/>
                <w:bCs/>
                <w:color w:val="000000"/>
                <w:szCs w:val="20"/>
                <w:vertAlign w:val="superscript"/>
                <w:lang w:eastAsia="en-AU"/>
              </w:rPr>
              <w:t>(a)</w:t>
            </w:r>
          </w:p>
        </w:tc>
        <w:tc>
          <w:tcPr>
            <w:tcW w:w="850" w:type="dxa"/>
            <w:tcBorders>
              <w:top w:val="single" w:sz="6" w:space="0" w:color="auto"/>
              <w:bottom w:val="single" w:sz="12" w:space="0" w:color="auto"/>
            </w:tcBorders>
          </w:tcPr>
          <w:p w:rsidR="00A46DCA" w:rsidRPr="00DC33D3" w:rsidRDefault="00A46DCA" w:rsidP="00A26D0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DC33D3">
              <w:rPr>
                <w:rFonts w:eastAsiaTheme="minorEastAsia" w:cs="Calibri"/>
                <w:color w:val="000000"/>
                <w:szCs w:val="20"/>
                <w:lang w:eastAsia="en-AU"/>
              </w:rPr>
              <w:t>6.9</w:t>
            </w:r>
          </w:p>
        </w:tc>
        <w:tc>
          <w:tcPr>
            <w:tcW w:w="850" w:type="dxa"/>
            <w:tcBorders>
              <w:top w:val="single" w:sz="6" w:space="0" w:color="auto"/>
              <w:bottom w:val="single" w:sz="12" w:space="0" w:color="auto"/>
            </w:tcBorders>
          </w:tcPr>
          <w:p w:rsidR="00A46DCA" w:rsidRPr="00DC33D3" w:rsidRDefault="00A46DCA" w:rsidP="00A26D0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DC33D3">
              <w:rPr>
                <w:rFonts w:eastAsiaTheme="minorEastAsia" w:cs="Calibri"/>
                <w:color w:val="000000"/>
                <w:szCs w:val="20"/>
                <w:lang w:eastAsia="en-AU"/>
              </w:rPr>
              <w:t>6.2</w:t>
            </w:r>
          </w:p>
        </w:tc>
        <w:tc>
          <w:tcPr>
            <w:tcW w:w="850" w:type="dxa"/>
            <w:tcBorders>
              <w:top w:val="single" w:sz="6" w:space="0" w:color="auto"/>
              <w:bottom w:val="single" w:sz="12" w:space="0" w:color="auto"/>
            </w:tcBorders>
          </w:tcPr>
          <w:p w:rsidR="00A46DCA" w:rsidRPr="00DC33D3" w:rsidRDefault="00A46DCA" w:rsidP="00A26D0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DC33D3">
              <w:rPr>
                <w:rFonts w:eastAsiaTheme="minorEastAsia" w:cs="Calibri"/>
                <w:color w:val="000000"/>
                <w:szCs w:val="20"/>
                <w:lang w:eastAsia="en-AU"/>
              </w:rPr>
              <w:t>1.1</w:t>
            </w:r>
          </w:p>
        </w:tc>
        <w:tc>
          <w:tcPr>
            <w:tcW w:w="850" w:type="dxa"/>
            <w:tcBorders>
              <w:top w:val="single" w:sz="6" w:space="0" w:color="auto"/>
              <w:bottom w:val="single" w:sz="12" w:space="0" w:color="auto"/>
            </w:tcBorders>
          </w:tcPr>
          <w:p w:rsidR="00A46DCA" w:rsidRPr="00DC33D3" w:rsidRDefault="00A46DCA" w:rsidP="00A26D0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DC33D3">
              <w:rPr>
                <w:rFonts w:eastAsiaTheme="minorEastAsia" w:cs="Calibri"/>
                <w:color w:val="000000"/>
                <w:szCs w:val="20"/>
                <w:lang w:eastAsia="en-AU"/>
              </w:rPr>
              <w:t>1.2</w:t>
            </w:r>
          </w:p>
        </w:tc>
      </w:tr>
    </w:tbl>
    <w:p w:rsidR="00A46DCA" w:rsidRDefault="00A46DCA" w:rsidP="00A26D04">
      <w:pPr>
        <w:pStyle w:val="Note"/>
        <w:rPr>
          <w:lang w:eastAsia="en-AU"/>
        </w:rPr>
      </w:pPr>
      <w:r>
        <w:rPr>
          <w:lang w:eastAsia="en-AU"/>
        </w:rPr>
        <w:t>Note:</w:t>
      </w:r>
    </w:p>
    <w:p w:rsidR="00A46DCA" w:rsidRPr="00A72FEE" w:rsidRDefault="00A46DCA" w:rsidP="00A26D04">
      <w:pPr>
        <w:pStyle w:val="Note"/>
        <w:rPr>
          <w:i w:val="0"/>
          <w:lang w:eastAsia="en-AU"/>
        </w:rPr>
      </w:pPr>
      <w:r>
        <w:rPr>
          <w:lang w:eastAsia="en-AU"/>
        </w:rPr>
        <w:t>(a)</w:t>
      </w:r>
      <w:r>
        <w:rPr>
          <w:lang w:eastAsia="en-AU"/>
        </w:rPr>
        <w:tab/>
        <w:t>Table may not add due to rounding.</w:t>
      </w:r>
    </w:p>
    <w:p w:rsidR="00A46DCA" w:rsidRDefault="00A46DCA" w:rsidP="00A26D04">
      <w:pPr>
        <w:pStyle w:val="Heading30"/>
        <w:rPr>
          <w:lang w:eastAsia="en-AU"/>
        </w:rPr>
      </w:pPr>
      <w:r>
        <w:rPr>
          <w:lang w:eastAsia="en-AU"/>
        </w:rPr>
        <w:t>Access to Justice</w:t>
      </w:r>
    </w:p>
    <w:p w:rsidR="00A46DCA" w:rsidRPr="001B5B31" w:rsidRDefault="00A46DCA" w:rsidP="00A26D04">
      <w:pPr>
        <w:rPr>
          <w:lang w:eastAsia="en-AU"/>
        </w:rPr>
      </w:pPr>
      <w:r>
        <w:rPr>
          <w:lang w:eastAsia="en-AU"/>
        </w:rPr>
        <w:t>Refer to the initiative description under the Department of Justice and Regulation.</w:t>
      </w:r>
    </w:p>
    <w:p w:rsidR="00A46DCA" w:rsidRDefault="00A46DCA" w:rsidP="00A26D04">
      <w:pPr>
        <w:pStyle w:val="Heading30"/>
        <w:rPr>
          <w:lang w:eastAsia="en-AU"/>
        </w:rPr>
      </w:pPr>
      <w:r>
        <w:rPr>
          <w:lang w:eastAsia="en-AU"/>
        </w:rPr>
        <w:t>Implementation of Youth Justice Reform</w:t>
      </w:r>
    </w:p>
    <w:p w:rsidR="00A46DCA" w:rsidRDefault="00A46DCA" w:rsidP="00A26D04">
      <w:pPr>
        <w:rPr>
          <w:lang w:eastAsia="en-AU"/>
        </w:rPr>
      </w:pPr>
      <w:r>
        <w:rPr>
          <w:lang w:eastAsia="en-AU"/>
        </w:rPr>
        <w:t>The Children’s Court will deliver increased judicial monitoring and case management to implement Youth Control Orders and the Intensive Monitoring and Control Bail Supervision scheme. This will provide for more intensive and targeted sentencing and bail programs for young offenders.</w:t>
      </w:r>
    </w:p>
    <w:p w:rsidR="00A46DCA" w:rsidRDefault="00A46DCA" w:rsidP="00A26D04">
      <w:pPr>
        <w:rPr>
          <w:lang w:eastAsia="en-AU"/>
        </w:rPr>
      </w:pPr>
      <w:r>
        <w:rPr>
          <w:lang w:eastAsia="en-AU"/>
        </w:rPr>
        <w:t>This initiative contributes to Court Services Victoria’s Courts output.</w:t>
      </w:r>
    </w:p>
    <w:p w:rsidR="004906A4" w:rsidRPr="00736319" w:rsidRDefault="004906A4" w:rsidP="00A26D04">
      <w:pPr>
        <w:rPr>
          <w:lang w:eastAsia="en-AU"/>
        </w:rPr>
      </w:pPr>
    </w:p>
    <w:p w:rsidR="00A46DCA" w:rsidRDefault="00A46DCA" w:rsidP="00A26D04">
      <w:pPr>
        <w:pStyle w:val="Heading20"/>
        <w:rPr>
          <w:lang w:eastAsia="en-AU"/>
        </w:rPr>
      </w:pPr>
      <w:r>
        <w:rPr>
          <w:lang w:eastAsia="en-AU"/>
        </w:rPr>
        <w:t>Asset initiatives</w:t>
      </w:r>
    </w:p>
    <w:p w:rsidR="00A46DCA" w:rsidRPr="00DC33D3" w:rsidRDefault="00A46DCA" w:rsidP="00A26D04">
      <w:pPr>
        <w:pStyle w:val="TableHeading"/>
        <w:rPr>
          <w:bCs/>
          <w:lang w:val="en-US" w:eastAsia="en-AU"/>
        </w:rPr>
      </w:pPr>
      <w:r>
        <w:rPr>
          <w:lang w:eastAsia="en-AU"/>
        </w:rPr>
        <w:t>Table A.16:</w:t>
      </w:r>
      <w:r>
        <w:rPr>
          <w:lang w:eastAsia="en-AU"/>
        </w:rPr>
        <w:tab/>
        <w:t>Asset initiatives – Court Services Victoria</w:t>
      </w:r>
      <w:r>
        <w:rPr>
          <w:lang w:eastAsia="en-AU"/>
        </w:rPr>
        <w:tab/>
        <w:t>($ million)</w:t>
      </w:r>
    </w:p>
    <w:tbl>
      <w:tblPr>
        <w:tblStyle w:val="DTFTable"/>
        <w:tblW w:w="7765" w:type="dxa"/>
        <w:tblInd w:w="45" w:type="dxa"/>
        <w:tblLayout w:type="fixed"/>
        <w:tblCellMar>
          <w:left w:w="45" w:type="dxa"/>
          <w:right w:w="45" w:type="dxa"/>
        </w:tblCellMar>
        <w:tblLook w:val="06E0" w:firstRow="1" w:lastRow="1" w:firstColumn="1" w:lastColumn="0" w:noHBand="1" w:noVBand="1"/>
      </w:tblPr>
      <w:tblGrid>
        <w:gridCol w:w="3515"/>
        <w:gridCol w:w="850"/>
        <w:gridCol w:w="850"/>
        <w:gridCol w:w="850"/>
        <w:gridCol w:w="850"/>
        <w:gridCol w:w="850"/>
      </w:tblGrid>
      <w:tr w:rsidR="00A46DCA" w:rsidRPr="00DC33D3" w:rsidTr="004906A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shd w:val="solid" w:color="000000" w:fill="auto"/>
          </w:tcPr>
          <w:p w:rsidR="00A46DCA" w:rsidRPr="00DC33D3" w:rsidRDefault="00A46DCA" w:rsidP="00A26D04">
            <w:pPr>
              <w:autoSpaceDE w:val="0"/>
              <w:autoSpaceDN w:val="0"/>
              <w:adjustRightInd w:val="0"/>
              <w:rPr>
                <w:rFonts w:eastAsiaTheme="minorEastAsia" w:cs="Calibri"/>
                <w:color w:val="FFFFFF"/>
                <w:szCs w:val="20"/>
                <w:lang w:eastAsia="en-AU"/>
              </w:rPr>
            </w:pPr>
            <w:r w:rsidRPr="00DC33D3">
              <w:rPr>
                <w:rFonts w:eastAsiaTheme="minorEastAsia" w:cs="Calibri"/>
                <w:color w:val="FFFFFF"/>
                <w:szCs w:val="20"/>
                <w:lang w:eastAsia="en-AU"/>
              </w:rPr>
              <w:t xml:space="preserve"> </w:t>
            </w:r>
          </w:p>
        </w:tc>
        <w:tc>
          <w:tcPr>
            <w:tcW w:w="850" w:type="dxa"/>
            <w:tcBorders>
              <w:top w:val="nil"/>
              <w:left w:val="nil"/>
              <w:bottom w:val="nil"/>
              <w:right w:val="nil"/>
            </w:tcBorders>
            <w:shd w:val="solid" w:color="000000" w:fill="auto"/>
          </w:tcPr>
          <w:p w:rsidR="00A46DCA" w:rsidRPr="00DC33D3" w:rsidRDefault="00A46DCA" w:rsidP="00A26D0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20"/>
                <w:lang w:eastAsia="en-AU"/>
              </w:rPr>
            </w:pPr>
            <w:r w:rsidRPr="00DC33D3">
              <w:rPr>
                <w:rFonts w:eastAsiaTheme="minorEastAsia" w:cs="Calibri"/>
                <w:iCs/>
                <w:color w:val="FFFFFF"/>
                <w:szCs w:val="20"/>
                <w:lang w:eastAsia="en-AU"/>
              </w:rPr>
              <w:t>2017-18</w:t>
            </w:r>
          </w:p>
        </w:tc>
        <w:tc>
          <w:tcPr>
            <w:tcW w:w="850" w:type="dxa"/>
            <w:tcBorders>
              <w:top w:val="nil"/>
              <w:left w:val="nil"/>
              <w:bottom w:val="nil"/>
              <w:right w:val="nil"/>
            </w:tcBorders>
            <w:shd w:val="solid" w:color="000000" w:fill="auto"/>
          </w:tcPr>
          <w:p w:rsidR="00A46DCA" w:rsidRPr="00DC33D3" w:rsidRDefault="00A46DCA" w:rsidP="00A26D0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20"/>
                <w:lang w:eastAsia="en-AU"/>
              </w:rPr>
            </w:pPr>
            <w:r w:rsidRPr="00DC33D3">
              <w:rPr>
                <w:rFonts w:eastAsiaTheme="minorEastAsia" w:cs="Calibri"/>
                <w:iCs/>
                <w:color w:val="FFFFFF"/>
                <w:szCs w:val="20"/>
                <w:lang w:eastAsia="en-AU"/>
              </w:rPr>
              <w:t>2018-19</w:t>
            </w:r>
          </w:p>
        </w:tc>
        <w:tc>
          <w:tcPr>
            <w:tcW w:w="850" w:type="dxa"/>
            <w:tcBorders>
              <w:top w:val="nil"/>
              <w:left w:val="nil"/>
              <w:bottom w:val="nil"/>
              <w:right w:val="nil"/>
            </w:tcBorders>
            <w:shd w:val="solid" w:color="000000" w:fill="auto"/>
          </w:tcPr>
          <w:p w:rsidR="00A46DCA" w:rsidRPr="00DC33D3" w:rsidRDefault="00A46DCA" w:rsidP="00A26D0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20"/>
                <w:lang w:eastAsia="en-AU"/>
              </w:rPr>
            </w:pPr>
            <w:r w:rsidRPr="00DC33D3">
              <w:rPr>
                <w:rFonts w:eastAsiaTheme="minorEastAsia" w:cs="Calibri"/>
                <w:iCs/>
                <w:color w:val="FFFFFF"/>
                <w:szCs w:val="20"/>
                <w:lang w:eastAsia="en-AU"/>
              </w:rPr>
              <w:t>2019-20</w:t>
            </w:r>
          </w:p>
        </w:tc>
        <w:tc>
          <w:tcPr>
            <w:tcW w:w="850" w:type="dxa"/>
            <w:tcBorders>
              <w:top w:val="nil"/>
              <w:left w:val="nil"/>
              <w:bottom w:val="nil"/>
              <w:right w:val="nil"/>
            </w:tcBorders>
            <w:shd w:val="solid" w:color="000000" w:fill="auto"/>
          </w:tcPr>
          <w:p w:rsidR="00A46DCA" w:rsidRPr="00DC33D3" w:rsidRDefault="00A46DCA" w:rsidP="00A26D0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20"/>
                <w:lang w:eastAsia="en-AU"/>
              </w:rPr>
            </w:pPr>
            <w:r w:rsidRPr="00DC33D3">
              <w:rPr>
                <w:rFonts w:eastAsiaTheme="minorEastAsia" w:cs="Calibri"/>
                <w:iCs/>
                <w:color w:val="FFFFFF"/>
                <w:szCs w:val="20"/>
                <w:lang w:eastAsia="en-AU"/>
              </w:rPr>
              <w:t>2020-21</w:t>
            </w:r>
          </w:p>
        </w:tc>
        <w:tc>
          <w:tcPr>
            <w:tcW w:w="850" w:type="dxa"/>
            <w:tcBorders>
              <w:top w:val="nil"/>
              <w:left w:val="nil"/>
              <w:bottom w:val="nil"/>
              <w:right w:val="nil"/>
            </w:tcBorders>
            <w:shd w:val="solid" w:color="000000" w:fill="auto"/>
          </w:tcPr>
          <w:p w:rsidR="00A46DCA" w:rsidRPr="00DC33D3" w:rsidRDefault="00A46DCA" w:rsidP="00A26D0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20"/>
                <w:lang w:eastAsia="en-AU"/>
              </w:rPr>
            </w:pPr>
            <w:r w:rsidRPr="00DC33D3">
              <w:rPr>
                <w:rFonts w:eastAsiaTheme="minorEastAsia" w:cs="Calibri"/>
                <w:iCs/>
                <w:color w:val="FFFFFF"/>
                <w:szCs w:val="20"/>
                <w:lang w:eastAsia="en-AU"/>
              </w:rPr>
              <w:t>TEI</w:t>
            </w:r>
          </w:p>
        </w:tc>
      </w:tr>
      <w:tr w:rsidR="00A46DCA" w:rsidRPr="00DC33D3" w:rsidTr="004906A4">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A46DCA" w:rsidRPr="00DC33D3" w:rsidRDefault="00A46DCA" w:rsidP="00A26D04">
            <w:pPr>
              <w:keepLines w:val="0"/>
              <w:autoSpaceDE w:val="0"/>
              <w:autoSpaceDN w:val="0"/>
              <w:adjustRightInd w:val="0"/>
              <w:rPr>
                <w:rFonts w:eastAsiaTheme="minorEastAsia" w:cs="Calibri"/>
                <w:color w:val="000000"/>
                <w:szCs w:val="20"/>
                <w:lang w:eastAsia="en-AU"/>
              </w:rPr>
            </w:pPr>
            <w:r w:rsidRPr="00DC33D3">
              <w:rPr>
                <w:rFonts w:eastAsiaTheme="minorEastAsia" w:cs="Calibri"/>
                <w:color w:val="000000"/>
                <w:szCs w:val="20"/>
                <w:lang w:eastAsia="en-AU"/>
              </w:rPr>
              <w:t>Access to Justice</w:t>
            </w:r>
          </w:p>
        </w:tc>
        <w:tc>
          <w:tcPr>
            <w:tcW w:w="850" w:type="dxa"/>
            <w:tcBorders>
              <w:top w:val="nil"/>
              <w:left w:val="nil"/>
              <w:bottom w:val="nil"/>
              <w:right w:val="nil"/>
            </w:tcBorders>
          </w:tcPr>
          <w:p w:rsidR="00A46DCA" w:rsidRPr="00DC33D3"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DC33D3">
              <w:rPr>
                <w:rFonts w:eastAsiaTheme="minorEastAsia" w:cs="Calibri"/>
                <w:color w:val="000000"/>
                <w:szCs w:val="20"/>
                <w:lang w:eastAsia="en-AU"/>
              </w:rPr>
              <w:t>3.4</w:t>
            </w:r>
          </w:p>
        </w:tc>
        <w:tc>
          <w:tcPr>
            <w:tcW w:w="850" w:type="dxa"/>
            <w:tcBorders>
              <w:top w:val="nil"/>
              <w:left w:val="nil"/>
              <w:bottom w:val="nil"/>
              <w:right w:val="nil"/>
            </w:tcBorders>
          </w:tcPr>
          <w:p w:rsidR="00A46DCA" w:rsidRPr="00DC33D3"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DC33D3">
              <w:rPr>
                <w:rFonts w:eastAsiaTheme="minorEastAsia" w:cs="Calibri"/>
                <w:color w:val="000000"/>
                <w:szCs w:val="20"/>
                <w:lang w:eastAsia="en-AU"/>
              </w:rPr>
              <w:t>1.9</w:t>
            </w:r>
          </w:p>
        </w:tc>
        <w:tc>
          <w:tcPr>
            <w:tcW w:w="850" w:type="dxa"/>
            <w:tcBorders>
              <w:top w:val="nil"/>
              <w:left w:val="nil"/>
              <w:bottom w:val="nil"/>
              <w:right w:val="nil"/>
            </w:tcBorders>
          </w:tcPr>
          <w:p w:rsidR="00A46DCA" w:rsidRPr="00DC33D3"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DC33D3">
              <w:rPr>
                <w:rFonts w:eastAsiaTheme="minorEastAsia" w:cs="Calibri"/>
                <w:color w:val="000000"/>
                <w:szCs w:val="20"/>
                <w:lang w:eastAsia="en-AU"/>
              </w:rPr>
              <w:t>..</w:t>
            </w:r>
          </w:p>
        </w:tc>
        <w:tc>
          <w:tcPr>
            <w:tcW w:w="850" w:type="dxa"/>
            <w:tcBorders>
              <w:top w:val="nil"/>
              <w:left w:val="nil"/>
              <w:bottom w:val="nil"/>
              <w:right w:val="nil"/>
            </w:tcBorders>
          </w:tcPr>
          <w:p w:rsidR="00A46DCA" w:rsidRPr="00DC33D3"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DC33D3">
              <w:rPr>
                <w:rFonts w:eastAsiaTheme="minorEastAsia" w:cs="Calibri"/>
                <w:color w:val="000000"/>
                <w:szCs w:val="20"/>
                <w:lang w:eastAsia="en-AU"/>
              </w:rPr>
              <w:t>..</w:t>
            </w:r>
          </w:p>
        </w:tc>
        <w:tc>
          <w:tcPr>
            <w:tcW w:w="850" w:type="dxa"/>
            <w:tcBorders>
              <w:top w:val="nil"/>
              <w:left w:val="nil"/>
              <w:bottom w:val="nil"/>
              <w:right w:val="nil"/>
            </w:tcBorders>
          </w:tcPr>
          <w:p w:rsidR="00A46DCA" w:rsidRPr="00DC33D3"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DC33D3">
              <w:rPr>
                <w:rFonts w:eastAsiaTheme="minorEastAsia" w:cs="Calibri"/>
                <w:color w:val="000000"/>
                <w:szCs w:val="20"/>
                <w:lang w:eastAsia="en-AU"/>
              </w:rPr>
              <w:t>5.3</w:t>
            </w:r>
          </w:p>
        </w:tc>
      </w:tr>
      <w:tr w:rsidR="00A46DCA" w:rsidRPr="00DC33D3" w:rsidTr="00A26D04">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A46DCA" w:rsidRPr="00DC33D3" w:rsidRDefault="00A46DCA" w:rsidP="00A26D04">
            <w:pPr>
              <w:keepLines w:val="0"/>
              <w:autoSpaceDE w:val="0"/>
              <w:autoSpaceDN w:val="0"/>
              <w:adjustRightInd w:val="0"/>
              <w:rPr>
                <w:rFonts w:eastAsiaTheme="minorEastAsia" w:cs="Calibri"/>
                <w:color w:val="000000"/>
                <w:szCs w:val="20"/>
                <w:lang w:eastAsia="en-AU"/>
              </w:rPr>
            </w:pPr>
            <w:r w:rsidRPr="00DC33D3">
              <w:rPr>
                <w:rFonts w:eastAsiaTheme="minorEastAsia" w:cs="Calibri"/>
                <w:color w:val="000000"/>
                <w:szCs w:val="20"/>
                <w:lang w:eastAsia="en-AU"/>
              </w:rPr>
              <w:t>Implementation of Youth Justice Reform</w:t>
            </w:r>
          </w:p>
        </w:tc>
        <w:tc>
          <w:tcPr>
            <w:tcW w:w="850" w:type="dxa"/>
            <w:tcBorders>
              <w:top w:val="nil"/>
              <w:left w:val="nil"/>
              <w:bottom w:val="nil"/>
              <w:right w:val="nil"/>
            </w:tcBorders>
          </w:tcPr>
          <w:p w:rsidR="00A46DCA" w:rsidRPr="00DC33D3"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DC33D3">
              <w:rPr>
                <w:rFonts w:eastAsiaTheme="minorEastAsia" w:cs="Calibri"/>
                <w:color w:val="000000"/>
                <w:szCs w:val="20"/>
                <w:lang w:eastAsia="en-AU"/>
              </w:rPr>
              <w:t>4.1</w:t>
            </w:r>
          </w:p>
        </w:tc>
        <w:tc>
          <w:tcPr>
            <w:tcW w:w="850" w:type="dxa"/>
            <w:tcBorders>
              <w:top w:val="nil"/>
              <w:left w:val="nil"/>
              <w:bottom w:val="nil"/>
              <w:right w:val="nil"/>
            </w:tcBorders>
          </w:tcPr>
          <w:p w:rsidR="00A46DCA" w:rsidRPr="00DC33D3"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DC33D3">
              <w:rPr>
                <w:rFonts w:eastAsiaTheme="minorEastAsia" w:cs="Calibri"/>
                <w:color w:val="000000"/>
                <w:szCs w:val="20"/>
                <w:lang w:eastAsia="en-AU"/>
              </w:rPr>
              <w:t>9.5</w:t>
            </w:r>
          </w:p>
        </w:tc>
        <w:tc>
          <w:tcPr>
            <w:tcW w:w="850" w:type="dxa"/>
            <w:tcBorders>
              <w:top w:val="nil"/>
              <w:left w:val="nil"/>
              <w:bottom w:val="nil"/>
              <w:right w:val="nil"/>
            </w:tcBorders>
          </w:tcPr>
          <w:p w:rsidR="00A46DCA" w:rsidRPr="00DC33D3"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DC33D3">
              <w:rPr>
                <w:rFonts w:eastAsiaTheme="minorEastAsia" w:cs="Calibri"/>
                <w:color w:val="000000"/>
                <w:szCs w:val="20"/>
                <w:lang w:eastAsia="en-AU"/>
              </w:rPr>
              <w:t>..</w:t>
            </w:r>
          </w:p>
        </w:tc>
        <w:tc>
          <w:tcPr>
            <w:tcW w:w="850" w:type="dxa"/>
            <w:tcBorders>
              <w:top w:val="nil"/>
              <w:left w:val="nil"/>
              <w:bottom w:val="nil"/>
              <w:right w:val="nil"/>
            </w:tcBorders>
          </w:tcPr>
          <w:p w:rsidR="00A46DCA" w:rsidRPr="00DC33D3"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DC33D3">
              <w:rPr>
                <w:rFonts w:eastAsiaTheme="minorEastAsia" w:cs="Calibri"/>
                <w:color w:val="000000"/>
                <w:szCs w:val="20"/>
                <w:lang w:eastAsia="en-AU"/>
              </w:rPr>
              <w:t>..</w:t>
            </w:r>
          </w:p>
        </w:tc>
        <w:tc>
          <w:tcPr>
            <w:tcW w:w="850" w:type="dxa"/>
            <w:tcBorders>
              <w:top w:val="nil"/>
              <w:left w:val="nil"/>
              <w:bottom w:val="nil"/>
              <w:right w:val="nil"/>
            </w:tcBorders>
          </w:tcPr>
          <w:p w:rsidR="00A46DCA" w:rsidRPr="00DC33D3"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DC33D3">
              <w:rPr>
                <w:rFonts w:eastAsiaTheme="minorEastAsia" w:cs="Calibri"/>
                <w:color w:val="000000"/>
                <w:szCs w:val="20"/>
                <w:lang w:eastAsia="en-AU"/>
              </w:rPr>
              <w:t>13.7</w:t>
            </w:r>
          </w:p>
        </w:tc>
      </w:tr>
      <w:tr w:rsidR="00A46DCA" w:rsidRPr="00DC33D3" w:rsidTr="00A26D04">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5" w:type="dxa"/>
            <w:tcBorders>
              <w:top w:val="single" w:sz="6" w:space="0" w:color="auto"/>
              <w:bottom w:val="single" w:sz="12" w:space="0" w:color="auto"/>
            </w:tcBorders>
          </w:tcPr>
          <w:p w:rsidR="00A46DCA" w:rsidRPr="00DC33D3" w:rsidRDefault="00A46DCA" w:rsidP="00A26D04">
            <w:pPr>
              <w:keepLines w:val="0"/>
              <w:autoSpaceDE w:val="0"/>
              <w:autoSpaceDN w:val="0"/>
              <w:adjustRightInd w:val="0"/>
              <w:rPr>
                <w:rFonts w:eastAsiaTheme="minorEastAsia" w:cs="Calibri"/>
                <w:bCs/>
                <w:color w:val="000000"/>
                <w:szCs w:val="20"/>
                <w:vertAlign w:val="superscript"/>
                <w:lang w:eastAsia="en-AU"/>
              </w:rPr>
            </w:pPr>
            <w:r w:rsidRPr="00DC33D3">
              <w:rPr>
                <w:rFonts w:eastAsiaTheme="minorEastAsia" w:cs="Calibri"/>
                <w:bCs/>
                <w:color w:val="000000"/>
                <w:szCs w:val="20"/>
                <w:lang w:eastAsia="en-AU"/>
              </w:rPr>
              <w:t>Total asset initiatives</w:t>
            </w:r>
            <w:r w:rsidR="004906A4">
              <w:rPr>
                <w:rFonts w:eastAsiaTheme="minorEastAsia" w:cs="Calibri"/>
                <w:bCs/>
                <w:color w:val="000000"/>
                <w:szCs w:val="20"/>
                <w:lang w:eastAsia="en-AU"/>
              </w:rPr>
              <w:t xml:space="preserve"> </w:t>
            </w:r>
            <w:r w:rsidRPr="00DC33D3">
              <w:rPr>
                <w:rFonts w:eastAsiaTheme="minorEastAsia" w:cs="Calibri"/>
                <w:bCs/>
                <w:color w:val="000000"/>
                <w:szCs w:val="20"/>
                <w:vertAlign w:val="superscript"/>
                <w:lang w:eastAsia="en-AU"/>
              </w:rPr>
              <w:t>(a)</w:t>
            </w:r>
          </w:p>
        </w:tc>
        <w:tc>
          <w:tcPr>
            <w:tcW w:w="850" w:type="dxa"/>
            <w:tcBorders>
              <w:top w:val="single" w:sz="6" w:space="0" w:color="auto"/>
              <w:bottom w:val="single" w:sz="12" w:space="0" w:color="auto"/>
            </w:tcBorders>
          </w:tcPr>
          <w:p w:rsidR="00A46DCA" w:rsidRPr="00DC33D3" w:rsidRDefault="00A46DCA" w:rsidP="00A26D0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DC33D3">
              <w:rPr>
                <w:rFonts w:eastAsiaTheme="minorEastAsia" w:cs="Calibri"/>
                <w:color w:val="000000"/>
                <w:szCs w:val="20"/>
                <w:lang w:eastAsia="en-AU"/>
              </w:rPr>
              <w:t>7.5</w:t>
            </w:r>
          </w:p>
        </w:tc>
        <w:tc>
          <w:tcPr>
            <w:tcW w:w="850" w:type="dxa"/>
            <w:tcBorders>
              <w:top w:val="single" w:sz="6" w:space="0" w:color="auto"/>
              <w:bottom w:val="single" w:sz="12" w:space="0" w:color="auto"/>
            </w:tcBorders>
          </w:tcPr>
          <w:p w:rsidR="00A46DCA" w:rsidRPr="00DC33D3" w:rsidRDefault="00A46DCA" w:rsidP="00A26D0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DC33D3">
              <w:rPr>
                <w:rFonts w:eastAsiaTheme="minorEastAsia" w:cs="Calibri"/>
                <w:color w:val="000000"/>
                <w:szCs w:val="20"/>
                <w:lang w:eastAsia="en-AU"/>
              </w:rPr>
              <w:t>11.5</w:t>
            </w:r>
          </w:p>
        </w:tc>
        <w:tc>
          <w:tcPr>
            <w:tcW w:w="850" w:type="dxa"/>
            <w:tcBorders>
              <w:top w:val="single" w:sz="6" w:space="0" w:color="auto"/>
              <w:bottom w:val="single" w:sz="12" w:space="0" w:color="auto"/>
            </w:tcBorders>
          </w:tcPr>
          <w:p w:rsidR="00A46DCA" w:rsidRPr="00DC33D3" w:rsidRDefault="00A46DCA" w:rsidP="00A26D0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DC33D3">
              <w:rPr>
                <w:rFonts w:eastAsiaTheme="minorEastAsia" w:cs="Calibri"/>
                <w:color w:val="000000"/>
                <w:szCs w:val="20"/>
                <w:lang w:eastAsia="en-AU"/>
              </w:rPr>
              <w:t>..</w:t>
            </w:r>
          </w:p>
        </w:tc>
        <w:tc>
          <w:tcPr>
            <w:tcW w:w="850" w:type="dxa"/>
            <w:tcBorders>
              <w:top w:val="single" w:sz="6" w:space="0" w:color="auto"/>
              <w:bottom w:val="single" w:sz="12" w:space="0" w:color="auto"/>
            </w:tcBorders>
          </w:tcPr>
          <w:p w:rsidR="00A46DCA" w:rsidRPr="00DC33D3" w:rsidRDefault="00A46DCA" w:rsidP="00A26D0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DC33D3">
              <w:rPr>
                <w:rFonts w:eastAsiaTheme="minorEastAsia" w:cs="Calibri"/>
                <w:color w:val="000000"/>
                <w:szCs w:val="20"/>
                <w:lang w:eastAsia="en-AU"/>
              </w:rPr>
              <w:t>..</w:t>
            </w:r>
          </w:p>
        </w:tc>
        <w:tc>
          <w:tcPr>
            <w:tcW w:w="850" w:type="dxa"/>
            <w:tcBorders>
              <w:top w:val="single" w:sz="6" w:space="0" w:color="auto"/>
              <w:bottom w:val="single" w:sz="12" w:space="0" w:color="auto"/>
            </w:tcBorders>
          </w:tcPr>
          <w:p w:rsidR="00A46DCA" w:rsidRPr="00DC33D3" w:rsidRDefault="00A46DCA" w:rsidP="00A26D0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DC33D3">
              <w:rPr>
                <w:rFonts w:eastAsiaTheme="minorEastAsia" w:cs="Calibri"/>
                <w:color w:val="000000"/>
                <w:szCs w:val="20"/>
                <w:lang w:eastAsia="en-AU"/>
              </w:rPr>
              <w:t>18.9</w:t>
            </w:r>
          </w:p>
        </w:tc>
      </w:tr>
    </w:tbl>
    <w:p w:rsidR="00A46DCA" w:rsidRDefault="00A46DCA" w:rsidP="00A26D04">
      <w:pPr>
        <w:pStyle w:val="Note"/>
        <w:rPr>
          <w:lang w:eastAsia="en-AU"/>
        </w:rPr>
      </w:pPr>
      <w:r>
        <w:rPr>
          <w:lang w:eastAsia="en-AU"/>
        </w:rPr>
        <w:t>Note:</w:t>
      </w:r>
    </w:p>
    <w:p w:rsidR="00A46DCA" w:rsidRPr="00A72FEE" w:rsidRDefault="00A46DCA" w:rsidP="00A26D04">
      <w:pPr>
        <w:pStyle w:val="Note"/>
        <w:rPr>
          <w:i w:val="0"/>
          <w:lang w:eastAsia="en-AU"/>
        </w:rPr>
      </w:pPr>
      <w:r>
        <w:rPr>
          <w:lang w:eastAsia="en-AU"/>
        </w:rPr>
        <w:t>(a)</w:t>
      </w:r>
      <w:r>
        <w:rPr>
          <w:lang w:eastAsia="en-AU"/>
        </w:rPr>
        <w:tab/>
        <w:t>Table may not add due to rounding.</w:t>
      </w:r>
    </w:p>
    <w:p w:rsidR="00A46DCA" w:rsidRDefault="00A46DCA" w:rsidP="00A26D04">
      <w:pPr>
        <w:pStyle w:val="Heading30"/>
        <w:rPr>
          <w:lang w:eastAsia="en-AU"/>
        </w:rPr>
      </w:pPr>
      <w:r>
        <w:rPr>
          <w:lang w:eastAsia="en-AU"/>
        </w:rPr>
        <w:t>Access to Justice</w:t>
      </w:r>
    </w:p>
    <w:p w:rsidR="00A46DCA" w:rsidRDefault="00A46DCA" w:rsidP="00A26D04">
      <w:pPr>
        <w:rPr>
          <w:lang w:eastAsia="en-AU"/>
        </w:rPr>
      </w:pPr>
      <w:r>
        <w:rPr>
          <w:lang w:eastAsia="en-AU"/>
        </w:rPr>
        <w:t>Refer to the initiative description under the Department of Justice and Regulation.</w:t>
      </w:r>
    </w:p>
    <w:p w:rsidR="00A46DCA" w:rsidRDefault="00A46DCA" w:rsidP="00A26D04">
      <w:pPr>
        <w:pStyle w:val="Heading30"/>
        <w:rPr>
          <w:lang w:eastAsia="en-AU"/>
        </w:rPr>
      </w:pPr>
      <w:r>
        <w:rPr>
          <w:lang w:eastAsia="en-AU"/>
        </w:rPr>
        <w:t xml:space="preserve">Implementation of Youth Justice Reform </w:t>
      </w:r>
    </w:p>
    <w:p w:rsidR="00A46DCA" w:rsidRDefault="00A46DCA" w:rsidP="00A26D04">
      <w:pPr>
        <w:rPr>
          <w:lang w:eastAsia="en-AU"/>
        </w:rPr>
      </w:pPr>
      <w:r>
        <w:rPr>
          <w:lang w:eastAsia="en-AU"/>
        </w:rPr>
        <w:t xml:space="preserve">Refer to the output initiative for a description of this initiative. </w:t>
      </w:r>
    </w:p>
    <w:p w:rsidR="00A46DCA" w:rsidRDefault="00A46DCA" w:rsidP="00A26D04">
      <w:pPr>
        <w:pStyle w:val="Heading10"/>
        <w:rPr>
          <w:lang w:eastAsia="en-AU"/>
        </w:rPr>
      </w:pPr>
      <w:r>
        <w:rPr>
          <w:lang w:eastAsia="en-AU"/>
        </w:rPr>
        <w:br w:type="page"/>
      </w:r>
    </w:p>
    <w:p w:rsidR="00A46DCA" w:rsidRDefault="00A46DCA" w:rsidP="00A26D04">
      <w:pPr>
        <w:rPr>
          <w:lang w:eastAsia="en-AU"/>
        </w:rPr>
      </w:pPr>
    </w:p>
    <w:p w:rsidR="00A46DCA" w:rsidRPr="00D858F1" w:rsidRDefault="00A46DCA" w:rsidP="00A26D04">
      <w:pPr>
        <w:rPr>
          <w:lang w:eastAsia="en-AU"/>
        </w:rPr>
      </w:pPr>
    </w:p>
    <w:p w:rsidR="00A46DCA" w:rsidRDefault="00A46DCA" w:rsidP="00480C94">
      <w:pPr>
        <w:sectPr w:rsidR="00A46DCA" w:rsidSect="00A26D04">
          <w:footerReference w:type="even" r:id="rId74"/>
          <w:footerReference w:type="default" r:id="rId75"/>
          <w:type w:val="continuous"/>
          <w:pgSz w:w="9979" w:h="14175" w:code="9"/>
          <w:pgMar w:top="851" w:right="1134" w:bottom="851" w:left="1134" w:header="624" w:footer="567" w:gutter="0"/>
          <w:cols w:sep="1" w:space="567"/>
          <w:docGrid w:linePitch="360"/>
        </w:sectPr>
      </w:pPr>
    </w:p>
    <w:p w:rsidR="00A46DCA" w:rsidRDefault="00A46DCA" w:rsidP="000C43CD">
      <w:pPr>
        <w:pStyle w:val="Chapterheading"/>
      </w:pPr>
      <w:bookmarkStart w:id="88" w:name="_Toc500435595"/>
      <w:r>
        <w:lastRenderedPageBreak/>
        <w:t>Appendix B – Amendments to the 2017</w:t>
      </w:r>
      <w:r>
        <w:noBreakHyphen/>
        <w:t>18 output performance measures</w:t>
      </w:r>
      <w:bookmarkEnd w:id="88"/>
    </w:p>
    <w:p w:rsidR="00A46DCA" w:rsidRDefault="00A46DCA" w:rsidP="004419CD">
      <w:r>
        <w:t xml:space="preserve">Output measures for all departments were published in Chapter 2 and Appendix A of Budget Paper No. 3 </w:t>
      </w:r>
      <w:r w:rsidRPr="00C17587">
        <w:rPr>
          <w:i/>
        </w:rPr>
        <w:t>Service Delivery</w:t>
      </w:r>
      <w:r>
        <w:t>. The Public Accounts and Estimates Committee has completed its review of the measures which were substantially changed or proposed to be discontinued, and tabled its report in Parliament on 31 October 2017. The Government will consider the Committee’s report and respond to the recommendations within the legislated timeline. All agreed changes to output performance measures will be reflected in the next budget publication.</w:t>
      </w:r>
    </w:p>
    <w:p w:rsidR="00A46DCA" w:rsidRDefault="00A46DCA">
      <w:pPr>
        <w:keepLines w:val="0"/>
      </w:pPr>
      <w:r>
        <w:br w:type="page"/>
      </w:r>
    </w:p>
    <w:p w:rsidR="00A46DCA" w:rsidRDefault="00A46DCA" w:rsidP="004419CD">
      <w:pPr>
        <w:sectPr w:rsidR="00A46DCA" w:rsidSect="00A26D04">
          <w:headerReference w:type="even" r:id="rId76"/>
          <w:headerReference w:type="default" r:id="rId77"/>
          <w:footerReference w:type="even" r:id="rId78"/>
          <w:footerReference w:type="default" r:id="rId79"/>
          <w:headerReference w:type="first" r:id="rId80"/>
          <w:footerReference w:type="first" r:id="rId81"/>
          <w:type w:val="continuous"/>
          <w:pgSz w:w="9979" w:h="14175" w:code="9"/>
          <w:pgMar w:top="850" w:right="1134" w:bottom="850" w:left="1134" w:header="624" w:footer="567" w:gutter="0"/>
          <w:cols w:sep="1" w:space="567"/>
          <w:docGrid w:linePitch="360"/>
        </w:sectPr>
      </w:pPr>
    </w:p>
    <w:p w:rsidR="00A46DCA" w:rsidRDefault="00A46DCA" w:rsidP="00480C94">
      <w:pPr>
        <w:sectPr w:rsidR="00A46DCA" w:rsidSect="00A26D04">
          <w:headerReference w:type="even" r:id="rId82"/>
          <w:headerReference w:type="default" r:id="rId83"/>
          <w:footerReference w:type="even" r:id="rId84"/>
          <w:footerReference w:type="default" r:id="rId85"/>
          <w:headerReference w:type="first" r:id="rId86"/>
          <w:footerReference w:type="first" r:id="rId87"/>
          <w:type w:val="continuous"/>
          <w:pgSz w:w="9979" w:h="14175" w:code="9"/>
          <w:pgMar w:top="851" w:right="1134" w:bottom="851" w:left="1134" w:header="624" w:footer="567" w:gutter="0"/>
          <w:cols w:sep="1" w:space="567"/>
          <w:docGrid w:linePitch="360"/>
        </w:sectPr>
      </w:pPr>
    </w:p>
    <w:p w:rsidR="00A46DCA" w:rsidRDefault="00A46DCA" w:rsidP="000C43CD">
      <w:pPr>
        <w:pStyle w:val="Chapterheading"/>
      </w:pPr>
      <w:bookmarkStart w:id="89" w:name="_Toc500435596"/>
      <w:r>
        <w:lastRenderedPageBreak/>
        <w:t>Appendix C – Tax expenditures and concessions</w:t>
      </w:r>
      <w:bookmarkEnd w:id="89"/>
    </w:p>
    <w:p w:rsidR="00A46DCA" w:rsidRDefault="00A46DCA" w:rsidP="00A26D04">
      <w:r w:rsidRPr="00A65071">
        <w:t>Tax expenditures and concessions are impor</w:t>
      </w:r>
      <w:r>
        <w:t>tant because they represent for</w:t>
      </w:r>
      <w:r w:rsidRPr="00A65071">
        <w:t>gone revenue to the State. They may take a number of different forms</w:t>
      </w:r>
      <w:r>
        <w:t xml:space="preserve"> in the tax system</w:t>
      </w:r>
      <w:r w:rsidRPr="00A65071">
        <w:t>, for example, concessions, benefits and incentives delivered through the tax system. Regardless of form, they preferential</w:t>
      </w:r>
      <w:r>
        <w:t>ly</w:t>
      </w:r>
      <w:r w:rsidRPr="00A65071">
        <w:t xml:space="preserve"> benefit certain taxpayers, activities or assets compared with normal taxation treatment.</w:t>
      </w:r>
    </w:p>
    <w:p w:rsidR="00A46DCA" w:rsidRPr="00D83EF5" w:rsidRDefault="00A46DCA" w:rsidP="00526B73">
      <w:pPr>
        <w:pStyle w:val="Heading10"/>
      </w:pPr>
      <w:bookmarkStart w:id="90" w:name="_Toc500435597"/>
      <w:r w:rsidRPr="00D83EF5">
        <w:t>Tax expenditure</w:t>
      </w:r>
      <w:r>
        <w:t>s</w:t>
      </w:r>
      <w:bookmarkEnd w:id="90"/>
    </w:p>
    <w:p w:rsidR="00A46DCA" w:rsidRPr="004D4435" w:rsidRDefault="00A46DCA" w:rsidP="00A26D04">
      <w:r w:rsidRPr="004D4435">
        <w:t xml:space="preserve">Tax expenditures are estimated by taking the difference between the reduced tax paid by a person or entity receiving preferential treatment and the tax paid by similar taxpayers who do not receive that treatment. Benefits arising </w:t>
      </w:r>
      <w:r>
        <w:t>from marginal tax rates and tax-</w:t>
      </w:r>
      <w:r w:rsidRPr="004D4435">
        <w:t>free thresholds are not considered to be tax expenditures, since they apply to all taxpayers. Accordingly, they ar</w:t>
      </w:r>
      <w:r>
        <w:t xml:space="preserve">e not </w:t>
      </w:r>
      <w:r w:rsidRPr="00E90783">
        <w:t>included in this section.</w:t>
      </w:r>
    </w:p>
    <w:p w:rsidR="00A46DCA" w:rsidRPr="00AA21A3" w:rsidRDefault="00A46DCA" w:rsidP="00A26D04">
      <w:r w:rsidRPr="00AA21A3">
        <w:t>Over the</w:t>
      </w:r>
      <w:r>
        <w:t xml:space="preserve"> past decade, the State has </w:t>
      </w:r>
      <w:r w:rsidRPr="00717513">
        <w:t>forgone $42.7 billion in revenue in the form of tax expenditures. In 2017-18, tax expenditures are forecast to be $6.9 billion, 44 per</w:t>
      </w:r>
      <w:r>
        <w:t xml:space="preserve"> cent</w:t>
      </w:r>
      <w:r w:rsidRPr="00CE4DC5">
        <w:t xml:space="preserve"> of which will accrue t</w:t>
      </w:r>
      <w:r w:rsidRPr="00AA21A3">
        <w:t>o owner-occupier households.</w:t>
      </w:r>
    </w:p>
    <w:p w:rsidR="00A46DCA" w:rsidRPr="001F2674" w:rsidRDefault="00A46DCA" w:rsidP="00A26D04">
      <w:r>
        <w:t>The t</w:t>
      </w:r>
      <w:r w:rsidRPr="001F2674">
        <w:t xml:space="preserve">ax expenditures outlined below can include exemptions, reduced rates, deductions or rebates of tax for a certain type of taxpayer, activity or asset. </w:t>
      </w:r>
      <w:r w:rsidRPr="00B5517F">
        <w:t>Table C.1 aggregates tax expenditure estimates by the main tax categories for the period 2016-17 to 2020-21. In estimating tax expenditures, it is assumed that taxpayer behaviour is unchanged by the concession</w:t>
      </w:r>
      <w:r w:rsidRPr="001F2674">
        <w:t>.</w:t>
      </w:r>
    </w:p>
    <w:p w:rsidR="00A46DCA" w:rsidRDefault="00A46DCA" w:rsidP="00A26D04">
      <w:pPr>
        <w:ind w:right="-227"/>
      </w:pPr>
      <w:r w:rsidRPr="00D374D6">
        <w:t>Land tax expenditures form a significant portion of total estimate</w:t>
      </w:r>
      <w:r>
        <w:t xml:space="preserve">d tax expenditures. </w:t>
      </w:r>
      <w:r>
        <w:br/>
        <w:t xml:space="preserve">The current biennial </w:t>
      </w:r>
      <w:r w:rsidRPr="00D374D6">
        <w:t>land revaluation determines a property</w:t>
      </w:r>
      <w:r>
        <w:t>’</w:t>
      </w:r>
      <w:r w:rsidRPr="00D374D6">
        <w:t>s latest site value used in tax</w:t>
      </w:r>
      <w:r>
        <w:t xml:space="preserve"> assessments</w:t>
      </w:r>
      <w:r w:rsidRPr="00D374D6">
        <w:t>. Since the revaluation is performed on all land, including exempt land, increases arising from this revaluation also raise land tax expenditures. For example, a revaluation year such as 2016</w:t>
      </w:r>
      <w:r w:rsidRPr="00D374D6">
        <w:noBreakHyphen/>
        <w:t xml:space="preserve">17 causes strong growth in land tax expenditures, with more subdued growth in the following year, in this case 2017-18. </w:t>
      </w:r>
      <w:r>
        <w:t>T</w:t>
      </w:r>
      <w:r w:rsidRPr="00D374D6">
        <w:t xml:space="preserve">he current biennial property valuation process </w:t>
      </w:r>
      <w:r>
        <w:t xml:space="preserve">is expected to </w:t>
      </w:r>
      <w:r w:rsidRPr="00D374D6">
        <w:t xml:space="preserve">be centralised within the </w:t>
      </w:r>
      <w:proofErr w:type="spellStart"/>
      <w:r w:rsidRPr="00D374D6">
        <w:t>Valuer</w:t>
      </w:r>
      <w:proofErr w:type="spellEnd"/>
      <w:r w:rsidRPr="00D374D6">
        <w:t>-General Victoria and undertaken annually</w:t>
      </w:r>
      <w:r>
        <w:t xml:space="preserve"> from 2019</w:t>
      </w:r>
      <w:r w:rsidRPr="00D374D6">
        <w:t>.</w:t>
      </w:r>
    </w:p>
    <w:p w:rsidR="00A46DCA" w:rsidRDefault="00A46DCA" w:rsidP="00A26D04">
      <w:pPr>
        <w:pStyle w:val="Heading10"/>
      </w:pPr>
      <w:r>
        <w:br w:type="page"/>
      </w:r>
    </w:p>
    <w:p w:rsidR="00A46DCA" w:rsidRPr="00E50C2A" w:rsidRDefault="00A46DCA" w:rsidP="00A26D04">
      <w:pPr>
        <w:pStyle w:val="TableHeading"/>
        <w:rPr>
          <w:bCs/>
          <w:lang w:val="en-US"/>
        </w:rPr>
      </w:pPr>
      <w:r w:rsidRPr="00894294">
        <w:lastRenderedPageBreak/>
        <w:t>Table C.1:</w:t>
      </w:r>
      <w:r w:rsidRPr="00894294">
        <w:tab/>
        <w:t xml:space="preserve">Estimates of aggregate tax expenditures by type of tax </w:t>
      </w:r>
      <w:r w:rsidRPr="00244AA0">
        <w:rPr>
          <w:vertAlign w:val="superscript"/>
        </w:rPr>
        <w:t>(a)</w:t>
      </w:r>
      <w:r>
        <w:rPr>
          <w:vertAlign w:val="superscript"/>
        </w:rPr>
        <w:tab/>
      </w:r>
      <w:r w:rsidRPr="00894294">
        <w:t>($ million)</w:t>
      </w:r>
    </w:p>
    <w:tbl>
      <w:tblPr>
        <w:tblStyle w:val="DTFTable"/>
        <w:tblW w:w="7765" w:type="dxa"/>
        <w:tblInd w:w="45" w:type="dxa"/>
        <w:tblLayout w:type="fixed"/>
        <w:tblCellMar>
          <w:left w:w="45" w:type="dxa"/>
          <w:right w:w="45" w:type="dxa"/>
        </w:tblCellMar>
        <w:tblLook w:val="06E0" w:firstRow="1" w:lastRow="1" w:firstColumn="1" w:lastColumn="0" w:noHBand="1" w:noVBand="1"/>
      </w:tblPr>
      <w:tblGrid>
        <w:gridCol w:w="3515"/>
        <w:gridCol w:w="850"/>
        <w:gridCol w:w="850"/>
        <w:gridCol w:w="850"/>
        <w:gridCol w:w="850"/>
        <w:gridCol w:w="850"/>
      </w:tblGrid>
      <w:tr w:rsidR="00A46DCA" w:rsidRPr="00E50C2A" w:rsidTr="004906A4">
        <w:trPr>
          <w:cnfStyle w:val="100000000000" w:firstRow="1" w:lastRow="0" w:firstColumn="0" w:lastColumn="0" w:oddVBand="0" w:evenVBand="0" w:oddHBand="0" w:evenHBand="0" w:firstRowFirstColumn="0" w:firstRowLastColumn="0" w:lastRowFirstColumn="0" w:lastRowLastColumn="0"/>
          <w:trHeight w:val="66"/>
        </w:trPr>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shd w:val="solid" w:color="000000" w:fill="auto"/>
          </w:tcPr>
          <w:p w:rsidR="00A46DCA" w:rsidRPr="00E50C2A" w:rsidRDefault="00A46DCA" w:rsidP="00A26D04">
            <w:pPr>
              <w:autoSpaceDE w:val="0"/>
              <w:autoSpaceDN w:val="0"/>
              <w:adjustRightInd w:val="0"/>
              <w:rPr>
                <w:rFonts w:eastAsiaTheme="minorEastAsia" w:cs="Calibri"/>
                <w:iCs/>
                <w:color w:val="FFFFFF"/>
                <w:szCs w:val="19"/>
                <w:lang w:eastAsia="en-AU"/>
              </w:rPr>
            </w:pPr>
            <w:r w:rsidRPr="00E50C2A">
              <w:rPr>
                <w:rFonts w:eastAsiaTheme="minorEastAsia" w:cs="Calibri"/>
                <w:iCs/>
                <w:color w:val="FFFFFF"/>
                <w:szCs w:val="19"/>
                <w:lang w:eastAsia="en-AU"/>
              </w:rPr>
              <w:t>Description</w:t>
            </w:r>
          </w:p>
        </w:tc>
        <w:tc>
          <w:tcPr>
            <w:tcW w:w="850" w:type="dxa"/>
            <w:tcBorders>
              <w:top w:val="nil"/>
              <w:left w:val="nil"/>
              <w:bottom w:val="nil"/>
              <w:right w:val="nil"/>
            </w:tcBorders>
            <w:shd w:val="solid" w:color="000000" w:fill="auto"/>
          </w:tcPr>
          <w:p w:rsidR="00A46DCA" w:rsidRPr="00E50C2A" w:rsidRDefault="00A46DCA" w:rsidP="00A26D0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9"/>
                <w:lang w:eastAsia="en-AU"/>
              </w:rPr>
            </w:pPr>
            <w:r w:rsidRPr="00E50C2A">
              <w:rPr>
                <w:rFonts w:eastAsiaTheme="minorEastAsia" w:cs="Calibri"/>
                <w:iCs/>
                <w:color w:val="FFFFFF"/>
                <w:szCs w:val="19"/>
                <w:lang w:eastAsia="en-AU"/>
              </w:rPr>
              <w:t>2016-17</w:t>
            </w:r>
          </w:p>
        </w:tc>
        <w:tc>
          <w:tcPr>
            <w:tcW w:w="850" w:type="dxa"/>
            <w:tcBorders>
              <w:top w:val="nil"/>
              <w:left w:val="nil"/>
              <w:bottom w:val="nil"/>
              <w:right w:val="nil"/>
            </w:tcBorders>
            <w:shd w:val="solid" w:color="000000" w:fill="auto"/>
          </w:tcPr>
          <w:p w:rsidR="00A46DCA" w:rsidRPr="00E50C2A" w:rsidRDefault="00A46DCA" w:rsidP="00A26D0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9"/>
                <w:lang w:eastAsia="en-AU"/>
              </w:rPr>
            </w:pPr>
            <w:r w:rsidRPr="00E50C2A">
              <w:rPr>
                <w:rFonts w:eastAsiaTheme="minorEastAsia" w:cs="Calibri"/>
                <w:iCs/>
                <w:color w:val="FFFFFF"/>
                <w:szCs w:val="19"/>
                <w:lang w:eastAsia="en-AU"/>
              </w:rPr>
              <w:t>2017-18</w:t>
            </w:r>
          </w:p>
        </w:tc>
        <w:tc>
          <w:tcPr>
            <w:tcW w:w="850" w:type="dxa"/>
            <w:tcBorders>
              <w:top w:val="nil"/>
              <w:left w:val="nil"/>
              <w:bottom w:val="nil"/>
              <w:right w:val="nil"/>
            </w:tcBorders>
            <w:shd w:val="solid" w:color="000000" w:fill="auto"/>
          </w:tcPr>
          <w:p w:rsidR="00A46DCA" w:rsidRPr="00E50C2A" w:rsidRDefault="00A46DCA" w:rsidP="00A26D0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9"/>
                <w:lang w:eastAsia="en-AU"/>
              </w:rPr>
            </w:pPr>
            <w:r w:rsidRPr="00E50C2A">
              <w:rPr>
                <w:rFonts w:eastAsiaTheme="minorEastAsia" w:cs="Calibri"/>
                <w:iCs/>
                <w:color w:val="FFFFFF"/>
                <w:szCs w:val="19"/>
                <w:lang w:eastAsia="en-AU"/>
              </w:rPr>
              <w:t>2018-19</w:t>
            </w:r>
          </w:p>
        </w:tc>
        <w:tc>
          <w:tcPr>
            <w:tcW w:w="850" w:type="dxa"/>
            <w:tcBorders>
              <w:top w:val="nil"/>
              <w:left w:val="nil"/>
              <w:bottom w:val="nil"/>
              <w:right w:val="nil"/>
            </w:tcBorders>
            <w:shd w:val="solid" w:color="000000" w:fill="auto"/>
          </w:tcPr>
          <w:p w:rsidR="00A46DCA" w:rsidRPr="00E50C2A" w:rsidRDefault="00A46DCA" w:rsidP="00A26D0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9"/>
                <w:lang w:eastAsia="en-AU"/>
              </w:rPr>
            </w:pPr>
            <w:r w:rsidRPr="00E50C2A">
              <w:rPr>
                <w:rFonts w:eastAsiaTheme="minorEastAsia" w:cs="Calibri"/>
                <w:iCs/>
                <w:color w:val="FFFFFF"/>
                <w:szCs w:val="19"/>
                <w:lang w:eastAsia="en-AU"/>
              </w:rPr>
              <w:t>2019-20</w:t>
            </w:r>
          </w:p>
        </w:tc>
        <w:tc>
          <w:tcPr>
            <w:tcW w:w="850" w:type="dxa"/>
            <w:tcBorders>
              <w:top w:val="nil"/>
              <w:left w:val="nil"/>
              <w:bottom w:val="nil"/>
              <w:right w:val="nil"/>
            </w:tcBorders>
            <w:shd w:val="solid" w:color="000000" w:fill="auto"/>
          </w:tcPr>
          <w:p w:rsidR="00A46DCA" w:rsidRPr="00E50C2A" w:rsidRDefault="00A46DCA" w:rsidP="00A26D0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9"/>
                <w:lang w:eastAsia="en-AU"/>
              </w:rPr>
            </w:pPr>
            <w:r w:rsidRPr="00E50C2A">
              <w:rPr>
                <w:rFonts w:eastAsiaTheme="minorEastAsia" w:cs="Calibri"/>
                <w:iCs/>
                <w:color w:val="FFFFFF"/>
                <w:szCs w:val="19"/>
                <w:lang w:eastAsia="en-AU"/>
              </w:rPr>
              <w:t>2020-21</w:t>
            </w:r>
          </w:p>
        </w:tc>
      </w:tr>
      <w:tr w:rsidR="00A46DCA" w:rsidRPr="00E50C2A" w:rsidTr="00A26D04">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shd w:val="solid" w:color="FFFFFF" w:fill="auto"/>
          </w:tcPr>
          <w:p w:rsidR="00A46DCA" w:rsidRPr="00E50C2A" w:rsidRDefault="00A46DCA" w:rsidP="00A26D04">
            <w:pPr>
              <w:keepLines w:val="0"/>
              <w:autoSpaceDE w:val="0"/>
              <w:autoSpaceDN w:val="0"/>
              <w:adjustRightInd w:val="0"/>
              <w:rPr>
                <w:rFonts w:eastAsiaTheme="minorEastAsia" w:cs="Calibri"/>
                <w:color w:val="000000"/>
                <w:szCs w:val="19"/>
                <w:vertAlign w:val="superscript"/>
                <w:lang w:eastAsia="en-AU"/>
              </w:rPr>
            </w:pPr>
            <w:r w:rsidRPr="00E50C2A">
              <w:rPr>
                <w:rFonts w:eastAsiaTheme="minorEastAsia" w:cs="Calibri"/>
                <w:color w:val="000000"/>
                <w:szCs w:val="19"/>
                <w:lang w:eastAsia="en-AU"/>
              </w:rPr>
              <w:t xml:space="preserve">Land tax </w:t>
            </w:r>
            <w:r w:rsidRPr="00E50C2A">
              <w:rPr>
                <w:rFonts w:eastAsiaTheme="minorEastAsia" w:cs="Calibri"/>
                <w:color w:val="000000"/>
                <w:szCs w:val="19"/>
                <w:vertAlign w:val="superscript"/>
                <w:lang w:eastAsia="en-AU"/>
              </w:rPr>
              <w:t>(b)</w:t>
            </w:r>
          </w:p>
        </w:tc>
        <w:tc>
          <w:tcPr>
            <w:tcW w:w="850" w:type="dxa"/>
            <w:tcBorders>
              <w:top w:val="nil"/>
              <w:left w:val="nil"/>
              <w:bottom w:val="nil"/>
              <w:right w:val="nil"/>
            </w:tcBorders>
            <w:shd w:val="solid" w:color="FFFFFF" w:fill="auto"/>
          </w:tcPr>
          <w:p w:rsidR="00A46DCA" w:rsidRPr="00E50C2A"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lang w:eastAsia="en-AU"/>
              </w:rPr>
            </w:pPr>
            <w:r w:rsidRPr="00E50C2A">
              <w:rPr>
                <w:rFonts w:eastAsiaTheme="minorEastAsia" w:cs="Calibri"/>
                <w:color w:val="000000"/>
                <w:szCs w:val="19"/>
                <w:lang w:eastAsia="en-AU"/>
              </w:rPr>
              <w:t>3 925</w:t>
            </w:r>
          </w:p>
        </w:tc>
        <w:tc>
          <w:tcPr>
            <w:tcW w:w="850" w:type="dxa"/>
            <w:tcBorders>
              <w:top w:val="nil"/>
              <w:left w:val="nil"/>
              <w:bottom w:val="nil"/>
              <w:right w:val="nil"/>
            </w:tcBorders>
            <w:shd w:val="solid" w:color="FFFFFF" w:fill="auto"/>
          </w:tcPr>
          <w:p w:rsidR="00A46DCA" w:rsidRPr="00E50C2A"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lang w:eastAsia="en-AU"/>
              </w:rPr>
            </w:pPr>
            <w:r w:rsidRPr="00E50C2A">
              <w:rPr>
                <w:rFonts w:eastAsiaTheme="minorEastAsia" w:cs="Calibri"/>
                <w:color w:val="000000"/>
                <w:szCs w:val="19"/>
                <w:lang w:eastAsia="en-AU"/>
              </w:rPr>
              <w:t>3 956</w:t>
            </w:r>
          </w:p>
        </w:tc>
        <w:tc>
          <w:tcPr>
            <w:tcW w:w="850" w:type="dxa"/>
            <w:tcBorders>
              <w:top w:val="nil"/>
              <w:left w:val="nil"/>
              <w:bottom w:val="nil"/>
              <w:right w:val="nil"/>
            </w:tcBorders>
            <w:shd w:val="solid" w:color="FFFFFF" w:fill="auto"/>
          </w:tcPr>
          <w:p w:rsidR="00A46DCA" w:rsidRPr="00E50C2A"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lang w:eastAsia="en-AU"/>
              </w:rPr>
            </w:pPr>
            <w:r w:rsidRPr="00E50C2A">
              <w:rPr>
                <w:rFonts w:eastAsiaTheme="minorEastAsia" w:cs="Calibri"/>
                <w:color w:val="000000"/>
                <w:szCs w:val="19"/>
                <w:lang w:eastAsia="en-AU"/>
              </w:rPr>
              <w:t>4 796</w:t>
            </w:r>
          </w:p>
        </w:tc>
        <w:tc>
          <w:tcPr>
            <w:tcW w:w="850" w:type="dxa"/>
            <w:tcBorders>
              <w:top w:val="nil"/>
              <w:left w:val="nil"/>
              <w:bottom w:val="nil"/>
              <w:right w:val="nil"/>
            </w:tcBorders>
            <w:shd w:val="solid" w:color="FFFFFF" w:fill="auto"/>
          </w:tcPr>
          <w:p w:rsidR="00A46DCA" w:rsidRPr="00E50C2A"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lang w:eastAsia="en-AU"/>
              </w:rPr>
            </w:pPr>
            <w:r w:rsidRPr="00E50C2A">
              <w:rPr>
                <w:rFonts w:eastAsiaTheme="minorEastAsia" w:cs="Calibri"/>
                <w:color w:val="000000"/>
                <w:szCs w:val="19"/>
                <w:lang w:eastAsia="en-AU"/>
              </w:rPr>
              <w:t>5 198</w:t>
            </w:r>
          </w:p>
        </w:tc>
        <w:tc>
          <w:tcPr>
            <w:tcW w:w="850" w:type="dxa"/>
            <w:tcBorders>
              <w:top w:val="nil"/>
              <w:left w:val="nil"/>
              <w:bottom w:val="nil"/>
              <w:right w:val="nil"/>
            </w:tcBorders>
            <w:shd w:val="solid" w:color="FFFFFF" w:fill="auto"/>
          </w:tcPr>
          <w:p w:rsidR="00A46DCA" w:rsidRPr="00E50C2A"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lang w:eastAsia="en-AU"/>
              </w:rPr>
            </w:pPr>
            <w:r w:rsidRPr="00E50C2A">
              <w:rPr>
                <w:rFonts w:eastAsiaTheme="minorEastAsia" w:cs="Calibri"/>
                <w:color w:val="000000"/>
                <w:szCs w:val="19"/>
                <w:lang w:eastAsia="en-AU"/>
              </w:rPr>
              <w:t>5 302</w:t>
            </w:r>
          </w:p>
        </w:tc>
      </w:tr>
      <w:tr w:rsidR="00A46DCA" w:rsidRPr="00E50C2A" w:rsidTr="00A26D04">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shd w:val="solid" w:color="FFFFFF" w:fill="auto"/>
          </w:tcPr>
          <w:p w:rsidR="00A46DCA" w:rsidRPr="00E50C2A" w:rsidRDefault="00A46DCA" w:rsidP="00A26D04">
            <w:pPr>
              <w:keepLines w:val="0"/>
              <w:autoSpaceDE w:val="0"/>
              <w:autoSpaceDN w:val="0"/>
              <w:adjustRightInd w:val="0"/>
              <w:rPr>
                <w:rFonts w:eastAsiaTheme="minorEastAsia" w:cs="Calibri"/>
                <w:color w:val="000000"/>
                <w:szCs w:val="19"/>
                <w:lang w:eastAsia="en-AU"/>
              </w:rPr>
            </w:pPr>
            <w:r w:rsidRPr="00E50C2A">
              <w:rPr>
                <w:rFonts w:eastAsiaTheme="minorEastAsia" w:cs="Calibri"/>
                <w:color w:val="000000"/>
                <w:szCs w:val="19"/>
                <w:lang w:eastAsia="en-AU"/>
              </w:rPr>
              <w:t>Fire Services Property Levy</w:t>
            </w:r>
          </w:p>
        </w:tc>
        <w:tc>
          <w:tcPr>
            <w:tcW w:w="850" w:type="dxa"/>
            <w:tcBorders>
              <w:top w:val="nil"/>
              <w:left w:val="nil"/>
              <w:bottom w:val="nil"/>
              <w:right w:val="nil"/>
            </w:tcBorders>
            <w:shd w:val="solid" w:color="FFFFFF" w:fill="auto"/>
          </w:tcPr>
          <w:p w:rsidR="00A46DCA" w:rsidRPr="00E50C2A"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sidRPr="00E50C2A">
              <w:rPr>
                <w:rFonts w:eastAsiaTheme="minorEastAsia" w:cs="Calibri"/>
                <w:color w:val="000000"/>
                <w:szCs w:val="19"/>
                <w:lang w:eastAsia="en-AU"/>
              </w:rPr>
              <w:t xml:space="preserve"> 22</w:t>
            </w:r>
          </w:p>
        </w:tc>
        <w:tc>
          <w:tcPr>
            <w:tcW w:w="850" w:type="dxa"/>
            <w:tcBorders>
              <w:top w:val="nil"/>
              <w:left w:val="nil"/>
              <w:bottom w:val="nil"/>
              <w:right w:val="nil"/>
            </w:tcBorders>
            <w:shd w:val="solid" w:color="FFFFFF" w:fill="auto"/>
          </w:tcPr>
          <w:p w:rsidR="00A46DCA" w:rsidRPr="00E50C2A"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sidRPr="00E50C2A">
              <w:rPr>
                <w:rFonts w:eastAsiaTheme="minorEastAsia" w:cs="Calibri"/>
                <w:color w:val="000000"/>
                <w:szCs w:val="19"/>
                <w:lang w:eastAsia="en-AU"/>
              </w:rPr>
              <w:t xml:space="preserve"> 22</w:t>
            </w:r>
          </w:p>
        </w:tc>
        <w:tc>
          <w:tcPr>
            <w:tcW w:w="850" w:type="dxa"/>
            <w:tcBorders>
              <w:top w:val="nil"/>
              <w:left w:val="nil"/>
              <w:bottom w:val="nil"/>
              <w:right w:val="nil"/>
            </w:tcBorders>
            <w:shd w:val="solid" w:color="FFFFFF" w:fill="auto"/>
          </w:tcPr>
          <w:p w:rsidR="00A46DCA" w:rsidRPr="00E50C2A"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sidRPr="00E50C2A">
              <w:rPr>
                <w:rFonts w:eastAsiaTheme="minorEastAsia" w:cs="Calibri"/>
                <w:color w:val="000000"/>
                <w:szCs w:val="19"/>
                <w:lang w:eastAsia="en-AU"/>
              </w:rPr>
              <w:t xml:space="preserve"> 22</w:t>
            </w:r>
          </w:p>
        </w:tc>
        <w:tc>
          <w:tcPr>
            <w:tcW w:w="850" w:type="dxa"/>
            <w:tcBorders>
              <w:top w:val="nil"/>
              <w:left w:val="nil"/>
              <w:bottom w:val="nil"/>
              <w:right w:val="nil"/>
            </w:tcBorders>
            <w:shd w:val="solid" w:color="FFFFFF" w:fill="auto"/>
          </w:tcPr>
          <w:p w:rsidR="00A46DCA" w:rsidRPr="00E50C2A"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sidRPr="00E50C2A">
              <w:rPr>
                <w:rFonts w:eastAsiaTheme="minorEastAsia" w:cs="Calibri"/>
                <w:color w:val="000000"/>
                <w:szCs w:val="19"/>
                <w:lang w:eastAsia="en-AU"/>
              </w:rPr>
              <w:t xml:space="preserve"> 22</w:t>
            </w:r>
          </w:p>
        </w:tc>
        <w:tc>
          <w:tcPr>
            <w:tcW w:w="850" w:type="dxa"/>
            <w:tcBorders>
              <w:top w:val="nil"/>
              <w:left w:val="nil"/>
              <w:bottom w:val="nil"/>
              <w:right w:val="nil"/>
            </w:tcBorders>
            <w:shd w:val="solid" w:color="FFFFFF" w:fill="auto"/>
          </w:tcPr>
          <w:p w:rsidR="00A46DCA" w:rsidRPr="00E50C2A"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sidRPr="00E50C2A">
              <w:rPr>
                <w:rFonts w:eastAsiaTheme="minorEastAsia" w:cs="Calibri"/>
                <w:color w:val="000000"/>
                <w:szCs w:val="19"/>
                <w:lang w:eastAsia="en-AU"/>
              </w:rPr>
              <w:t xml:space="preserve"> 22</w:t>
            </w:r>
          </w:p>
        </w:tc>
      </w:tr>
      <w:tr w:rsidR="00A46DCA" w:rsidRPr="00E50C2A" w:rsidTr="00A26D04">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shd w:val="solid" w:color="FFFFFF" w:fill="auto"/>
          </w:tcPr>
          <w:p w:rsidR="00A46DCA" w:rsidRPr="00E50C2A" w:rsidRDefault="00A46DCA" w:rsidP="00A26D04">
            <w:pPr>
              <w:keepLines w:val="0"/>
              <w:autoSpaceDE w:val="0"/>
              <w:autoSpaceDN w:val="0"/>
              <w:adjustRightInd w:val="0"/>
              <w:rPr>
                <w:rFonts w:eastAsiaTheme="minorEastAsia" w:cs="Calibri"/>
                <w:color w:val="000000"/>
                <w:szCs w:val="19"/>
                <w:lang w:eastAsia="en-AU"/>
              </w:rPr>
            </w:pPr>
            <w:r w:rsidRPr="00E50C2A">
              <w:rPr>
                <w:rFonts w:eastAsiaTheme="minorEastAsia" w:cs="Calibri"/>
                <w:color w:val="000000"/>
                <w:szCs w:val="19"/>
                <w:lang w:eastAsia="en-AU"/>
              </w:rPr>
              <w:t>Payroll tax</w:t>
            </w:r>
          </w:p>
        </w:tc>
        <w:tc>
          <w:tcPr>
            <w:tcW w:w="850" w:type="dxa"/>
            <w:tcBorders>
              <w:top w:val="nil"/>
              <w:left w:val="nil"/>
              <w:bottom w:val="nil"/>
              <w:right w:val="nil"/>
            </w:tcBorders>
            <w:shd w:val="solid" w:color="FFFFFF" w:fill="auto"/>
          </w:tcPr>
          <w:p w:rsidR="00A46DCA" w:rsidRPr="00E50C2A"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lang w:eastAsia="en-AU"/>
              </w:rPr>
            </w:pPr>
            <w:r w:rsidRPr="00E50C2A">
              <w:rPr>
                <w:rFonts w:eastAsiaTheme="minorEastAsia" w:cs="Calibri"/>
                <w:color w:val="000000"/>
                <w:szCs w:val="19"/>
                <w:lang w:eastAsia="en-AU"/>
              </w:rPr>
              <w:t>1 184</w:t>
            </w:r>
          </w:p>
        </w:tc>
        <w:tc>
          <w:tcPr>
            <w:tcW w:w="850" w:type="dxa"/>
            <w:tcBorders>
              <w:top w:val="nil"/>
              <w:left w:val="nil"/>
              <w:bottom w:val="nil"/>
              <w:right w:val="nil"/>
            </w:tcBorders>
            <w:shd w:val="solid" w:color="FFFFFF" w:fill="auto"/>
          </w:tcPr>
          <w:p w:rsidR="00A46DCA" w:rsidRPr="00E50C2A"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lang w:eastAsia="en-AU"/>
              </w:rPr>
            </w:pPr>
            <w:r w:rsidRPr="00E50C2A">
              <w:rPr>
                <w:rFonts w:eastAsiaTheme="minorEastAsia" w:cs="Calibri"/>
                <w:color w:val="000000"/>
                <w:szCs w:val="19"/>
                <w:lang w:eastAsia="en-AU"/>
              </w:rPr>
              <w:t>1 339</w:t>
            </w:r>
          </w:p>
        </w:tc>
        <w:tc>
          <w:tcPr>
            <w:tcW w:w="850" w:type="dxa"/>
            <w:tcBorders>
              <w:top w:val="nil"/>
              <w:left w:val="nil"/>
              <w:bottom w:val="nil"/>
              <w:right w:val="nil"/>
            </w:tcBorders>
            <w:shd w:val="solid" w:color="FFFFFF" w:fill="auto"/>
          </w:tcPr>
          <w:p w:rsidR="00A46DCA" w:rsidRPr="00E50C2A"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lang w:eastAsia="en-AU"/>
              </w:rPr>
            </w:pPr>
            <w:r w:rsidRPr="00E50C2A">
              <w:rPr>
                <w:rFonts w:eastAsiaTheme="minorEastAsia" w:cs="Calibri"/>
                <w:color w:val="000000"/>
                <w:szCs w:val="19"/>
                <w:lang w:eastAsia="en-AU"/>
              </w:rPr>
              <w:t>1 400</w:t>
            </w:r>
          </w:p>
        </w:tc>
        <w:tc>
          <w:tcPr>
            <w:tcW w:w="850" w:type="dxa"/>
            <w:tcBorders>
              <w:top w:val="nil"/>
              <w:left w:val="nil"/>
              <w:bottom w:val="nil"/>
              <w:right w:val="nil"/>
            </w:tcBorders>
            <w:shd w:val="solid" w:color="FFFFFF" w:fill="auto"/>
          </w:tcPr>
          <w:p w:rsidR="00A46DCA" w:rsidRPr="00E50C2A"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lang w:eastAsia="en-AU"/>
              </w:rPr>
            </w:pPr>
            <w:r w:rsidRPr="00E50C2A">
              <w:rPr>
                <w:rFonts w:eastAsiaTheme="minorEastAsia" w:cs="Calibri"/>
                <w:color w:val="000000"/>
                <w:szCs w:val="19"/>
                <w:lang w:eastAsia="en-AU"/>
              </w:rPr>
              <w:t>1 467</w:t>
            </w:r>
          </w:p>
        </w:tc>
        <w:tc>
          <w:tcPr>
            <w:tcW w:w="850" w:type="dxa"/>
            <w:tcBorders>
              <w:top w:val="nil"/>
              <w:left w:val="nil"/>
              <w:bottom w:val="nil"/>
              <w:right w:val="nil"/>
            </w:tcBorders>
            <w:shd w:val="solid" w:color="FFFFFF" w:fill="auto"/>
          </w:tcPr>
          <w:p w:rsidR="00A46DCA" w:rsidRPr="00E50C2A"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lang w:eastAsia="en-AU"/>
              </w:rPr>
            </w:pPr>
            <w:r w:rsidRPr="00E50C2A">
              <w:rPr>
                <w:rFonts w:eastAsiaTheme="minorEastAsia" w:cs="Calibri"/>
                <w:color w:val="000000"/>
                <w:szCs w:val="19"/>
                <w:lang w:eastAsia="en-AU"/>
              </w:rPr>
              <w:t>1 545</w:t>
            </w:r>
          </w:p>
        </w:tc>
      </w:tr>
      <w:tr w:rsidR="00A46DCA" w:rsidRPr="00E50C2A" w:rsidTr="00A26D04">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shd w:val="solid" w:color="FFFFFF" w:fill="auto"/>
          </w:tcPr>
          <w:p w:rsidR="00A46DCA" w:rsidRPr="00E50C2A" w:rsidRDefault="00A46DCA" w:rsidP="00A26D04">
            <w:pPr>
              <w:keepLines w:val="0"/>
              <w:autoSpaceDE w:val="0"/>
              <w:autoSpaceDN w:val="0"/>
              <w:adjustRightInd w:val="0"/>
              <w:rPr>
                <w:rFonts w:eastAsiaTheme="minorEastAsia" w:cs="Calibri"/>
                <w:color w:val="000000"/>
                <w:szCs w:val="19"/>
                <w:lang w:eastAsia="en-AU"/>
              </w:rPr>
            </w:pPr>
            <w:r w:rsidRPr="00E50C2A">
              <w:rPr>
                <w:rFonts w:eastAsiaTheme="minorEastAsia" w:cs="Calibri"/>
                <w:color w:val="000000"/>
                <w:szCs w:val="19"/>
                <w:lang w:eastAsia="en-AU"/>
              </w:rPr>
              <w:t>Gambling tax</w:t>
            </w:r>
          </w:p>
        </w:tc>
        <w:tc>
          <w:tcPr>
            <w:tcW w:w="850" w:type="dxa"/>
            <w:tcBorders>
              <w:top w:val="nil"/>
              <w:left w:val="nil"/>
              <w:bottom w:val="nil"/>
              <w:right w:val="nil"/>
            </w:tcBorders>
            <w:shd w:val="solid" w:color="FFFFFF" w:fill="auto"/>
          </w:tcPr>
          <w:p w:rsidR="00A46DCA" w:rsidRPr="00E50C2A"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sidRPr="00E50C2A">
              <w:rPr>
                <w:rFonts w:eastAsiaTheme="minorEastAsia" w:cs="Calibri"/>
                <w:color w:val="000000"/>
                <w:szCs w:val="19"/>
                <w:lang w:eastAsia="en-AU"/>
              </w:rPr>
              <w:t xml:space="preserve"> 75</w:t>
            </w:r>
          </w:p>
        </w:tc>
        <w:tc>
          <w:tcPr>
            <w:tcW w:w="850" w:type="dxa"/>
            <w:tcBorders>
              <w:top w:val="nil"/>
              <w:left w:val="nil"/>
              <w:bottom w:val="nil"/>
              <w:right w:val="nil"/>
            </w:tcBorders>
            <w:shd w:val="solid" w:color="FFFFFF" w:fill="auto"/>
          </w:tcPr>
          <w:p w:rsidR="00A46DCA" w:rsidRPr="00E50C2A"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sidRPr="00E50C2A">
              <w:rPr>
                <w:rFonts w:eastAsiaTheme="minorEastAsia" w:cs="Calibri"/>
                <w:color w:val="000000"/>
                <w:szCs w:val="19"/>
                <w:lang w:eastAsia="en-AU"/>
              </w:rPr>
              <w:t xml:space="preserve"> 77</w:t>
            </w:r>
          </w:p>
        </w:tc>
        <w:tc>
          <w:tcPr>
            <w:tcW w:w="850" w:type="dxa"/>
            <w:tcBorders>
              <w:top w:val="nil"/>
              <w:left w:val="nil"/>
              <w:bottom w:val="nil"/>
              <w:right w:val="nil"/>
            </w:tcBorders>
            <w:shd w:val="solid" w:color="FFFFFF" w:fill="auto"/>
          </w:tcPr>
          <w:p w:rsidR="00A46DCA" w:rsidRPr="00E50C2A"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sidRPr="00E50C2A">
              <w:rPr>
                <w:rFonts w:eastAsiaTheme="minorEastAsia" w:cs="Calibri"/>
                <w:color w:val="000000"/>
                <w:szCs w:val="19"/>
                <w:lang w:eastAsia="en-AU"/>
              </w:rPr>
              <w:t xml:space="preserve"> 78</w:t>
            </w:r>
          </w:p>
        </w:tc>
        <w:tc>
          <w:tcPr>
            <w:tcW w:w="850" w:type="dxa"/>
            <w:tcBorders>
              <w:top w:val="nil"/>
              <w:left w:val="nil"/>
              <w:bottom w:val="nil"/>
              <w:right w:val="nil"/>
            </w:tcBorders>
            <w:shd w:val="solid" w:color="FFFFFF" w:fill="auto"/>
          </w:tcPr>
          <w:p w:rsidR="00A46DCA" w:rsidRPr="00E50C2A"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sidRPr="00E50C2A">
              <w:rPr>
                <w:rFonts w:eastAsiaTheme="minorEastAsia" w:cs="Calibri"/>
                <w:color w:val="000000"/>
                <w:szCs w:val="19"/>
                <w:lang w:eastAsia="en-AU"/>
              </w:rPr>
              <w:t xml:space="preserve"> 79</w:t>
            </w:r>
          </w:p>
        </w:tc>
        <w:tc>
          <w:tcPr>
            <w:tcW w:w="850" w:type="dxa"/>
            <w:tcBorders>
              <w:top w:val="nil"/>
              <w:left w:val="nil"/>
              <w:bottom w:val="nil"/>
              <w:right w:val="nil"/>
            </w:tcBorders>
            <w:shd w:val="solid" w:color="FFFFFF" w:fill="auto"/>
          </w:tcPr>
          <w:p w:rsidR="00A46DCA" w:rsidRPr="00E50C2A"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sidRPr="00E50C2A">
              <w:rPr>
                <w:rFonts w:eastAsiaTheme="minorEastAsia" w:cs="Calibri"/>
                <w:color w:val="000000"/>
                <w:szCs w:val="19"/>
                <w:lang w:eastAsia="en-AU"/>
              </w:rPr>
              <w:t xml:space="preserve"> 80</w:t>
            </w:r>
          </w:p>
        </w:tc>
      </w:tr>
      <w:tr w:rsidR="00A46DCA" w:rsidRPr="00E50C2A" w:rsidTr="00A26D04">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shd w:val="solid" w:color="FFFFFF" w:fill="auto"/>
          </w:tcPr>
          <w:p w:rsidR="00A46DCA" w:rsidRPr="00E50C2A" w:rsidRDefault="00A46DCA" w:rsidP="00A26D04">
            <w:pPr>
              <w:keepLines w:val="0"/>
              <w:autoSpaceDE w:val="0"/>
              <w:autoSpaceDN w:val="0"/>
              <w:adjustRightInd w:val="0"/>
              <w:rPr>
                <w:rFonts w:eastAsiaTheme="minorEastAsia" w:cs="Calibri"/>
                <w:color w:val="000000"/>
                <w:szCs w:val="19"/>
                <w:lang w:eastAsia="en-AU"/>
              </w:rPr>
            </w:pPr>
            <w:r w:rsidRPr="00E50C2A">
              <w:rPr>
                <w:rFonts w:eastAsiaTheme="minorEastAsia" w:cs="Calibri"/>
                <w:color w:val="000000"/>
                <w:szCs w:val="19"/>
                <w:lang w:eastAsia="en-AU"/>
              </w:rPr>
              <w:t>Motor vehicle taxes</w:t>
            </w:r>
          </w:p>
        </w:tc>
        <w:tc>
          <w:tcPr>
            <w:tcW w:w="850" w:type="dxa"/>
            <w:tcBorders>
              <w:top w:val="nil"/>
              <w:left w:val="nil"/>
              <w:bottom w:val="nil"/>
              <w:right w:val="nil"/>
            </w:tcBorders>
            <w:shd w:val="solid" w:color="FFFFFF" w:fill="auto"/>
          </w:tcPr>
          <w:p w:rsidR="00A46DCA" w:rsidRPr="00E50C2A"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sidRPr="00E50C2A">
              <w:rPr>
                <w:rFonts w:eastAsiaTheme="minorEastAsia" w:cs="Calibri"/>
                <w:color w:val="000000"/>
                <w:szCs w:val="19"/>
                <w:lang w:eastAsia="en-AU"/>
              </w:rPr>
              <w:t xml:space="preserve"> 186</w:t>
            </w:r>
          </w:p>
        </w:tc>
        <w:tc>
          <w:tcPr>
            <w:tcW w:w="850" w:type="dxa"/>
            <w:tcBorders>
              <w:top w:val="nil"/>
              <w:left w:val="nil"/>
              <w:bottom w:val="nil"/>
              <w:right w:val="nil"/>
            </w:tcBorders>
            <w:shd w:val="solid" w:color="FFFFFF" w:fill="auto"/>
          </w:tcPr>
          <w:p w:rsidR="00A46DCA" w:rsidRPr="00E50C2A"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sidRPr="00E50C2A">
              <w:rPr>
                <w:rFonts w:eastAsiaTheme="minorEastAsia" w:cs="Calibri"/>
                <w:color w:val="000000"/>
                <w:szCs w:val="19"/>
                <w:lang w:eastAsia="en-AU"/>
              </w:rPr>
              <w:t xml:space="preserve"> 172</w:t>
            </w:r>
          </w:p>
        </w:tc>
        <w:tc>
          <w:tcPr>
            <w:tcW w:w="850" w:type="dxa"/>
            <w:tcBorders>
              <w:top w:val="nil"/>
              <w:left w:val="nil"/>
              <w:bottom w:val="nil"/>
              <w:right w:val="nil"/>
            </w:tcBorders>
            <w:shd w:val="solid" w:color="FFFFFF" w:fill="auto"/>
          </w:tcPr>
          <w:p w:rsidR="00A46DCA" w:rsidRPr="00E50C2A"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sidRPr="00E50C2A">
              <w:rPr>
                <w:rFonts w:eastAsiaTheme="minorEastAsia" w:cs="Calibri"/>
                <w:color w:val="000000"/>
                <w:szCs w:val="19"/>
                <w:lang w:eastAsia="en-AU"/>
              </w:rPr>
              <w:t xml:space="preserve"> 197</w:t>
            </w:r>
          </w:p>
        </w:tc>
        <w:tc>
          <w:tcPr>
            <w:tcW w:w="850" w:type="dxa"/>
            <w:tcBorders>
              <w:top w:val="nil"/>
              <w:left w:val="nil"/>
              <w:bottom w:val="nil"/>
              <w:right w:val="nil"/>
            </w:tcBorders>
            <w:shd w:val="solid" w:color="FFFFFF" w:fill="auto"/>
          </w:tcPr>
          <w:p w:rsidR="00A46DCA" w:rsidRPr="00E50C2A"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sidRPr="00E50C2A">
              <w:rPr>
                <w:rFonts w:eastAsiaTheme="minorEastAsia" w:cs="Calibri"/>
                <w:color w:val="000000"/>
                <w:szCs w:val="19"/>
                <w:lang w:eastAsia="en-AU"/>
              </w:rPr>
              <w:t xml:space="preserve"> 209</w:t>
            </w:r>
          </w:p>
        </w:tc>
        <w:tc>
          <w:tcPr>
            <w:tcW w:w="850" w:type="dxa"/>
            <w:tcBorders>
              <w:top w:val="nil"/>
              <w:left w:val="nil"/>
              <w:bottom w:val="nil"/>
              <w:right w:val="nil"/>
            </w:tcBorders>
            <w:shd w:val="solid" w:color="FFFFFF" w:fill="auto"/>
          </w:tcPr>
          <w:p w:rsidR="00A46DCA" w:rsidRPr="00E50C2A"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sidRPr="00E50C2A">
              <w:rPr>
                <w:rFonts w:eastAsiaTheme="minorEastAsia" w:cs="Calibri"/>
                <w:color w:val="000000"/>
                <w:szCs w:val="19"/>
                <w:lang w:eastAsia="en-AU"/>
              </w:rPr>
              <w:t xml:space="preserve"> 219</w:t>
            </w:r>
          </w:p>
        </w:tc>
      </w:tr>
      <w:tr w:rsidR="00A46DCA" w:rsidRPr="00E50C2A" w:rsidTr="00A26D04">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shd w:val="solid" w:color="FFFFFF" w:fill="auto"/>
          </w:tcPr>
          <w:p w:rsidR="00A46DCA" w:rsidRPr="00E50C2A" w:rsidRDefault="00A46DCA" w:rsidP="00A26D04">
            <w:pPr>
              <w:keepLines w:val="0"/>
              <w:autoSpaceDE w:val="0"/>
              <w:autoSpaceDN w:val="0"/>
              <w:adjustRightInd w:val="0"/>
              <w:rPr>
                <w:rFonts w:eastAsiaTheme="minorEastAsia" w:cs="Calibri"/>
                <w:color w:val="000000"/>
                <w:szCs w:val="19"/>
                <w:vertAlign w:val="superscript"/>
                <w:lang w:eastAsia="en-AU"/>
              </w:rPr>
            </w:pPr>
            <w:r w:rsidRPr="00E50C2A">
              <w:rPr>
                <w:rFonts w:eastAsiaTheme="minorEastAsia" w:cs="Calibri"/>
                <w:color w:val="000000"/>
                <w:szCs w:val="19"/>
                <w:lang w:eastAsia="en-AU"/>
              </w:rPr>
              <w:t xml:space="preserve">Land transfer duties </w:t>
            </w:r>
            <w:r w:rsidRPr="00E50C2A">
              <w:rPr>
                <w:rFonts w:eastAsiaTheme="minorEastAsia" w:cs="Calibri"/>
                <w:color w:val="000000"/>
                <w:szCs w:val="19"/>
                <w:vertAlign w:val="superscript"/>
                <w:lang w:eastAsia="en-AU"/>
              </w:rPr>
              <w:t>(c)</w:t>
            </w:r>
          </w:p>
        </w:tc>
        <w:tc>
          <w:tcPr>
            <w:tcW w:w="850" w:type="dxa"/>
            <w:tcBorders>
              <w:top w:val="nil"/>
              <w:left w:val="nil"/>
              <w:bottom w:val="nil"/>
              <w:right w:val="nil"/>
            </w:tcBorders>
            <w:shd w:val="solid" w:color="FFFFFF" w:fill="auto"/>
          </w:tcPr>
          <w:p w:rsidR="00A46DCA" w:rsidRPr="00E50C2A"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sidRPr="00E50C2A">
              <w:rPr>
                <w:rFonts w:eastAsiaTheme="minorEastAsia" w:cs="Calibri"/>
                <w:color w:val="000000"/>
                <w:szCs w:val="19"/>
                <w:lang w:eastAsia="en-AU"/>
              </w:rPr>
              <w:t xml:space="preserve"> 836</w:t>
            </w:r>
          </w:p>
        </w:tc>
        <w:tc>
          <w:tcPr>
            <w:tcW w:w="850" w:type="dxa"/>
            <w:tcBorders>
              <w:top w:val="nil"/>
              <w:left w:val="nil"/>
              <w:bottom w:val="nil"/>
              <w:right w:val="nil"/>
            </w:tcBorders>
            <w:shd w:val="solid" w:color="FFFFFF" w:fill="auto"/>
          </w:tcPr>
          <w:p w:rsidR="00A46DCA" w:rsidRPr="00E50C2A"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lang w:eastAsia="en-AU"/>
              </w:rPr>
            </w:pPr>
            <w:r w:rsidRPr="00E50C2A">
              <w:rPr>
                <w:rFonts w:eastAsiaTheme="minorEastAsia" w:cs="Calibri"/>
                <w:color w:val="000000"/>
                <w:szCs w:val="19"/>
                <w:lang w:eastAsia="en-AU"/>
              </w:rPr>
              <w:t>1 282</w:t>
            </w:r>
          </w:p>
        </w:tc>
        <w:tc>
          <w:tcPr>
            <w:tcW w:w="850" w:type="dxa"/>
            <w:tcBorders>
              <w:top w:val="nil"/>
              <w:left w:val="nil"/>
              <w:bottom w:val="nil"/>
              <w:right w:val="nil"/>
            </w:tcBorders>
            <w:shd w:val="solid" w:color="FFFFFF" w:fill="auto"/>
          </w:tcPr>
          <w:p w:rsidR="00A46DCA" w:rsidRPr="00E50C2A"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lang w:eastAsia="en-AU"/>
              </w:rPr>
            </w:pPr>
            <w:r w:rsidRPr="00E50C2A">
              <w:rPr>
                <w:rFonts w:eastAsiaTheme="minorEastAsia" w:cs="Calibri"/>
                <w:color w:val="000000"/>
                <w:szCs w:val="19"/>
                <w:lang w:eastAsia="en-AU"/>
              </w:rPr>
              <w:t>1 292</w:t>
            </w:r>
          </w:p>
        </w:tc>
        <w:tc>
          <w:tcPr>
            <w:tcW w:w="850" w:type="dxa"/>
            <w:tcBorders>
              <w:top w:val="nil"/>
              <w:left w:val="nil"/>
              <w:bottom w:val="nil"/>
              <w:right w:val="nil"/>
            </w:tcBorders>
            <w:shd w:val="solid" w:color="FFFFFF" w:fill="auto"/>
          </w:tcPr>
          <w:p w:rsidR="00A46DCA" w:rsidRPr="00E50C2A"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lang w:eastAsia="en-AU"/>
              </w:rPr>
            </w:pPr>
            <w:r w:rsidRPr="00E50C2A">
              <w:rPr>
                <w:rFonts w:eastAsiaTheme="minorEastAsia" w:cs="Calibri"/>
                <w:color w:val="000000"/>
                <w:szCs w:val="19"/>
                <w:lang w:eastAsia="en-AU"/>
              </w:rPr>
              <w:t>1 266</w:t>
            </w:r>
          </w:p>
        </w:tc>
        <w:tc>
          <w:tcPr>
            <w:tcW w:w="850" w:type="dxa"/>
            <w:tcBorders>
              <w:top w:val="nil"/>
              <w:left w:val="nil"/>
              <w:bottom w:val="nil"/>
              <w:right w:val="nil"/>
            </w:tcBorders>
            <w:shd w:val="solid" w:color="FFFFFF" w:fill="auto"/>
          </w:tcPr>
          <w:p w:rsidR="00A46DCA" w:rsidRPr="00E50C2A"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lang w:eastAsia="en-AU"/>
              </w:rPr>
            </w:pPr>
            <w:r w:rsidRPr="00E50C2A">
              <w:rPr>
                <w:rFonts w:eastAsiaTheme="minorEastAsia" w:cs="Calibri"/>
                <w:color w:val="000000"/>
                <w:szCs w:val="19"/>
                <w:lang w:eastAsia="en-AU"/>
              </w:rPr>
              <w:t>1 247</w:t>
            </w:r>
          </w:p>
        </w:tc>
      </w:tr>
      <w:tr w:rsidR="00A46DCA" w:rsidRPr="00E50C2A" w:rsidTr="00A26D04">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shd w:val="solid" w:color="FFFFFF" w:fill="auto"/>
          </w:tcPr>
          <w:p w:rsidR="00A46DCA" w:rsidRPr="00E50C2A" w:rsidRDefault="00A46DCA" w:rsidP="00A26D04">
            <w:pPr>
              <w:keepLines w:val="0"/>
              <w:autoSpaceDE w:val="0"/>
              <w:autoSpaceDN w:val="0"/>
              <w:adjustRightInd w:val="0"/>
              <w:rPr>
                <w:rFonts w:eastAsiaTheme="minorEastAsia" w:cs="Calibri"/>
                <w:color w:val="000000"/>
                <w:szCs w:val="19"/>
                <w:lang w:eastAsia="en-AU"/>
              </w:rPr>
            </w:pPr>
            <w:r w:rsidRPr="00E50C2A">
              <w:rPr>
                <w:rFonts w:eastAsiaTheme="minorEastAsia" w:cs="Calibri"/>
                <w:color w:val="000000"/>
                <w:szCs w:val="19"/>
                <w:lang w:eastAsia="en-AU"/>
              </w:rPr>
              <w:t>Congestion levy</w:t>
            </w:r>
          </w:p>
        </w:tc>
        <w:tc>
          <w:tcPr>
            <w:tcW w:w="850" w:type="dxa"/>
            <w:tcBorders>
              <w:top w:val="nil"/>
              <w:left w:val="nil"/>
              <w:bottom w:val="nil"/>
              <w:right w:val="nil"/>
            </w:tcBorders>
            <w:shd w:val="solid" w:color="FFFFFF" w:fill="auto"/>
          </w:tcPr>
          <w:p w:rsidR="00A46DCA" w:rsidRPr="00E50C2A"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sidRPr="00E50C2A">
              <w:rPr>
                <w:rFonts w:eastAsiaTheme="minorEastAsia" w:cs="Calibri"/>
                <w:color w:val="000000"/>
                <w:szCs w:val="19"/>
                <w:lang w:eastAsia="en-AU"/>
              </w:rPr>
              <w:t xml:space="preserve"> 53</w:t>
            </w:r>
          </w:p>
        </w:tc>
        <w:tc>
          <w:tcPr>
            <w:tcW w:w="850" w:type="dxa"/>
            <w:tcBorders>
              <w:top w:val="nil"/>
              <w:left w:val="nil"/>
              <w:bottom w:val="nil"/>
              <w:right w:val="nil"/>
            </w:tcBorders>
            <w:shd w:val="solid" w:color="FFFFFF" w:fill="auto"/>
          </w:tcPr>
          <w:p w:rsidR="00A46DCA" w:rsidRPr="00E50C2A"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sidRPr="00E50C2A">
              <w:rPr>
                <w:rFonts w:eastAsiaTheme="minorEastAsia" w:cs="Calibri"/>
                <w:color w:val="000000"/>
                <w:szCs w:val="19"/>
                <w:lang w:eastAsia="en-AU"/>
              </w:rPr>
              <w:t xml:space="preserve"> 56</w:t>
            </w:r>
          </w:p>
        </w:tc>
        <w:tc>
          <w:tcPr>
            <w:tcW w:w="850" w:type="dxa"/>
            <w:tcBorders>
              <w:top w:val="nil"/>
              <w:left w:val="nil"/>
              <w:bottom w:val="nil"/>
              <w:right w:val="nil"/>
            </w:tcBorders>
            <w:shd w:val="solid" w:color="FFFFFF" w:fill="auto"/>
          </w:tcPr>
          <w:p w:rsidR="00A46DCA" w:rsidRPr="00E50C2A"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sidRPr="00E50C2A">
              <w:rPr>
                <w:rFonts w:eastAsiaTheme="minorEastAsia" w:cs="Calibri"/>
                <w:color w:val="000000"/>
                <w:szCs w:val="19"/>
                <w:lang w:eastAsia="en-AU"/>
              </w:rPr>
              <w:t xml:space="preserve"> 57</w:t>
            </w:r>
          </w:p>
        </w:tc>
        <w:tc>
          <w:tcPr>
            <w:tcW w:w="850" w:type="dxa"/>
            <w:tcBorders>
              <w:top w:val="nil"/>
              <w:left w:val="nil"/>
              <w:bottom w:val="nil"/>
              <w:right w:val="nil"/>
            </w:tcBorders>
            <w:shd w:val="solid" w:color="FFFFFF" w:fill="auto"/>
          </w:tcPr>
          <w:p w:rsidR="00A46DCA" w:rsidRPr="00E50C2A"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sidRPr="00E50C2A">
              <w:rPr>
                <w:rFonts w:eastAsiaTheme="minorEastAsia" w:cs="Calibri"/>
                <w:color w:val="000000"/>
                <w:szCs w:val="19"/>
                <w:lang w:eastAsia="en-AU"/>
              </w:rPr>
              <w:t xml:space="preserve"> 59</w:t>
            </w:r>
          </w:p>
        </w:tc>
        <w:tc>
          <w:tcPr>
            <w:tcW w:w="850" w:type="dxa"/>
            <w:tcBorders>
              <w:top w:val="nil"/>
              <w:left w:val="nil"/>
              <w:bottom w:val="nil"/>
              <w:right w:val="nil"/>
            </w:tcBorders>
            <w:shd w:val="solid" w:color="FFFFFF" w:fill="auto"/>
          </w:tcPr>
          <w:p w:rsidR="00A46DCA" w:rsidRPr="00E50C2A"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sidRPr="00E50C2A">
              <w:rPr>
                <w:rFonts w:eastAsiaTheme="minorEastAsia" w:cs="Calibri"/>
                <w:color w:val="000000"/>
                <w:szCs w:val="19"/>
                <w:lang w:eastAsia="en-AU"/>
              </w:rPr>
              <w:t xml:space="preserve"> 60</w:t>
            </w:r>
          </w:p>
        </w:tc>
      </w:tr>
      <w:tr w:rsidR="00A46DCA" w:rsidRPr="00E50C2A" w:rsidTr="00A26D04">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5" w:type="dxa"/>
            <w:tcBorders>
              <w:top w:val="single" w:sz="6" w:space="0" w:color="auto"/>
              <w:bottom w:val="single" w:sz="12" w:space="0" w:color="auto"/>
            </w:tcBorders>
            <w:shd w:val="solid" w:color="FFFFFF" w:fill="auto"/>
          </w:tcPr>
          <w:p w:rsidR="00A46DCA" w:rsidRPr="00E50C2A" w:rsidRDefault="00A46DCA" w:rsidP="00A26D04">
            <w:pPr>
              <w:keepLines w:val="0"/>
              <w:autoSpaceDE w:val="0"/>
              <w:autoSpaceDN w:val="0"/>
              <w:adjustRightInd w:val="0"/>
              <w:rPr>
                <w:rFonts w:eastAsiaTheme="minorEastAsia" w:cs="Calibri"/>
                <w:bCs/>
                <w:color w:val="000000"/>
                <w:szCs w:val="19"/>
                <w:lang w:eastAsia="en-AU"/>
              </w:rPr>
            </w:pPr>
            <w:r w:rsidRPr="00E50C2A">
              <w:rPr>
                <w:rFonts w:eastAsiaTheme="minorEastAsia" w:cs="Calibri"/>
                <w:bCs/>
                <w:color w:val="000000"/>
                <w:szCs w:val="19"/>
                <w:lang w:eastAsia="en-AU"/>
              </w:rPr>
              <w:t>Total estimated tax expenditures</w:t>
            </w:r>
          </w:p>
        </w:tc>
        <w:tc>
          <w:tcPr>
            <w:tcW w:w="850" w:type="dxa"/>
            <w:tcBorders>
              <w:top w:val="single" w:sz="6" w:space="0" w:color="auto"/>
              <w:bottom w:val="single" w:sz="12" w:space="0" w:color="auto"/>
            </w:tcBorders>
            <w:shd w:val="solid" w:color="FFFFFF" w:fill="auto"/>
          </w:tcPr>
          <w:p w:rsidR="00A46DCA" w:rsidRPr="00E50C2A" w:rsidRDefault="00A46DCA" w:rsidP="00A26D0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9"/>
                <w:lang w:eastAsia="en-AU"/>
              </w:rPr>
            </w:pPr>
            <w:r w:rsidRPr="00E50C2A">
              <w:rPr>
                <w:rFonts w:eastAsiaTheme="minorEastAsia" w:cs="Calibri"/>
                <w:bCs/>
                <w:color w:val="000000"/>
                <w:szCs w:val="19"/>
                <w:lang w:eastAsia="en-AU"/>
              </w:rPr>
              <w:t>6 281</w:t>
            </w:r>
          </w:p>
        </w:tc>
        <w:tc>
          <w:tcPr>
            <w:tcW w:w="850" w:type="dxa"/>
            <w:tcBorders>
              <w:top w:val="single" w:sz="6" w:space="0" w:color="auto"/>
              <w:bottom w:val="single" w:sz="12" w:space="0" w:color="auto"/>
            </w:tcBorders>
            <w:shd w:val="solid" w:color="FFFFFF" w:fill="auto"/>
          </w:tcPr>
          <w:p w:rsidR="00A46DCA" w:rsidRPr="00E50C2A" w:rsidRDefault="00A46DCA" w:rsidP="00A26D0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9"/>
                <w:lang w:eastAsia="en-AU"/>
              </w:rPr>
            </w:pPr>
            <w:r w:rsidRPr="00E50C2A">
              <w:rPr>
                <w:rFonts w:eastAsiaTheme="minorEastAsia" w:cs="Calibri"/>
                <w:bCs/>
                <w:color w:val="000000"/>
                <w:szCs w:val="19"/>
                <w:lang w:eastAsia="en-AU"/>
              </w:rPr>
              <w:t>6 904</w:t>
            </w:r>
          </w:p>
        </w:tc>
        <w:tc>
          <w:tcPr>
            <w:tcW w:w="850" w:type="dxa"/>
            <w:tcBorders>
              <w:top w:val="single" w:sz="6" w:space="0" w:color="auto"/>
              <w:bottom w:val="single" w:sz="12" w:space="0" w:color="auto"/>
            </w:tcBorders>
            <w:shd w:val="solid" w:color="FFFFFF" w:fill="auto"/>
          </w:tcPr>
          <w:p w:rsidR="00A46DCA" w:rsidRPr="00E50C2A" w:rsidRDefault="00A46DCA" w:rsidP="00A26D0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9"/>
                <w:lang w:eastAsia="en-AU"/>
              </w:rPr>
            </w:pPr>
            <w:r w:rsidRPr="00E50C2A">
              <w:rPr>
                <w:rFonts w:eastAsiaTheme="minorEastAsia" w:cs="Calibri"/>
                <w:bCs/>
                <w:color w:val="000000"/>
                <w:szCs w:val="19"/>
                <w:lang w:eastAsia="en-AU"/>
              </w:rPr>
              <w:t>7 842</w:t>
            </w:r>
          </w:p>
        </w:tc>
        <w:tc>
          <w:tcPr>
            <w:tcW w:w="850" w:type="dxa"/>
            <w:tcBorders>
              <w:top w:val="single" w:sz="6" w:space="0" w:color="auto"/>
              <w:bottom w:val="single" w:sz="12" w:space="0" w:color="auto"/>
            </w:tcBorders>
            <w:shd w:val="solid" w:color="FFFFFF" w:fill="auto"/>
          </w:tcPr>
          <w:p w:rsidR="00A46DCA" w:rsidRPr="00E50C2A" w:rsidRDefault="00A46DCA" w:rsidP="00A26D0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9"/>
                <w:lang w:eastAsia="en-AU"/>
              </w:rPr>
            </w:pPr>
            <w:r w:rsidRPr="00E50C2A">
              <w:rPr>
                <w:rFonts w:eastAsiaTheme="minorEastAsia" w:cs="Calibri"/>
                <w:bCs/>
                <w:color w:val="000000"/>
                <w:szCs w:val="19"/>
                <w:lang w:eastAsia="en-AU"/>
              </w:rPr>
              <w:t>8 300</w:t>
            </w:r>
          </w:p>
        </w:tc>
        <w:tc>
          <w:tcPr>
            <w:tcW w:w="850" w:type="dxa"/>
            <w:tcBorders>
              <w:top w:val="single" w:sz="6" w:space="0" w:color="auto"/>
              <w:bottom w:val="single" w:sz="12" w:space="0" w:color="auto"/>
            </w:tcBorders>
            <w:shd w:val="solid" w:color="FFFFFF" w:fill="auto"/>
          </w:tcPr>
          <w:p w:rsidR="00A46DCA" w:rsidRPr="00E50C2A" w:rsidRDefault="00A46DCA" w:rsidP="00A26D0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9"/>
                <w:lang w:eastAsia="en-AU"/>
              </w:rPr>
            </w:pPr>
            <w:r w:rsidRPr="00E50C2A">
              <w:rPr>
                <w:rFonts w:eastAsiaTheme="minorEastAsia" w:cs="Calibri"/>
                <w:bCs/>
                <w:color w:val="000000"/>
                <w:szCs w:val="19"/>
                <w:lang w:eastAsia="en-AU"/>
              </w:rPr>
              <w:t>8 475</w:t>
            </w:r>
          </w:p>
        </w:tc>
      </w:tr>
    </w:tbl>
    <w:p w:rsidR="00A46DCA" w:rsidRPr="00894294" w:rsidRDefault="00A46DCA" w:rsidP="00A26D04">
      <w:pPr>
        <w:pStyle w:val="Source"/>
      </w:pPr>
      <w:r w:rsidRPr="00894294">
        <w:t>Source: Department of Treasury and Finance</w:t>
      </w:r>
    </w:p>
    <w:p w:rsidR="00A46DCA" w:rsidRPr="00BF654B" w:rsidRDefault="00A46DCA" w:rsidP="00A26D04">
      <w:pPr>
        <w:pStyle w:val="Note"/>
      </w:pPr>
      <w:r w:rsidRPr="00BF654B">
        <w:t>Notes:</w:t>
      </w:r>
    </w:p>
    <w:p w:rsidR="00A46DCA" w:rsidRDefault="00A46DCA" w:rsidP="00A26D04">
      <w:pPr>
        <w:pStyle w:val="Note"/>
      </w:pPr>
      <w:r w:rsidRPr="00BF654B">
        <w:t>(a)</w:t>
      </w:r>
      <w:r w:rsidRPr="00BF654B">
        <w:tab/>
      </w:r>
      <w:r w:rsidRPr="00151610">
        <w:t>All amounts have been rounded to the nearest $1 million unless otherwise stated. Figures may not add due to rounding.</w:t>
      </w:r>
    </w:p>
    <w:p w:rsidR="00A46DCA" w:rsidRDefault="00A46DCA" w:rsidP="00A26D04">
      <w:pPr>
        <w:pStyle w:val="Note"/>
      </w:pPr>
      <w:r>
        <w:t>(b)</w:t>
      </w:r>
      <w:r>
        <w:tab/>
        <w:t xml:space="preserve">The biennial land revaluation causes strong growth in expenditures in 2016-17, with more subdued growth in the following year. This effect is removed from 2018-19 onwards given the </w:t>
      </w:r>
      <w:r w:rsidRPr="00701BD8">
        <w:t>Government</w:t>
      </w:r>
      <w:r>
        <w:t>’</w:t>
      </w:r>
      <w:r w:rsidRPr="00701BD8">
        <w:t>s intent to</w:t>
      </w:r>
      <w:r>
        <w:t xml:space="preserve"> move to annual valuations.</w:t>
      </w:r>
    </w:p>
    <w:p w:rsidR="00A46DCA" w:rsidRPr="00151610" w:rsidRDefault="00A46DCA" w:rsidP="00A26D04">
      <w:pPr>
        <w:pStyle w:val="Note"/>
      </w:pPr>
      <w:r w:rsidRPr="00151610">
        <w:t>(</w:t>
      </w:r>
      <w:r>
        <w:t>c</w:t>
      </w:r>
      <w:r w:rsidRPr="00151610">
        <w:t>)</w:t>
      </w:r>
      <w:r w:rsidRPr="00151610">
        <w:tab/>
      </w:r>
      <w:r w:rsidRPr="00B5517F">
        <w:t>The high level of land transfer duty tax expenditure from 2017-18 reflects the aboli</w:t>
      </w:r>
      <w:r>
        <w:t>tion of</w:t>
      </w:r>
      <w:r w:rsidRPr="00B5517F">
        <w:t xml:space="preserve"> stamp duty for first time buyers and the re</w:t>
      </w:r>
      <w:r>
        <w:t>-targeting of</w:t>
      </w:r>
      <w:r w:rsidRPr="00B5517F">
        <w:t xml:space="preserve"> off</w:t>
      </w:r>
      <w:r w:rsidRPr="00B5517F">
        <w:noBreakHyphen/>
        <w:t>the</w:t>
      </w:r>
      <w:r w:rsidRPr="00B5517F">
        <w:noBreakHyphen/>
        <w:t>plan stamp duty reductions</w:t>
      </w:r>
      <w:r>
        <w:t xml:space="preserve"> or </w:t>
      </w:r>
      <w:r w:rsidRPr="00B5517F">
        <w:t>exemptions</w:t>
      </w:r>
      <w:r>
        <w:t xml:space="preserve"> that</w:t>
      </w:r>
      <w:r w:rsidRPr="00B5517F">
        <w:t xml:space="preserve"> commenc</w:t>
      </w:r>
      <w:r>
        <w:t>ed</w:t>
      </w:r>
      <w:r w:rsidRPr="00B5517F">
        <w:t xml:space="preserve"> from 1 July 2017. </w:t>
      </w:r>
    </w:p>
    <w:p w:rsidR="00A46DCA" w:rsidRPr="00CF7022" w:rsidRDefault="00A46DCA" w:rsidP="00526B73">
      <w:pPr>
        <w:pStyle w:val="Heading10"/>
      </w:pPr>
      <w:bookmarkStart w:id="91" w:name="_Toc500435598"/>
      <w:r>
        <w:t>Concessions</w:t>
      </w:r>
      <w:bookmarkEnd w:id="91"/>
    </w:p>
    <w:p w:rsidR="00A46DCA" w:rsidRDefault="00A46DCA" w:rsidP="00A26D04">
      <w:r w:rsidRPr="00BA3A6A">
        <w:t>Concessions are direct budget outlay</w:t>
      </w:r>
      <w:r>
        <w:t>s</w:t>
      </w:r>
      <w:r w:rsidRPr="00BA3A6A">
        <w:t xml:space="preserve"> or </w:t>
      </w:r>
      <w:r>
        <w:t>reduced</w:t>
      </w:r>
      <w:r w:rsidRPr="00BA3A6A">
        <w:t xml:space="preserve"> government charges that reduc</w:t>
      </w:r>
      <w:r>
        <w:t>e</w:t>
      </w:r>
      <w:r w:rsidRPr="00BA3A6A">
        <w:t xml:space="preserve"> the price of a good or service for </w:t>
      </w:r>
      <w:r w:rsidRPr="009655A0">
        <w:t xml:space="preserve">particular groups. Over the past decade, the </w:t>
      </w:r>
      <w:r>
        <w:t>S</w:t>
      </w:r>
      <w:r w:rsidRPr="009655A0">
        <w:t xml:space="preserve">tate has </w:t>
      </w:r>
      <w:r w:rsidRPr="006D3387">
        <w:t>provided $14.3 billion in concessions. In 2017-18, concessions are forecast to be about $1.</w:t>
      </w:r>
      <w:r>
        <w:t>6 </w:t>
      </w:r>
      <w:r w:rsidRPr="006D3387">
        <w:t>bi</w:t>
      </w:r>
      <w:r w:rsidRPr="00D374D6">
        <w:t>llion.</w:t>
      </w:r>
    </w:p>
    <w:p w:rsidR="00A46DCA" w:rsidRPr="00B5517F" w:rsidRDefault="00A46DCA" w:rsidP="00A26D04">
      <w:r w:rsidRPr="00BA3A6A">
        <w:t xml:space="preserve">Certain characteristics of </w:t>
      </w:r>
      <w:r>
        <w:t>a</w:t>
      </w:r>
      <w:r w:rsidRPr="00BA3A6A">
        <w:t xml:space="preserve"> consumer, such as possession of a Commonwealth Government pension card or health care card, </w:t>
      </w:r>
      <w:r>
        <w:t xml:space="preserve">can be </w:t>
      </w:r>
      <w:r w:rsidRPr="00BA3A6A">
        <w:t xml:space="preserve">the basis for </w:t>
      </w:r>
      <w:r>
        <w:t xml:space="preserve">such </w:t>
      </w:r>
      <w:r w:rsidRPr="00BA3A6A">
        <w:t>entitlement</w:t>
      </w:r>
      <w:r>
        <w:t>s</w:t>
      </w:r>
      <w:r w:rsidRPr="00BA3A6A">
        <w:t xml:space="preserve">. Concessions allow certain groups in the community to access or purchase important </w:t>
      </w:r>
      <w:r>
        <w:t>public services</w:t>
      </w:r>
      <w:r w:rsidRPr="00BA3A6A">
        <w:t xml:space="preserve"> </w:t>
      </w:r>
      <w:r>
        <w:t>such as</w:t>
      </w:r>
      <w:r w:rsidRPr="00BA3A6A">
        <w:t xml:space="preserve"> energy, education, health and transportation at a reduced cost.</w:t>
      </w:r>
      <w:r>
        <w:t xml:space="preserve"> </w:t>
      </w:r>
      <w:r w:rsidRPr="00B5517F">
        <w:t>Table C.2 classifies the major concessions by category.</w:t>
      </w:r>
    </w:p>
    <w:p w:rsidR="00A46DCA" w:rsidRPr="00AD63D1" w:rsidRDefault="00A46DCA" w:rsidP="00A26D04">
      <w:r w:rsidRPr="00B5517F">
        <w:t xml:space="preserve">Eligible concession card holders </w:t>
      </w:r>
      <w:r w:rsidRPr="00AD63D1">
        <w:t xml:space="preserve">receive reduced bills for energy, municipal rates, water and sewerage, funded by the </w:t>
      </w:r>
      <w:r>
        <w:t>S</w:t>
      </w:r>
      <w:r w:rsidRPr="00AD63D1">
        <w:t>tate and paid to service providers.</w:t>
      </w:r>
    </w:p>
    <w:p w:rsidR="00A46DCA" w:rsidRPr="00AD63D1" w:rsidRDefault="00A46DCA" w:rsidP="00A26D04">
      <w:r w:rsidRPr="00AD63D1">
        <w:t>Education concessions include concessions for preschool and for vocational education and training.</w:t>
      </w:r>
    </w:p>
    <w:p w:rsidR="00A46DCA" w:rsidRPr="00AD63D1" w:rsidRDefault="00A46DCA" w:rsidP="00A26D04">
      <w:r w:rsidRPr="00AD63D1">
        <w:t xml:space="preserve">Hardship schemes include the Utility Relief Grants Scheme and payment to State Trustees through a Community Service Agreement. The Utility Relief Grants Scheme assists Victorians unable to pay utility bills due to temporary financial </w:t>
      </w:r>
      <w:r>
        <w:t>hardship</w:t>
      </w:r>
      <w:r w:rsidRPr="00AD63D1">
        <w:t>. State Trustees provide trustee services, including managing the legal and financial affairs of Victorians unable to do so independently.</w:t>
      </w:r>
    </w:p>
    <w:p w:rsidR="00A46DCA" w:rsidRPr="00AD63D1" w:rsidRDefault="00A46DCA" w:rsidP="00A26D04">
      <w:r w:rsidRPr="00AD63D1">
        <w:t>The social and community services category includes assistance to no</w:t>
      </w:r>
      <w:r>
        <w:t>t</w:t>
      </w:r>
      <w:r>
        <w:noBreakHyphen/>
        <w:t>for</w:t>
      </w:r>
      <w:r>
        <w:noBreakHyphen/>
      </w:r>
      <w:r w:rsidRPr="00AD63D1">
        <w:t xml:space="preserve">profit organisations such as Bereavement Assistance Limited, the Charity Freight Service and food relief organisations. </w:t>
      </w:r>
    </w:p>
    <w:p w:rsidR="00A46DCA" w:rsidRPr="00AD63D1" w:rsidRDefault="00A46DCA" w:rsidP="00A26D04">
      <w:r w:rsidRPr="00AD63D1">
        <w:t>Private transport concessions consist of a discount on Transport Accident Commission premiums and funding of the Multi-Purpose Taxi Program.</w:t>
      </w:r>
    </w:p>
    <w:p w:rsidR="00A46DCA" w:rsidRDefault="00A46DCA">
      <w:pPr>
        <w:keepLines w:val="0"/>
        <w:rPr>
          <w:rFonts w:asciiTheme="majorHAnsi" w:hAnsiTheme="majorHAnsi"/>
          <w:b/>
          <w:sz w:val="20"/>
          <w:szCs w:val="20"/>
        </w:rPr>
      </w:pPr>
      <w:r>
        <w:br w:type="page"/>
      </w:r>
    </w:p>
    <w:p w:rsidR="00A46DCA" w:rsidRDefault="00A46DCA" w:rsidP="00A26D04">
      <w:pPr>
        <w:pStyle w:val="TableHeading"/>
        <w:tabs>
          <w:tab w:val="clear" w:pos="7711"/>
          <w:tab w:val="right" w:pos="7710"/>
        </w:tabs>
      </w:pPr>
      <w:r w:rsidRPr="00B5517F">
        <w:lastRenderedPageBreak/>
        <w:t>Table C.2:</w:t>
      </w:r>
      <w:r w:rsidRPr="00B5517F">
        <w:tab/>
        <w:t xml:space="preserve">Concessions </w:t>
      </w:r>
      <w:r w:rsidRPr="002D3947">
        <w:t>by category</w:t>
      </w:r>
      <w:r w:rsidRPr="00894294">
        <w:t xml:space="preserve"> </w:t>
      </w:r>
      <w:r w:rsidRPr="00244AA0">
        <w:rPr>
          <w:vertAlign w:val="superscript"/>
        </w:rPr>
        <w:t>(a)</w:t>
      </w:r>
      <w:r w:rsidRPr="00894294">
        <w:tab/>
      </w:r>
      <w:r w:rsidRPr="00857CEB">
        <w:t>($ million)</w:t>
      </w:r>
    </w:p>
    <w:tbl>
      <w:tblPr>
        <w:tblStyle w:val="DTFTable"/>
        <w:tblW w:w="7767" w:type="dxa"/>
        <w:tblInd w:w="45" w:type="dxa"/>
        <w:tblLayout w:type="fixed"/>
        <w:tblCellMar>
          <w:left w:w="45" w:type="dxa"/>
          <w:right w:w="45" w:type="dxa"/>
        </w:tblCellMar>
        <w:tblLook w:val="06E0" w:firstRow="1" w:lastRow="1" w:firstColumn="1" w:lastColumn="0" w:noHBand="1" w:noVBand="1"/>
      </w:tblPr>
      <w:tblGrid>
        <w:gridCol w:w="6067"/>
        <w:gridCol w:w="850"/>
        <w:gridCol w:w="850"/>
      </w:tblGrid>
      <w:tr w:rsidR="00A46DCA" w:rsidRPr="00515956" w:rsidTr="00A26D04">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6066" w:type="dxa"/>
            <w:tcBorders>
              <w:top w:val="nil"/>
              <w:left w:val="nil"/>
              <w:bottom w:val="nil"/>
              <w:right w:val="nil"/>
            </w:tcBorders>
            <w:shd w:val="solid" w:color="000000" w:fill="auto"/>
          </w:tcPr>
          <w:p w:rsidR="00A46DCA" w:rsidRPr="00515956" w:rsidRDefault="00A46DCA" w:rsidP="00A26D04">
            <w:pPr>
              <w:keepLines w:val="0"/>
              <w:autoSpaceDE w:val="0"/>
              <w:autoSpaceDN w:val="0"/>
              <w:adjustRightInd w:val="0"/>
              <w:rPr>
                <w:rFonts w:eastAsiaTheme="minorEastAsia" w:cs="Calibri"/>
                <w:iCs/>
                <w:color w:val="FFFFFF"/>
                <w:szCs w:val="19"/>
                <w:lang w:eastAsia="en-AU"/>
              </w:rPr>
            </w:pPr>
            <w:r w:rsidRPr="00515956">
              <w:rPr>
                <w:rFonts w:eastAsiaTheme="minorEastAsia" w:cs="Calibri"/>
                <w:iCs/>
                <w:color w:val="FFFFFF"/>
                <w:szCs w:val="19"/>
                <w:lang w:eastAsia="en-AU"/>
              </w:rPr>
              <w:t>Description</w:t>
            </w:r>
          </w:p>
        </w:tc>
        <w:tc>
          <w:tcPr>
            <w:tcW w:w="850" w:type="dxa"/>
            <w:tcBorders>
              <w:top w:val="nil"/>
              <w:left w:val="nil"/>
              <w:bottom w:val="nil"/>
              <w:right w:val="nil"/>
            </w:tcBorders>
            <w:shd w:val="solid" w:color="000000" w:fill="auto"/>
          </w:tcPr>
          <w:p w:rsidR="00A46DCA" w:rsidRPr="00515956" w:rsidRDefault="00A46DCA" w:rsidP="00A26D0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9"/>
                <w:lang w:eastAsia="en-AU"/>
              </w:rPr>
            </w:pPr>
            <w:r w:rsidRPr="00515956">
              <w:rPr>
                <w:rFonts w:eastAsiaTheme="minorEastAsia" w:cs="Calibri"/>
                <w:iCs/>
                <w:color w:val="FFFFFF"/>
                <w:szCs w:val="19"/>
                <w:lang w:eastAsia="en-AU"/>
              </w:rPr>
              <w:t xml:space="preserve">2016-17 </w:t>
            </w:r>
          </w:p>
        </w:tc>
        <w:tc>
          <w:tcPr>
            <w:tcW w:w="850" w:type="dxa"/>
            <w:tcBorders>
              <w:top w:val="nil"/>
              <w:left w:val="nil"/>
              <w:bottom w:val="nil"/>
              <w:right w:val="nil"/>
            </w:tcBorders>
            <w:shd w:val="solid" w:color="000000" w:fill="auto"/>
          </w:tcPr>
          <w:p w:rsidR="00A46DCA" w:rsidRPr="00515956" w:rsidRDefault="00A46DCA" w:rsidP="00A26D0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9"/>
                <w:lang w:eastAsia="en-AU"/>
              </w:rPr>
            </w:pPr>
            <w:r w:rsidRPr="00515956">
              <w:rPr>
                <w:rFonts w:eastAsiaTheme="minorEastAsia" w:cs="Calibri"/>
                <w:iCs/>
                <w:color w:val="FFFFFF"/>
                <w:szCs w:val="19"/>
                <w:lang w:eastAsia="en-AU"/>
              </w:rPr>
              <w:t>2017-18</w:t>
            </w:r>
          </w:p>
        </w:tc>
      </w:tr>
      <w:tr w:rsidR="00A46DCA" w:rsidRPr="00515956" w:rsidTr="00A26D04">
        <w:tc>
          <w:tcPr>
            <w:cnfStyle w:val="001000000000" w:firstRow="0" w:lastRow="0" w:firstColumn="1" w:lastColumn="0" w:oddVBand="0" w:evenVBand="0" w:oddHBand="0" w:evenHBand="0" w:firstRowFirstColumn="0" w:firstRowLastColumn="0" w:lastRowFirstColumn="0" w:lastRowLastColumn="0"/>
            <w:tcW w:w="6066" w:type="dxa"/>
            <w:tcBorders>
              <w:top w:val="nil"/>
              <w:left w:val="nil"/>
              <w:bottom w:val="nil"/>
              <w:right w:val="nil"/>
            </w:tcBorders>
            <w:shd w:val="solid" w:color="FFFFFF" w:fill="auto"/>
          </w:tcPr>
          <w:p w:rsidR="00A46DCA" w:rsidRPr="00515956" w:rsidRDefault="00A46DCA" w:rsidP="00A26D04">
            <w:pPr>
              <w:keepLines w:val="0"/>
              <w:autoSpaceDE w:val="0"/>
              <w:autoSpaceDN w:val="0"/>
              <w:adjustRightInd w:val="0"/>
              <w:rPr>
                <w:rFonts w:eastAsiaTheme="minorEastAsia" w:cs="Calibri"/>
                <w:color w:val="000000"/>
                <w:szCs w:val="19"/>
                <w:lang w:eastAsia="en-AU"/>
              </w:rPr>
            </w:pPr>
            <w:r w:rsidRPr="00515956">
              <w:rPr>
                <w:rFonts w:eastAsiaTheme="minorEastAsia" w:cs="Calibri"/>
                <w:color w:val="000000"/>
                <w:szCs w:val="19"/>
                <w:lang w:eastAsia="en-AU"/>
              </w:rPr>
              <w:t>Electricity</w:t>
            </w:r>
          </w:p>
        </w:tc>
        <w:tc>
          <w:tcPr>
            <w:tcW w:w="850" w:type="dxa"/>
            <w:tcBorders>
              <w:top w:val="nil"/>
              <w:left w:val="nil"/>
              <w:bottom w:val="nil"/>
              <w:right w:val="nil"/>
            </w:tcBorders>
            <w:shd w:val="solid" w:color="FFFFFF" w:fill="auto"/>
          </w:tcPr>
          <w:p w:rsidR="00A46DCA" w:rsidRPr="00515956"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color w:val="000000"/>
                <w:szCs w:val="19"/>
                <w:lang w:eastAsia="en-AU"/>
              </w:rPr>
              <w:t>148</w:t>
            </w:r>
          </w:p>
        </w:tc>
        <w:tc>
          <w:tcPr>
            <w:tcW w:w="850" w:type="dxa"/>
            <w:tcBorders>
              <w:top w:val="nil"/>
              <w:left w:val="nil"/>
              <w:bottom w:val="nil"/>
              <w:right w:val="nil"/>
            </w:tcBorders>
            <w:shd w:val="solid" w:color="FFFFFF" w:fill="auto"/>
          </w:tcPr>
          <w:p w:rsidR="00A46DCA" w:rsidRPr="00515956"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color w:val="000000"/>
                <w:szCs w:val="19"/>
                <w:lang w:eastAsia="en-AU"/>
              </w:rPr>
              <w:t>151</w:t>
            </w:r>
          </w:p>
        </w:tc>
      </w:tr>
      <w:tr w:rsidR="00A46DCA" w:rsidRPr="00515956" w:rsidTr="00A26D04">
        <w:tc>
          <w:tcPr>
            <w:cnfStyle w:val="001000000000" w:firstRow="0" w:lastRow="0" w:firstColumn="1" w:lastColumn="0" w:oddVBand="0" w:evenVBand="0" w:oddHBand="0" w:evenHBand="0" w:firstRowFirstColumn="0" w:firstRowLastColumn="0" w:lastRowFirstColumn="0" w:lastRowLastColumn="0"/>
            <w:tcW w:w="6066" w:type="dxa"/>
            <w:tcBorders>
              <w:top w:val="nil"/>
              <w:left w:val="nil"/>
              <w:bottom w:val="nil"/>
              <w:right w:val="nil"/>
            </w:tcBorders>
            <w:shd w:val="solid" w:color="FFFFFF" w:fill="auto"/>
          </w:tcPr>
          <w:p w:rsidR="00A46DCA" w:rsidRPr="00515956" w:rsidRDefault="00A46DCA" w:rsidP="00A26D04">
            <w:pPr>
              <w:keepLines w:val="0"/>
              <w:autoSpaceDE w:val="0"/>
              <w:autoSpaceDN w:val="0"/>
              <w:adjustRightInd w:val="0"/>
              <w:rPr>
                <w:rFonts w:eastAsiaTheme="minorEastAsia" w:cs="Calibri"/>
                <w:color w:val="000000"/>
                <w:szCs w:val="19"/>
                <w:lang w:eastAsia="en-AU"/>
              </w:rPr>
            </w:pPr>
            <w:r w:rsidRPr="00515956">
              <w:rPr>
                <w:rFonts w:eastAsiaTheme="minorEastAsia" w:cs="Calibri"/>
                <w:color w:val="000000"/>
                <w:szCs w:val="19"/>
                <w:lang w:eastAsia="en-AU"/>
              </w:rPr>
              <w:t>Mains gas</w:t>
            </w:r>
          </w:p>
        </w:tc>
        <w:tc>
          <w:tcPr>
            <w:tcW w:w="850" w:type="dxa"/>
            <w:tcBorders>
              <w:top w:val="nil"/>
              <w:left w:val="nil"/>
              <w:bottom w:val="nil"/>
              <w:right w:val="nil"/>
            </w:tcBorders>
            <w:shd w:val="solid" w:color="FFFFFF" w:fill="auto"/>
          </w:tcPr>
          <w:p w:rsidR="00A46DCA" w:rsidRPr="00515956"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color w:val="000000"/>
                <w:szCs w:val="19"/>
                <w:lang w:eastAsia="en-AU"/>
              </w:rPr>
              <w:t>62</w:t>
            </w:r>
          </w:p>
        </w:tc>
        <w:tc>
          <w:tcPr>
            <w:tcW w:w="850" w:type="dxa"/>
            <w:tcBorders>
              <w:top w:val="nil"/>
              <w:left w:val="nil"/>
              <w:bottom w:val="nil"/>
              <w:right w:val="nil"/>
            </w:tcBorders>
            <w:shd w:val="solid" w:color="FFFFFF" w:fill="auto"/>
          </w:tcPr>
          <w:p w:rsidR="00A46DCA" w:rsidRPr="00515956"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color w:val="000000"/>
                <w:szCs w:val="19"/>
                <w:lang w:eastAsia="en-AU"/>
              </w:rPr>
              <w:t>65</w:t>
            </w:r>
          </w:p>
        </w:tc>
      </w:tr>
      <w:tr w:rsidR="00A46DCA" w:rsidRPr="00515956" w:rsidTr="00A26D04">
        <w:tc>
          <w:tcPr>
            <w:cnfStyle w:val="001000000000" w:firstRow="0" w:lastRow="0" w:firstColumn="1" w:lastColumn="0" w:oddVBand="0" w:evenVBand="0" w:oddHBand="0" w:evenHBand="0" w:firstRowFirstColumn="0" w:firstRowLastColumn="0" w:lastRowFirstColumn="0" w:lastRowLastColumn="0"/>
            <w:tcW w:w="6066" w:type="dxa"/>
            <w:tcBorders>
              <w:top w:val="nil"/>
              <w:left w:val="nil"/>
              <w:bottom w:val="nil"/>
              <w:right w:val="nil"/>
            </w:tcBorders>
            <w:shd w:val="solid" w:color="FFFFFF" w:fill="auto"/>
          </w:tcPr>
          <w:p w:rsidR="00A46DCA" w:rsidRPr="00515956" w:rsidRDefault="00A46DCA" w:rsidP="00A26D04">
            <w:pPr>
              <w:keepLines w:val="0"/>
              <w:autoSpaceDE w:val="0"/>
              <w:autoSpaceDN w:val="0"/>
              <w:adjustRightInd w:val="0"/>
              <w:rPr>
                <w:rFonts w:eastAsiaTheme="minorEastAsia" w:cs="Calibri"/>
                <w:color w:val="000000"/>
                <w:szCs w:val="19"/>
                <w:lang w:eastAsia="en-AU"/>
              </w:rPr>
            </w:pPr>
            <w:r w:rsidRPr="00515956">
              <w:rPr>
                <w:rFonts w:eastAsiaTheme="minorEastAsia" w:cs="Calibri"/>
                <w:color w:val="000000"/>
                <w:szCs w:val="19"/>
                <w:lang w:eastAsia="en-AU"/>
              </w:rPr>
              <w:t>Municipal rates</w:t>
            </w:r>
          </w:p>
        </w:tc>
        <w:tc>
          <w:tcPr>
            <w:tcW w:w="850" w:type="dxa"/>
            <w:tcBorders>
              <w:top w:val="nil"/>
              <w:left w:val="nil"/>
              <w:bottom w:val="nil"/>
              <w:right w:val="nil"/>
            </w:tcBorders>
            <w:shd w:val="solid" w:color="FFFFFF" w:fill="auto"/>
          </w:tcPr>
          <w:p w:rsidR="00A46DCA" w:rsidRPr="00515956"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color w:val="000000"/>
                <w:szCs w:val="19"/>
                <w:lang w:eastAsia="en-AU"/>
              </w:rPr>
              <w:t>96</w:t>
            </w:r>
          </w:p>
        </w:tc>
        <w:tc>
          <w:tcPr>
            <w:tcW w:w="850" w:type="dxa"/>
            <w:tcBorders>
              <w:top w:val="nil"/>
              <w:left w:val="nil"/>
              <w:bottom w:val="nil"/>
              <w:right w:val="nil"/>
            </w:tcBorders>
            <w:shd w:val="solid" w:color="FFFFFF" w:fill="auto"/>
          </w:tcPr>
          <w:p w:rsidR="00A46DCA" w:rsidRPr="00515956"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color w:val="000000"/>
                <w:szCs w:val="19"/>
                <w:lang w:eastAsia="en-AU"/>
              </w:rPr>
              <w:t>97</w:t>
            </w:r>
          </w:p>
        </w:tc>
      </w:tr>
      <w:tr w:rsidR="00A46DCA" w:rsidRPr="00515956" w:rsidTr="00A26D04">
        <w:tc>
          <w:tcPr>
            <w:cnfStyle w:val="001000000000" w:firstRow="0" w:lastRow="0" w:firstColumn="1" w:lastColumn="0" w:oddVBand="0" w:evenVBand="0" w:oddHBand="0" w:evenHBand="0" w:firstRowFirstColumn="0" w:firstRowLastColumn="0" w:lastRowFirstColumn="0" w:lastRowLastColumn="0"/>
            <w:tcW w:w="6066" w:type="dxa"/>
            <w:tcBorders>
              <w:top w:val="nil"/>
              <w:left w:val="nil"/>
              <w:bottom w:val="nil"/>
              <w:right w:val="nil"/>
            </w:tcBorders>
            <w:shd w:val="solid" w:color="FFFFFF" w:fill="auto"/>
          </w:tcPr>
          <w:p w:rsidR="00A46DCA" w:rsidRPr="00515956" w:rsidRDefault="00A46DCA" w:rsidP="00A26D04">
            <w:pPr>
              <w:keepLines w:val="0"/>
              <w:autoSpaceDE w:val="0"/>
              <w:autoSpaceDN w:val="0"/>
              <w:adjustRightInd w:val="0"/>
              <w:rPr>
                <w:rFonts w:eastAsiaTheme="minorEastAsia" w:cs="Calibri"/>
                <w:color w:val="000000"/>
                <w:szCs w:val="19"/>
                <w:lang w:eastAsia="en-AU"/>
              </w:rPr>
            </w:pPr>
            <w:r w:rsidRPr="00515956">
              <w:rPr>
                <w:rFonts w:eastAsiaTheme="minorEastAsia" w:cs="Calibri"/>
                <w:color w:val="000000"/>
                <w:szCs w:val="19"/>
                <w:lang w:eastAsia="en-AU"/>
              </w:rPr>
              <w:t>Water and sewerage</w:t>
            </w:r>
          </w:p>
        </w:tc>
        <w:tc>
          <w:tcPr>
            <w:tcW w:w="850" w:type="dxa"/>
            <w:tcBorders>
              <w:top w:val="nil"/>
              <w:left w:val="nil"/>
              <w:bottom w:val="nil"/>
              <w:right w:val="nil"/>
            </w:tcBorders>
            <w:shd w:val="solid" w:color="FFFFFF" w:fill="auto"/>
          </w:tcPr>
          <w:p w:rsidR="00A46DCA" w:rsidRPr="00515956"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color w:val="000000"/>
                <w:szCs w:val="19"/>
                <w:lang w:eastAsia="en-AU"/>
              </w:rPr>
              <w:t>168</w:t>
            </w:r>
          </w:p>
        </w:tc>
        <w:tc>
          <w:tcPr>
            <w:tcW w:w="850" w:type="dxa"/>
            <w:tcBorders>
              <w:top w:val="nil"/>
              <w:left w:val="nil"/>
              <w:bottom w:val="nil"/>
              <w:right w:val="nil"/>
            </w:tcBorders>
            <w:shd w:val="solid" w:color="FFFFFF" w:fill="auto"/>
          </w:tcPr>
          <w:p w:rsidR="00A46DCA" w:rsidRPr="00515956"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color w:val="000000"/>
                <w:szCs w:val="19"/>
                <w:lang w:eastAsia="en-AU"/>
              </w:rPr>
              <w:t>173</w:t>
            </w:r>
          </w:p>
        </w:tc>
      </w:tr>
      <w:tr w:rsidR="00A46DCA" w:rsidRPr="00515956" w:rsidTr="00A26D04">
        <w:tc>
          <w:tcPr>
            <w:cnfStyle w:val="001000000000" w:firstRow="0" w:lastRow="0" w:firstColumn="1" w:lastColumn="0" w:oddVBand="0" w:evenVBand="0" w:oddHBand="0" w:evenHBand="0" w:firstRowFirstColumn="0" w:firstRowLastColumn="0" w:lastRowFirstColumn="0" w:lastRowLastColumn="0"/>
            <w:tcW w:w="6066" w:type="dxa"/>
            <w:tcBorders>
              <w:top w:val="nil"/>
              <w:left w:val="nil"/>
              <w:bottom w:val="nil"/>
              <w:right w:val="nil"/>
            </w:tcBorders>
            <w:shd w:val="solid" w:color="FFFFFF" w:fill="auto"/>
          </w:tcPr>
          <w:p w:rsidR="00A46DCA" w:rsidRPr="00515956" w:rsidRDefault="00A46DCA" w:rsidP="00A26D04">
            <w:pPr>
              <w:keepLines w:val="0"/>
              <w:autoSpaceDE w:val="0"/>
              <w:autoSpaceDN w:val="0"/>
              <w:adjustRightInd w:val="0"/>
              <w:rPr>
                <w:rFonts w:eastAsiaTheme="minorEastAsia" w:cs="Calibri"/>
                <w:b/>
                <w:bCs/>
                <w:color w:val="000000"/>
                <w:szCs w:val="19"/>
                <w:lang w:eastAsia="en-AU"/>
              </w:rPr>
            </w:pPr>
            <w:r w:rsidRPr="00515956">
              <w:rPr>
                <w:rFonts w:eastAsiaTheme="minorEastAsia" w:cs="Calibri"/>
                <w:b/>
                <w:bCs/>
                <w:color w:val="000000"/>
                <w:szCs w:val="19"/>
                <w:lang w:eastAsia="en-AU"/>
              </w:rPr>
              <w:t>Total energy, municipal rates, water and sewerage</w:t>
            </w:r>
          </w:p>
        </w:tc>
        <w:tc>
          <w:tcPr>
            <w:tcW w:w="850" w:type="dxa"/>
            <w:tcBorders>
              <w:top w:val="nil"/>
              <w:left w:val="nil"/>
              <w:bottom w:val="nil"/>
              <w:right w:val="nil"/>
            </w:tcBorders>
            <w:shd w:val="solid" w:color="FFFFFF" w:fill="auto"/>
          </w:tcPr>
          <w:p w:rsidR="00A46DCA" w:rsidRPr="00515956"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b/>
                <w:bCs/>
                <w:color w:val="000000"/>
                <w:szCs w:val="19"/>
                <w:lang w:eastAsia="en-AU"/>
              </w:rPr>
              <w:t>473</w:t>
            </w:r>
          </w:p>
        </w:tc>
        <w:tc>
          <w:tcPr>
            <w:tcW w:w="850" w:type="dxa"/>
            <w:tcBorders>
              <w:top w:val="nil"/>
              <w:left w:val="nil"/>
              <w:bottom w:val="nil"/>
              <w:right w:val="nil"/>
            </w:tcBorders>
            <w:shd w:val="solid" w:color="FFFFFF" w:fill="auto"/>
          </w:tcPr>
          <w:p w:rsidR="00A46DCA" w:rsidRPr="00515956"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b/>
                <w:bCs/>
                <w:color w:val="000000"/>
                <w:szCs w:val="19"/>
                <w:lang w:eastAsia="en-AU"/>
              </w:rPr>
              <w:t>486</w:t>
            </w:r>
          </w:p>
        </w:tc>
      </w:tr>
      <w:tr w:rsidR="00A46DCA" w:rsidRPr="00515956" w:rsidTr="00A26D04">
        <w:tc>
          <w:tcPr>
            <w:cnfStyle w:val="001000000000" w:firstRow="0" w:lastRow="0" w:firstColumn="1" w:lastColumn="0" w:oddVBand="0" w:evenVBand="0" w:oddHBand="0" w:evenHBand="0" w:firstRowFirstColumn="0" w:firstRowLastColumn="0" w:lastRowFirstColumn="0" w:lastRowLastColumn="0"/>
            <w:tcW w:w="6066" w:type="dxa"/>
            <w:tcBorders>
              <w:top w:val="nil"/>
              <w:left w:val="nil"/>
              <w:bottom w:val="nil"/>
              <w:right w:val="nil"/>
            </w:tcBorders>
            <w:shd w:val="solid" w:color="FFFFFF" w:fill="auto"/>
          </w:tcPr>
          <w:p w:rsidR="00A46DCA" w:rsidRPr="00515956" w:rsidRDefault="00A46DCA" w:rsidP="00A26D04">
            <w:pPr>
              <w:keepLines w:val="0"/>
              <w:autoSpaceDE w:val="0"/>
              <w:autoSpaceDN w:val="0"/>
              <w:adjustRightInd w:val="0"/>
              <w:rPr>
                <w:rFonts w:eastAsiaTheme="minorEastAsia" w:cs="Calibri"/>
                <w:color w:val="000000"/>
                <w:szCs w:val="19"/>
                <w:lang w:eastAsia="en-AU"/>
              </w:rPr>
            </w:pPr>
            <w:r w:rsidRPr="00515956">
              <w:rPr>
                <w:rFonts w:eastAsiaTheme="minorEastAsia" w:cs="Calibri"/>
                <w:color w:val="000000"/>
                <w:szCs w:val="19"/>
                <w:lang w:eastAsia="en-AU"/>
              </w:rPr>
              <w:t>Ambulance</w:t>
            </w:r>
          </w:p>
        </w:tc>
        <w:tc>
          <w:tcPr>
            <w:tcW w:w="850" w:type="dxa"/>
            <w:tcBorders>
              <w:top w:val="nil"/>
              <w:left w:val="nil"/>
              <w:bottom w:val="nil"/>
              <w:right w:val="nil"/>
            </w:tcBorders>
            <w:shd w:val="solid" w:color="FFFFFF" w:fill="auto"/>
          </w:tcPr>
          <w:p w:rsidR="00A46DCA" w:rsidRPr="00515956"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color w:val="000000"/>
                <w:szCs w:val="19"/>
                <w:lang w:eastAsia="en-AU"/>
              </w:rPr>
              <w:t>389</w:t>
            </w:r>
          </w:p>
        </w:tc>
        <w:tc>
          <w:tcPr>
            <w:tcW w:w="850" w:type="dxa"/>
            <w:tcBorders>
              <w:top w:val="nil"/>
              <w:left w:val="nil"/>
              <w:bottom w:val="nil"/>
              <w:right w:val="nil"/>
            </w:tcBorders>
            <w:shd w:val="solid" w:color="FFFFFF" w:fill="auto"/>
          </w:tcPr>
          <w:p w:rsidR="00A46DCA" w:rsidRPr="00515956"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color w:val="000000"/>
                <w:szCs w:val="19"/>
                <w:lang w:eastAsia="en-AU"/>
              </w:rPr>
              <w:t>400</w:t>
            </w:r>
          </w:p>
        </w:tc>
      </w:tr>
      <w:tr w:rsidR="00A46DCA" w:rsidRPr="00515956" w:rsidTr="00A26D04">
        <w:tc>
          <w:tcPr>
            <w:cnfStyle w:val="001000000000" w:firstRow="0" w:lastRow="0" w:firstColumn="1" w:lastColumn="0" w:oddVBand="0" w:evenVBand="0" w:oddHBand="0" w:evenHBand="0" w:firstRowFirstColumn="0" w:firstRowLastColumn="0" w:lastRowFirstColumn="0" w:lastRowLastColumn="0"/>
            <w:tcW w:w="6066" w:type="dxa"/>
            <w:tcBorders>
              <w:top w:val="nil"/>
              <w:left w:val="nil"/>
              <w:bottom w:val="nil"/>
              <w:right w:val="nil"/>
            </w:tcBorders>
            <w:shd w:val="solid" w:color="FFFFFF" w:fill="auto"/>
          </w:tcPr>
          <w:p w:rsidR="00A46DCA" w:rsidRPr="00515956" w:rsidRDefault="00A46DCA" w:rsidP="00A26D04">
            <w:pPr>
              <w:keepLines w:val="0"/>
              <w:autoSpaceDE w:val="0"/>
              <w:autoSpaceDN w:val="0"/>
              <w:adjustRightInd w:val="0"/>
              <w:rPr>
                <w:rFonts w:eastAsiaTheme="minorEastAsia" w:cs="Calibri"/>
                <w:color w:val="000000"/>
                <w:szCs w:val="19"/>
                <w:lang w:eastAsia="en-AU"/>
              </w:rPr>
            </w:pPr>
            <w:r w:rsidRPr="00515956">
              <w:rPr>
                <w:rFonts w:eastAsiaTheme="minorEastAsia" w:cs="Calibri"/>
                <w:color w:val="000000"/>
                <w:szCs w:val="19"/>
                <w:lang w:eastAsia="en-AU"/>
              </w:rPr>
              <w:t xml:space="preserve">Dental services and spectacles </w:t>
            </w:r>
            <w:r w:rsidRPr="00515956">
              <w:rPr>
                <w:rFonts w:eastAsiaTheme="minorEastAsia" w:cs="Calibri"/>
                <w:color w:val="000000"/>
                <w:szCs w:val="19"/>
                <w:vertAlign w:val="superscript"/>
                <w:lang w:eastAsia="en-AU"/>
              </w:rPr>
              <w:t>(b)</w:t>
            </w:r>
          </w:p>
        </w:tc>
        <w:tc>
          <w:tcPr>
            <w:tcW w:w="850" w:type="dxa"/>
            <w:tcBorders>
              <w:top w:val="nil"/>
              <w:left w:val="nil"/>
              <w:bottom w:val="nil"/>
              <w:right w:val="nil"/>
            </w:tcBorders>
            <w:shd w:val="solid" w:color="FFFFFF" w:fill="auto"/>
          </w:tcPr>
          <w:p w:rsidR="00A46DCA" w:rsidRPr="00515956"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color w:val="000000"/>
                <w:szCs w:val="19"/>
                <w:lang w:eastAsia="en-AU"/>
              </w:rPr>
              <w:t>160</w:t>
            </w:r>
          </w:p>
        </w:tc>
        <w:tc>
          <w:tcPr>
            <w:tcW w:w="850" w:type="dxa"/>
            <w:tcBorders>
              <w:top w:val="nil"/>
              <w:left w:val="nil"/>
              <w:bottom w:val="nil"/>
              <w:right w:val="nil"/>
            </w:tcBorders>
            <w:shd w:val="solid" w:color="FFFFFF" w:fill="auto"/>
          </w:tcPr>
          <w:p w:rsidR="00A46DCA" w:rsidRPr="00515956"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color w:val="000000"/>
                <w:szCs w:val="19"/>
                <w:lang w:eastAsia="en-AU"/>
              </w:rPr>
              <w:t>149</w:t>
            </w:r>
          </w:p>
        </w:tc>
      </w:tr>
      <w:tr w:rsidR="00A46DCA" w:rsidRPr="00515956" w:rsidTr="00A26D04">
        <w:tc>
          <w:tcPr>
            <w:cnfStyle w:val="001000000000" w:firstRow="0" w:lastRow="0" w:firstColumn="1" w:lastColumn="0" w:oddVBand="0" w:evenVBand="0" w:oddHBand="0" w:evenHBand="0" w:firstRowFirstColumn="0" w:firstRowLastColumn="0" w:lastRowFirstColumn="0" w:lastRowLastColumn="0"/>
            <w:tcW w:w="6066" w:type="dxa"/>
            <w:tcBorders>
              <w:top w:val="nil"/>
              <w:left w:val="nil"/>
              <w:bottom w:val="nil"/>
              <w:right w:val="nil"/>
            </w:tcBorders>
            <w:shd w:val="solid" w:color="FFFFFF" w:fill="auto"/>
          </w:tcPr>
          <w:p w:rsidR="00A46DCA" w:rsidRPr="00515956" w:rsidRDefault="00A46DCA" w:rsidP="00A26D04">
            <w:pPr>
              <w:keepLines w:val="0"/>
              <w:autoSpaceDE w:val="0"/>
              <w:autoSpaceDN w:val="0"/>
              <w:adjustRightInd w:val="0"/>
              <w:rPr>
                <w:rFonts w:eastAsiaTheme="minorEastAsia" w:cs="Calibri"/>
                <w:color w:val="000000"/>
                <w:szCs w:val="19"/>
                <w:lang w:eastAsia="en-AU"/>
              </w:rPr>
            </w:pPr>
            <w:r w:rsidRPr="00515956">
              <w:rPr>
                <w:rFonts w:eastAsiaTheme="minorEastAsia" w:cs="Calibri"/>
                <w:color w:val="000000"/>
                <w:szCs w:val="19"/>
                <w:lang w:eastAsia="en-AU"/>
              </w:rPr>
              <w:t>Community health programs</w:t>
            </w:r>
          </w:p>
        </w:tc>
        <w:tc>
          <w:tcPr>
            <w:tcW w:w="850" w:type="dxa"/>
            <w:tcBorders>
              <w:top w:val="nil"/>
              <w:left w:val="nil"/>
              <w:bottom w:val="nil"/>
              <w:right w:val="nil"/>
            </w:tcBorders>
            <w:shd w:val="solid" w:color="FFFFFF" w:fill="auto"/>
          </w:tcPr>
          <w:p w:rsidR="00A46DCA" w:rsidRPr="00515956"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color w:val="000000"/>
                <w:szCs w:val="19"/>
                <w:lang w:eastAsia="en-AU"/>
              </w:rPr>
              <w:t>102</w:t>
            </w:r>
          </w:p>
        </w:tc>
        <w:tc>
          <w:tcPr>
            <w:tcW w:w="850" w:type="dxa"/>
            <w:tcBorders>
              <w:top w:val="nil"/>
              <w:left w:val="nil"/>
              <w:bottom w:val="nil"/>
              <w:right w:val="nil"/>
            </w:tcBorders>
            <w:shd w:val="solid" w:color="FFFFFF" w:fill="auto"/>
          </w:tcPr>
          <w:p w:rsidR="00A46DCA" w:rsidRPr="00515956"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color w:val="000000"/>
                <w:szCs w:val="19"/>
                <w:lang w:eastAsia="en-AU"/>
              </w:rPr>
              <w:t>111</w:t>
            </w:r>
          </w:p>
        </w:tc>
      </w:tr>
      <w:tr w:rsidR="00A46DCA" w:rsidRPr="00515956" w:rsidTr="00A26D04">
        <w:tc>
          <w:tcPr>
            <w:cnfStyle w:val="001000000000" w:firstRow="0" w:lastRow="0" w:firstColumn="1" w:lastColumn="0" w:oddVBand="0" w:evenVBand="0" w:oddHBand="0" w:evenHBand="0" w:firstRowFirstColumn="0" w:firstRowLastColumn="0" w:lastRowFirstColumn="0" w:lastRowLastColumn="0"/>
            <w:tcW w:w="6066" w:type="dxa"/>
            <w:tcBorders>
              <w:top w:val="nil"/>
              <w:left w:val="nil"/>
              <w:bottom w:val="nil"/>
              <w:right w:val="nil"/>
            </w:tcBorders>
            <w:shd w:val="solid" w:color="FFFFFF" w:fill="auto"/>
          </w:tcPr>
          <w:p w:rsidR="00A46DCA" w:rsidRPr="00515956" w:rsidRDefault="00A46DCA" w:rsidP="00A26D04">
            <w:pPr>
              <w:keepLines w:val="0"/>
              <w:autoSpaceDE w:val="0"/>
              <w:autoSpaceDN w:val="0"/>
              <w:adjustRightInd w:val="0"/>
              <w:rPr>
                <w:rFonts w:eastAsiaTheme="minorEastAsia" w:cs="Calibri"/>
                <w:b/>
                <w:bCs/>
                <w:color w:val="000000"/>
                <w:szCs w:val="19"/>
                <w:lang w:eastAsia="en-AU"/>
              </w:rPr>
            </w:pPr>
            <w:r w:rsidRPr="00515956">
              <w:rPr>
                <w:rFonts w:eastAsiaTheme="minorEastAsia" w:cs="Calibri"/>
                <w:b/>
                <w:bCs/>
                <w:color w:val="000000"/>
                <w:szCs w:val="19"/>
                <w:lang w:eastAsia="en-AU"/>
              </w:rPr>
              <w:t>Total health</w:t>
            </w:r>
          </w:p>
        </w:tc>
        <w:tc>
          <w:tcPr>
            <w:tcW w:w="850" w:type="dxa"/>
            <w:tcBorders>
              <w:top w:val="nil"/>
              <w:left w:val="nil"/>
              <w:bottom w:val="nil"/>
              <w:right w:val="nil"/>
            </w:tcBorders>
            <w:shd w:val="solid" w:color="FFFFFF" w:fill="auto"/>
          </w:tcPr>
          <w:p w:rsidR="00A46DCA" w:rsidRPr="00515956"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b/>
                <w:bCs/>
                <w:color w:val="000000"/>
                <w:szCs w:val="19"/>
                <w:lang w:eastAsia="en-AU"/>
              </w:rPr>
              <w:t>651</w:t>
            </w:r>
          </w:p>
        </w:tc>
        <w:tc>
          <w:tcPr>
            <w:tcW w:w="850" w:type="dxa"/>
            <w:tcBorders>
              <w:top w:val="nil"/>
              <w:left w:val="nil"/>
              <w:bottom w:val="nil"/>
              <w:right w:val="nil"/>
            </w:tcBorders>
            <w:shd w:val="solid" w:color="FFFFFF" w:fill="auto"/>
          </w:tcPr>
          <w:p w:rsidR="00A46DCA" w:rsidRPr="00515956"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b/>
                <w:bCs/>
                <w:color w:val="000000"/>
                <w:szCs w:val="19"/>
                <w:lang w:eastAsia="en-AU"/>
              </w:rPr>
              <w:t>660</w:t>
            </w:r>
          </w:p>
        </w:tc>
      </w:tr>
      <w:tr w:rsidR="00A46DCA" w:rsidRPr="00515956" w:rsidTr="00A26D04">
        <w:tc>
          <w:tcPr>
            <w:cnfStyle w:val="001000000000" w:firstRow="0" w:lastRow="0" w:firstColumn="1" w:lastColumn="0" w:oddVBand="0" w:evenVBand="0" w:oddHBand="0" w:evenHBand="0" w:firstRowFirstColumn="0" w:firstRowLastColumn="0" w:lastRowFirstColumn="0" w:lastRowLastColumn="0"/>
            <w:tcW w:w="6066" w:type="dxa"/>
            <w:tcBorders>
              <w:top w:val="nil"/>
              <w:left w:val="nil"/>
              <w:bottom w:val="nil"/>
              <w:right w:val="nil"/>
            </w:tcBorders>
            <w:shd w:val="solid" w:color="FFFFFF" w:fill="auto"/>
          </w:tcPr>
          <w:p w:rsidR="00A46DCA" w:rsidRPr="00515956" w:rsidRDefault="00A46DCA" w:rsidP="00A26D04">
            <w:pPr>
              <w:keepLines w:val="0"/>
              <w:autoSpaceDE w:val="0"/>
              <w:autoSpaceDN w:val="0"/>
              <w:adjustRightInd w:val="0"/>
              <w:rPr>
                <w:rFonts w:eastAsiaTheme="minorEastAsia" w:cs="Calibri"/>
                <w:b/>
                <w:bCs/>
                <w:color w:val="000000"/>
                <w:szCs w:val="19"/>
                <w:lang w:eastAsia="en-AU"/>
              </w:rPr>
            </w:pPr>
            <w:r w:rsidRPr="00515956">
              <w:rPr>
                <w:rFonts w:eastAsiaTheme="minorEastAsia" w:cs="Calibri"/>
                <w:b/>
                <w:bCs/>
                <w:color w:val="000000"/>
                <w:szCs w:val="19"/>
                <w:lang w:eastAsia="en-AU"/>
              </w:rPr>
              <w:t xml:space="preserve">Education </w:t>
            </w:r>
          </w:p>
        </w:tc>
        <w:tc>
          <w:tcPr>
            <w:tcW w:w="850" w:type="dxa"/>
            <w:tcBorders>
              <w:top w:val="nil"/>
              <w:left w:val="nil"/>
              <w:bottom w:val="nil"/>
              <w:right w:val="nil"/>
            </w:tcBorders>
            <w:shd w:val="solid" w:color="FFFFFF" w:fill="auto"/>
          </w:tcPr>
          <w:p w:rsidR="00A46DCA" w:rsidRPr="00515956"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b/>
                <w:bCs/>
                <w:color w:val="000000"/>
                <w:szCs w:val="19"/>
                <w:lang w:eastAsia="en-AU"/>
              </w:rPr>
              <w:t>67</w:t>
            </w:r>
          </w:p>
        </w:tc>
        <w:tc>
          <w:tcPr>
            <w:tcW w:w="850" w:type="dxa"/>
            <w:tcBorders>
              <w:top w:val="nil"/>
              <w:left w:val="nil"/>
              <w:bottom w:val="nil"/>
              <w:right w:val="nil"/>
            </w:tcBorders>
            <w:shd w:val="solid" w:color="FFFFFF" w:fill="auto"/>
          </w:tcPr>
          <w:p w:rsidR="00A46DCA" w:rsidRPr="00515956"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b/>
                <w:bCs/>
                <w:color w:val="000000"/>
                <w:szCs w:val="19"/>
                <w:lang w:eastAsia="en-AU"/>
              </w:rPr>
              <w:t>66</w:t>
            </w:r>
          </w:p>
        </w:tc>
      </w:tr>
      <w:tr w:rsidR="00A46DCA" w:rsidRPr="00515956" w:rsidTr="00A26D04">
        <w:tc>
          <w:tcPr>
            <w:cnfStyle w:val="001000000000" w:firstRow="0" w:lastRow="0" w:firstColumn="1" w:lastColumn="0" w:oddVBand="0" w:evenVBand="0" w:oddHBand="0" w:evenHBand="0" w:firstRowFirstColumn="0" w:firstRowLastColumn="0" w:lastRowFirstColumn="0" w:lastRowLastColumn="0"/>
            <w:tcW w:w="6066" w:type="dxa"/>
            <w:tcBorders>
              <w:top w:val="nil"/>
              <w:left w:val="nil"/>
              <w:bottom w:val="nil"/>
              <w:right w:val="nil"/>
            </w:tcBorders>
            <w:shd w:val="solid" w:color="FFFFFF" w:fill="auto"/>
          </w:tcPr>
          <w:p w:rsidR="00A46DCA" w:rsidRPr="00515956" w:rsidRDefault="00A46DCA" w:rsidP="00A26D04">
            <w:pPr>
              <w:keepLines w:val="0"/>
              <w:autoSpaceDE w:val="0"/>
              <w:autoSpaceDN w:val="0"/>
              <w:adjustRightInd w:val="0"/>
              <w:rPr>
                <w:rFonts w:eastAsiaTheme="minorEastAsia" w:cs="Calibri"/>
                <w:b/>
                <w:bCs/>
                <w:color w:val="000000"/>
                <w:szCs w:val="19"/>
                <w:lang w:eastAsia="en-AU"/>
              </w:rPr>
            </w:pPr>
            <w:r w:rsidRPr="00515956">
              <w:rPr>
                <w:rFonts w:eastAsiaTheme="minorEastAsia" w:cs="Calibri"/>
                <w:b/>
                <w:bCs/>
                <w:color w:val="000000"/>
                <w:szCs w:val="19"/>
                <w:lang w:eastAsia="en-AU"/>
              </w:rPr>
              <w:t>Hardship schemes</w:t>
            </w:r>
          </w:p>
        </w:tc>
        <w:tc>
          <w:tcPr>
            <w:tcW w:w="850" w:type="dxa"/>
            <w:tcBorders>
              <w:top w:val="nil"/>
              <w:left w:val="nil"/>
              <w:bottom w:val="nil"/>
              <w:right w:val="nil"/>
            </w:tcBorders>
            <w:shd w:val="solid" w:color="FFFFFF" w:fill="auto"/>
          </w:tcPr>
          <w:p w:rsidR="00A46DCA" w:rsidRPr="00515956"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b/>
                <w:bCs/>
                <w:color w:val="000000"/>
                <w:szCs w:val="19"/>
                <w:lang w:eastAsia="en-AU"/>
              </w:rPr>
              <w:t>40</w:t>
            </w:r>
          </w:p>
        </w:tc>
        <w:tc>
          <w:tcPr>
            <w:tcW w:w="850" w:type="dxa"/>
            <w:tcBorders>
              <w:top w:val="nil"/>
              <w:left w:val="nil"/>
              <w:bottom w:val="nil"/>
              <w:right w:val="nil"/>
            </w:tcBorders>
            <w:shd w:val="solid" w:color="FFFFFF" w:fill="auto"/>
          </w:tcPr>
          <w:p w:rsidR="00A46DCA" w:rsidRPr="00515956"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b/>
                <w:bCs/>
                <w:color w:val="000000"/>
                <w:szCs w:val="19"/>
                <w:lang w:eastAsia="en-AU"/>
              </w:rPr>
              <w:t>42</w:t>
            </w:r>
          </w:p>
        </w:tc>
      </w:tr>
      <w:tr w:rsidR="00A46DCA" w:rsidRPr="00515956" w:rsidTr="00A26D04">
        <w:tc>
          <w:tcPr>
            <w:cnfStyle w:val="001000000000" w:firstRow="0" w:lastRow="0" w:firstColumn="1" w:lastColumn="0" w:oddVBand="0" w:evenVBand="0" w:oddHBand="0" w:evenHBand="0" w:firstRowFirstColumn="0" w:firstRowLastColumn="0" w:lastRowFirstColumn="0" w:lastRowLastColumn="0"/>
            <w:tcW w:w="6066" w:type="dxa"/>
            <w:tcBorders>
              <w:top w:val="nil"/>
              <w:left w:val="nil"/>
              <w:bottom w:val="nil"/>
              <w:right w:val="nil"/>
            </w:tcBorders>
            <w:shd w:val="solid" w:color="FFFFFF" w:fill="auto"/>
          </w:tcPr>
          <w:p w:rsidR="00A46DCA" w:rsidRPr="00515956" w:rsidRDefault="00A46DCA" w:rsidP="00A26D04">
            <w:pPr>
              <w:keepLines w:val="0"/>
              <w:autoSpaceDE w:val="0"/>
              <w:autoSpaceDN w:val="0"/>
              <w:adjustRightInd w:val="0"/>
              <w:rPr>
                <w:rFonts w:eastAsiaTheme="minorEastAsia" w:cs="Calibri"/>
                <w:b/>
                <w:bCs/>
                <w:color w:val="000000"/>
                <w:szCs w:val="19"/>
                <w:lang w:eastAsia="en-AU"/>
              </w:rPr>
            </w:pPr>
            <w:r w:rsidRPr="00515956">
              <w:rPr>
                <w:rFonts w:eastAsiaTheme="minorEastAsia" w:cs="Calibri"/>
                <w:b/>
                <w:bCs/>
                <w:color w:val="000000"/>
                <w:szCs w:val="19"/>
                <w:lang w:eastAsia="en-AU"/>
              </w:rPr>
              <w:t>Social and community services</w:t>
            </w:r>
          </w:p>
        </w:tc>
        <w:tc>
          <w:tcPr>
            <w:tcW w:w="850" w:type="dxa"/>
            <w:tcBorders>
              <w:top w:val="nil"/>
              <w:left w:val="nil"/>
              <w:bottom w:val="nil"/>
              <w:right w:val="nil"/>
            </w:tcBorders>
            <w:shd w:val="solid" w:color="FFFFFF" w:fill="auto"/>
          </w:tcPr>
          <w:p w:rsidR="00A46DCA" w:rsidRPr="00515956"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b/>
                <w:bCs/>
                <w:color w:val="000000"/>
                <w:szCs w:val="19"/>
                <w:lang w:eastAsia="en-AU"/>
              </w:rPr>
              <w:t>5</w:t>
            </w:r>
          </w:p>
        </w:tc>
        <w:tc>
          <w:tcPr>
            <w:tcW w:w="850" w:type="dxa"/>
            <w:tcBorders>
              <w:top w:val="nil"/>
              <w:left w:val="nil"/>
              <w:bottom w:val="nil"/>
              <w:right w:val="nil"/>
            </w:tcBorders>
            <w:shd w:val="solid" w:color="FFFFFF" w:fill="auto"/>
          </w:tcPr>
          <w:p w:rsidR="00A46DCA" w:rsidRPr="00515956"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b/>
                <w:bCs/>
                <w:color w:val="000000"/>
                <w:szCs w:val="19"/>
                <w:lang w:eastAsia="en-AU"/>
              </w:rPr>
              <w:t>5</w:t>
            </w:r>
          </w:p>
        </w:tc>
      </w:tr>
      <w:tr w:rsidR="00A46DCA" w:rsidRPr="00515956" w:rsidTr="00A26D04">
        <w:tc>
          <w:tcPr>
            <w:cnfStyle w:val="001000000000" w:firstRow="0" w:lastRow="0" w:firstColumn="1" w:lastColumn="0" w:oddVBand="0" w:evenVBand="0" w:oddHBand="0" w:evenHBand="0" w:firstRowFirstColumn="0" w:firstRowLastColumn="0" w:lastRowFirstColumn="0" w:lastRowLastColumn="0"/>
            <w:tcW w:w="6066" w:type="dxa"/>
            <w:tcBorders>
              <w:top w:val="nil"/>
              <w:left w:val="nil"/>
              <w:bottom w:val="nil"/>
              <w:right w:val="nil"/>
            </w:tcBorders>
            <w:shd w:val="solid" w:color="FFFFFF" w:fill="auto"/>
          </w:tcPr>
          <w:p w:rsidR="00A46DCA" w:rsidRPr="00515956" w:rsidRDefault="00A46DCA" w:rsidP="00A26D04">
            <w:pPr>
              <w:keepLines w:val="0"/>
              <w:autoSpaceDE w:val="0"/>
              <w:autoSpaceDN w:val="0"/>
              <w:adjustRightInd w:val="0"/>
              <w:rPr>
                <w:rFonts w:eastAsiaTheme="minorEastAsia" w:cs="Calibri"/>
                <w:b/>
                <w:bCs/>
                <w:color w:val="000000"/>
                <w:szCs w:val="19"/>
                <w:lang w:eastAsia="en-AU"/>
              </w:rPr>
            </w:pPr>
            <w:r w:rsidRPr="00515956">
              <w:rPr>
                <w:rFonts w:eastAsiaTheme="minorEastAsia" w:cs="Calibri"/>
                <w:b/>
                <w:bCs/>
                <w:color w:val="000000"/>
                <w:szCs w:val="19"/>
                <w:lang w:eastAsia="en-AU"/>
              </w:rPr>
              <w:t>Private transport</w:t>
            </w:r>
          </w:p>
        </w:tc>
        <w:tc>
          <w:tcPr>
            <w:tcW w:w="850" w:type="dxa"/>
            <w:tcBorders>
              <w:top w:val="nil"/>
              <w:left w:val="nil"/>
              <w:bottom w:val="nil"/>
              <w:right w:val="nil"/>
            </w:tcBorders>
            <w:shd w:val="solid" w:color="FFFFFF" w:fill="auto"/>
          </w:tcPr>
          <w:p w:rsidR="00A46DCA" w:rsidRPr="00515956"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b/>
                <w:bCs/>
                <w:color w:val="000000"/>
                <w:szCs w:val="19"/>
                <w:lang w:eastAsia="en-AU"/>
              </w:rPr>
              <w:t>203</w:t>
            </w:r>
          </w:p>
        </w:tc>
        <w:tc>
          <w:tcPr>
            <w:tcW w:w="850" w:type="dxa"/>
            <w:tcBorders>
              <w:top w:val="nil"/>
              <w:left w:val="nil"/>
              <w:bottom w:val="nil"/>
              <w:right w:val="nil"/>
            </w:tcBorders>
            <w:shd w:val="solid" w:color="FFFFFF" w:fill="auto"/>
          </w:tcPr>
          <w:p w:rsidR="00A46DCA" w:rsidRPr="00515956"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b/>
                <w:bCs/>
                <w:color w:val="000000"/>
                <w:szCs w:val="19"/>
                <w:lang w:eastAsia="en-AU"/>
              </w:rPr>
              <w:t>216</w:t>
            </w:r>
          </w:p>
        </w:tc>
      </w:tr>
      <w:tr w:rsidR="00A46DCA" w:rsidRPr="00515956" w:rsidTr="00A26D04">
        <w:tc>
          <w:tcPr>
            <w:cnfStyle w:val="001000000000" w:firstRow="0" w:lastRow="0" w:firstColumn="1" w:lastColumn="0" w:oddVBand="0" w:evenVBand="0" w:oddHBand="0" w:evenHBand="0" w:firstRowFirstColumn="0" w:firstRowLastColumn="0" w:lastRowFirstColumn="0" w:lastRowLastColumn="0"/>
            <w:tcW w:w="6066" w:type="dxa"/>
            <w:tcBorders>
              <w:top w:val="nil"/>
              <w:left w:val="nil"/>
              <w:bottom w:val="nil"/>
              <w:right w:val="nil"/>
            </w:tcBorders>
            <w:shd w:val="solid" w:color="FFFFFF" w:fill="auto"/>
          </w:tcPr>
          <w:p w:rsidR="00A46DCA" w:rsidRPr="00515956" w:rsidRDefault="00A46DCA" w:rsidP="00A26D04">
            <w:pPr>
              <w:keepLines w:val="0"/>
              <w:autoSpaceDE w:val="0"/>
              <w:autoSpaceDN w:val="0"/>
              <w:adjustRightInd w:val="0"/>
              <w:rPr>
                <w:rFonts w:eastAsiaTheme="minorEastAsia" w:cs="Calibri"/>
                <w:b/>
                <w:bCs/>
                <w:color w:val="000000"/>
                <w:szCs w:val="19"/>
                <w:lang w:eastAsia="en-AU"/>
              </w:rPr>
            </w:pPr>
            <w:r w:rsidRPr="00515956">
              <w:rPr>
                <w:rFonts w:eastAsiaTheme="minorEastAsia" w:cs="Calibri"/>
                <w:b/>
                <w:bCs/>
                <w:color w:val="000000"/>
                <w:szCs w:val="19"/>
                <w:lang w:eastAsia="en-AU"/>
              </w:rPr>
              <w:t>Public transport</w:t>
            </w:r>
          </w:p>
        </w:tc>
        <w:tc>
          <w:tcPr>
            <w:tcW w:w="850" w:type="dxa"/>
            <w:tcBorders>
              <w:top w:val="nil"/>
              <w:left w:val="nil"/>
              <w:bottom w:val="nil"/>
              <w:right w:val="nil"/>
            </w:tcBorders>
            <w:shd w:val="solid" w:color="FFFFFF" w:fill="auto"/>
          </w:tcPr>
          <w:p w:rsidR="00A46DCA" w:rsidRPr="00515956"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b/>
                <w:bCs/>
                <w:color w:val="000000"/>
                <w:szCs w:val="19"/>
                <w:lang w:eastAsia="en-AU"/>
              </w:rPr>
              <w:t>154</w:t>
            </w:r>
          </w:p>
        </w:tc>
        <w:tc>
          <w:tcPr>
            <w:tcW w:w="850" w:type="dxa"/>
            <w:tcBorders>
              <w:top w:val="nil"/>
              <w:left w:val="nil"/>
              <w:bottom w:val="nil"/>
              <w:right w:val="nil"/>
            </w:tcBorders>
            <w:shd w:val="solid" w:color="FFFFFF" w:fill="auto"/>
          </w:tcPr>
          <w:p w:rsidR="00A46DCA" w:rsidRPr="00515956" w:rsidRDefault="00A46DCA" w:rsidP="00A26D04">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Calibri"/>
                <w:b/>
                <w:bCs/>
                <w:color w:val="000000"/>
                <w:szCs w:val="19"/>
                <w:lang w:eastAsia="en-AU"/>
              </w:rPr>
              <w:t>161</w:t>
            </w:r>
          </w:p>
        </w:tc>
      </w:tr>
      <w:tr w:rsidR="00A46DCA" w:rsidRPr="00515956" w:rsidTr="00A26D04">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66" w:type="dxa"/>
            <w:tcBorders>
              <w:top w:val="single" w:sz="6" w:space="0" w:color="auto"/>
              <w:bottom w:val="single" w:sz="12" w:space="0" w:color="auto"/>
            </w:tcBorders>
            <w:shd w:val="solid" w:color="FFFFFF" w:fill="auto"/>
          </w:tcPr>
          <w:p w:rsidR="00A46DCA" w:rsidRPr="00515956" w:rsidRDefault="00A46DCA" w:rsidP="00A26D04">
            <w:pPr>
              <w:keepLines w:val="0"/>
              <w:autoSpaceDE w:val="0"/>
              <w:autoSpaceDN w:val="0"/>
              <w:adjustRightInd w:val="0"/>
              <w:rPr>
                <w:rFonts w:eastAsiaTheme="minorEastAsia" w:cs="Calibri"/>
                <w:bCs/>
                <w:color w:val="000000"/>
                <w:szCs w:val="19"/>
                <w:lang w:eastAsia="en-AU"/>
              </w:rPr>
            </w:pPr>
            <w:r w:rsidRPr="00515956">
              <w:rPr>
                <w:rFonts w:eastAsiaTheme="minorEastAsia" w:cs="Calibri"/>
                <w:bCs/>
                <w:color w:val="000000"/>
                <w:szCs w:val="19"/>
                <w:lang w:eastAsia="en-AU"/>
              </w:rPr>
              <w:t>Total for items estimated</w:t>
            </w:r>
          </w:p>
        </w:tc>
        <w:tc>
          <w:tcPr>
            <w:tcW w:w="850" w:type="dxa"/>
            <w:tcBorders>
              <w:top w:val="single" w:sz="6" w:space="0" w:color="auto"/>
              <w:bottom w:val="single" w:sz="12" w:space="0" w:color="auto"/>
            </w:tcBorders>
            <w:shd w:val="solid" w:color="FFFFFF" w:fill="auto"/>
          </w:tcPr>
          <w:p w:rsidR="00A46DCA" w:rsidRPr="00515956" w:rsidRDefault="00A46DCA" w:rsidP="00A26D0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9"/>
                <w:lang w:eastAsia="en-AU"/>
              </w:rPr>
            </w:pPr>
            <w:r w:rsidRPr="00515956">
              <w:rPr>
                <w:rFonts w:eastAsiaTheme="minorEastAsia" w:cs="Calibri"/>
                <w:bCs/>
                <w:color w:val="000000"/>
                <w:szCs w:val="19"/>
                <w:lang w:eastAsia="en-AU"/>
              </w:rPr>
              <w:t>1 593</w:t>
            </w:r>
          </w:p>
        </w:tc>
        <w:tc>
          <w:tcPr>
            <w:tcW w:w="850" w:type="dxa"/>
            <w:tcBorders>
              <w:top w:val="single" w:sz="6" w:space="0" w:color="auto"/>
              <w:bottom w:val="single" w:sz="12" w:space="0" w:color="auto"/>
            </w:tcBorders>
            <w:shd w:val="solid" w:color="FFFFFF" w:fill="auto"/>
          </w:tcPr>
          <w:p w:rsidR="00A46DCA" w:rsidRPr="00515956" w:rsidRDefault="00A46DCA" w:rsidP="00A26D04">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9"/>
                <w:lang w:eastAsia="en-AU"/>
              </w:rPr>
            </w:pPr>
            <w:r w:rsidRPr="00515956">
              <w:rPr>
                <w:rFonts w:eastAsiaTheme="minorEastAsia" w:cs="Calibri"/>
                <w:bCs/>
                <w:color w:val="000000"/>
                <w:szCs w:val="19"/>
                <w:lang w:eastAsia="en-AU"/>
              </w:rPr>
              <w:t>1 636</w:t>
            </w:r>
          </w:p>
        </w:tc>
      </w:tr>
    </w:tbl>
    <w:p w:rsidR="00A46DCA" w:rsidRPr="00894294" w:rsidRDefault="00A46DCA" w:rsidP="00A26D04">
      <w:pPr>
        <w:keepLines w:val="0"/>
        <w:spacing w:before="0"/>
        <w:rPr>
          <w:rFonts w:asciiTheme="majorHAnsi" w:hAnsiTheme="majorHAnsi"/>
          <w:i/>
          <w:spacing w:val="-2"/>
          <w:sz w:val="14"/>
        </w:rPr>
      </w:pPr>
      <w:r w:rsidRPr="00894294">
        <w:rPr>
          <w:rFonts w:asciiTheme="majorHAnsi" w:hAnsiTheme="majorHAnsi"/>
          <w:i/>
          <w:spacing w:val="-2"/>
          <w:sz w:val="14"/>
        </w:rPr>
        <w:t>Source: Department of Treasury and Finance</w:t>
      </w:r>
    </w:p>
    <w:p w:rsidR="00A46DCA" w:rsidRPr="002D3947" w:rsidRDefault="00A46DCA" w:rsidP="00A26D04">
      <w:pPr>
        <w:pStyle w:val="Note"/>
      </w:pPr>
      <w:r w:rsidRPr="002D3947">
        <w:t>Notes:</w:t>
      </w:r>
    </w:p>
    <w:p w:rsidR="00A46DCA" w:rsidRPr="00B47C5E" w:rsidRDefault="00A46DCA" w:rsidP="00A26D04">
      <w:pPr>
        <w:pStyle w:val="Note"/>
      </w:pPr>
      <w:r w:rsidRPr="00B47C5E">
        <w:t>(a)</w:t>
      </w:r>
      <w:r w:rsidRPr="00B47C5E">
        <w:tab/>
        <w:t>All amounts have been rounded to the nearest $1 million unless otherwise stated. Figures may not add due to rounding.</w:t>
      </w:r>
    </w:p>
    <w:p w:rsidR="00A46DCA" w:rsidRDefault="00A46DCA" w:rsidP="00A26D04">
      <w:pPr>
        <w:pStyle w:val="Note"/>
      </w:pPr>
      <w:r w:rsidRPr="00B67D7A">
        <w:t>(b)</w:t>
      </w:r>
      <w:r w:rsidRPr="00B67D7A">
        <w:tab/>
        <w:t xml:space="preserve">The higher concessions on dental services for 2016-17 is due to the remainder of unspent 2015-16 </w:t>
      </w:r>
      <w:r w:rsidRPr="00BA6E91">
        <w:t>National Partnership Agreement</w:t>
      </w:r>
      <w:r w:rsidRPr="00B67D7A">
        <w:t xml:space="preserve"> on Adult Public Dental Services</w:t>
      </w:r>
      <w:r>
        <w:t xml:space="preserve"> funding that has been</w:t>
      </w:r>
      <w:r w:rsidRPr="00B67D7A">
        <w:t xml:space="preserve"> </w:t>
      </w:r>
      <w:r>
        <w:t xml:space="preserve">transferred </w:t>
      </w:r>
      <w:r w:rsidRPr="00B67D7A">
        <w:t>into 2016-17.</w:t>
      </w:r>
    </w:p>
    <w:p w:rsidR="00A46DCA" w:rsidRDefault="00A46DCA">
      <w:pPr>
        <w:keepLines w:val="0"/>
        <w:rPr>
          <w:rFonts w:asciiTheme="majorHAnsi" w:hAnsiTheme="majorHAnsi"/>
          <w:i/>
          <w:spacing w:val="-2"/>
          <w:sz w:val="14"/>
        </w:rPr>
      </w:pPr>
      <w:r>
        <w:br w:type="page"/>
      </w:r>
    </w:p>
    <w:p w:rsidR="00A46DCA" w:rsidRDefault="00A46DCA" w:rsidP="00A26D04">
      <w:pPr>
        <w:pStyle w:val="Note"/>
        <w:sectPr w:rsidR="00A46DCA" w:rsidSect="00A26D04">
          <w:headerReference w:type="even" r:id="rId88"/>
          <w:headerReference w:type="default" r:id="rId89"/>
          <w:footerReference w:type="even" r:id="rId90"/>
          <w:footerReference w:type="default" r:id="rId91"/>
          <w:headerReference w:type="first" r:id="rId92"/>
          <w:footerReference w:type="first" r:id="rId93"/>
          <w:type w:val="continuous"/>
          <w:pgSz w:w="9979" w:h="14175" w:code="9"/>
          <w:pgMar w:top="850" w:right="1134" w:bottom="850" w:left="1134" w:header="624" w:footer="567" w:gutter="0"/>
          <w:cols w:sep="1" w:space="567"/>
          <w:docGrid w:linePitch="360"/>
        </w:sectPr>
      </w:pPr>
    </w:p>
    <w:p w:rsidR="00A46DCA" w:rsidRDefault="00A46DCA" w:rsidP="00480C94">
      <w:pPr>
        <w:sectPr w:rsidR="00A46DCA" w:rsidSect="00A26D04">
          <w:headerReference w:type="even" r:id="rId94"/>
          <w:headerReference w:type="default" r:id="rId95"/>
          <w:footerReference w:type="even" r:id="rId96"/>
          <w:footerReference w:type="default" r:id="rId97"/>
          <w:headerReference w:type="first" r:id="rId98"/>
          <w:footerReference w:type="first" r:id="rId99"/>
          <w:type w:val="continuous"/>
          <w:pgSz w:w="9979" w:h="14175" w:code="9"/>
          <w:pgMar w:top="851" w:right="1134" w:bottom="851" w:left="1134" w:header="624" w:footer="567" w:gutter="0"/>
          <w:cols w:sep="1" w:space="567"/>
          <w:docGrid w:linePitch="360"/>
        </w:sectPr>
      </w:pPr>
    </w:p>
    <w:p w:rsidR="00A46DCA" w:rsidRPr="00442C0B" w:rsidRDefault="00A46DCA" w:rsidP="00A26D04">
      <w:pPr>
        <w:pStyle w:val="Chapterheading"/>
        <w:rPr>
          <w:rFonts w:eastAsia="Times New Roman"/>
        </w:rPr>
      </w:pPr>
      <w:bookmarkStart w:id="92" w:name="_Toc481160579"/>
      <w:bookmarkStart w:id="93" w:name="_Toc500435599"/>
      <w:r w:rsidRPr="00442C0B">
        <w:rPr>
          <w:rFonts w:eastAsia="Times New Roman"/>
        </w:rPr>
        <w:lastRenderedPageBreak/>
        <w:t>Appendix D – Sensitivity analysis</w:t>
      </w:r>
      <w:bookmarkEnd w:id="92"/>
      <w:bookmarkEnd w:id="93"/>
    </w:p>
    <w:p w:rsidR="00A46DCA" w:rsidRDefault="00A46DCA" w:rsidP="00A26D04">
      <w:pPr>
        <w:rPr>
          <w:rFonts w:ascii="Garamond" w:eastAsia="Garamond" w:hAnsi="Garamond" w:cs="Times New Roman"/>
        </w:rPr>
      </w:pPr>
      <w:bookmarkStart w:id="94" w:name="_Toc481160580"/>
      <w:r w:rsidRPr="00307F6A">
        <w:rPr>
          <w:rFonts w:ascii="Garamond" w:eastAsia="Garamond" w:hAnsi="Garamond" w:cs="Times New Roman"/>
        </w:rPr>
        <w:t xml:space="preserve">The </w:t>
      </w:r>
      <w:r w:rsidRPr="00307F6A">
        <w:rPr>
          <w:rFonts w:ascii="Garamond" w:eastAsia="Garamond" w:hAnsi="Garamond" w:cs="Times New Roman"/>
          <w:i/>
        </w:rPr>
        <w:t>2017</w:t>
      </w:r>
      <w:r w:rsidRPr="00307F6A">
        <w:rPr>
          <w:rFonts w:ascii="Garamond" w:eastAsia="Garamond" w:hAnsi="Garamond" w:cs="Times New Roman"/>
          <w:i/>
        </w:rPr>
        <w:noBreakHyphen/>
        <w:t>18 Budget</w:t>
      </w:r>
      <w:r>
        <w:rPr>
          <w:rFonts w:ascii="Garamond" w:eastAsia="Garamond" w:hAnsi="Garamond" w:cs="Times New Roman"/>
          <w:i/>
        </w:rPr>
        <w:t xml:space="preserve"> Update</w:t>
      </w:r>
      <w:r w:rsidRPr="00307F6A">
        <w:rPr>
          <w:rFonts w:ascii="Garamond" w:eastAsia="Garamond" w:hAnsi="Garamond" w:cs="Times New Roman"/>
        </w:rPr>
        <w:t xml:space="preserve"> i</w:t>
      </w:r>
      <w:r>
        <w:rPr>
          <w:rFonts w:ascii="Garamond" w:eastAsia="Garamond" w:hAnsi="Garamond" w:cs="Times New Roman"/>
        </w:rPr>
        <w:t>ncorporate</w:t>
      </w:r>
      <w:r w:rsidRPr="00307F6A">
        <w:rPr>
          <w:rFonts w:ascii="Garamond" w:eastAsia="Garamond" w:hAnsi="Garamond" w:cs="Times New Roman"/>
        </w:rPr>
        <w:t xml:space="preserve">s macroeconomic forecasts and assumptions </w:t>
      </w:r>
      <w:r>
        <w:rPr>
          <w:rFonts w:ascii="Garamond" w:eastAsia="Garamond" w:hAnsi="Garamond" w:cs="Times New Roman"/>
        </w:rPr>
        <w:t xml:space="preserve">that are </w:t>
      </w:r>
      <w:r w:rsidRPr="00C4081D">
        <w:rPr>
          <w:rFonts w:ascii="Garamond" w:eastAsia="Garamond" w:hAnsi="Garamond" w:cs="Times New Roman"/>
        </w:rPr>
        <w:t>based on the best information available at the time of publication</w:t>
      </w:r>
      <w:r>
        <w:rPr>
          <w:rFonts w:ascii="Garamond" w:eastAsia="Garamond" w:hAnsi="Garamond" w:cs="Times New Roman"/>
        </w:rPr>
        <w:t xml:space="preserve">. They are </w:t>
      </w:r>
      <w:r w:rsidRPr="00307F6A">
        <w:rPr>
          <w:rFonts w:ascii="Garamond" w:eastAsia="Garamond" w:hAnsi="Garamond" w:cs="Times New Roman"/>
        </w:rPr>
        <w:t xml:space="preserve">subject to </w:t>
      </w:r>
      <w:r>
        <w:rPr>
          <w:rFonts w:ascii="Garamond" w:eastAsia="Garamond" w:hAnsi="Garamond" w:cs="Times New Roman"/>
        </w:rPr>
        <w:t>unforeseen changes in economic circumstances, which may affect general government revenue and expenditure</w:t>
      </w:r>
      <w:r w:rsidRPr="00307F6A">
        <w:rPr>
          <w:rFonts w:ascii="Garamond" w:eastAsia="Garamond" w:hAnsi="Garamond" w:cs="Times New Roman"/>
        </w:rPr>
        <w:t>.</w:t>
      </w:r>
    </w:p>
    <w:p w:rsidR="00A46DCA" w:rsidRPr="00307F6A" w:rsidRDefault="00A46DCA" w:rsidP="00A26D04">
      <w:pPr>
        <w:rPr>
          <w:rFonts w:ascii="Garamond" w:eastAsia="Garamond" w:hAnsi="Garamond" w:cs="Times New Roman"/>
        </w:rPr>
      </w:pPr>
      <w:r w:rsidRPr="00307F6A">
        <w:rPr>
          <w:rFonts w:ascii="Garamond" w:eastAsia="Garamond" w:hAnsi="Garamond" w:cs="Times New Roman"/>
        </w:rPr>
        <w:t xml:space="preserve">This </w:t>
      </w:r>
      <w:r>
        <w:rPr>
          <w:rFonts w:ascii="Garamond" w:eastAsia="Garamond" w:hAnsi="Garamond" w:cs="Times New Roman"/>
        </w:rPr>
        <w:t xml:space="preserve">sensitivity analysis </w:t>
      </w:r>
      <w:r w:rsidRPr="00307F6A">
        <w:rPr>
          <w:rFonts w:ascii="Garamond" w:eastAsia="Garamond" w:hAnsi="Garamond" w:cs="Times New Roman"/>
        </w:rPr>
        <w:t xml:space="preserve">explores the impact of variations in these parameters on </w:t>
      </w:r>
      <w:r>
        <w:rPr>
          <w:rFonts w:ascii="Garamond" w:eastAsia="Garamond" w:hAnsi="Garamond" w:cs="Times New Roman"/>
        </w:rPr>
        <w:t xml:space="preserve">the </w:t>
      </w:r>
      <w:r w:rsidRPr="00307F6A">
        <w:rPr>
          <w:rFonts w:ascii="Garamond" w:eastAsia="Garamond" w:hAnsi="Garamond" w:cs="Times New Roman"/>
        </w:rPr>
        <w:t>key fiscal aggregates of the general government sector.</w:t>
      </w:r>
    </w:p>
    <w:p w:rsidR="00A46DCA" w:rsidRDefault="00A46DCA" w:rsidP="00A26D04">
      <w:pPr>
        <w:rPr>
          <w:rFonts w:ascii="Garamond" w:eastAsia="Garamond" w:hAnsi="Garamond" w:cs="Times New Roman"/>
        </w:rPr>
      </w:pPr>
      <w:r>
        <w:rPr>
          <w:rFonts w:ascii="Garamond" w:eastAsia="Garamond" w:hAnsi="Garamond" w:cs="Times New Roman"/>
        </w:rPr>
        <w:t>T</w:t>
      </w:r>
      <w:r w:rsidRPr="00307F6A">
        <w:rPr>
          <w:rFonts w:ascii="Garamond" w:eastAsia="Garamond" w:hAnsi="Garamond" w:cs="Times New Roman"/>
        </w:rPr>
        <w:t>wo types of analysis are presented.</w:t>
      </w:r>
    </w:p>
    <w:p w:rsidR="00A46DCA" w:rsidRDefault="00A46DCA" w:rsidP="00A26D04">
      <w:pPr>
        <w:rPr>
          <w:rFonts w:ascii="Garamond" w:eastAsia="Garamond" w:hAnsi="Garamond" w:cs="Times New Roman"/>
        </w:rPr>
      </w:pPr>
      <w:r w:rsidRPr="00307F6A">
        <w:rPr>
          <w:rFonts w:ascii="Garamond" w:eastAsia="Garamond" w:hAnsi="Garamond" w:cs="Times New Roman"/>
        </w:rPr>
        <w:t xml:space="preserve">First, the </w:t>
      </w:r>
      <w:r>
        <w:rPr>
          <w:rFonts w:ascii="Garamond" w:eastAsia="Garamond" w:hAnsi="Garamond" w:cs="Times New Roman"/>
        </w:rPr>
        <w:t xml:space="preserve">sensitivity analysis considers the </w:t>
      </w:r>
      <w:r w:rsidRPr="00307F6A">
        <w:rPr>
          <w:rFonts w:ascii="Garamond" w:eastAsia="Garamond" w:hAnsi="Garamond" w:cs="Times New Roman"/>
        </w:rPr>
        <w:t xml:space="preserve">fiscal impacts of independent variations in major </w:t>
      </w:r>
      <w:r>
        <w:rPr>
          <w:rFonts w:ascii="Garamond" w:eastAsia="Garamond" w:hAnsi="Garamond" w:cs="Times New Roman"/>
        </w:rPr>
        <w:t>macro</w:t>
      </w:r>
      <w:r w:rsidRPr="00307F6A">
        <w:rPr>
          <w:rFonts w:ascii="Garamond" w:eastAsia="Garamond" w:hAnsi="Garamond" w:cs="Times New Roman"/>
        </w:rPr>
        <w:t xml:space="preserve">economic parameters. This type of analysis </w:t>
      </w:r>
      <w:r>
        <w:rPr>
          <w:rFonts w:ascii="Garamond" w:eastAsia="Garamond" w:hAnsi="Garamond" w:cs="Times New Roman"/>
        </w:rPr>
        <w:t xml:space="preserve">is </w:t>
      </w:r>
      <w:r w:rsidRPr="00307F6A">
        <w:rPr>
          <w:rFonts w:ascii="Garamond" w:eastAsia="Garamond" w:hAnsi="Garamond" w:cs="Times New Roman"/>
        </w:rPr>
        <w:t xml:space="preserve">useful in </w:t>
      </w:r>
      <w:r>
        <w:rPr>
          <w:rFonts w:ascii="Garamond" w:eastAsia="Garamond" w:hAnsi="Garamond" w:cs="Times New Roman"/>
        </w:rPr>
        <w:t>assessing</w:t>
      </w:r>
      <w:r w:rsidRPr="00307F6A">
        <w:rPr>
          <w:rFonts w:ascii="Garamond" w:eastAsia="Garamond" w:hAnsi="Garamond" w:cs="Times New Roman"/>
        </w:rPr>
        <w:t>, for example,</w:t>
      </w:r>
      <w:r>
        <w:rPr>
          <w:rFonts w:ascii="Garamond" w:eastAsia="Garamond" w:hAnsi="Garamond" w:cs="Times New Roman"/>
        </w:rPr>
        <w:t xml:space="preserve"> </w:t>
      </w:r>
      <w:r w:rsidRPr="00307F6A">
        <w:rPr>
          <w:rFonts w:ascii="Garamond" w:eastAsia="Garamond" w:hAnsi="Garamond" w:cs="Times New Roman"/>
        </w:rPr>
        <w:t>the impact on the fiscal aggregates of a forecast error in an economic parameter.</w:t>
      </w:r>
    </w:p>
    <w:p w:rsidR="00A46DCA" w:rsidRPr="00307F6A" w:rsidRDefault="00A46DCA" w:rsidP="00A26D04">
      <w:pPr>
        <w:rPr>
          <w:rFonts w:ascii="Garamond" w:eastAsia="Garamond" w:hAnsi="Garamond" w:cs="Times New Roman"/>
        </w:rPr>
      </w:pPr>
      <w:r w:rsidRPr="00307F6A">
        <w:rPr>
          <w:rFonts w:ascii="Garamond" w:eastAsia="Garamond" w:hAnsi="Garamond" w:cs="Times New Roman"/>
        </w:rPr>
        <w:t xml:space="preserve">Second, the </w:t>
      </w:r>
      <w:r>
        <w:rPr>
          <w:rFonts w:ascii="Garamond" w:eastAsia="Garamond" w:hAnsi="Garamond" w:cs="Times New Roman"/>
        </w:rPr>
        <w:t xml:space="preserve">scenario </w:t>
      </w:r>
      <w:r w:rsidRPr="00307F6A">
        <w:rPr>
          <w:rFonts w:ascii="Garamond" w:eastAsia="Garamond" w:hAnsi="Garamond" w:cs="Times New Roman"/>
        </w:rPr>
        <w:t xml:space="preserve">analysis quantifies the </w:t>
      </w:r>
      <w:r>
        <w:rPr>
          <w:rFonts w:ascii="Garamond" w:eastAsia="Garamond" w:hAnsi="Garamond" w:cs="Times New Roman"/>
        </w:rPr>
        <w:t xml:space="preserve">fiscal </w:t>
      </w:r>
      <w:r w:rsidRPr="00307F6A">
        <w:rPr>
          <w:rFonts w:ascii="Garamond" w:eastAsia="Garamond" w:hAnsi="Garamond" w:cs="Times New Roman"/>
        </w:rPr>
        <w:t xml:space="preserve">impacts </w:t>
      </w:r>
      <w:r>
        <w:rPr>
          <w:rFonts w:ascii="Garamond" w:eastAsia="Garamond" w:hAnsi="Garamond" w:cs="Times New Roman"/>
        </w:rPr>
        <w:t xml:space="preserve">of simultaneous variations in a number of </w:t>
      </w:r>
      <w:r w:rsidRPr="00307F6A">
        <w:rPr>
          <w:rFonts w:ascii="Garamond" w:eastAsia="Garamond" w:hAnsi="Garamond" w:cs="Times New Roman"/>
        </w:rPr>
        <w:t xml:space="preserve">macroeconomic </w:t>
      </w:r>
      <w:r>
        <w:rPr>
          <w:rFonts w:ascii="Garamond" w:eastAsia="Garamond" w:hAnsi="Garamond" w:cs="Times New Roman"/>
        </w:rPr>
        <w:t>parameters</w:t>
      </w:r>
      <w:r w:rsidRPr="00307F6A">
        <w:rPr>
          <w:rFonts w:ascii="Garamond" w:eastAsia="Garamond" w:hAnsi="Garamond" w:cs="Times New Roman"/>
        </w:rPr>
        <w:t xml:space="preserve">. </w:t>
      </w:r>
      <w:r>
        <w:rPr>
          <w:rFonts w:ascii="Garamond" w:eastAsia="Garamond" w:hAnsi="Garamond" w:cs="Times New Roman"/>
        </w:rPr>
        <w:t>Scenario</w:t>
      </w:r>
      <w:r w:rsidRPr="00307F6A">
        <w:rPr>
          <w:rFonts w:ascii="Garamond" w:eastAsia="Garamond" w:hAnsi="Garamond" w:cs="Times New Roman"/>
        </w:rPr>
        <w:t xml:space="preserve"> analysis takes account of </w:t>
      </w:r>
      <w:r>
        <w:rPr>
          <w:rFonts w:ascii="Garamond" w:eastAsia="Garamond" w:hAnsi="Garamond" w:cs="Times New Roman"/>
        </w:rPr>
        <w:t>links</w:t>
      </w:r>
      <w:r w:rsidRPr="00307F6A">
        <w:rPr>
          <w:rFonts w:ascii="Garamond" w:eastAsia="Garamond" w:hAnsi="Garamond" w:cs="Times New Roman"/>
        </w:rPr>
        <w:t xml:space="preserve"> </w:t>
      </w:r>
      <w:r>
        <w:rPr>
          <w:rFonts w:ascii="Garamond" w:eastAsia="Garamond" w:hAnsi="Garamond" w:cs="Times New Roman"/>
        </w:rPr>
        <w:t xml:space="preserve">between key international, </w:t>
      </w:r>
      <w:r w:rsidRPr="00307F6A">
        <w:rPr>
          <w:rFonts w:ascii="Garamond" w:eastAsia="Garamond" w:hAnsi="Garamond" w:cs="Times New Roman"/>
        </w:rPr>
        <w:t xml:space="preserve">Australian </w:t>
      </w:r>
      <w:r>
        <w:rPr>
          <w:rFonts w:ascii="Garamond" w:eastAsia="Garamond" w:hAnsi="Garamond" w:cs="Times New Roman"/>
        </w:rPr>
        <w:t xml:space="preserve">and Victorian </w:t>
      </w:r>
      <w:r w:rsidRPr="00307F6A">
        <w:rPr>
          <w:rFonts w:ascii="Garamond" w:eastAsia="Garamond" w:hAnsi="Garamond" w:cs="Times New Roman"/>
        </w:rPr>
        <w:t xml:space="preserve">economic variables. This provides a useful indication of the fiscal impact of </w:t>
      </w:r>
      <w:r>
        <w:rPr>
          <w:rFonts w:ascii="Garamond" w:eastAsia="Garamond" w:hAnsi="Garamond" w:cs="Times New Roman"/>
        </w:rPr>
        <w:t xml:space="preserve">material </w:t>
      </w:r>
      <w:r w:rsidRPr="00307F6A">
        <w:rPr>
          <w:rFonts w:ascii="Garamond" w:eastAsia="Garamond" w:hAnsi="Garamond" w:cs="Times New Roman"/>
        </w:rPr>
        <w:t xml:space="preserve">variations </w:t>
      </w:r>
      <w:r>
        <w:rPr>
          <w:rFonts w:ascii="Garamond" w:eastAsia="Garamond" w:hAnsi="Garamond" w:cs="Times New Roman"/>
        </w:rPr>
        <w:t>from the macroeconomic</w:t>
      </w:r>
      <w:r w:rsidRPr="00307F6A">
        <w:rPr>
          <w:rFonts w:ascii="Garamond" w:eastAsia="Garamond" w:hAnsi="Garamond" w:cs="Times New Roman"/>
        </w:rPr>
        <w:t xml:space="preserve"> </w:t>
      </w:r>
      <w:r>
        <w:rPr>
          <w:rFonts w:ascii="Garamond" w:eastAsia="Garamond" w:hAnsi="Garamond" w:cs="Times New Roman"/>
        </w:rPr>
        <w:t>outlook</w:t>
      </w:r>
      <w:r w:rsidRPr="00307F6A">
        <w:rPr>
          <w:rFonts w:ascii="Garamond" w:eastAsia="Garamond" w:hAnsi="Garamond" w:cs="Times New Roman"/>
        </w:rPr>
        <w:t>.</w:t>
      </w:r>
    </w:p>
    <w:p w:rsidR="00A46DCA" w:rsidRPr="004A7F88" w:rsidRDefault="00A46DCA" w:rsidP="00A26D04">
      <w:r>
        <w:t>C</w:t>
      </w:r>
      <w:r w:rsidRPr="00307F6A">
        <w:t>are should be exercised</w:t>
      </w:r>
      <w:r>
        <w:t xml:space="preserve">, however, </w:t>
      </w:r>
      <w:r w:rsidRPr="00307F6A">
        <w:t xml:space="preserve">in interpreting these results. The relationships between economic and fiscal aggregates are complex, and typically depend on the specific characteristics of </w:t>
      </w:r>
      <w:r>
        <w:t>the economic shock</w:t>
      </w:r>
      <w:r w:rsidRPr="00307F6A">
        <w:t xml:space="preserve">. The results presented are intended to be used as a guide and are relevant only once the conditions outlined in the assumptions for each </w:t>
      </w:r>
      <w:r>
        <w:t>specific case are met.</w:t>
      </w:r>
    </w:p>
    <w:p w:rsidR="00A46DCA" w:rsidRPr="00442C0B" w:rsidRDefault="00A46DCA" w:rsidP="00A26D04">
      <w:pPr>
        <w:pStyle w:val="Heading10"/>
        <w:rPr>
          <w:rFonts w:eastAsia="Times New Roman"/>
        </w:rPr>
      </w:pPr>
      <w:bookmarkStart w:id="95" w:name="_Toc500435600"/>
      <w:r w:rsidRPr="00442C0B">
        <w:rPr>
          <w:rFonts w:eastAsia="Times New Roman"/>
        </w:rPr>
        <w:t>Sensitivity to independent variations in major economic parameters</w:t>
      </w:r>
      <w:bookmarkEnd w:id="94"/>
      <w:bookmarkEnd w:id="95"/>
    </w:p>
    <w:p w:rsidR="00A46DCA" w:rsidRDefault="00A46DCA" w:rsidP="00A26D04">
      <w:r w:rsidRPr="00307F6A">
        <w:t xml:space="preserve">Table </w:t>
      </w:r>
      <w:r>
        <w:t>D</w:t>
      </w:r>
      <w:r w:rsidRPr="00307F6A">
        <w:t xml:space="preserve">.1 presents the sensitivity of financial aggregates where the levels of key economic parameters are 1 per cent above the forecast </w:t>
      </w:r>
      <w:r>
        <w:rPr>
          <w:rFonts w:cs="Garamond"/>
        </w:rPr>
        <w:t>for each year of the budget and forward estimates period</w:t>
      </w:r>
      <w:r w:rsidRPr="00307F6A">
        <w:t>, holding all else constant. The impacts shown are broadly symmetric. That is, the estimated fiscal impact</w:t>
      </w:r>
      <w:r>
        <w:t>s</w:t>
      </w:r>
      <w:r w:rsidRPr="00307F6A">
        <w:t xml:space="preserve"> would apply equally in the opposite direction </w:t>
      </w:r>
      <w:r>
        <w:t xml:space="preserve">where there is </w:t>
      </w:r>
      <w:r w:rsidRPr="00307F6A">
        <w:t>a 1 per cent decrease.</w:t>
      </w:r>
    </w:p>
    <w:p w:rsidR="00A46DCA" w:rsidRPr="00442C0B" w:rsidRDefault="00A46DCA" w:rsidP="00A26D04">
      <w:pPr>
        <w:rPr>
          <w:rFonts w:ascii="Calibri" w:eastAsia="Garamond" w:hAnsi="Calibri" w:cs="Times New Roman"/>
          <w:b/>
          <w:sz w:val="20"/>
          <w:szCs w:val="20"/>
        </w:rPr>
      </w:pPr>
      <w:r w:rsidRPr="00442C0B">
        <w:rPr>
          <w:rFonts w:ascii="Garamond" w:eastAsia="Garamond" w:hAnsi="Garamond" w:cs="Times New Roman"/>
        </w:rPr>
        <w:br w:type="page"/>
      </w:r>
    </w:p>
    <w:p w:rsidR="00A46DCA" w:rsidRPr="00442C0B" w:rsidRDefault="00A46DCA" w:rsidP="00A26D04">
      <w:pPr>
        <w:keepNext/>
        <w:tabs>
          <w:tab w:val="left" w:pos="1134"/>
          <w:tab w:val="right" w:pos="7710"/>
        </w:tabs>
        <w:spacing w:before="240" w:after="60"/>
        <w:ind w:left="1134" w:hanging="1134"/>
        <w:rPr>
          <w:rFonts w:ascii="Calibri" w:eastAsia="Garamond" w:hAnsi="Calibri" w:cs="Times New Roman"/>
          <w:b/>
          <w:sz w:val="20"/>
          <w:szCs w:val="20"/>
        </w:rPr>
      </w:pPr>
      <w:r w:rsidRPr="00442C0B">
        <w:rPr>
          <w:rFonts w:ascii="Calibri" w:eastAsia="Garamond" w:hAnsi="Calibri" w:cs="Times New Roman"/>
          <w:b/>
          <w:sz w:val="20"/>
          <w:szCs w:val="20"/>
        </w:rPr>
        <w:lastRenderedPageBreak/>
        <w:t>Table D.1:</w:t>
      </w:r>
      <w:r w:rsidRPr="00442C0B">
        <w:rPr>
          <w:rFonts w:ascii="Calibri" w:eastAsia="Garamond" w:hAnsi="Calibri" w:cs="Times New Roman"/>
          <w:b/>
          <w:sz w:val="20"/>
          <w:szCs w:val="20"/>
        </w:rPr>
        <w:tab/>
        <w:t xml:space="preserve">Sensitivity of key fiscal aggregates to selected indicators being </w:t>
      </w:r>
      <w:r w:rsidRPr="00442C0B">
        <w:rPr>
          <w:rFonts w:ascii="Calibri" w:eastAsia="Garamond" w:hAnsi="Calibri" w:cs="Times New Roman"/>
          <w:b/>
          <w:sz w:val="20"/>
          <w:szCs w:val="20"/>
        </w:rPr>
        <w:br/>
        <w:t>1 per cent higher than expected from 2017</w:t>
      </w:r>
      <w:r w:rsidRPr="00442C0B">
        <w:rPr>
          <w:rFonts w:ascii="Calibri" w:eastAsia="Garamond" w:hAnsi="Calibri" w:cs="Times New Roman"/>
          <w:b/>
          <w:sz w:val="20"/>
          <w:szCs w:val="20"/>
        </w:rPr>
        <w:noBreakHyphen/>
        <w:t xml:space="preserve">18 </w:t>
      </w:r>
      <w:r w:rsidRPr="00442C0B">
        <w:rPr>
          <w:rFonts w:ascii="Calibri" w:eastAsia="Garamond" w:hAnsi="Calibri" w:cs="Times New Roman"/>
          <w:b/>
          <w:sz w:val="20"/>
          <w:szCs w:val="20"/>
          <w:vertAlign w:val="superscript"/>
        </w:rPr>
        <w:t>(a)(b)(c)(d)</w:t>
      </w:r>
      <w:r w:rsidRPr="00442C0B">
        <w:rPr>
          <w:rFonts w:ascii="Calibri" w:eastAsia="Garamond" w:hAnsi="Calibri" w:cs="Times New Roman"/>
          <w:b/>
          <w:sz w:val="20"/>
          <w:szCs w:val="20"/>
          <w:vertAlign w:val="superscript"/>
        </w:rPr>
        <w:tab/>
      </w:r>
      <w:r w:rsidRPr="00442C0B">
        <w:rPr>
          <w:rFonts w:ascii="Calibri" w:eastAsia="Garamond" w:hAnsi="Calibri" w:cs="Times New Roman"/>
          <w:b/>
          <w:sz w:val="20"/>
          <w:szCs w:val="20"/>
        </w:rPr>
        <w:t>($ million)</w:t>
      </w:r>
      <w:bookmarkStart w:id="96" w:name="RANGE!A3:E53"/>
    </w:p>
    <w:bookmarkEnd w:id="96"/>
    <w:tbl>
      <w:tblPr>
        <w:tblStyle w:val="DTFTable"/>
        <w:tblW w:w="7767" w:type="dxa"/>
        <w:tblInd w:w="45" w:type="dxa"/>
        <w:tblLayout w:type="fixed"/>
        <w:tblCellMar>
          <w:left w:w="45" w:type="dxa"/>
          <w:right w:w="45" w:type="dxa"/>
        </w:tblCellMar>
        <w:tblLook w:val="06E0" w:firstRow="1" w:lastRow="1" w:firstColumn="1" w:lastColumn="0" w:noHBand="1" w:noVBand="1"/>
      </w:tblPr>
      <w:tblGrid>
        <w:gridCol w:w="4367"/>
        <w:gridCol w:w="850"/>
        <w:gridCol w:w="850"/>
        <w:gridCol w:w="850"/>
        <w:gridCol w:w="850"/>
      </w:tblGrid>
      <w:tr w:rsidR="00A46DCA" w:rsidRPr="009372C1" w:rsidTr="004906A4">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4367" w:type="dxa"/>
            <w:tcBorders>
              <w:top w:val="single" w:sz="4" w:space="0" w:color="auto"/>
              <w:left w:val="nil"/>
              <w:bottom w:val="single" w:sz="4" w:space="0" w:color="auto"/>
              <w:right w:val="nil"/>
            </w:tcBorders>
            <w:shd w:val="clear" w:color="000000" w:fill="000000"/>
            <w:noWrap/>
            <w:hideMark/>
          </w:tcPr>
          <w:p w:rsidR="00A46DCA" w:rsidRPr="009372C1" w:rsidRDefault="00A46DCA" w:rsidP="00A26D04">
            <w:pPr>
              <w:keepLines w:val="0"/>
              <w:ind w:left="0" w:firstLine="0"/>
              <w:rPr>
                <w:rFonts w:eastAsia="Times New Roman" w:cs="Times New Roman"/>
                <w:color w:val="FFFFFF"/>
                <w:szCs w:val="17"/>
                <w:lang w:eastAsia="en-AU"/>
              </w:rPr>
            </w:pPr>
          </w:p>
        </w:tc>
        <w:tc>
          <w:tcPr>
            <w:tcW w:w="850" w:type="dxa"/>
            <w:tcBorders>
              <w:top w:val="single" w:sz="4" w:space="0" w:color="auto"/>
              <w:left w:val="nil"/>
              <w:bottom w:val="single" w:sz="4" w:space="0" w:color="auto"/>
              <w:right w:val="nil"/>
            </w:tcBorders>
            <w:shd w:val="clear" w:color="000000" w:fill="000000"/>
            <w:hideMark/>
          </w:tcPr>
          <w:p w:rsidR="00A46DCA" w:rsidRPr="009372C1" w:rsidRDefault="00A46DCA" w:rsidP="00A26D04">
            <w:pPr>
              <w:keepLines w:val="0"/>
              <w:cnfStyle w:val="100000000000" w:firstRow="1" w:lastRow="0" w:firstColumn="0" w:lastColumn="0" w:oddVBand="0" w:evenVBand="0" w:oddHBand="0" w:evenHBand="0" w:firstRowFirstColumn="0" w:firstRowLastColumn="0" w:lastRowFirstColumn="0" w:lastRowLastColumn="0"/>
              <w:rPr>
                <w:rFonts w:eastAsia="Times New Roman" w:cs="Times New Roman"/>
                <w:i w:val="0"/>
                <w:iCs/>
                <w:color w:val="FFFFFF"/>
                <w:szCs w:val="17"/>
                <w:lang w:eastAsia="en-AU"/>
              </w:rPr>
            </w:pPr>
            <w:r w:rsidRPr="009372C1">
              <w:rPr>
                <w:rFonts w:eastAsia="Times New Roman" w:cs="Times New Roman"/>
                <w:iCs/>
                <w:color w:val="FFFFFF"/>
                <w:szCs w:val="17"/>
                <w:lang w:eastAsia="en-AU"/>
              </w:rPr>
              <w:t>2017-18 estimate</w:t>
            </w:r>
          </w:p>
        </w:tc>
        <w:tc>
          <w:tcPr>
            <w:tcW w:w="850" w:type="dxa"/>
            <w:tcBorders>
              <w:top w:val="single" w:sz="4" w:space="0" w:color="auto"/>
              <w:left w:val="nil"/>
              <w:bottom w:val="single" w:sz="4" w:space="0" w:color="auto"/>
              <w:right w:val="nil"/>
            </w:tcBorders>
            <w:shd w:val="clear" w:color="000000" w:fill="000000"/>
            <w:hideMark/>
          </w:tcPr>
          <w:p w:rsidR="00A46DCA" w:rsidRPr="009372C1" w:rsidRDefault="00A46DCA" w:rsidP="00A26D04">
            <w:pPr>
              <w:keepLines w:val="0"/>
              <w:cnfStyle w:val="100000000000" w:firstRow="1" w:lastRow="0" w:firstColumn="0" w:lastColumn="0" w:oddVBand="0" w:evenVBand="0" w:oddHBand="0" w:evenHBand="0" w:firstRowFirstColumn="0" w:firstRowLastColumn="0" w:lastRowFirstColumn="0" w:lastRowLastColumn="0"/>
              <w:rPr>
                <w:rFonts w:eastAsia="Times New Roman" w:cs="Times New Roman"/>
                <w:i w:val="0"/>
                <w:iCs/>
                <w:color w:val="FFFFFF"/>
                <w:szCs w:val="17"/>
                <w:lang w:eastAsia="en-AU"/>
              </w:rPr>
            </w:pPr>
            <w:r w:rsidRPr="009372C1">
              <w:rPr>
                <w:rFonts w:eastAsia="Times New Roman" w:cs="Times New Roman"/>
                <w:iCs/>
                <w:color w:val="FFFFFF"/>
                <w:szCs w:val="17"/>
                <w:lang w:eastAsia="en-AU"/>
              </w:rPr>
              <w:t>2018-19 estimate</w:t>
            </w:r>
          </w:p>
        </w:tc>
        <w:tc>
          <w:tcPr>
            <w:tcW w:w="850" w:type="dxa"/>
            <w:tcBorders>
              <w:top w:val="single" w:sz="4" w:space="0" w:color="auto"/>
              <w:left w:val="nil"/>
              <w:bottom w:val="single" w:sz="4" w:space="0" w:color="auto"/>
              <w:right w:val="nil"/>
            </w:tcBorders>
            <w:shd w:val="clear" w:color="000000" w:fill="000000"/>
            <w:hideMark/>
          </w:tcPr>
          <w:p w:rsidR="00A46DCA" w:rsidRPr="009372C1" w:rsidRDefault="00A46DCA" w:rsidP="00A26D04">
            <w:pPr>
              <w:keepLines w:val="0"/>
              <w:cnfStyle w:val="100000000000" w:firstRow="1" w:lastRow="0" w:firstColumn="0" w:lastColumn="0" w:oddVBand="0" w:evenVBand="0" w:oddHBand="0" w:evenHBand="0" w:firstRowFirstColumn="0" w:firstRowLastColumn="0" w:lastRowFirstColumn="0" w:lastRowLastColumn="0"/>
              <w:rPr>
                <w:rFonts w:eastAsia="Times New Roman" w:cs="Times New Roman"/>
                <w:i w:val="0"/>
                <w:iCs/>
                <w:color w:val="FFFFFF"/>
                <w:szCs w:val="17"/>
                <w:lang w:eastAsia="en-AU"/>
              </w:rPr>
            </w:pPr>
            <w:r w:rsidRPr="009372C1">
              <w:rPr>
                <w:rFonts w:eastAsia="Times New Roman" w:cs="Times New Roman"/>
                <w:iCs/>
                <w:color w:val="FFFFFF"/>
                <w:szCs w:val="17"/>
                <w:lang w:eastAsia="en-AU"/>
              </w:rPr>
              <w:t>2019-20 estimate</w:t>
            </w:r>
          </w:p>
        </w:tc>
        <w:tc>
          <w:tcPr>
            <w:tcW w:w="850" w:type="dxa"/>
            <w:tcBorders>
              <w:top w:val="single" w:sz="4" w:space="0" w:color="auto"/>
              <w:left w:val="nil"/>
              <w:bottom w:val="single" w:sz="4" w:space="0" w:color="auto"/>
              <w:right w:val="nil"/>
            </w:tcBorders>
            <w:shd w:val="clear" w:color="000000" w:fill="000000"/>
            <w:hideMark/>
          </w:tcPr>
          <w:p w:rsidR="00A46DCA" w:rsidRPr="009372C1" w:rsidRDefault="00A46DCA" w:rsidP="00A26D04">
            <w:pPr>
              <w:keepLines w:val="0"/>
              <w:cnfStyle w:val="100000000000" w:firstRow="1" w:lastRow="0" w:firstColumn="0" w:lastColumn="0" w:oddVBand="0" w:evenVBand="0" w:oddHBand="0" w:evenHBand="0" w:firstRowFirstColumn="0" w:firstRowLastColumn="0" w:lastRowFirstColumn="0" w:lastRowLastColumn="0"/>
              <w:rPr>
                <w:rFonts w:eastAsia="Times New Roman" w:cs="Times New Roman"/>
                <w:i w:val="0"/>
                <w:iCs/>
                <w:color w:val="FFFFFF"/>
                <w:szCs w:val="17"/>
                <w:lang w:eastAsia="en-AU"/>
              </w:rPr>
            </w:pPr>
            <w:r w:rsidRPr="009372C1">
              <w:rPr>
                <w:rFonts w:eastAsia="Times New Roman" w:cs="Times New Roman"/>
                <w:iCs/>
                <w:color w:val="FFFFFF"/>
                <w:szCs w:val="17"/>
                <w:lang w:eastAsia="en-AU"/>
              </w:rPr>
              <w:t>2020-21 estimate</w:t>
            </w:r>
          </w:p>
        </w:tc>
      </w:tr>
      <w:tr w:rsidR="00A46DCA" w:rsidRPr="009372C1" w:rsidTr="004906A4">
        <w:tc>
          <w:tcPr>
            <w:cnfStyle w:val="001000000000" w:firstRow="0" w:lastRow="0" w:firstColumn="1" w:lastColumn="0" w:oddVBand="0" w:evenVBand="0" w:oddHBand="0" w:evenHBand="0" w:firstRowFirstColumn="0" w:firstRowLastColumn="0" w:lastRowFirstColumn="0" w:lastRowLastColumn="0"/>
            <w:tcW w:w="4367" w:type="dxa"/>
            <w:tcBorders>
              <w:top w:val="nil"/>
              <w:left w:val="nil"/>
              <w:bottom w:val="nil"/>
              <w:right w:val="nil"/>
            </w:tcBorders>
            <w:shd w:val="clear" w:color="auto" w:fill="auto"/>
            <w:noWrap/>
            <w:vAlign w:val="bottom"/>
            <w:hideMark/>
          </w:tcPr>
          <w:p w:rsidR="00A46DCA" w:rsidRPr="009372C1" w:rsidRDefault="00A46DCA" w:rsidP="00A26D04">
            <w:pPr>
              <w:keepLines w:val="0"/>
              <w:rPr>
                <w:rFonts w:eastAsia="Calibri" w:cs="Times New Roman"/>
                <w:b/>
                <w:bCs/>
                <w:szCs w:val="17"/>
              </w:rPr>
            </w:pPr>
            <w:r w:rsidRPr="009372C1">
              <w:rPr>
                <w:rFonts w:eastAsia="Calibri" w:cs="Times New Roman"/>
                <w:b/>
                <w:bCs/>
                <w:szCs w:val="17"/>
              </w:rPr>
              <w:t>Real GSP</w:t>
            </w:r>
          </w:p>
        </w:tc>
        <w:tc>
          <w:tcPr>
            <w:tcW w:w="850" w:type="dxa"/>
            <w:tcBorders>
              <w:top w:val="nil"/>
              <w:left w:val="nil"/>
              <w:bottom w:val="nil"/>
              <w:right w:val="nil"/>
            </w:tcBorders>
            <w:shd w:val="clear" w:color="auto" w:fill="auto"/>
            <w:noWrap/>
            <w:vAlign w:val="bottom"/>
            <w:hideMark/>
          </w:tcPr>
          <w:p w:rsidR="00A46DCA" w:rsidRPr="009372C1" w:rsidRDefault="00A46DCA" w:rsidP="00A26D04">
            <w:pPr>
              <w:keepLines w:val="0"/>
              <w:cnfStyle w:val="000000000000" w:firstRow="0" w:lastRow="0" w:firstColumn="0" w:lastColumn="0" w:oddVBand="0" w:evenVBand="0" w:oddHBand="0" w:evenHBand="0" w:firstRowFirstColumn="0" w:firstRowLastColumn="0" w:lastRowFirstColumn="0" w:lastRowLastColumn="0"/>
              <w:rPr>
                <w:rFonts w:eastAsia="Calibri" w:cs="Times New Roman"/>
                <w:szCs w:val="17"/>
              </w:rPr>
            </w:pPr>
          </w:p>
        </w:tc>
        <w:tc>
          <w:tcPr>
            <w:tcW w:w="850" w:type="dxa"/>
            <w:tcBorders>
              <w:top w:val="nil"/>
              <w:left w:val="nil"/>
              <w:bottom w:val="nil"/>
              <w:right w:val="nil"/>
            </w:tcBorders>
            <w:shd w:val="clear" w:color="auto" w:fill="auto"/>
            <w:noWrap/>
            <w:vAlign w:val="bottom"/>
            <w:hideMark/>
          </w:tcPr>
          <w:p w:rsidR="00A46DCA" w:rsidRPr="009372C1" w:rsidRDefault="00A46DCA" w:rsidP="00A26D04">
            <w:pPr>
              <w:keepLines w:val="0"/>
              <w:cnfStyle w:val="000000000000" w:firstRow="0" w:lastRow="0" w:firstColumn="0" w:lastColumn="0" w:oddVBand="0" w:evenVBand="0" w:oddHBand="0" w:evenHBand="0" w:firstRowFirstColumn="0" w:firstRowLastColumn="0" w:lastRowFirstColumn="0" w:lastRowLastColumn="0"/>
              <w:rPr>
                <w:rFonts w:eastAsia="Calibri" w:cs="Times New Roman"/>
                <w:szCs w:val="17"/>
              </w:rPr>
            </w:pPr>
          </w:p>
        </w:tc>
        <w:tc>
          <w:tcPr>
            <w:tcW w:w="850" w:type="dxa"/>
            <w:tcBorders>
              <w:top w:val="nil"/>
              <w:left w:val="nil"/>
              <w:bottom w:val="nil"/>
              <w:right w:val="nil"/>
            </w:tcBorders>
            <w:shd w:val="clear" w:color="auto" w:fill="auto"/>
            <w:noWrap/>
            <w:vAlign w:val="bottom"/>
            <w:hideMark/>
          </w:tcPr>
          <w:p w:rsidR="00A46DCA" w:rsidRPr="009372C1" w:rsidRDefault="00A46DCA" w:rsidP="00A26D04">
            <w:pPr>
              <w:keepLines w:val="0"/>
              <w:cnfStyle w:val="000000000000" w:firstRow="0" w:lastRow="0" w:firstColumn="0" w:lastColumn="0" w:oddVBand="0" w:evenVBand="0" w:oddHBand="0" w:evenHBand="0" w:firstRowFirstColumn="0" w:firstRowLastColumn="0" w:lastRowFirstColumn="0" w:lastRowLastColumn="0"/>
              <w:rPr>
                <w:rFonts w:eastAsia="Calibri" w:cs="Times New Roman"/>
                <w:szCs w:val="17"/>
              </w:rPr>
            </w:pPr>
          </w:p>
        </w:tc>
        <w:tc>
          <w:tcPr>
            <w:tcW w:w="850" w:type="dxa"/>
            <w:tcBorders>
              <w:top w:val="nil"/>
              <w:left w:val="nil"/>
              <w:bottom w:val="nil"/>
              <w:right w:val="nil"/>
            </w:tcBorders>
            <w:shd w:val="clear" w:color="auto" w:fill="auto"/>
            <w:noWrap/>
            <w:vAlign w:val="bottom"/>
            <w:hideMark/>
          </w:tcPr>
          <w:p w:rsidR="00A46DCA" w:rsidRPr="009372C1" w:rsidRDefault="00A46DCA" w:rsidP="00A26D04">
            <w:pPr>
              <w:keepLines w:val="0"/>
              <w:cnfStyle w:val="000000000000" w:firstRow="0" w:lastRow="0" w:firstColumn="0" w:lastColumn="0" w:oddVBand="0" w:evenVBand="0" w:oddHBand="0" w:evenHBand="0" w:firstRowFirstColumn="0" w:firstRowLastColumn="0" w:lastRowFirstColumn="0" w:lastRowLastColumn="0"/>
              <w:rPr>
                <w:rFonts w:eastAsia="Calibri" w:cs="Times New Roman"/>
                <w:szCs w:val="17"/>
              </w:rPr>
            </w:pPr>
          </w:p>
        </w:tc>
      </w:tr>
      <w:tr w:rsidR="00A46DCA" w:rsidRPr="009372C1" w:rsidTr="004906A4">
        <w:tc>
          <w:tcPr>
            <w:cnfStyle w:val="001000000000" w:firstRow="0" w:lastRow="0" w:firstColumn="1" w:lastColumn="0" w:oddVBand="0" w:evenVBand="0" w:oddHBand="0" w:evenHBand="0" w:firstRowFirstColumn="0" w:firstRowLastColumn="0" w:lastRowFirstColumn="0" w:lastRowLastColumn="0"/>
            <w:tcW w:w="4367" w:type="dxa"/>
            <w:tcBorders>
              <w:top w:val="nil"/>
              <w:left w:val="nil"/>
              <w:bottom w:val="nil"/>
              <w:right w:val="nil"/>
            </w:tcBorders>
            <w:shd w:val="clear" w:color="auto" w:fill="auto"/>
            <w:noWrap/>
            <w:vAlign w:val="bottom"/>
            <w:hideMark/>
          </w:tcPr>
          <w:p w:rsidR="00A46DCA" w:rsidRPr="009372C1" w:rsidRDefault="00A46DCA" w:rsidP="00A26D04">
            <w:pPr>
              <w:keepLines w:val="0"/>
              <w:rPr>
                <w:rFonts w:eastAsia="Calibri" w:cs="Times New Roman"/>
                <w:szCs w:val="17"/>
              </w:rPr>
            </w:pPr>
            <w:r w:rsidRPr="009372C1">
              <w:rPr>
                <w:rFonts w:eastAsia="Calibri" w:cs="Times New Roman"/>
                <w:szCs w:val="17"/>
              </w:rPr>
              <w:t>Income from transactions</w:t>
            </w:r>
          </w:p>
        </w:tc>
        <w:tc>
          <w:tcPr>
            <w:tcW w:w="850" w:type="dxa"/>
            <w:tcBorders>
              <w:top w:val="nil"/>
              <w:left w:val="nil"/>
              <w:bottom w:val="nil"/>
              <w:right w:val="nil"/>
            </w:tcBorders>
            <w:shd w:val="clear" w:color="000000" w:fill="FFFFFF"/>
            <w:noWrap/>
            <w:vAlign w:val="bottom"/>
            <w:hideMark/>
          </w:tcPr>
          <w:p w:rsidR="00A46DCA" w:rsidRPr="009372C1" w:rsidRDefault="00A46DCA" w:rsidP="00A26D04">
            <w:pPr>
              <w:cnfStyle w:val="000000000000" w:firstRow="0" w:lastRow="0" w:firstColumn="0" w:lastColumn="0" w:oddVBand="0" w:evenVBand="0" w:oddHBand="0" w:evenHBand="0" w:firstRowFirstColumn="0" w:firstRowLastColumn="0" w:lastRowFirstColumn="0" w:lastRowLastColumn="0"/>
              <w:rPr>
                <w:szCs w:val="17"/>
              </w:rPr>
            </w:pPr>
            <w:r w:rsidRPr="009372C1">
              <w:rPr>
                <w:szCs w:val="17"/>
              </w:rPr>
              <w:t>117</w:t>
            </w:r>
          </w:p>
        </w:tc>
        <w:tc>
          <w:tcPr>
            <w:tcW w:w="850" w:type="dxa"/>
            <w:tcBorders>
              <w:top w:val="nil"/>
              <w:left w:val="nil"/>
              <w:bottom w:val="nil"/>
              <w:right w:val="nil"/>
            </w:tcBorders>
            <w:shd w:val="clear" w:color="000000" w:fill="FFFFFF"/>
            <w:noWrap/>
            <w:vAlign w:val="bottom"/>
            <w:hideMark/>
          </w:tcPr>
          <w:p w:rsidR="00A46DCA" w:rsidRPr="009372C1" w:rsidRDefault="00A46DCA" w:rsidP="00A26D04">
            <w:pPr>
              <w:cnfStyle w:val="000000000000" w:firstRow="0" w:lastRow="0" w:firstColumn="0" w:lastColumn="0" w:oddVBand="0" w:evenVBand="0" w:oddHBand="0" w:evenHBand="0" w:firstRowFirstColumn="0" w:firstRowLastColumn="0" w:lastRowFirstColumn="0" w:lastRowLastColumn="0"/>
              <w:rPr>
                <w:szCs w:val="17"/>
              </w:rPr>
            </w:pPr>
            <w:r w:rsidRPr="009372C1">
              <w:rPr>
                <w:szCs w:val="17"/>
              </w:rPr>
              <w:t>124</w:t>
            </w:r>
          </w:p>
        </w:tc>
        <w:tc>
          <w:tcPr>
            <w:tcW w:w="850" w:type="dxa"/>
            <w:tcBorders>
              <w:top w:val="nil"/>
              <w:left w:val="nil"/>
              <w:bottom w:val="nil"/>
              <w:right w:val="nil"/>
            </w:tcBorders>
            <w:shd w:val="clear" w:color="000000" w:fill="FFFFFF"/>
            <w:noWrap/>
            <w:vAlign w:val="bottom"/>
            <w:hideMark/>
          </w:tcPr>
          <w:p w:rsidR="00A46DCA" w:rsidRPr="009372C1" w:rsidRDefault="00A46DCA" w:rsidP="00A26D04">
            <w:pPr>
              <w:cnfStyle w:val="000000000000" w:firstRow="0" w:lastRow="0" w:firstColumn="0" w:lastColumn="0" w:oddVBand="0" w:evenVBand="0" w:oddHBand="0" w:evenHBand="0" w:firstRowFirstColumn="0" w:firstRowLastColumn="0" w:lastRowFirstColumn="0" w:lastRowLastColumn="0"/>
              <w:rPr>
                <w:szCs w:val="17"/>
              </w:rPr>
            </w:pPr>
            <w:r w:rsidRPr="009372C1">
              <w:rPr>
                <w:szCs w:val="17"/>
              </w:rPr>
              <w:t>129</w:t>
            </w:r>
          </w:p>
        </w:tc>
        <w:tc>
          <w:tcPr>
            <w:tcW w:w="850" w:type="dxa"/>
            <w:tcBorders>
              <w:top w:val="nil"/>
              <w:left w:val="nil"/>
              <w:bottom w:val="nil"/>
              <w:right w:val="nil"/>
            </w:tcBorders>
            <w:shd w:val="clear" w:color="000000" w:fill="FFFFFF"/>
            <w:noWrap/>
            <w:vAlign w:val="bottom"/>
            <w:hideMark/>
          </w:tcPr>
          <w:p w:rsidR="00A46DCA" w:rsidRPr="009372C1" w:rsidRDefault="00A46DCA" w:rsidP="00A26D04">
            <w:pPr>
              <w:cnfStyle w:val="000000000000" w:firstRow="0" w:lastRow="0" w:firstColumn="0" w:lastColumn="0" w:oddVBand="0" w:evenVBand="0" w:oddHBand="0" w:evenHBand="0" w:firstRowFirstColumn="0" w:firstRowLastColumn="0" w:lastRowFirstColumn="0" w:lastRowLastColumn="0"/>
              <w:rPr>
                <w:szCs w:val="17"/>
              </w:rPr>
            </w:pPr>
            <w:r w:rsidRPr="009372C1">
              <w:rPr>
                <w:szCs w:val="17"/>
              </w:rPr>
              <w:t>137</w:t>
            </w:r>
          </w:p>
        </w:tc>
      </w:tr>
      <w:tr w:rsidR="00A46DCA" w:rsidRPr="009372C1" w:rsidTr="004906A4">
        <w:tc>
          <w:tcPr>
            <w:cnfStyle w:val="001000000000" w:firstRow="0" w:lastRow="0" w:firstColumn="1" w:lastColumn="0" w:oddVBand="0" w:evenVBand="0" w:oddHBand="0" w:evenHBand="0" w:firstRowFirstColumn="0" w:firstRowLastColumn="0" w:lastRowFirstColumn="0" w:lastRowLastColumn="0"/>
            <w:tcW w:w="4367" w:type="dxa"/>
            <w:tcBorders>
              <w:top w:val="nil"/>
              <w:left w:val="nil"/>
              <w:bottom w:val="nil"/>
              <w:right w:val="nil"/>
            </w:tcBorders>
            <w:shd w:val="clear" w:color="auto" w:fill="auto"/>
            <w:noWrap/>
            <w:vAlign w:val="bottom"/>
            <w:hideMark/>
          </w:tcPr>
          <w:p w:rsidR="00A46DCA" w:rsidRPr="009372C1" w:rsidRDefault="00A46DCA" w:rsidP="00A26D04">
            <w:pPr>
              <w:keepLines w:val="0"/>
              <w:rPr>
                <w:rFonts w:eastAsia="Calibri" w:cs="Times New Roman"/>
                <w:szCs w:val="17"/>
              </w:rPr>
            </w:pPr>
            <w:r w:rsidRPr="009372C1">
              <w:rPr>
                <w:rFonts w:eastAsia="Calibri" w:cs="Times New Roman"/>
                <w:szCs w:val="17"/>
              </w:rPr>
              <w:t>Expenses from transactions</w:t>
            </w:r>
          </w:p>
        </w:tc>
        <w:tc>
          <w:tcPr>
            <w:tcW w:w="850" w:type="dxa"/>
            <w:tcBorders>
              <w:top w:val="nil"/>
              <w:left w:val="nil"/>
              <w:bottom w:val="nil"/>
              <w:right w:val="nil"/>
            </w:tcBorders>
            <w:shd w:val="clear" w:color="000000" w:fill="FFFFFF"/>
            <w:noWrap/>
            <w:vAlign w:val="bottom"/>
            <w:hideMark/>
          </w:tcPr>
          <w:p w:rsidR="00A46DCA" w:rsidRPr="009372C1" w:rsidRDefault="00A46DCA" w:rsidP="00A26D04">
            <w:pPr>
              <w:cnfStyle w:val="000000000000" w:firstRow="0" w:lastRow="0" w:firstColumn="0" w:lastColumn="0" w:oddVBand="0" w:evenVBand="0" w:oddHBand="0" w:evenHBand="0" w:firstRowFirstColumn="0" w:firstRowLastColumn="0" w:lastRowFirstColumn="0" w:lastRowLastColumn="0"/>
              <w:rPr>
                <w:szCs w:val="17"/>
              </w:rPr>
            </w:pPr>
            <w:r>
              <w:rPr>
                <w:szCs w:val="17"/>
              </w:rPr>
              <w:t>..</w:t>
            </w:r>
          </w:p>
        </w:tc>
        <w:tc>
          <w:tcPr>
            <w:tcW w:w="850" w:type="dxa"/>
            <w:tcBorders>
              <w:top w:val="nil"/>
              <w:left w:val="nil"/>
              <w:bottom w:val="nil"/>
              <w:right w:val="nil"/>
            </w:tcBorders>
            <w:shd w:val="clear" w:color="000000" w:fill="FFFFFF"/>
            <w:noWrap/>
            <w:vAlign w:val="bottom"/>
            <w:hideMark/>
          </w:tcPr>
          <w:p w:rsidR="00A46DCA" w:rsidRPr="009372C1" w:rsidRDefault="00A46DCA" w:rsidP="00A26D04">
            <w:pPr>
              <w:cnfStyle w:val="000000000000" w:firstRow="0" w:lastRow="0" w:firstColumn="0" w:lastColumn="0" w:oddVBand="0" w:evenVBand="0" w:oddHBand="0" w:evenHBand="0" w:firstRowFirstColumn="0" w:firstRowLastColumn="0" w:lastRowFirstColumn="0" w:lastRowLastColumn="0"/>
              <w:rPr>
                <w:szCs w:val="17"/>
              </w:rPr>
            </w:pPr>
            <w:r w:rsidRPr="009372C1">
              <w:rPr>
                <w:szCs w:val="17"/>
              </w:rPr>
              <w:t>(5)</w:t>
            </w:r>
          </w:p>
        </w:tc>
        <w:tc>
          <w:tcPr>
            <w:tcW w:w="850" w:type="dxa"/>
            <w:tcBorders>
              <w:top w:val="nil"/>
              <w:left w:val="nil"/>
              <w:bottom w:val="nil"/>
              <w:right w:val="nil"/>
            </w:tcBorders>
            <w:shd w:val="clear" w:color="000000" w:fill="FFFFFF"/>
            <w:noWrap/>
            <w:vAlign w:val="bottom"/>
            <w:hideMark/>
          </w:tcPr>
          <w:p w:rsidR="00A46DCA" w:rsidRPr="009372C1" w:rsidRDefault="00A46DCA" w:rsidP="00A26D04">
            <w:pPr>
              <w:cnfStyle w:val="000000000000" w:firstRow="0" w:lastRow="0" w:firstColumn="0" w:lastColumn="0" w:oddVBand="0" w:evenVBand="0" w:oddHBand="0" w:evenHBand="0" w:firstRowFirstColumn="0" w:firstRowLastColumn="0" w:lastRowFirstColumn="0" w:lastRowLastColumn="0"/>
              <w:rPr>
                <w:szCs w:val="17"/>
              </w:rPr>
            </w:pPr>
            <w:r w:rsidRPr="009372C1">
              <w:rPr>
                <w:szCs w:val="17"/>
              </w:rPr>
              <w:t>(10)</w:t>
            </w:r>
          </w:p>
        </w:tc>
        <w:tc>
          <w:tcPr>
            <w:tcW w:w="850" w:type="dxa"/>
            <w:tcBorders>
              <w:top w:val="nil"/>
              <w:left w:val="nil"/>
              <w:bottom w:val="nil"/>
              <w:right w:val="nil"/>
            </w:tcBorders>
            <w:shd w:val="clear" w:color="000000" w:fill="FFFFFF"/>
            <w:noWrap/>
            <w:vAlign w:val="bottom"/>
            <w:hideMark/>
          </w:tcPr>
          <w:p w:rsidR="00A46DCA" w:rsidRPr="009372C1" w:rsidRDefault="00A46DCA" w:rsidP="00A26D04">
            <w:pPr>
              <w:cnfStyle w:val="000000000000" w:firstRow="0" w:lastRow="0" w:firstColumn="0" w:lastColumn="0" w:oddVBand="0" w:evenVBand="0" w:oddHBand="0" w:evenHBand="0" w:firstRowFirstColumn="0" w:firstRowLastColumn="0" w:lastRowFirstColumn="0" w:lastRowLastColumn="0"/>
              <w:rPr>
                <w:szCs w:val="17"/>
              </w:rPr>
            </w:pPr>
            <w:r w:rsidRPr="009372C1">
              <w:rPr>
                <w:szCs w:val="17"/>
              </w:rPr>
              <w:t>(16)</w:t>
            </w:r>
          </w:p>
        </w:tc>
      </w:tr>
      <w:tr w:rsidR="00A46DCA" w:rsidRPr="009372C1" w:rsidTr="004906A4">
        <w:tc>
          <w:tcPr>
            <w:cnfStyle w:val="001000000000" w:firstRow="0" w:lastRow="0" w:firstColumn="1" w:lastColumn="0" w:oddVBand="0" w:evenVBand="0" w:oddHBand="0" w:evenHBand="0" w:firstRowFirstColumn="0" w:firstRowLastColumn="0" w:lastRowFirstColumn="0" w:lastRowLastColumn="0"/>
            <w:tcW w:w="4367" w:type="dxa"/>
            <w:tcBorders>
              <w:top w:val="single" w:sz="4" w:space="0" w:color="auto"/>
              <w:left w:val="nil"/>
              <w:bottom w:val="single" w:sz="4" w:space="0" w:color="auto"/>
              <w:right w:val="nil"/>
            </w:tcBorders>
            <w:shd w:val="clear" w:color="auto" w:fill="auto"/>
            <w:noWrap/>
            <w:vAlign w:val="bottom"/>
            <w:hideMark/>
          </w:tcPr>
          <w:p w:rsidR="00A46DCA" w:rsidRPr="009372C1" w:rsidRDefault="00A46DCA" w:rsidP="00A26D04">
            <w:pPr>
              <w:keepLines w:val="0"/>
              <w:rPr>
                <w:rFonts w:eastAsia="Calibri" w:cs="Times New Roman"/>
                <w:b/>
                <w:bCs/>
                <w:szCs w:val="17"/>
              </w:rPr>
            </w:pPr>
            <w:r w:rsidRPr="009372C1">
              <w:rPr>
                <w:rFonts w:eastAsia="Calibri" w:cs="Times New Roman"/>
                <w:b/>
                <w:bCs/>
                <w:szCs w:val="17"/>
              </w:rPr>
              <w:t>Net result from transactions</w:t>
            </w:r>
          </w:p>
        </w:tc>
        <w:tc>
          <w:tcPr>
            <w:tcW w:w="850" w:type="dxa"/>
            <w:tcBorders>
              <w:top w:val="single" w:sz="4" w:space="0" w:color="auto"/>
              <w:left w:val="nil"/>
              <w:bottom w:val="single" w:sz="4" w:space="0" w:color="auto"/>
              <w:right w:val="nil"/>
            </w:tcBorders>
            <w:shd w:val="clear" w:color="000000" w:fill="FFFFFF"/>
            <w:noWrap/>
            <w:vAlign w:val="bottom"/>
            <w:hideMark/>
          </w:tcPr>
          <w:p w:rsidR="00A46DCA" w:rsidRPr="009372C1" w:rsidRDefault="00A46DCA" w:rsidP="00A26D04">
            <w:pPr>
              <w:cnfStyle w:val="000000000000" w:firstRow="0" w:lastRow="0" w:firstColumn="0" w:lastColumn="0" w:oddVBand="0" w:evenVBand="0" w:oddHBand="0" w:evenHBand="0" w:firstRowFirstColumn="0" w:firstRowLastColumn="0" w:lastRowFirstColumn="0" w:lastRowLastColumn="0"/>
              <w:rPr>
                <w:b/>
                <w:bCs/>
                <w:szCs w:val="17"/>
              </w:rPr>
            </w:pPr>
            <w:r w:rsidRPr="009372C1">
              <w:rPr>
                <w:b/>
                <w:bCs/>
                <w:szCs w:val="17"/>
              </w:rPr>
              <w:t>117</w:t>
            </w:r>
          </w:p>
        </w:tc>
        <w:tc>
          <w:tcPr>
            <w:tcW w:w="850" w:type="dxa"/>
            <w:tcBorders>
              <w:top w:val="single" w:sz="4" w:space="0" w:color="auto"/>
              <w:left w:val="nil"/>
              <w:bottom w:val="single" w:sz="4" w:space="0" w:color="auto"/>
              <w:right w:val="nil"/>
            </w:tcBorders>
            <w:shd w:val="clear" w:color="000000" w:fill="FFFFFF"/>
            <w:noWrap/>
            <w:vAlign w:val="bottom"/>
            <w:hideMark/>
          </w:tcPr>
          <w:p w:rsidR="00A46DCA" w:rsidRPr="009372C1" w:rsidRDefault="00A46DCA" w:rsidP="00A26D04">
            <w:pPr>
              <w:cnfStyle w:val="000000000000" w:firstRow="0" w:lastRow="0" w:firstColumn="0" w:lastColumn="0" w:oddVBand="0" w:evenVBand="0" w:oddHBand="0" w:evenHBand="0" w:firstRowFirstColumn="0" w:firstRowLastColumn="0" w:lastRowFirstColumn="0" w:lastRowLastColumn="0"/>
              <w:rPr>
                <w:b/>
                <w:bCs/>
                <w:szCs w:val="17"/>
              </w:rPr>
            </w:pPr>
            <w:r w:rsidRPr="009372C1">
              <w:rPr>
                <w:b/>
                <w:bCs/>
                <w:szCs w:val="17"/>
              </w:rPr>
              <w:t>128</w:t>
            </w:r>
          </w:p>
        </w:tc>
        <w:tc>
          <w:tcPr>
            <w:tcW w:w="850" w:type="dxa"/>
            <w:tcBorders>
              <w:top w:val="single" w:sz="4" w:space="0" w:color="auto"/>
              <w:left w:val="nil"/>
              <w:bottom w:val="single" w:sz="4" w:space="0" w:color="auto"/>
              <w:right w:val="nil"/>
            </w:tcBorders>
            <w:shd w:val="clear" w:color="000000" w:fill="FFFFFF"/>
            <w:noWrap/>
            <w:vAlign w:val="bottom"/>
            <w:hideMark/>
          </w:tcPr>
          <w:p w:rsidR="00A46DCA" w:rsidRPr="009372C1" w:rsidRDefault="00A46DCA" w:rsidP="00A26D04">
            <w:pPr>
              <w:cnfStyle w:val="000000000000" w:firstRow="0" w:lastRow="0" w:firstColumn="0" w:lastColumn="0" w:oddVBand="0" w:evenVBand="0" w:oddHBand="0" w:evenHBand="0" w:firstRowFirstColumn="0" w:firstRowLastColumn="0" w:lastRowFirstColumn="0" w:lastRowLastColumn="0"/>
              <w:rPr>
                <w:b/>
                <w:bCs/>
                <w:szCs w:val="17"/>
              </w:rPr>
            </w:pPr>
            <w:r w:rsidRPr="009372C1">
              <w:rPr>
                <w:b/>
                <w:bCs/>
                <w:szCs w:val="17"/>
              </w:rPr>
              <w:t>140</w:t>
            </w:r>
          </w:p>
        </w:tc>
        <w:tc>
          <w:tcPr>
            <w:tcW w:w="850" w:type="dxa"/>
            <w:tcBorders>
              <w:top w:val="single" w:sz="4" w:space="0" w:color="auto"/>
              <w:left w:val="nil"/>
              <w:bottom w:val="single" w:sz="4" w:space="0" w:color="auto"/>
              <w:right w:val="nil"/>
            </w:tcBorders>
            <w:shd w:val="clear" w:color="000000" w:fill="FFFFFF"/>
            <w:noWrap/>
            <w:vAlign w:val="bottom"/>
            <w:hideMark/>
          </w:tcPr>
          <w:p w:rsidR="00A46DCA" w:rsidRPr="009372C1" w:rsidRDefault="00A46DCA" w:rsidP="00A26D04">
            <w:pPr>
              <w:cnfStyle w:val="000000000000" w:firstRow="0" w:lastRow="0" w:firstColumn="0" w:lastColumn="0" w:oddVBand="0" w:evenVBand="0" w:oddHBand="0" w:evenHBand="0" w:firstRowFirstColumn="0" w:firstRowLastColumn="0" w:lastRowFirstColumn="0" w:lastRowLastColumn="0"/>
              <w:rPr>
                <w:b/>
                <w:bCs/>
                <w:szCs w:val="17"/>
              </w:rPr>
            </w:pPr>
            <w:r w:rsidRPr="009372C1">
              <w:rPr>
                <w:b/>
                <w:bCs/>
                <w:szCs w:val="17"/>
              </w:rPr>
              <w:t>154</w:t>
            </w:r>
          </w:p>
        </w:tc>
      </w:tr>
      <w:tr w:rsidR="00A46DCA" w:rsidRPr="009372C1" w:rsidTr="004906A4">
        <w:tc>
          <w:tcPr>
            <w:cnfStyle w:val="001000000000" w:firstRow="0" w:lastRow="0" w:firstColumn="1" w:lastColumn="0" w:oddVBand="0" w:evenVBand="0" w:oddHBand="0" w:evenHBand="0" w:firstRowFirstColumn="0" w:firstRowLastColumn="0" w:lastRowFirstColumn="0" w:lastRowLastColumn="0"/>
            <w:tcW w:w="4367" w:type="dxa"/>
            <w:tcBorders>
              <w:top w:val="nil"/>
              <w:left w:val="nil"/>
              <w:bottom w:val="single" w:sz="8" w:space="0" w:color="auto"/>
              <w:right w:val="nil"/>
            </w:tcBorders>
            <w:shd w:val="clear" w:color="auto" w:fill="auto"/>
            <w:noWrap/>
            <w:vAlign w:val="bottom"/>
            <w:hideMark/>
          </w:tcPr>
          <w:p w:rsidR="00A46DCA" w:rsidRPr="009372C1" w:rsidRDefault="00A46DCA" w:rsidP="00A26D04">
            <w:pPr>
              <w:keepLines w:val="0"/>
              <w:rPr>
                <w:rFonts w:eastAsia="Calibri" w:cs="Times New Roman"/>
                <w:b/>
                <w:bCs/>
                <w:szCs w:val="17"/>
              </w:rPr>
            </w:pPr>
            <w:r w:rsidRPr="009372C1">
              <w:rPr>
                <w:rFonts w:eastAsia="Calibri" w:cs="Times New Roman"/>
                <w:b/>
                <w:bCs/>
                <w:szCs w:val="17"/>
              </w:rPr>
              <w:t>Net debt</w:t>
            </w:r>
          </w:p>
        </w:tc>
        <w:tc>
          <w:tcPr>
            <w:tcW w:w="850" w:type="dxa"/>
            <w:tcBorders>
              <w:top w:val="nil"/>
              <w:left w:val="nil"/>
              <w:bottom w:val="single" w:sz="8" w:space="0" w:color="auto"/>
              <w:right w:val="nil"/>
            </w:tcBorders>
            <w:shd w:val="clear" w:color="000000" w:fill="FFFFFF"/>
            <w:noWrap/>
            <w:vAlign w:val="bottom"/>
            <w:hideMark/>
          </w:tcPr>
          <w:p w:rsidR="00A46DCA" w:rsidRPr="009372C1" w:rsidRDefault="00A46DCA" w:rsidP="00A26D04">
            <w:pPr>
              <w:cnfStyle w:val="000000000000" w:firstRow="0" w:lastRow="0" w:firstColumn="0" w:lastColumn="0" w:oddVBand="0" w:evenVBand="0" w:oddHBand="0" w:evenHBand="0" w:firstRowFirstColumn="0" w:firstRowLastColumn="0" w:lastRowFirstColumn="0" w:lastRowLastColumn="0"/>
              <w:rPr>
                <w:b/>
                <w:bCs/>
                <w:szCs w:val="17"/>
              </w:rPr>
            </w:pPr>
            <w:r w:rsidRPr="009372C1">
              <w:rPr>
                <w:b/>
                <w:bCs/>
                <w:szCs w:val="17"/>
              </w:rPr>
              <w:t>(117)</w:t>
            </w:r>
          </w:p>
        </w:tc>
        <w:tc>
          <w:tcPr>
            <w:tcW w:w="850" w:type="dxa"/>
            <w:tcBorders>
              <w:top w:val="nil"/>
              <w:left w:val="nil"/>
              <w:bottom w:val="single" w:sz="8" w:space="0" w:color="auto"/>
              <w:right w:val="nil"/>
            </w:tcBorders>
            <w:shd w:val="clear" w:color="000000" w:fill="FFFFFF"/>
            <w:noWrap/>
            <w:vAlign w:val="bottom"/>
            <w:hideMark/>
          </w:tcPr>
          <w:p w:rsidR="00A46DCA" w:rsidRPr="009372C1" w:rsidRDefault="00A46DCA" w:rsidP="00A26D04">
            <w:pPr>
              <w:cnfStyle w:val="000000000000" w:firstRow="0" w:lastRow="0" w:firstColumn="0" w:lastColumn="0" w:oddVBand="0" w:evenVBand="0" w:oddHBand="0" w:evenHBand="0" w:firstRowFirstColumn="0" w:firstRowLastColumn="0" w:lastRowFirstColumn="0" w:lastRowLastColumn="0"/>
              <w:rPr>
                <w:b/>
                <w:bCs/>
                <w:szCs w:val="17"/>
              </w:rPr>
            </w:pPr>
            <w:r w:rsidRPr="009372C1">
              <w:rPr>
                <w:b/>
                <w:bCs/>
                <w:szCs w:val="17"/>
              </w:rPr>
              <w:t>(245)</w:t>
            </w:r>
          </w:p>
        </w:tc>
        <w:tc>
          <w:tcPr>
            <w:tcW w:w="850" w:type="dxa"/>
            <w:tcBorders>
              <w:top w:val="nil"/>
              <w:left w:val="nil"/>
              <w:bottom w:val="single" w:sz="8" w:space="0" w:color="auto"/>
              <w:right w:val="nil"/>
            </w:tcBorders>
            <w:shd w:val="clear" w:color="000000" w:fill="FFFFFF"/>
            <w:noWrap/>
            <w:vAlign w:val="bottom"/>
            <w:hideMark/>
          </w:tcPr>
          <w:p w:rsidR="00A46DCA" w:rsidRPr="009372C1" w:rsidRDefault="00A46DCA" w:rsidP="00A26D04">
            <w:pPr>
              <w:cnfStyle w:val="000000000000" w:firstRow="0" w:lastRow="0" w:firstColumn="0" w:lastColumn="0" w:oddVBand="0" w:evenVBand="0" w:oddHBand="0" w:evenHBand="0" w:firstRowFirstColumn="0" w:firstRowLastColumn="0" w:lastRowFirstColumn="0" w:lastRowLastColumn="0"/>
              <w:rPr>
                <w:b/>
                <w:bCs/>
                <w:szCs w:val="17"/>
              </w:rPr>
            </w:pPr>
            <w:r w:rsidRPr="009372C1">
              <w:rPr>
                <w:b/>
                <w:bCs/>
                <w:szCs w:val="17"/>
              </w:rPr>
              <w:t>(385)</w:t>
            </w:r>
          </w:p>
        </w:tc>
        <w:tc>
          <w:tcPr>
            <w:tcW w:w="850" w:type="dxa"/>
            <w:tcBorders>
              <w:top w:val="nil"/>
              <w:left w:val="nil"/>
              <w:bottom w:val="single" w:sz="8" w:space="0" w:color="auto"/>
              <w:right w:val="nil"/>
            </w:tcBorders>
            <w:shd w:val="clear" w:color="000000" w:fill="FFFFFF"/>
            <w:noWrap/>
            <w:vAlign w:val="bottom"/>
            <w:hideMark/>
          </w:tcPr>
          <w:p w:rsidR="00A46DCA" w:rsidRPr="009372C1" w:rsidRDefault="00A46DCA" w:rsidP="00A26D04">
            <w:pPr>
              <w:cnfStyle w:val="000000000000" w:firstRow="0" w:lastRow="0" w:firstColumn="0" w:lastColumn="0" w:oddVBand="0" w:evenVBand="0" w:oddHBand="0" w:evenHBand="0" w:firstRowFirstColumn="0" w:firstRowLastColumn="0" w:lastRowFirstColumn="0" w:lastRowLastColumn="0"/>
              <w:rPr>
                <w:b/>
                <w:bCs/>
                <w:szCs w:val="17"/>
              </w:rPr>
            </w:pPr>
            <w:r w:rsidRPr="009372C1">
              <w:rPr>
                <w:b/>
                <w:bCs/>
                <w:szCs w:val="17"/>
              </w:rPr>
              <w:t>(539)</w:t>
            </w:r>
          </w:p>
        </w:tc>
      </w:tr>
      <w:tr w:rsidR="00A46DCA" w:rsidRPr="009372C1" w:rsidTr="004906A4">
        <w:tc>
          <w:tcPr>
            <w:cnfStyle w:val="001000000000" w:firstRow="0" w:lastRow="0" w:firstColumn="1" w:lastColumn="0" w:oddVBand="0" w:evenVBand="0" w:oddHBand="0" w:evenHBand="0" w:firstRowFirstColumn="0" w:firstRowLastColumn="0" w:lastRowFirstColumn="0" w:lastRowLastColumn="0"/>
            <w:tcW w:w="4367" w:type="dxa"/>
            <w:tcBorders>
              <w:top w:val="nil"/>
              <w:left w:val="nil"/>
              <w:bottom w:val="nil"/>
              <w:right w:val="nil"/>
            </w:tcBorders>
            <w:shd w:val="clear" w:color="auto" w:fill="auto"/>
            <w:noWrap/>
            <w:vAlign w:val="bottom"/>
            <w:hideMark/>
          </w:tcPr>
          <w:p w:rsidR="00A46DCA" w:rsidRPr="009372C1" w:rsidRDefault="00A46DCA" w:rsidP="00A26D04">
            <w:pPr>
              <w:keepLines w:val="0"/>
              <w:rPr>
                <w:rFonts w:eastAsia="Calibri" w:cs="Times New Roman"/>
                <w:b/>
                <w:bCs/>
                <w:szCs w:val="17"/>
              </w:rPr>
            </w:pPr>
            <w:r w:rsidRPr="009372C1">
              <w:rPr>
                <w:rFonts w:eastAsia="Calibri" w:cs="Times New Roman"/>
                <w:b/>
                <w:bCs/>
                <w:szCs w:val="17"/>
              </w:rPr>
              <w:t xml:space="preserve">Employment </w:t>
            </w:r>
            <w:r w:rsidRPr="009372C1">
              <w:rPr>
                <w:rFonts w:eastAsia="Calibri" w:cs="Times New Roman"/>
                <w:b/>
                <w:bCs/>
                <w:szCs w:val="17"/>
                <w:vertAlign w:val="superscript"/>
              </w:rPr>
              <w:t>(e)</w:t>
            </w:r>
          </w:p>
        </w:tc>
        <w:tc>
          <w:tcPr>
            <w:tcW w:w="850" w:type="dxa"/>
            <w:tcBorders>
              <w:top w:val="nil"/>
              <w:left w:val="nil"/>
              <w:bottom w:val="nil"/>
              <w:right w:val="nil"/>
            </w:tcBorders>
            <w:shd w:val="clear" w:color="auto" w:fill="auto"/>
            <w:noWrap/>
            <w:vAlign w:val="bottom"/>
            <w:hideMark/>
          </w:tcPr>
          <w:p w:rsidR="00A46DCA" w:rsidRPr="009372C1" w:rsidRDefault="00A46DCA" w:rsidP="00A26D04">
            <w:pPr>
              <w:cnfStyle w:val="000000000000" w:firstRow="0" w:lastRow="0" w:firstColumn="0" w:lastColumn="0" w:oddVBand="0" w:evenVBand="0" w:oddHBand="0" w:evenHBand="0" w:firstRowFirstColumn="0" w:firstRowLastColumn="0" w:lastRowFirstColumn="0" w:lastRowLastColumn="0"/>
              <w:rPr>
                <w:szCs w:val="17"/>
              </w:rPr>
            </w:pPr>
          </w:p>
        </w:tc>
        <w:tc>
          <w:tcPr>
            <w:tcW w:w="850" w:type="dxa"/>
            <w:tcBorders>
              <w:top w:val="nil"/>
              <w:left w:val="nil"/>
              <w:bottom w:val="nil"/>
              <w:right w:val="nil"/>
            </w:tcBorders>
            <w:shd w:val="clear" w:color="auto" w:fill="auto"/>
            <w:noWrap/>
            <w:vAlign w:val="bottom"/>
            <w:hideMark/>
          </w:tcPr>
          <w:p w:rsidR="00A46DCA" w:rsidRPr="009372C1" w:rsidRDefault="00A46DCA" w:rsidP="00A26D04">
            <w:pPr>
              <w:cnfStyle w:val="000000000000" w:firstRow="0" w:lastRow="0" w:firstColumn="0" w:lastColumn="0" w:oddVBand="0" w:evenVBand="0" w:oddHBand="0" w:evenHBand="0" w:firstRowFirstColumn="0" w:firstRowLastColumn="0" w:lastRowFirstColumn="0" w:lastRowLastColumn="0"/>
              <w:rPr>
                <w:szCs w:val="17"/>
              </w:rPr>
            </w:pPr>
          </w:p>
        </w:tc>
        <w:tc>
          <w:tcPr>
            <w:tcW w:w="850" w:type="dxa"/>
            <w:tcBorders>
              <w:top w:val="nil"/>
              <w:left w:val="nil"/>
              <w:bottom w:val="nil"/>
              <w:right w:val="nil"/>
            </w:tcBorders>
            <w:shd w:val="clear" w:color="auto" w:fill="auto"/>
            <w:noWrap/>
            <w:vAlign w:val="bottom"/>
            <w:hideMark/>
          </w:tcPr>
          <w:p w:rsidR="00A46DCA" w:rsidRPr="009372C1" w:rsidRDefault="00A46DCA" w:rsidP="00A26D04">
            <w:pPr>
              <w:cnfStyle w:val="000000000000" w:firstRow="0" w:lastRow="0" w:firstColumn="0" w:lastColumn="0" w:oddVBand="0" w:evenVBand="0" w:oddHBand="0" w:evenHBand="0" w:firstRowFirstColumn="0" w:firstRowLastColumn="0" w:lastRowFirstColumn="0" w:lastRowLastColumn="0"/>
              <w:rPr>
                <w:szCs w:val="17"/>
              </w:rPr>
            </w:pPr>
          </w:p>
        </w:tc>
        <w:tc>
          <w:tcPr>
            <w:tcW w:w="850" w:type="dxa"/>
            <w:tcBorders>
              <w:top w:val="nil"/>
              <w:left w:val="nil"/>
              <w:bottom w:val="nil"/>
              <w:right w:val="nil"/>
            </w:tcBorders>
            <w:shd w:val="clear" w:color="auto" w:fill="auto"/>
            <w:noWrap/>
            <w:vAlign w:val="bottom"/>
            <w:hideMark/>
          </w:tcPr>
          <w:p w:rsidR="00A46DCA" w:rsidRPr="009372C1" w:rsidRDefault="00A46DCA" w:rsidP="00A26D04">
            <w:pPr>
              <w:cnfStyle w:val="000000000000" w:firstRow="0" w:lastRow="0" w:firstColumn="0" w:lastColumn="0" w:oddVBand="0" w:evenVBand="0" w:oddHBand="0" w:evenHBand="0" w:firstRowFirstColumn="0" w:firstRowLastColumn="0" w:lastRowFirstColumn="0" w:lastRowLastColumn="0"/>
              <w:rPr>
                <w:szCs w:val="17"/>
              </w:rPr>
            </w:pPr>
          </w:p>
        </w:tc>
      </w:tr>
      <w:tr w:rsidR="00A46DCA" w:rsidRPr="009372C1" w:rsidTr="004906A4">
        <w:tc>
          <w:tcPr>
            <w:cnfStyle w:val="001000000000" w:firstRow="0" w:lastRow="0" w:firstColumn="1" w:lastColumn="0" w:oddVBand="0" w:evenVBand="0" w:oddHBand="0" w:evenHBand="0" w:firstRowFirstColumn="0" w:firstRowLastColumn="0" w:lastRowFirstColumn="0" w:lastRowLastColumn="0"/>
            <w:tcW w:w="4367" w:type="dxa"/>
            <w:tcBorders>
              <w:top w:val="nil"/>
              <w:left w:val="nil"/>
              <w:bottom w:val="nil"/>
              <w:right w:val="nil"/>
            </w:tcBorders>
            <w:shd w:val="clear" w:color="auto" w:fill="auto"/>
            <w:noWrap/>
            <w:vAlign w:val="bottom"/>
            <w:hideMark/>
          </w:tcPr>
          <w:p w:rsidR="00A46DCA" w:rsidRPr="009372C1" w:rsidRDefault="00A46DCA" w:rsidP="00A26D04">
            <w:pPr>
              <w:keepLines w:val="0"/>
              <w:rPr>
                <w:rFonts w:eastAsia="Calibri" w:cs="Times New Roman"/>
                <w:szCs w:val="17"/>
              </w:rPr>
            </w:pPr>
            <w:r w:rsidRPr="009372C1">
              <w:rPr>
                <w:rFonts w:eastAsia="Calibri" w:cs="Times New Roman"/>
                <w:szCs w:val="17"/>
              </w:rPr>
              <w:t>Income from transactions</w:t>
            </w:r>
          </w:p>
        </w:tc>
        <w:tc>
          <w:tcPr>
            <w:tcW w:w="850" w:type="dxa"/>
            <w:tcBorders>
              <w:top w:val="nil"/>
              <w:left w:val="nil"/>
              <w:bottom w:val="nil"/>
              <w:right w:val="nil"/>
            </w:tcBorders>
            <w:shd w:val="clear" w:color="auto" w:fill="auto"/>
            <w:noWrap/>
            <w:vAlign w:val="bottom"/>
            <w:hideMark/>
          </w:tcPr>
          <w:p w:rsidR="00A46DCA" w:rsidRPr="009372C1" w:rsidRDefault="00A46DCA" w:rsidP="00A26D04">
            <w:pPr>
              <w:cnfStyle w:val="000000000000" w:firstRow="0" w:lastRow="0" w:firstColumn="0" w:lastColumn="0" w:oddVBand="0" w:evenVBand="0" w:oddHBand="0" w:evenHBand="0" w:firstRowFirstColumn="0" w:firstRowLastColumn="0" w:lastRowFirstColumn="0" w:lastRowLastColumn="0"/>
              <w:rPr>
                <w:szCs w:val="17"/>
              </w:rPr>
            </w:pPr>
            <w:r w:rsidRPr="009372C1">
              <w:rPr>
                <w:szCs w:val="17"/>
              </w:rPr>
              <w:t>79</w:t>
            </w:r>
          </w:p>
        </w:tc>
        <w:tc>
          <w:tcPr>
            <w:tcW w:w="850" w:type="dxa"/>
            <w:tcBorders>
              <w:top w:val="nil"/>
              <w:left w:val="nil"/>
              <w:bottom w:val="nil"/>
              <w:right w:val="nil"/>
            </w:tcBorders>
            <w:shd w:val="clear" w:color="auto" w:fill="auto"/>
            <w:noWrap/>
            <w:vAlign w:val="bottom"/>
            <w:hideMark/>
          </w:tcPr>
          <w:p w:rsidR="00A46DCA" w:rsidRPr="009372C1" w:rsidRDefault="00A46DCA" w:rsidP="00A26D04">
            <w:pPr>
              <w:cnfStyle w:val="000000000000" w:firstRow="0" w:lastRow="0" w:firstColumn="0" w:lastColumn="0" w:oddVBand="0" w:evenVBand="0" w:oddHBand="0" w:evenHBand="0" w:firstRowFirstColumn="0" w:firstRowLastColumn="0" w:lastRowFirstColumn="0" w:lastRowLastColumn="0"/>
              <w:rPr>
                <w:szCs w:val="17"/>
              </w:rPr>
            </w:pPr>
            <w:r w:rsidRPr="009372C1">
              <w:rPr>
                <w:szCs w:val="17"/>
              </w:rPr>
              <w:t>79</w:t>
            </w:r>
          </w:p>
        </w:tc>
        <w:tc>
          <w:tcPr>
            <w:tcW w:w="850" w:type="dxa"/>
            <w:tcBorders>
              <w:top w:val="nil"/>
              <w:left w:val="nil"/>
              <w:bottom w:val="nil"/>
              <w:right w:val="nil"/>
            </w:tcBorders>
            <w:shd w:val="clear" w:color="auto" w:fill="auto"/>
            <w:noWrap/>
            <w:vAlign w:val="bottom"/>
            <w:hideMark/>
          </w:tcPr>
          <w:p w:rsidR="00A46DCA" w:rsidRPr="009372C1" w:rsidRDefault="00A46DCA" w:rsidP="00A26D04">
            <w:pPr>
              <w:cnfStyle w:val="000000000000" w:firstRow="0" w:lastRow="0" w:firstColumn="0" w:lastColumn="0" w:oddVBand="0" w:evenVBand="0" w:oddHBand="0" w:evenHBand="0" w:firstRowFirstColumn="0" w:firstRowLastColumn="0" w:lastRowFirstColumn="0" w:lastRowLastColumn="0"/>
              <w:rPr>
                <w:szCs w:val="17"/>
              </w:rPr>
            </w:pPr>
            <w:r w:rsidRPr="009372C1">
              <w:rPr>
                <w:szCs w:val="17"/>
              </w:rPr>
              <w:t>83</w:t>
            </w:r>
          </w:p>
        </w:tc>
        <w:tc>
          <w:tcPr>
            <w:tcW w:w="850" w:type="dxa"/>
            <w:tcBorders>
              <w:top w:val="nil"/>
              <w:left w:val="nil"/>
              <w:bottom w:val="nil"/>
              <w:right w:val="nil"/>
            </w:tcBorders>
            <w:shd w:val="clear" w:color="auto" w:fill="auto"/>
            <w:noWrap/>
            <w:vAlign w:val="bottom"/>
            <w:hideMark/>
          </w:tcPr>
          <w:p w:rsidR="00A46DCA" w:rsidRPr="009372C1" w:rsidRDefault="00A46DCA" w:rsidP="00A26D04">
            <w:pPr>
              <w:cnfStyle w:val="000000000000" w:firstRow="0" w:lastRow="0" w:firstColumn="0" w:lastColumn="0" w:oddVBand="0" w:evenVBand="0" w:oddHBand="0" w:evenHBand="0" w:firstRowFirstColumn="0" w:firstRowLastColumn="0" w:lastRowFirstColumn="0" w:lastRowLastColumn="0"/>
              <w:rPr>
                <w:szCs w:val="17"/>
              </w:rPr>
            </w:pPr>
            <w:r w:rsidRPr="009372C1">
              <w:rPr>
                <w:szCs w:val="17"/>
              </w:rPr>
              <w:t>88</w:t>
            </w:r>
          </w:p>
        </w:tc>
      </w:tr>
      <w:tr w:rsidR="00A46DCA" w:rsidRPr="009372C1" w:rsidTr="004906A4">
        <w:tc>
          <w:tcPr>
            <w:cnfStyle w:val="001000000000" w:firstRow="0" w:lastRow="0" w:firstColumn="1" w:lastColumn="0" w:oddVBand="0" w:evenVBand="0" w:oddHBand="0" w:evenHBand="0" w:firstRowFirstColumn="0" w:firstRowLastColumn="0" w:lastRowFirstColumn="0" w:lastRowLastColumn="0"/>
            <w:tcW w:w="4367" w:type="dxa"/>
            <w:tcBorders>
              <w:top w:val="nil"/>
              <w:left w:val="nil"/>
              <w:bottom w:val="nil"/>
              <w:right w:val="nil"/>
            </w:tcBorders>
            <w:shd w:val="clear" w:color="auto" w:fill="auto"/>
            <w:noWrap/>
            <w:vAlign w:val="bottom"/>
            <w:hideMark/>
          </w:tcPr>
          <w:p w:rsidR="00A46DCA" w:rsidRPr="009372C1" w:rsidRDefault="00A46DCA" w:rsidP="00A26D04">
            <w:pPr>
              <w:keepLines w:val="0"/>
              <w:rPr>
                <w:rFonts w:eastAsia="Calibri" w:cs="Times New Roman"/>
                <w:szCs w:val="17"/>
              </w:rPr>
            </w:pPr>
            <w:r w:rsidRPr="009372C1">
              <w:rPr>
                <w:rFonts w:eastAsia="Calibri" w:cs="Times New Roman"/>
                <w:szCs w:val="17"/>
              </w:rPr>
              <w:t>Expenses from transactions</w:t>
            </w:r>
          </w:p>
        </w:tc>
        <w:tc>
          <w:tcPr>
            <w:tcW w:w="850" w:type="dxa"/>
            <w:tcBorders>
              <w:top w:val="nil"/>
              <w:left w:val="nil"/>
              <w:bottom w:val="nil"/>
              <w:right w:val="nil"/>
            </w:tcBorders>
            <w:shd w:val="clear" w:color="auto" w:fill="auto"/>
            <w:noWrap/>
            <w:vAlign w:val="bottom"/>
            <w:hideMark/>
          </w:tcPr>
          <w:p w:rsidR="00A46DCA" w:rsidRPr="009372C1" w:rsidRDefault="00A46DCA" w:rsidP="00A26D04">
            <w:pPr>
              <w:cnfStyle w:val="000000000000" w:firstRow="0" w:lastRow="0" w:firstColumn="0" w:lastColumn="0" w:oddVBand="0" w:evenVBand="0" w:oddHBand="0" w:evenHBand="0" w:firstRowFirstColumn="0" w:firstRowLastColumn="0" w:lastRowFirstColumn="0" w:lastRowLastColumn="0"/>
              <w:rPr>
                <w:szCs w:val="17"/>
              </w:rPr>
            </w:pPr>
            <w:r w:rsidRPr="009372C1">
              <w:rPr>
                <w:szCs w:val="17"/>
              </w:rPr>
              <w:t>234</w:t>
            </w:r>
          </w:p>
        </w:tc>
        <w:tc>
          <w:tcPr>
            <w:tcW w:w="850" w:type="dxa"/>
            <w:tcBorders>
              <w:top w:val="nil"/>
              <w:left w:val="nil"/>
              <w:bottom w:val="nil"/>
              <w:right w:val="nil"/>
            </w:tcBorders>
            <w:shd w:val="clear" w:color="auto" w:fill="auto"/>
            <w:noWrap/>
            <w:vAlign w:val="bottom"/>
            <w:hideMark/>
          </w:tcPr>
          <w:p w:rsidR="00A46DCA" w:rsidRPr="009372C1" w:rsidRDefault="00A46DCA" w:rsidP="00A26D04">
            <w:pPr>
              <w:cnfStyle w:val="000000000000" w:firstRow="0" w:lastRow="0" w:firstColumn="0" w:lastColumn="0" w:oddVBand="0" w:evenVBand="0" w:oddHBand="0" w:evenHBand="0" w:firstRowFirstColumn="0" w:firstRowLastColumn="0" w:lastRowFirstColumn="0" w:lastRowLastColumn="0"/>
              <w:rPr>
                <w:szCs w:val="17"/>
              </w:rPr>
            </w:pPr>
            <w:r w:rsidRPr="009372C1">
              <w:rPr>
                <w:szCs w:val="17"/>
              </w:rPr>
              <w:t>257</w:t>
            </w:r>
          </w:p>
        </w:tc>
        <w:tc>
          <w:tcPr>
            <w:tcW w:w="850" w:type="dxa"/>
            <w:tcBorders>
              <w:top w:val="nil"/>
              <w:left w:val="nil"/>
              <w:bottom w:val="nil"/>
              <w:right w:val="nil"/>
            </w:tcBorders>
            <w:shd w:val="clear" w:color="auto" w:fill="auto"/>
            <w:noWrap/>
            <w:vAlign w:val="bottom"/>
            <w:hideMark/>
          </w:tcPr>
          <w:p w:rsidR="00A46DCA" w:rsidRPr="009372C1" w:rsidRDefault="00A46DCA" w:rsidP="00A26D04">
            <w:pPr>
              <w:cnfStyle w:val="000000000000" w:firstRow="0" w:lastRow="0" w:firstColumn="0" w:lastColumn="0" w:oddVBand="0" w:evenVBand="0" w:oddHBand="0" w:evenHBand="0" w:firstRowFirstColumn="0" w:firstRowLastColumn="0" w:lastRowFirstColumn="0" w:lastRowLastColumn="0"/>
              <w:rPr>
                <w:szCs w:val="17"/>
              </w:rPr>
            </w:pPr>
            <w:r w:rsidRPr="009372C1">
              <w:rPr>
                <w:szCs w:val="17"/>
              </w:rPr>
              <w:t>270</w:t>
            </w:r>
          </w:p>
        </w:tc>
        <w:tc>
          <w:tcPr>
            <w:tcW w:w="850" w:type="dxa"/>
            <w:tcBorders>
              <w:top w:val="nil"/>
              <w:left w:val="nil"/>
              <w:bottom w:val="nil"/>
              <w:right w:val="nil"/>
            </w:tcBorders>
            <w:shd w:val="clear" w:color="auto" w:fill="auto"/>
            <w:noWrap/>
            <w:vAlign w:val="bottom"/>
            <w:hideMark/>
          </w:tcPr>
          <w:p w:rsidR="00A46DCA" w:rsidRPr="009372C1" w:rsidRDefault="00A46DCA" w:rsidP="00A26D04">
            <w:pPr>
              <w:cnfStyle w:val="000000000000" w:firstRow="0" w:lastRow="0" w:firstColumn="0" w:lastColumn="0" w:oddVBand="0" w:evenVBand="0" w:oddHBand="0" w:evenHBand="0" w:firstRowFirstColumn="0" w:firstRowLastColumn="0" w:lastRowFirstColumn="0" w:lastRowLastColumn="0"/>
              <w:rPr>
                <w:szCs w:val="17"/>
              </w:rPr>
            </w:pPr>
            <w:r w:rsidRPr="009372C1">
              <w:rPr>
                <w:szCs w:val="17"/>
              </w:rPr>
              <w:t>285</w:t>
            </w:r>
          </w:p>
        </w:tc>
      </w:tr>
      <w:tr w:rsidR="00A46DCA" w:rsidRPr="009372C1" w:rsidTr="004906A4">
        <w:tc>
          <w:tcPr>
            <w:cnfStyle w:val="001000000000" w:firstRow="0" w:lastRow="0" w:firstColumn="1" w:lastColumn="0" w:oddVBand="0" w:evenVBand="0" w:oddHBand="0" w:evenHBand="0" w:firstRowFirstColumn="0" w:firstRowLastColumn="0" w:lastRowFirstColumn="0" w:lastRowLastColumn="0"/>
            <w:tcW w:w="4367" w:type="dxa"/>
            <w:tcBorders>
              <w:top w:val="single" w:sz="4" w:space="0" w:color="auto"/>
              <w:left w:val="nil"/>
              <w:bottom w:val="single" w:sz="4" w:space="0" w:color="auto"/>
              <w:right w:val="nil"/>
            </w:tcBorders>
            <w:shd w:val="clear" w:color="auto" w:fill="auto"/>
            <w:noWrap/>
            <w:vAlign w:val="bottom"/>
            <w:hideMark/>
          </w:tcPr>
          <w:p w:rsidR="00A46DCA" w:rsidRPr="009372C1" w:rsidRDefault="00A46DCA" w:rsidP="00A26D04">
            <w:pPr>
              <w:keepLines w:val="0"/>
              <w:rPr>
                <w:rFonts w:eastAsia="Calibri" w:cs="Times New Roman"/>
                <w:b/>
                <w:bCs/>
                <w:szCs w:val="17"/>
              </w:rPr>
            </w:pPr>
            <w:r w:rsidRPr="009372C1">
              <w:rPr>
                <w:rFonts w:eastAsia="Calibri" w:cs="Times New Roman"/>
                <w:b/>
                <w:bCs/>
                <w:szCs w:val="17"/>
              </w:rPr>
              <w:t>Net result from transactions</w:t>
            </w:r>
          </w:p>
        </w:tc>
        <w:tc>
          <w:tcPr>
            <w:tcW w:w="850" w:type="dxa"/>
            <w:tcBorders>
              <w:top w:val="single" w:sz="4" w:space="0" w:color="auto"/>
              <w:left w:val="nil"/>
              <w:bottom w:val="single" w:sz="4" w:space="0" w:color="auto"/>
              <w:right w:val="nil"/>
            </w:tcBorders>
            <w:shd w:val="clear" w:color="auto" w:fill="auto"/>
            <w:noWrap/>
            <w:vAlign w:val="bottom"/>
            <w:hideMark/>
          </w:tcPr>
          <w:p w:rsidR="00A46DCA" w:rsidRPr="009372C1" w:rsidRDefault="00A46DCA" w:rsidP="00A26D04">
            <w:pPr>
              <w:cnfStyle w:val="000000000000" w:firstRow="0" w:lastRow="0" w:firstColumn="0" w:lastColumn="0" w:oddVBand="0" w:evenVBand="0" w:oddHBand="0" w:evenHBand="0" w:firstRowFirstColumn="0" w:firstRowLastColumn="0" w:lastRowFirstColumn="0" w:lastRowLastColumn="0"/>
              <w:rPr>
                <w:b/>
                <w:bCs/>
                <w:szCs w:val="17"/>
              </w:rPr>
            </w:pPr>
            <w:r w:rsidRPr="009372C1">
              <w:rPr>
                <w:b/>
                <w:bCs/>
                <w:szCs w:val="17"/>
              </w:rPr>
              <w:t>(156)</w:t>
            </w:r>
          </w:p>
        </w:tc>
        <w:tc>
          <w:tcPr>
            <w:tcW w:w="850" w:type="dxa"/>
            <w:tcBorders>
              <w:top w:val="single" w:sz="4" w:space="0" w:color="auto"/>
              <w:left w:val="nil"/>
              <w:bottom w:val="single" w:sz="4" w:space="0" w:color="auto"/>
              <w:right w:val="nil"/>
            </w:tcBorders>
            <w:shd w:val="clear" w:color="auto" w:fill="auto"/>
            <w:noWrap/>
            <w:vAlign w:val="bottom"/>
            <w:hideMark/>
          </w:tcPr>
          <w:p w:rsidR="00A46DCA" w:rsidRPr="009372C1" w:rsidRDefault="00A46DCA" w:rsidP="00A26D04">
            <w:pPr>
              <w:cnfStyle w:val="000000000000" w:firstRow="0" w:lastRow="0" w:firstColumn="0" w:lastColumn="0" w:oddVBand="0" w:evenVBand="0" w:oddHBand="0" w:evenHBand="0" w:firstRowFirstColumn="0" w:firstRowLastColumn="0" w:lastRowFirstColumn="0" w:lastRowLastColumn="0"/>
              <w:rPr>
                <w:b/>
                <w:bCs/>
                <w:szCs w:val="17"/>
              </w:rPr>
            </w:pPr>
            <w:r w:rsidRPr="009372C1">
              <w:rPr>
                <w:b/>
                <w:bCs/>
                <w:szCs w:val="17"/>
              </w:rPr>
              <w:t>(177)</w:t>
            </w:r>
          </w:p>
        </w:tc>
        <w:tc>
          <w:tcPr>
            <w:tcW w:w="850" w:type="dxa"/>
            <w:tcBorders>
              <w:top w:val="single" w:sz="4" w:space="0" w:color="auto"/>
              <w:left w:val="nil"/>
              <w:bottom w:val="single" w:sz="4" w:space="0" w:color="auto"/>
              <w:right w:val="nil"/>
            </w:tcBorders>
            <w:shd w:val="clear" w:color="auto" w:fill="auto"/>
            <w:noWrap/>
            <w:vAlign w:val="bottom"/>
            <w:hideMark/>
          </w:tcPr>
          <w:p w:rsidR="00A46DCA" w:rsidRPr="009372C1" w:rsidRDefault="00A46DCA" w:rsidP="00A26D04">
            <w:pPr>
              <w:cnfStyle w:val="000000000000" w:firstRow="0" w:lastRow="0" w:firstColumn="0" w:lastColumn="0" w:oddVBand="0" w:evenVBand="0" w:oddHBand="0" w:evenHBand="0" w:firstRowFirstColumn="0" w:firstRowLastColumn="0" w:lastRowFirstColumn="0" w:lastRowLastColumn="0"/>
              <w:rPr>
                <w:b/>
                <w:bCs/>
                <w:szCs w:val="17"/>
              </w:rPr>
            </w:pPr>
            <w:r w:rsidRPr="009372C1">
              <w:rPr>
                <w:b/>
                <w:bCs/>
                <w:szCs w:val="17"/>
              </w:rPr>
              <w:t>(186)</w:t>
            </w:r>
          </w:p>
        </w:tc>
        <w:tc>
          <w:tcPr>
            <w:tcW w:w="850" w:type="dxa"/>
            <w:tcBorders>
              <w:top w:val="single" w:sz="4" w:space="0" w:color="auto"/>
              <w:left w:val="nil"/>
              <w:bottom w:val="single" w:sz="4" w:space="0" w:color="auto"/>
              <w:right w:val="nil"/>
            </w:tcBorders>
            <w:shd w:val="clear" w:color="auto" w:fill="auto"/>
            <w:noWrap/>
            <w:vAlign w:val="bottom"/>
            <w:hideMark/>
          </w:tcPr>
          <w:p w:rsidR="00A46DCA" w:rsidRPr="009372C1" w:rsidRDefault="00A46DCA" w:rsidP="00A26D04">
            <w:pPr>
              <w:cnfStyle w:val="000000000000" w:firstRow="0" w:lastRow="0" w:firstColumn="0" w:lastColumn="0" w:oddVBand="0" w:evenVBand="0" w:oddHBand="0" w:evenHBand="0" w:firstRowFirstColumn="0" w:firstRowLastColumn="0" w:lastRowFirstColumn="0" w:lastRowLastColumn="0"/>
              <w:rPr>
                <w:b/>
                <w:bCs/>
                <w:szCs w:val="17"/>
              </w:rPr>
            </w:pPr>
            <w:r w:rsidRPr="009372C1">
              <w:rPr>
                <w:b/>
                <w:bCs/>
                <w:szCs w:val="17"/>
              </w:rPr>
              <w:t>(197)</w:t>
            </w:r>
          </w:p>
        </w:tc>
      </w:tr>
      <w:tr w:rsidR="00A46DCA" w:rsidRPr="009372C1" w:rsidTr="004906A4">
        <w:tc>
          <w:tcPr>
            <w:cnfStyle w:val="001000000000" w:firstRow="0" w:lastRow="0" w:firstColumn="1" w:lastColumn="0" w:oddVBand="0" w:evenVBand="0" w:oddHBand="0" w:evenHBand="0" w:firstRowFirstColumn="0" w:firstRowLastColumn="0" w:lastRowFirstColumn="0" w:lastRowLastColumn="0"/>
            <w:tcW w:w="4367" w:type="dxa"/>
            <w:tcBorders>
              <w:top w:val="nil"/>
              <w:left w:val="nil"/>
              <w:bottom w:val="single" w:sz="8" w:space="0" w:color="auto"/>
              <w:right w:val="nil"/>
            </w:tcBorders>
            <w:shd w:val="clear" w:color="auto" w:fill="auto"/>
            <w:noWrap/>
            <w:vAlign w:val="bottom"/>
            <w:hideMark/>
          </w:tcPr>
          <w:p w:rsidR="00A46DCA" w:rsidRPr="009372C1" w:rsidRDefault="00A46DCA" w:rsidP="00A26D04">
            <w:pPr>
              <w:keepLines w:val="0"/>
              <w:rPr>
                <w:rFonts w:eastAsia="Calibri" w:cs="Times New Roman"/>
                <w:b/>
                <w:bCs/>
                <w:szCs w:val="17"/>
              </w:rPr>
            </w:pPr>
            <w:r w:rsidRPr="009372C1">
              <w:rPr>
                <w:rFonts w:eastAsia="Calibri" w:cs="Times New Roman"/>
                <w:b/>
                <w:bCs/>
                <w:szCs w:val="17"/>
              </w:rPr>
              <w:t>Net debt</w:t>
            </w:r>
          </w:p>
        </w:tc>
        <w:tc>
          <w:tcPr>
            <w:tcW w:w="850" w:type="dxa"/>
            <w:tcBorders>
              <w:top w:val="nil"/>
              <w:left w:val="nil"/>
              <w:bottom w:val="single" w:sz="8" w:space="0" w:color="auto"/>
              <w:right w:val="nil"/>
            </w:tcBorders>
            <w:shd w:val="clear" w:color="auto" w:fill="auto"/>
            <w:noWrap/>
            <w:vAlign w:val="bottom"/>
            <w:hideMark/>
          </w:tcPr>
          <w:p w:rsidR="00A46DCA" w:rsidRPr="009372C1" w:rsidRDefault="00A46DCA" w:rsidP="00A26D04">
            <w:pPr>
              <w:cnfStyle w:val="000000000000" w:firstRow="0" w:lastRow="0" w:firstColumn="0" w:lastColumn="0" w:oddVBand="0" w:evenVBand="0" w:oddHBand="0" w:evenHBand="0" w:firstRowFirstColumn="0" w:firstRowLastColumn="0" w:lastRowFirstColumn="0" w:lastRowLastColumn="0"/>
              <w:rPr>
                <w:b/>
                <w:bCs/>
                <w:szCs w:val="17"/>
              </w:rPr>
            </w:pPr>
            <w:r w:rsidRPr="009372C1">
              <w:rPr>
                <w:b/>
                <w:bCs/>
                <w:szCs w:val="17"/>
              </w:rPr>
              <w:t>156</w:t>
            </w:r>
          </w:p>
        </w:tc>
        <w:tc>
          <w:tcPr>
            <w:tcW w:w="850" w:type="dxa"/>
            <w:tcBorders>
              <w:top w:val="nil"/>
              <w:left w:val="nil"/>
              <w:bottom w:val="single" w:sz="8" w:space="0" w:color="auto"/>
              <w:right w:val="nil"/>
            </w:tcBorders>
            <w:shd w:val="clear" w:color="auto" w:fill="auto"/>
            <w:noWrap/>
            <w:vAlign w:val="bottom"/>
            <w:hideMark/>
          </w:tcPr>
          <w:p w:rsidR="00A46DCA" w:rsidRPr="009372C1" w:rsidRDefault="00A46DCA" w:rsidP="00A26D04">
            <w:pPr>
              <w:cnfStyle w:val="000000000000" w:firstRow="0" w:lastRow="0" w:firstColumn="0" w:lastColumn="0" w:oddVBand="0" w:evenVBand="0" w:oddHBand="0" w:evenHBand="0" w:firstRowFirstColumn="0" w:firstRowLastColumn="0" w:lastRowFirstColumn="0" w:lastRowLastColumn="0"/>
              <w:rPr>
                <w:b/>
                <w:bCs/>
                <w:szCs w:val="17"/>
              </w:rPr>
            </w:pPr>
            <w:r w:rsidRPr="009372C1">
              <w:rPr>
                <w:b/>
                <w:bCs/>
                <w:szCs w:val="17"/>
              </w:rPr>
              <w:t>333</w:t>
            </w:r>
          </w:p>
        </w:tc>
        <w:tc>
          <w:tcPr>
            <w:tcW w:w="850" w:type="dxa"/>
            <w:tcBorders>
              <w:top w:val="nil"/>
              <w:left w:val="nil"/>
              <w:bottom w:val="single" w:sz="8" w:space="0" w:color="auto"/>
              <w:right w:val="nil"/>
            </w:tcBorders>
            <w:shd w:val="clear" w:color="auto" w:fill="auto"/>
            <w:noWrap/>
            <w:vAlign w:val="bottom"/>
            <w:hideMark/>
          </w:tcPr>
          <w:p w:rsidR="00A46DCA" w:rsidRPr="009372C1" w:rsidRDefault="00A46DCA" w:rsidP="00A26D04">
            <w:pPr>
              <w:cnfStyle w:val="000000000000" w:firstRow="0" w:lastRow="0" w:firstColumn="0" w:lastColumn="0" w:oddVBand="0" w:evenVBand="0" w:oddHBand="0" w:evenHBand="0" w:firstRowFirstColumn="0" w:firstRowLastColumn="0" w:lastRowFirstColumn="0" w:lastRowLastColumn="0"/>
              <w:rPr>
                <w:b/>
                <w:bCs/>
                <w:szCs w:val="17"/>
              </w:rPr>
            </w:pPr>
            <w:r w:rsidRPr="009372C1">
              <w:rPr>
                <w:b/>
                <w:bCs/>
                <w:szCs w:val="17"/>
              </w:rPr>
              <w:t>520</w:t>
            </w:r>
          </w:p>
        </w:tc>
        <w:tc>
          <w:tcPr>
            <w:tcW w:w="850" w:type="dxa"/>
            <w:tcBorders>
              <w:top w:val="nil"/>
              <w:left w:val="nil"/>
              <w:bottom w:val="single" w:sz="8" w:space="0" w:color="auto"/>
              <w:right w:val="nil"/>
            </w:tcBorders>
            <w:shd w:val="clear" w:color="auto" w:fill="auto"/>
            <w:noWrap/>
            <w:vAlign w:val="bottom"/>
            <w:hideMark/>
          </w:tcPr>
          <w:p w:rsidR="00A46DCA" w:rsidRPr="009372C1" w:rsidRDefault="00A46DCA" w:rsidP="00A26D04">
            <w:pPr>
              <w:cnfStyle w:val="000000000000" w:firstRow="0" w:lastRow="0" w:firstColumn="0" w:lastColumn="0" w:oddVBand="0" w:evenVBand="0" w:oddHBand="0" w:evenHBand="0" w:firstRowFirstColumn="0" w:firstRowLastColumn="0" w:lastRowFirstColumn="0" w:lastRowLastColumn="0"/>
              <w:rPr>
                <w:b/>
                <w:bCs/>
                <w:szCs w:val="17"/>
              </w:rPr>
            </w:pPr>
            <w:r w:rsidRPr="009372C1">
              <w:rPr>
                <w:b/>
                <w:bCs/>
                <w:szCs w:val="17"/>
              </w:rPr>
              <w:t>717</w:t>
            </w:r>
          </w:p>
        </w:tc>
      </w:tr>
      <w:tr w:rsidR="00A46DCA" w:rsidRPr="009372C1" w:rsidTr="004906A4">
        <w:tc>
          <w:tcPr>
            <w:cnfStyle w:val="001000000000" w:firstRow="0" w:lastRow="0" w:firstColumn="1" w:lastColumn="0" w:oddVBand="0" w:evenVBand="0" w:oddHBand="0" w:evenHBand="0" w:firstRowFirstColumn="0" w:firstRowLastColumn="0" w:lastRowFirstColumn="0" w:lastRowLastColumn="0"/>
            <w:tcW w:w="4367" w:type="dxa"/>
            <w:tcBorders>
              <w:top w:val="nil"/>
              <w:left w:val="nil"/>
              <w:bottom w:val="nil"/>
              <w:right w:val="nil"/>
            </w:tcBorders>
            <w:shd w:val="clear" w:color="auto" w:fill="auto"/>
            <w:noWrap/>
            <w:vAlign w:val="bottom"/>
            <w:hideMark/>
          </w:tcPr>
          <w:p w:rsidR="00A46DCA" w:rsidRPr="009372C1" w:rsidRDefault="00A46DCA" w:rsidP="00A26D04">
            <w:pPr>
              <w:keepLines w:val="0"/>
              <w:rPr>
                <w:rFonts w:eastAsia="Calibri" w:cs="Times New Roman"/>
                <w:b/>
                <w:bCs/>
                <w:szCs w:val="17"/>
              </w:rPr>
            </w:pPr>
            <w:r w:rsidRPr="009372C1">
              <w:rPr>
                <w:rFonts w:eastAsia="Calibri" w:cs="Times New Roman"/>
                <w:b/>
                <w:bCs/>
                <w:szCs w:val="17"/>
              </w:rPr>
              <w:t xml:space="preserve">Consumer prices </w:t>
            </w:r>
            <w:r w:rsidRPr="009372C1">
              <w:rPr>
                <w:rFonts w:eastAsia="Calibri" w:cs="Times New Roman"/>
                <w:b/>
                <w:bCs/>
                <w:szCs w:val="17"/>
                <w:vertAlign w:val="superscript"/>
              </w:rPr>
              <w:t>(f)</w:t>
            </w:r>
          </w:p>
        </w:tc>
        <w:tc>
          <w:tcPr>
            <w:tcW w:w="850" w:type="dxa"/>
            <w:tcBorders>
              <w:top w:val="nil"/>
              <w:left w:val="nil"/>
              <w:bottom w:val="nil"/>
              <w:right w:val="nil"/>
            </w:tcBorders>
            <w:shd w:val="clear" w:color="auto" w:fill="auto"/>
            <w:noWrap/>
            <w:vAlign w:val="bottom"/>
            <w:hideMark/>
          </w:tcPr>
          <w:p w:rsidR="00A46DCA" w:rsidRPr="009372C1" w:rsidRDefault="00A46DCA" w:rsidP="00A26D04">
            <w:pPr>
              <w:cnfStyle w:val="000000000000" w:firstRow="0" w:lastRow="0" w:firstColumn="0" w:lastColumn="0" w:oddVBand="0" w:evenVBand="0" w:oddHBand="0" w:evenHBand="0" w:firstRowFirstColumn="0" w:firstRowLastColumn="0" w:lastRowFirstColumn="0" w:lastRowLastColumn="0"/>
              <w:rPr>
                <w:szCs w:val="17"/>
              </w:rPr>
            </w:pPr>
          </w:p>
        </w:tc>
        <w:tc>
          <w:tcPr>
            <w:tcW w:w="850" w:type="dxa"/>
            <w:tcBorders>
              <w:top w:val="nil"/>
              <w:left w:val="nil"/>
              <w:bottom w:val="nil"/>
              <w:right w:val="nil"/>
            </w:tcBorders>
            <w:shd w:val="clear" w:color="auto" w:fill="auto"/>
            <w:noWrap/>
            <w:vAlign w:val="bottom"/>
            <w:hideMark/>
          </w:tcPr>
          <w:p w:rsidR="00A46DCA" w:rsidRPr="009372C1" w:rsidRDefault="00A46DCA" w:rsidP="00A26D04">
            <w:pPr>
              <w:cnfStyle w:val="000000000000" w:firstRow="0" w:lastRow="0" w:firstColumn="0" w:lastColumn="0" w:oddVBand="0" w:evenVBand="0" w:oddHBand="0" w:evenHBand="0" w:firstRowFirstColumn="0" w:firstRowLastColumn="0" w:lastRowFirstColumn="0" w:lastRowLastColumn="0"/>
              <w:rPr>
                <w:szCs w:val="17"/>
              </w:rPr>
            </w:pPr>
          </w:p>
        </w:tc>
        <w:tc>
          <w:tcPr>
            <w:tcW w:w="850" w:type="dxa"/>
            <w:tcBorders>
              <w:top w:val="nil"/>
              <w:left w:val="nil"/>
              <w:bottom w:val="nil"/>
              <w:right w:val="nil"/>
            </w:tcBorders>
            <w:shd w:val="clear" w:color="auto" w:fill="auto"/>
            <w:noWrap/>
            <w:vAlign w:val="bottom"/>
            <w:hideMark/>
          </w:tcPr>
          <w:p w:rsidR="00A46DCA" w:rsidRPr="009372C1" w:rsidRDefault="00A46DCA" w:rsidP="00A26D04">
            <w:pPr>
              <w:cnfStyle w:val="000000000000" w:firstRow="0" w:lastRow="0" w:firstColumn="0" w:lastColumn="0" w:oddVBand="0" w:evenVBand="0" w:oddHBand="0" w:evenHBand="0" w:firstRowFirstColumn="0" w:firstRowLastColumn="0" w:lastRowFirstColumn="0" w:lastRowLastColumn="0"/>
              <w:rPr>
                <w:szCs w:val="17"/>
              </w:rPr>
            </w:pPr>
          </w:p>
        </w:tc>
        <w:tc>
          <w:tcPr>
            <w:tcW w:w="850" w:type="dxa"/>
            <w:tcBorders>
              <w:top w:val="nil"/>
              <w:left w:val="nil"/>
              <w:bottom w:val="nil"/>
              <w:right w:val="nil"/>
            </w:tcBorders>
            <w:shd w:val="clear" w:color="auto" w:fill="auto"/>
            <w:noWrap/>
            <w:vAlign w:val="bottom"/>
            <w:hideMark/>
          </w:tcPr>
          <w:p w:rsidR="00A46DCA" w:rsidRPr="009372C1" w:rsidRDefault="00A46DCA" w:rsidP="00A26D04">
            <w:pPr>
              <w:cnfStyle w:val="000000000000" w:firstRow="0" w:lastRow="0" w:firstColumn="0" w:lastColumn="0" w:oddVBand="0" w:evenVBand="0" w:oddHBand="0" w:evenHBand="0" w:firstRowFirstColumn="0" w:firstRowLastColumn="0" w:lastRowFirstColumn="0" w:lastRowLastColumn="0"/>
              <w:rPr>
                <w:szCs w:val="17"/>
              </w:rPr>
            </w:pPr>
          </w:p>
        </w:tc>
      </w:tr>
      <w:tr w:rsidR="00A46DCA" w:rsidRPr="009372C1" w:rsidTr="004906A4">
        <w:tc>
          <w:tcPr>
            <w:cnfStyle w:val="001000000000" w:firstRow="0" w:lastRow="0" w:firstColumn="1" w:lastColumn="0" w:oddVBand="0" w:evenVBand="0" w:oddHBand="0" w:evenHBand="0" w:firstRowFirstColumn="0" w:firstRowLastColumn="0" w:lastRowFirstColumn="0" w:lastRowLastColumn="0"/>
            <w:tcW w:w="4367" w:type="dxa"/>
            <w:tcBorders>
              <w:top w:val="nil"/>
              <w:left w:val="nil"/>
              <w:bottom w:val="nil"/>
              <w:right w:val="nil"/>
            </w:tcBorders>
            <w:shd w:val="clear" w:color="auto" w:fill="auto"/>
            <w:noWrap/>
            <w:vAlign w:val="bottom"/>
            <w:hideMark/>
          </w:tcPr>
          <w:p w:rsidR="00A46DCA" w:rsidRPr="009372C1" w:rsidRDefault="00A46DCA" w:rsidP="00A26D04">
            <w:pPr>
              <w:keepLines w:val="0"/>
              <w:rPr>
                <w:rFonts w:eastAsia="Calibri" w:cs="Times New Roman"/>
                <w:szCs w:val="17"/>
              </w:rPr>
            </w:pPr>
            <w:r w:rsidRPr="009372C1">
              <w:rPr>
                <w:rFonts w:eastAsia="Calibri" w:cs="Times New Roman"/>
                <w:szCs w:val="17"/>
              </w:rPr>
              <w:t>Income from transactions</w:t>
            </w:r>
          </w:p>
        </w:tc>
        <w:tc>
          <w:tcPr>
            <w:tcW w:w="850" w:type="dxa"/>
            <w:tcBorders>
              <w:top w:val="nil"/>
              <w:left w:val="nil"/>
              <w:bottom w:val="nil"/>
              <w:right w:val="nil"/>
            </w:tcBorders>
            <w:shd w:val="clear" w:color="000000" w:fill="FFFFFF"/>
            <w:noWrap/>
            <w:vAlign w:val="bottom"/>
            <w:hideMark/>
          </w:tcPr>
          <w:p w:rsidR="00A46DCA" w:rsidRPr="009372C1" w:rsidRDefault="00A46DCA" w:rsidP="00A26D04">
            <w:pPr>
              <w:cnfStyle w:val="000000000000" w:firstRow="0" w:lastRow="0" w:firstColumn="0" w:lastColumn="0" w:oddVBand="0" w:evenVBand="0" w:oddHBand="0" w:evenHBand="0" w:firstRowFirstColumn="0" w:firstRowLastColumn="0" w:lastRowFirstColumn="0" w:lastRowLastColumn="0"/>
              <w:rPr>
                <w:szCs w:val="17"/>
              </w:rPr>
            </w:pPr>
            <w:r w:rsidRPr="009372C1">
              <w:rPr>
                <w:szCs w:val="17"/>
              </w:rPr>
              <w:t>155</w:t>
            </w:r>
          </w:p>
        </w:tc>
        <w:tc>
          <w:tcPr>
            <w:tcW w:w="850" w:type="dxa"/>
            <w:tcBorders>
              <w:top w:val="nil"/>
              <w:left w:val="nil"/>
              <w:bottom w:val="nil"/>
              <w:right w:val="nil"/>
            </w:tcBorders>
            <w:shd w:val="clear" w:color="000000" w:fill="FFFFFF"/>
            <w:noWrap/>
            <w:vAlign w:val="bottom"/>
            <w:hideMark/>
          </w:tcPr>
          <w:p w:rsidR="00A46DCA" w:rsidRPr="009372C1" w:rsidRDefault="00A46DCA" w:rsidP="00A26D04">
            <w:pPr>
              <w:cnfStyle w:val="000000000000" w:firstRow="0" w:lastRow="0" w:firstColumn="0" w:lastColumn="0" w:oddVBand="0" w:evenVBand="0" w:oddHBand="0" w:evenHBand="0" w:firstRowFirstColumn="0" w:firstRowLastColumn="0" w:lastRowFirstColumn="0" w:lastRowLastColumn="0"/>
              <w:rPr>
                <w:szCs w:val="17"/>
              </w:rPr>
            </w:pPr>
            <w:r w:rsidRPr="009372C1">
              <w:rPr>
                <w:szCs w:val="17"/>
              </w:rPr>
              <w:t>265</w:t>
            </w:r>
          </w:p>
        </w:tc>
        <w:tc>
          <w:tcPr>
            <w:tcW w:w="850" w:type="dxa"/>
            <w:tcBorders>
              <w:top w:val="nil"/>
              <w:left w:val="nil"/>
              <w:bottom w:val="nil"/>
              <w:right w:val="nil"/>
            </w:tcBorders>
            <w:shd w:val="clear" w:color="000000" w:fill="FFFFFF"/>
            <w:noWrap/>
            <w:vAlign w:val="bottom"/>
            <w:hideMark/>
          </w:tcPr>
          <w:p w:rsidR="00A46DCA" w:rsidRPr="009372C1" w:rsidRDefault="00A46DCA" w:rsidP="00A26D04">
            <w:pPr>
              <w:cnfStyle w:val="000000000000" w:firstRow="0" w:lastRow="0" w:firstColumn="0" w:lastColumn="0" w:oddVBand="0" w:evenVBand="0" w:oddHBand="0" w:evenHBand="0" w:firstRowFirstColumn="0" w:firstRowLastColumn="0" w:lastRowFirstColumn="0" w:lastRowLastColumn="0"/>
              <w:rPr>
                <w:szCs w:val="17"/>
              </w:rPr>
            </w:pPr>
            <w:r w:rsidRPr="009372C1">
              <w:rPr>
                <w:szCs w:val="17"/>
              </w:rPr>
              <w:t>279</w:t>
            </w:r>
          </w:p>
        </w:tc>
        <w:tc>
          <w:tcPr>
            <w:tcW w:w="850" w:type="dxa"/>
            <w:tcBorders>
              <w:top w:val="nil"/>
              <w:left w:val="nil"/>
              <w:bottom w:val="nil"/>
              <w:right w:val="nil"/>
            </w:tcBorders>
            <w:shd w:val="clear" w:color="000000" w:fill="FFFFFF"/>
            <w:noWrap/>
            <w:vAlign w:val="bottom"/>
            <w:hideMark/>
          </w:tcPr>
          <w:p w:rsidR="00A46DCA" w:rsidRPr="009372C1" w:rsidRDefault="00A46DCA" w:rsidP="00A26D04">
            <w:pPr>
              <w:cnfStyle w:val="000000000000" w:firstRow="0" w:lastRow="0" w:firstColumn="0" w:lastColumn="0" w:oddVBand="0" w:evenVBand="0" w:oddHBand="0" w:evenHBand="0" w:firstRowFirstColumn="0" w:firstRowLastColumn="0" w:lastRowFirstColumn="0" w:lastRowLastColumn="0"/>
              <w:rPr>
                <w:szCs w:val="17"/>
              </w:rPr>
            </w:pPr>
            <w:r w:rsidRPr="009372C1">
              <w:rPr>
                <w:szCs w:val="17"/>
              </w:rPr>
              <w:t>291</w:t>
            </w:r>
          </w:p>
        </w:tc>
      </w:tr>
      <w:tr w:rsidR="00A46DCA" w:rsidRPr="009372C1" w:rsidTr="004906A4">
        <w:tc>
          <w:tcPr>
            <w:cnfStyle w:val="001000000000" w:firstRow="0" w:lastRow="0" w:firstColumn="1" w:lastColumn="0" w:oddVBand="0" w:evenVBand="0" w:oddHBand="0" w:evenHBand="0" w:firstRowFirstColumn="0" w:firstRowLastColumn="0" w:lastRowFirstColumn="0" w:lastRowLastColumn="0"/>
            <w:tcW w:w="4367" w:type="dxa"/>
            <w:tcBorders>
              <w:top w:val="nil"/>
              <w:left w:val="nil"/>
              <w:bottom w:val="nil"/>
              <w:right w:val="nil"/>
            </w:tcBorders>
            <w:shd w:val="clear" w:color="auto" w:fill="auto"/>
            <w:noWrap/>
            <w:vAlign w:val="bottom"/>
            <w:hideMark/>
          </w:tcPr>
          <w:p w:rsidR="00A46DCA" w:rsidRPr="009372C1" w:rsidRDefault="00A46DCA" w:rsidP="00A26D04">
            <w:pPr>
              <w:keepLines w:val="0"/>
              <w:rPr>
                <w:rFonts w:eastAsia="Calibri" w:cs="Times New Roman"/>
                <w:szCs w:val="17"/>
              </w:rPr>
            </w:pPr>
            <w:r w:rsidRPr="009372C1">
              <w:rPr>
                <w:rFonts w:eastAsia="Calibri" w:cs="Times New Roman"/>
                <w:szCs w:val="17"/>
              </w:rPr>
              <w:t>Expenses from transactions</w:t>
            </w:r>
          </w:p>
        </w:tc>
        <w:tc>
          <w:tcPr>
            <w:tcW w:w="850" w:type="dxa"/>
            <w:tcBorders>
              <w:top w:val="nil"/>
              <w:left w:val="nil"/>
              <w:bottom w:val="nil"/>
              <w:right w:val="nil"/>
            </w:tcBorders>
            <w:shd w:val="clear" w:color="000000" w:fill="FFFFFF"/>
            <w:noWrap/>
            <w:vAlign w:val="bottom"/>
            <w:hideMark/>
          </w:tcPr>
          <w:p w:rsidR="00A46DCA" w:rsidRPr="009372C1" w:rsidRDefault="00A46DCA" w:rsidP="00A26D04">
            <w:pPr>
              <w:cnfStyle w:val="000000000000" w:firstRow="0" w:lastRow="0" w:firstColumn="0" w:lastColumn="0" w:oddVBand="0" w:evenVBand="0" w:oddHBand="0" w:evenHBand="0" w:firstRowFirstColumn="0" w:firstRowLastColumn="0" w:lastRowFirstColumn="0" w:lastRowLastColumn="0"/>
              <w:rPr>
                <w:szCs w:val="17"/>
              </w:rPr>
            </w:pPr>
            <w:r w:rsidRPr="009372C1">
              <w:rPr>
                <w:szCs w:val="17"/>
              </w:rPr>
              <w:t>211</w:t>
            </w:r>
          </w:p>
        </w:tc>
        <w:tc>
          <w:tcPr>
            <w:tcW w:w="850" w:type="dxa"/>
            <w:tcBorders>
              <w:top w:val="nil"/>
              <w:left w:val="nil"/>
              <w:bottom w:val="nil"/>
              <w:right w:val="nil"/>
            </w:tcBorders>
            <w:shd w:val="clear" w:color="000000" w:fill="FFFFFF"/>
            <w:noWrap/>
            <w:vAlign w:val="bottom"/>
            <w:hideMark/>
          </w:tcPr>
          <w:p w:rsidR="00A46DCA" w:rsidRPr="009372C1" w:rsidRDefault="00A46DCA" w:rsidP="00A26D04">
            <w:pPr>
              <w:cnfStyle w:val="000000000000" w:firstRow="0" w:lastRow="0" w:firstColumn="0" w:lastColumn="0" w:oddVBand="0" w:evenVBand="0" w:oddHBand="0" w:evenHBand="0" w:firstRowFirstColumn="0" w:firstRowLastColumn="0" w:lastRowFirstColumn="0" w:lastRowLastColumn="0"/>
              <w:rPr>
                <w:szCs w:val="17"/>
              </w:rPr>
            </w:pPr>
            <w:r w:rsidRPr="009372C1">
              <w:rPr>
                <w:szCs w:val="17"/>
              </w:rPr>
              <w:t>217</w:t>
            </w:r>
          </w:p>
        </w:tc>
        <w:tc>
          <w:tcPr>
            <w:tcW w:w="850" w:type="dxa"/>
            <w:tcBorders>
              <w:top w:val="nil"/>
              <w:left w:val="nil"/>
              <w:bottom w:val="nil"/>
              <w:right w:val="nil"/>
            </w:tcBorders>
            <w:shd w:val="clear" w:color="000000" w:fill="FFFFFF"/>
            <w:noWrap/>
            <w:vAlign w:val="bottom"/>
            <w:hideMark/>
          </w:tcPr>
          <w:p w:rsidR="00A46DCA" w:rsidRPr="009372C1" w:rsidRDefault="00A46DCA" w:rsidP="00A26D04">
            <w:pPr>
              <w:cnfStyle w:val="000000000000" w:firstRow="0" w:lastRow="0" w:firstColumn="0" w:lastColumn="0" w:oddVBand="0" w:evenVBand="0" w:oddHBand="0" w:evenHBand="0" w:firstRowFirstColumn="0" w:firstRowLastColumn="0" w:lastRowFirstColumn="0" w:lastRowLastColumn="0"/>
              <w:rPr>
                <w:szCs w:val="17"/>
              </w:rPr>
            </w:pPr>
            <w:r w:rsidRPr="009372C1">
              <w:rPr>
                <w:szCs w:val="17"/>
              </w:rPr>
              <w:t>208</w:t>
            </w:r>
          </w:p>
        </w:tc>
        <w:tc>
          <w:tcPr>
            <w:tcW w:w="850" w:type="dxa"/>
            <w:tcBorders>
              <w:top w:val="nil"/>
              <w:left w:val="nil"/>
              <w:bottom w:val="nil"/>
              <w:right w:val="nil"/>
            </w:tcBorders>
            <w:shd w:val="clear" w:color="000000" w:fill="FFFFFF"/>
            <w:noWrap/>
            <w:vAlign w:val="bottom"/>
            <w:hideMark/>
          </w:tcPr>
          <w:p w:rsidR="00A46DCA" w:rsidRPr="009372C1" w:rsidRDefault="00A46DCA" w:rsidP="00A26D04">
            <w:pPr>
              <w:cnfStyle w:val="000000000000" w:firstRow="0" w:lastRow="0" w:firstColumn="0" w:lastColumn="0" w:oddVBand="0" w:evenVBand="0" w:oddHBand="0" w:evenHBand="0" w:firstRowFirstColumn="0" w:firstRowLastColumn="0" w:lastRowFirstColumn="0" w:lastRowLastColumn="0"/>
              <w:rPr>
                <w:szCs w:val="17"/>
              </w:rPr>
            </w:pPr>
            <w:r w:rsidRPr="009372C1">
              <w:rPr>
                <w:szCs w:val="17"/>
              </w:rPr>
              <w:t>212</w:t>
            </w:r>
          </w:p>
        </w:tc>
      </w:tr>
      <w:tr w:rsidR="00A46DCA" w:rsidRPr="009372C1" w:rsidTr="004906A4">
        <w:tc>
          <w:tcPr>
            <w:cnfStyle w:val="001000000000" w:firstRow="0" w:lastRow="0" w:firstColumn="1" w:lastColumn="0" w:oddVBand="0" w:evenVBand="0" w:oddHBand="0" w:evenHBand="0" w:firstRowFirstColumn="0" w:firstRowLastColumn="0" w:lastRowFirstColumn="0" w:lastRowLastColumn="0"/>
            <w:tcW w:w="4367" w:type="dxa"/>
            <w:tcBorders>
              <w:top w:val="single" w:sz="4" w:space="0" w:color="auto"/>
              <w:left w:val="nil"/>
              <w:bottom w:val="single" w:sz="4" w:space="0" w:color="auto"/>
              <w:right w:val="nil"/>
            </w:tcBorders>
            <w:shd w:val="clear" w:color="auto" w:fill="auto"/>
            <w:noWrap/>
            <w:vAlign w:val="bottom"/>
            <w:hideMark/>
          </w:tcPr>
          <w:p w:rsidR="00A46DCA" w:rsidRPr="009372C1" w:rsidRDefault="00A46DCA" w:rsidP="00A26D04">
            <w:pPr>
              <w:keepLines w:val="0"/>
              <w:rPr>
                <w:rFonts w:eastAsia="Calibri" w:cs="Times New Roman"/>
                <w:b/>
                <w:bCs/>
                <w:szCs w:val="17"/>
              </w:rPr>
            </w:pPr>
            <w:r w:rsidRPr="009372C1">
              <w:rPr>
                <w:rFonts w:eastAsia="Calibri" w:cs="Times New Roman"/>
                <w:b/>
                <w:bCs/>
                <w:szCs w:val="17"/>
              </w:rPr>
              <w:t>Net result from transactions</w:t>
            </w:r>
          </w:p>
        </w:tc>
        <w:tc>
          <w:tcPr>
            <w:tcW w:w="850" w:type="dxa"/>
            <w:tcBorders>
              <w:top w:val="single" w:sz="4" w:space="0" w:color="auto"/>
              <w:left w:val="nil"/>
              <w:bottom w:val="single" w:sz="4" w:space="0" w:color="auto"/>
              <w:right w:val="nil"/>
            </w:tcBorders>
            <w:shd w:val="clear" w:color="000000" w:fill="FFFFFF"/>
            <w:noWrap/>
            <w:vAlign w:val="bottom"/>
            <w:hideMark/>
          </w:tcPr>
          <w:p w:rsidR="00A46DCA" w:rsidRPr="009372C1" w:rsidRDefault="00A46DCA" w:rsidP="00A26D04">
            <w:pPr>
              <w:cnfStyle w:val="000000000000" w:firstRow="0" w:lastRow="0" w:firstColumn="0" w:lastColumn="0" w:oddVBand="0" w:evenVBand="0" w:oddHBand="0" w:evenHBand="0" w:firstRowFirstColumn="0" w:firstRowLastColumn="0" w:lastRowFirstColumn="0" w:lastRowLastColumn="0"/>
              <w:rPr>
                <w:b/>
                <w:bCs/>
                <w:szCs w:val="17"/>
              </w:rPr>
            </w:pPr>
            <w:r w:rsidRPr="009372C1">
              <w:rPr>
                <w:b/>
                <w:bCs/>
                <w:szCs w:val="17"/>
              </w:rPr>
              <w:t>(56)</w:t>
            </w:r>
          </w:p>
        </w:tc>
        <w:tc>
          <w:tcPr>
            <w:tcW w:w="850" w:type="dxa"/>
            <w:tcBorders>
              <w:top w:val="single" w:sz="4" w:space="0" w:color="auto"/>
              <w:left w:val="nil"/>
              <w:bottom w:val="single" w:sz="4" w:space="0" w:color="auto"/>
              <w:right w:val="nil"/>
            </w:tcBorders>
            <w:shd w:val="clear" w:color="000000" w:fill="FFFFFF"/>
            <w:noWrap/>
            <w:vAlign w:val="bottom"/>
            <w:hideMark/>
          </w:tcPr>
          <w:p w:rsidR="00A46DCA" w:rsidRPr="009372C1" w:rsidRDefault="00A46DCA" w:rsidP="00A26D04">
            <w:pPr>
              <w:cnfStyle w:val="000000000000" w:firstRow="0" w:lastRow="0" w:firstColumn="0" w:lastColumn="0" w:oddVBand="0" w:evenVBand="0" w:oddHBand="0" w:evenHBand="0" w:firstRowFirstColumn="0" w:firstRowLastColumn="0" w:lastRowFirstColumn="0" w:lastRowLastColumn="0"/>
              <w:rPr>
                <w:b/>
                <w:bCs/>
                <w:szCs w:val="17"/>
              </w:rPr>
            </w:pPr>
            <w:r w:rsidRPr="009372C1">
              <w:rPr>
                <w:b/>
                <w:bCs/>
                <w:szCs w:val="17"/>
              </w:rPr>
              <w:t>48</w:t>
            </w:r>
          </w:p>
        </w:tc>
        <w:tc>
          <w:tcPr>
            <w:tcW w:w="850" w:type="dxa"/>
            <w:tcBorders>
              <w:top w:val="single" w:sz="4" w:space="0" w:color="auto"/>
              <w:left w:val="nil"/>
              <w:bottom w:val="single" w:sz="4" w:space="0" w:color="auto"/>
              <w:right w:val="nil"/>
            </w:tcBorders>
            <w:shd w:val="clear" w:color="000000" w:fill="FFFFFF"/>
            <w:noWrap/>
            <w:vAlign w:val="bottom"/>
            <w:hideMark/>
          </w:tcPr>
          <w:p w:rsidR="00A46DCA" w:rsidRPr="009372C1" w:rsidRDefault="00A46DCA" w:rsidP="00A26D04">
            <w:pPr>
              <w:cnfStyle w:val="000000000000" w:firstRow="0" w:lastRow="0" w:firstColumn="0" w:lastColumn="0" w:oddVBand="0" w:evenVBand="0" w:oddHBand="0" w:evenHBand="0" w:firstRowFirstColumn="0" w:firstRowLastColumn="0" w:lastRowFirstColumn="0" w:lastRowLastColumn="0"/>
              <w:rPr>
                <w:b/>
                <w:bCs/>
                <w:szCs w:val="17"/>
              </w:rPr>
            </w:pPr>
            <w:r w:rsidRPr="009372C1">
              <w:rPr>
                <w:b/>
                <w:bCs/>
                <w:szCs w:val="17"/>
              </w:rPr>
              <w:t>71</w:t>
            </w:r>
          </w:p>
        </w:tc>
        <w:tc>
          <w:tcPr>
            <w:tcW w:w="850" w:type="dxa"/>
            <w:tcBorders>
              <w:top w:val="single" w:sz="4" w:space="0" w:color="auto"/>
              <w:left w:val="nil"/>
              <w:bottom w:val="single" w:sz="4" w:space="0" w:color="auto"/>
              <w:right w:val="nil"/>
            </w:tcBorders>
            <w:shd w:val="clear" w:color="000000" w:fill="FFFFFF"/>
            <w:noWrap/>
            <w:vAlign w:val="bottom"/>
            <w:hideMark/>
          </w:tcPr>
          <w:p w:rsidR="00A46DCA" w:rsidRPr="009372C1" w:rsidRDefault="00A46DCA" w:rsidP="00A26D04">
            <w:pPr>
              <w:cnfStyle w:val="000000000000" w:firstRow="0" w:lastRow="0" w:firstColumn="0" w:lastColumn="0" w:oddVBand="0" w:evenVBand="0" w:oddHBand="0" w:evenHBand="0" w:firstRowFirstColumn="0" w:firstRowLastColumn="0" w:lastRowFirstColumn="0" w:lastRowLastColumn="0"/>
              <w:rPr>
                <w:b/>
                <w:bCs/>
                <w:szCs w:val="17"/>
              </w:rPr>
            </w:pPr>
            <w:r w:rsidRPr="009372C1">
              <w:rPr>
                <w:b/>
                <w:bCs/>
                <w:szCs w:val="17"/>
              </w:rPr>
              <w:t>79</w:t>
            </w:r>
          </w:p>
        </w:tc>
      </w:tr>
      <w:tr w:rsidR="00A46DCA" w:rsidRPr="009372C1" w:rsidTr="004906A4">
        <w:tc>
          <w:tcPr>
            <w:cnfStyle w:val="001000000000" w:firstRow="0" w:lastRow="0" w:firstColumn="1" w:lastColumn="0" w:oddVBand="0" w:evenVBand="0" w:oddHBand="0" w:evenHBand="0" w:firstRowFirstColumn="0" w:firstRowLastColumn="0" w:lastRowFirstColumn="0" w:lastRowLastColumn="0"/>
            <w:tcW w:w="4367" w:type="dxa"/>
            <w:tcBorders>
              <w:top w:val="nil"/>
              <w:left w:val="nil"/>
              <w:bottom w:val="single" w:sz="8" w:space="0" w:color="auto"/>
              <w:right w:val="nil"/>
            </w:tcBorders>
            <w:shd w:val="clear" w:color="auto" w:fill="auto"/>
            <w:noWrap/>
            <w:vAlign w:val="bottom"/>
            <w:hideMark/>
          </w:tcPr>
          <w:p w:rsidR="00A46DCA" w:rsidRPr="009372C1" w:rsidRDefault="00A46DCA" w:rsidP="00A26D04">
            <w:pPr>
              <w:keepLines w:val="0"/>
              <w:rPr>
                <w:rFonts w:eastAsia="Calibri" w:cs="Times New Roman"/>
                <w:b/>
                <w:bCs/>
                <w:szCs w:val="17"/>
              </w:rPr>
            </w:pPr>
            <w:r w:rsidRPr="009372C1">
              <w:rPr>
                <w:rFonts w:eastAsia="Calibri" w:cs="Times New Roman"/>
                <w:b/>
                <w:bCs/>
                <w:szCs w:val="17"/>
              </w:rPr>
              <w:t>Net debt</w:t>
            </w:r>
          </w:p>
        </w:tc>
        <w:tc>
          <w:tcPr>
            <w:tcW w:w="850" w:type="dxa"/>
            <w:tcBorders>
              <w:top w:val="nil"/>
              <w:left w:val="nil"/>
              <w:bottom w:val="single" w:sz="8" w:space="0" w:color="auto"/>
              <w:right w:val="nil"/>
            </w:tcBorders>
            <w:shd w:val="clear" w:color="000000" w:fill="FFFFFF"/>
            <w:noWrap/>
            <w:vAlign w:val="bottom"/>
            <w:hideMark/>
          </w:tcPr>
          <w:p w:rsidR="00A46DCA" w:rsidRPr="009372C1" w:rsidRDefault="00A46DCA" w:rsidP="00A26D04">
            <w:pPr>
              <w:cnfStyle w:val="000000000000" w:firstRow="0" w:lastRow="0" w:firstColumn="0" w:lastColumn="0" w:oddVBand="0" w:evenVBand="0" w:oddHBand="0" w:evenHBand="0" w:firstRowFirstColumn="0" w:firstRowLastColumn="0" w:lastRowFirstColumn="0" w:lastRowLastColumn="0"/>
              <w:rPr>
                <w:b/>
                <w:bCs/>
                <w:szCs w:val="17"/>
              </w:rPr>
            </w:pPr>
            <w:r w:rsidRPr="009372C1">
              <w:rPr>
                <w:b/>
                <w:bCs/>
                <w:szCs w:val="17"/>
              </w:rPr>
              <w:t>56</w:t>
            </w:r>
          </w:p>
        </w:tc>
        <w:tc>
          <w:tcPr>
            <w:tcW w:w="850" w:type="dxa"/>
            <w:tcBorders>
              <w:top w:val="nil"/>
              <w:left w:val="nil"/>
              <w:bottom w:val="single" w:sz="8" w:space="0" w:color="auto"/>
              <w:right w:val="nil"/>
            </w:tcBorders>
            <w:shd w:val="clear" w:color="000000" w:fill="FFFFFF"/>
            <w:noWrap/>
            <w:vAlign w:val="bottom"/>
            <w:hideMark/>
          </w:tcPr>
          <w:p w:rsidR="00A46DCA" w:rsidRPr="009372C1" w:rsidRDefault="00A46DCA" w:rsidP="00A26D04">
            <w:pPr>
              <w:cnfStyle w:val="000000000000" w:firstRow="0" w:lastRow="0" w:firstColumn="0" w:lastColumn="0" w:oddVBand="0" w:evenVBand="0" w:oddHBand="0" w:evenHBand="0" w:firstRowFirstColumn="0" w:firstRowLastColumn="0" w:lastRowFirstColumn="0" w:lastRowLastColumn="0"/>
              <w:rPr>
                <w:b/>
                <w:bCs/>
                <w:szCs w:val="17"/>
              </w:rPr>
            </w:pPr>
            <w:r w:rsidRPr="009372C1">
              <w:rPr>
                <w:b/>
                <w:bCs/>
                <w:szCs w:val="17"/>
              </w:rPr>
              <w:t>(2)</w:t>
            </w:r>
          </w:p>
        </w:tc>
        <w:tc>
          <w:tcPr>
            <w:tcW w:w="850" w:type="dxa"/>
            <w:tcBorders>
              <w:top w:val="nil"/>
              <w:left w:val="nil"/>
              <w:bottom w:val="single" w:sz="8" w:space="0" w:color="auto"/>
              <w:right w:val="nil"/>
            </w:tcBorders>
            <w:shd w:val="clear" w:color="000000" w:fill="FFFFFF"/>
            <w:noWrap/>
            <w:vAlign w:val="bottom"/>
            <w:hideMark/>
          </w:tcPr>
          <w:p w:rsidR="00A46DCA" w:rsidRPr="009372C1" w:rsidRDefault="00A46DCA" w:rsidP="00A26D04">
            <w:pPr>
              <w:cnfStyle w:val="000000000000" w:firstRow="0" w:lastRow="0" w:firstColumn="0" w:lastColumn="0" w:oddVBand="0" w:evenVBand="0" w:oddHBand="0" w:evenHBand="0" w:firstRowFirstColumn="0" w:firstRowLastColumn="0" w:lastRowFirstColumn="0" w:lastRowLastColumn="0"/>
              <w:rPr>
                <w:b/>
                <w:bCs/>
                <w:szCs w:val="17"/>
              </w:rPr>
            </w:pPr>
            <w:r w:rsidRPr="009372C1">
              <w:rPr>
                <w:b/>
                <w:bCs/>
                <w:szCs w:val="17"/>
              </w:rPr>
              <w:t>(81)</w:t>
            </w:r>
          </w:p>
        </w:tc>
        <w:tc>
          <w:tcPr>
            <w:tcW w:w="850" w:type="dxa"/>
            <w:tcBorders>
              <w:top w:val="nil"/>
              <w:left w:val="nil"/>
              <w:bottom w:val="single" w:sz="8" w:space="0" w:color="auto"/>
              <w:right w:val="nil"/>
            </w:tcBorders>
            <w:shd w:val="clear" w:color="000000" w:fill="FFFFFF"/>
            <w:noWrap/>
            <w:vAlign w:val="bottom"/>
            <w:hideMark/>
          </w:tcPr>
          <w:p w:rsidR="00A46DCA" w:rsidRPr="009372C1" w:rsidRDefault="00A46DCA" w:rsidP="00A26D04">
            <w:pPr>
              <w:cnfStyle w:val="000000000000" w:firstRow="0" w:lastRow="0" w:firstColumn="0" w:lastColumn="0" w:oddVBand="0" w:evenVBand="0" w:oddHBand="0" w:evenHBand="0" w:firstRowFirstColumn="0" w:firstRowLastColumn="0" w:lastRowFirstColumn="0" w:lastRowLastColumn="0"/>
              <w:rPr>
                <w:b/>
                <w:bCs/>
                <w:szCs w:val="17"/>
              </w:rPr>
            </w:pPr>
            <w:r w:rsidRPr="009372C1">
              <w:rPr>
                <w:b/>
                <w:bCs/>
                <w:szCs w:val="17"/>
              </w:rPr>
              <w:t>(169)</w:t>
            </w:r>
          </w:p>
        </w:tc>
      </w:tr>
      <w:tr w:rsidR="00A46DCA" w:rsidRPr="009372C1" w:rsidTr="004906A4">
        <w:tc>
          <w:tcPr>
            <w:cnfStyle w:val="001000000000" w:firstRow="0" w:lastRow="0" w:firstColumn="1" w:lastColumn="0" w:oddVBand="0" w:evenVBand="0" w:oddHBand="0" w:evenHBand="0" w:firstRowFirstColumn="0" w:firstRowLastColumn="0" w:lastRowFirstColumn="0" w:lastRowLastColumn="0"/>
            <w:tcW w:w="4367" w:type="dxa"/>
            <w:tcBorders>
              <w:top w:val="nil"/>
              <w:left w:val="nil"/>
              <w:bottom w:val="nil"/>
              <w:right w:val="nil"/>
            </w:tcBorders>
            <w:shd w:val="clear" w:color="auto" w:fill="auto"/>
            <w:noWrap/>
            <w:vAlign w:val="bottom"/>
            <w:hideMark/>
          </w:tcPr>
          <w:p w:rsidR="00A46DCA" w:rsidRPr="009372C1" w:rsidRDefault="00A46DCA" w:rsidP="00A26D04">
            <w:pPr>
              <w:keepLines w:val="0"/>
              <w:rPr>
                <w:rFonts w:eastAsia="Calibri" w:cs="Times New Roman"/>
                <w:b/>
                <w:bCs/>
                <w:szCs w:val="17"/>
              </w:rPr>
            </w:pPr>
            <w:r w:rsidRPr="009372C1">
              <w:rPr>
                <w:rFonts w:eastAsia="Calibri" w:cs="Times New Roman"/>
                <w:b/>
                <w:bCs/>
                <w:szCs w:val="17"/>
              </w:rPr>
              <w:t xml:space="preserve">Average weekly earnings </w:t>
            </w:r>
          </w:p>
        </w:tc>
        <w:tc>
          <w:tcPr>
            <w:tcW w:w="850" w:type="dxa"/>
            <w:tcBorders>
              <w:top w:val="nil"/>
              <w:left w:val="nil"/>
              <w:bottom w:val="nil"/>
              <w:right w:val="nil"/>
            </w:tcBorders>
            <w:shd w:val="clear" w:color="auto" w:fill="auto"/>
            <w:noWrap/>
            <w:vAlign w:val="bottom"/>
            <w:hideMark/>
          </w:tcPr>
          <w:p w:rsidR="00A46DCA" w:rsidRPr="009372C1" w:rsidRDefault="00A46DCA" w:rsidP="00A26D04">
            <w:pPr>
              <w:cnfStyle w:val="000000000000" w:firstRow="0" w:lastRow="0" w:firstColumn="0" w:lastColumn="0" w:oddVBand="0" w:evenVBand="0" w:oddHBand="0" w:evenHBand="0" w:firstRowFirstColumn="0" w:firstRowLastColumn="0" w:lastRowFirstColumn="0" w:lastRowLastColumn="0"/>
              <w:rPr>
                <w:szCs w:val="17"/>
              </w:rPr>
            </w:pPr>
          </w:p>
        </w:tc>
        <w:tc>
          <w:tcPr>
            <w:tcW w:w="850" w:type="dxa"/>
            <w:tcBorders>
              <w:top w:val="nil"/>
              <w:left w:val="nil"/>
              <w:bottom w:val="nil"/>
              <w:right w:val="nil"/>
            </w:tcBorders>
            <w:shd w:val="clear" w:color="auto" w:fill="auto"/>
            <w:noWrap/>
            <w:vAlign w:val="bottom"/>
            <w:hideMark/>
          </w:tcPr>
          <w:p w:rsidR="00A46DCA" w:rsidRPr="009372C1" w:rsidRDefault="00A46DCA" w:rsidP="00A26D04">
            <w:pPr>
              <w:cnfStyle w:val="000000000000" w:firstRow="0" w:lastRow="0" w:firstColumn="0" w:lastColumn="0" w:oddVBand="0" w:evenVBand="0" w:oddHBand="0" w:evenHBand="0" w:firstRowFirstColumn="0" w:firstRowLastColumn="0" w:lastRowFirstColumn="0" w:lastRowLastColumn="0"/>
              <w:rPr>
                <w:szCs w:val="17"/>
              </w:rPr>
            </w:pPr>
          </w:p>
        </w:tc>
        <w:tc>
          <w:tcPr>
            <w:tcW w:w="850" w:type="dxa"/>
            <w:tcBorders>
              <w:top w:val="nil"/>
              <w:left w:val="nil"/>
              <w:bottom w:val="nil"/>
              <w:right w:val="nil"/>
            </w:tcBorders>
            <w:shd w:val="clear" w:color="auto" w:fill="auto"/>
            <w:noWrap/>
            <w:vAlign w:val="bottom"/>
            <w:hideMark/>
          </w:tcPr>
          <w:p w:rsidR="00A46DCA" w:rsidRPr="009372C1" w:rsidRDefault="00A46DCA" w:rsidP="00A26D04">
            <w:pPr>
              <w:cnfStyle w:val="000000000000" w:firstRow="0" w:lastRow="0" w:firstColumn="0" w:lastColumn="0" w:oddVBand="0" w:evenVBand="0" w:oddHBand="0" w:evenHBand="0" w:firstRowFirstColumn="0" w:firstRowLastColumn="0" w:lastRowFirstColumn="0" w:lastRowLastColumn="0"/>
              <w:rPr>
                <w:szCs w:val="17"/>
              </w:rPr>
            </w:pPr>
          </w:p>
        </w:tc>
        <w:tc>
          <w:tcPr>
            <w:tcW w:w="850" w:type="dxa"/>
            <w:tcBorders>
              <w:top w:val="nil"/>
              <w:left w:val="nil"/>
              <w:bottom w:val="nil"/>
              <w:right w:val="nil"/>
            </w:tcBorders>
            <w:shd w:val="clear" w:color="auto" w:fill="auto"/>
            <w:noWrap/>
            <w:vAlign w:val="bottom"/>
            <w:hideMark/>
          </w:tcPr>
          <w:p w:rsidR="00A46DCA" w:rsidRPr="009372C1" w:rsidRDefault="00A46DCA" w:rsidP="00A26D04">
            <w:pPr>
              <w:cnfStyle w:val="000000000000" w:firstRow="0" w:lastRow="0" w:firstColumn="0" w:lastColumn="0" w:oddVBand="0" w:evenVBand="0" w:oddHBand="0" w:evenHBand="0" w:firstRowFirstColumn="0" w:firstRowLastColumn="0" w:lastRowFirstColumn="0" w:lastRowLastColumn="0"/>
              <w:rPr>
                <w:szCs w:val="17"/>
              </w:rPr>
            </w:pPr>
          </w:p>
        </w:tc>
      </w:tr>
      <w:tr w:rsidR="00A46DCA" w:rsidRPr="009372C1" w:rsidTr="004906A4">
        <w:tc>
          <w:tcPr>
            <w:cnfStyle w:val="001000000000" w:firstRow="0" w:lastRow="0" w:firstColumn="1" w:lastColumn="0" w:oddVBand="0" w:evenVBand="0" w:oddHBand="0" w:evenHBand="0" w:firstRowFirstColumn="0" w:firstRowLastColumn="0" w:lastRowFirstColumn="0" w:lastRowLastColumn="0"/>
            <w:tcW w:w="4367" w:type="dxa"/>
            <w:tcBorders>
              <w:top w:val="nil"/>
              <w:left w:val="nil"/>
              <w:bottom w:val="nil"/>
              <w:right w:val="nil"/>
            </w:tcBorders>
            <w:shd w:val="clear" w:color="auto" w:fill="auto"/>
            <w:noWrap/>
            <w:vAlign w:val="bottom"/>
            <w:hideMark/>
          </w:tcPr>
          <w:p w:rsidR="00A46DCA" w:rsidRPr="009372C1" w:rsidRDefault="00A46DCA" w:rsidP="00A26D04">
            <w:pPr>
              <w:keepLines w:val="0"/>
              <w:rPr>
                <w:rFonts w:eastAsia="Calibri" w:cs="Times New Roman"/>
                <w:szCs w:val="17"/>
              </w:rPr>
            </w:pPr>
            <w:r w:rsidRPr="009372C1">
              <w:rPr>
                <w:rFonts w:eastAsia="Calibri" w:cs="Times New Roman"/>
                <w:szCs w:val="17"/>
              </w:rPr>
              <w:t>Income from transactions</w:t>
            </w:r>
          </w:p>
        </w:tc>
        <w:tc>
          <w:tcPr>
            <w:tcW w:w="850" w:type="dxa"/>
            <w:tcBorders>
              <w:top w:val="nil"/>
              <w:left w:val="nil"/>
              <w:bottom w:val="nil"/>
              <w:right w:val="nil"/>
            </w:tcBorders>
            <w:shd w:val="clear" w:color="000000" w:fill="FFFFFF"/>
            <w:noWrap/>
            <w:vAlign w:val="bottom"/>
            <w:hideMark/>
          </w:tcPr>
          <w:p w:rsidR="00A46DCA" w:rsidRPr="009372C1" w:rsidRDefault="00A46DCA" w:rsidP="00A26D04">
            <w:pPr>
              <w:cnfStyle w:val="000000000000" w:firstRow="0" w:lastRow="0" w:firstColumn="0" w:lastColumn="0" w:oddVBand="0" w:evenVBand="0" w:oddHBand="0" w:evenHBand="0" w:firstRowFirstColumn="0" w:firstRowLastColumn="0" w:lastRowFirstColumn="0" w:lastRowLastColumn="0"/>
              <w:rPr>
                <w:szCs w:val="17"/>
              </w:rPr>
            </w:pPr>
            <w:r w:rsidRPr="009372C1">
              <w:rPr>
                <w:szCs w:val="17"/>
              </w:rPr>
              <w:t>(41)</w:t>
            </w:r>
          </w:p>
        </w:tc>
        <w:tc>
          <w:tcPr>
            <w:tcW w:w="850" w:type="dxa"/>
            <w:tcBorders>
              <w:top w:val="nil"/>
              <w:left w:val="nil"/>
              <w:bottom w:val="nil"/>
              <w:right w:val="nil"/>
            </w:tcBorders>
            <w:shd w:val="clear" w:color="000000" w:fill="FFFFFF"/>
            <w:noWrap/>
            <w:vAlign w:val="bottom"/>
            <w:hideMark/>
          </w:tcPr>
          <w:p w:rsidR="00A46DCA" w:rsidRPr="009372C1" w:rsidRDefault="00A46DCA" w:rsidP="00A26D04">
            <w:pPr>
              <w:cnfStyle w:val="000000000000" w:firstRow="0" w:lastRow="0" w:firstColumn="0" w:lastColumn="0" w:oddVBand="0" w:evenVBand="0" w:oddHBand="0" w:evenHBand="0" w:firstRowFirstColumn="0" w:firstRowLastColumn="0" w:lastRowFirstColumn="0" w:lastRowLastColumn="0"/>
              <w:rPr>
                <w:szCs w:val="17"/>
              </w:rPr>
            </w:pPr>
            <w:r w:rsidRPr="009372C1">
              <w:rPr>
                <w:szCs w:val="17"/>
              </w:rPr>
              <w:t>1</w:t>
            </w:r>
          </w:p>
        </w:tc>
        <w:tc>
          <w:tcPr>
            <w:tcW w:w="850" w:type="dxa"/>
            <w:tcBorders>
              <w:top w:val="nil"/>
              <w:left w:val="nil"/>
              <w:bottom w:val="nil"/>
              <w:right w:val="nil"/>
            </w:tcBorders>
            <w:shd w:val="clear" w:color="000000" w:fill="FFFFFF"/>
            <w:noWrap/>
            <w:vAlign w:val="bottom"/>
            <w:hideMark/>
          </w:tcPr>
          <w:p w:rsidR="00A46DCA" w:rsidRPr="009372C1" w:rsidRDefault="00A46DCA" w:rsidP="00A26D04">
            <w:pPr>
              <w:cnfStyle w:val="000000000000" w:firstRow="0" w:lastRow="0" w:firstColumn="0" w:lastColumn="0" w:oddVBand="0" w:evenVBand="0" w:oddHBand="0" w:evenHBand="0" w:firstRowFirstColumn="0" w:firstRowLastColumn="0" w:lastRowFirstColumn="0" w:lastRowLastColumn="0"/>
              <w:rPr>
                <w:szCs w:val="17"/>
              </w:rPr>
            </w:pPr>
            <w:r w:rsidRPr="009372C1">
              <w:rPr>
                <w:szCs w:val="17"/>
              </w:rPr>
              <w:t>39</w:t>
            </w:r>
          </w:p>
        </w:tc>
        <w:tc>
          <w:tcPr>
            <w:tcW w:w="850" w:type="dxa"/>
            <w:tcBorders>
              <w:top w:val="nil"/>
              <w:left w:val="nil"/>
              <w:bottom w:val="nil"/>
              <w:right w:val="nil"/>
            </w:tcBorders>
            <w:shd w:val="clear" w:color="000000" w:fill="FFFFFF"/>
            <w:noWrap/>
            <w:vAlign w:val="bottom"/>
            <w:hideMark/>
          </w:tcPr>
          <w:p w:rsidR="00A46DCA" w:rsidRPr="009372C1" w:rsidRDefault="00A46DCA" w:rsidP="00A26D04">
            <w:pPr>
              <w:cnfStyle w:val="000000000000" w:firstRow="0" w:lastRow="0" w:firstColumn="0" w:lastColumn="0" w:oddVBand="0" w:evenVBand="0" w:oddHBand="0" w:evenHBand="0" w:firstRowFirstColumn="0" w:firstRowLastColumn="0" w:lastRowFirstColumn="0" w:lastRowLastColumn="0"/>
              <w:rPr>
                <w:szCs w:val="17"/>
              </w:rPr>
            </w:pPr>
            <w:r w:rsidRPr="009372C1">
              <w:rPr>
                <w:szCs w:val="17"/>
              </w:rPr>
              <w:t>36</w:t>
            </w:r>
          </w:p>
        </w:tc>
      </w:tr>
      <w:tr w:rsidR="00A46DCA" w:rsidRPr="009372C1" w:rsidTr="004906A4">
        <w:tc>
          <w:tcPr>
            <w:cnfStyle w:val="001000000000" w:firstRow="0" w:lastRow="0" w:firstColumn="1" w:lastColumn="0" w:oddVBand="0" w:evenVBand="0" w:oddHBand="0" w:evenHBand="0" w:firstRowFirstColumn="0" w:firstRowLastColumn="0" w:lastRowFirstColumn="0" w:lastRowLastColumn="0"/>
            <w:tcW w:w="4367" w:type="dxa"/>
            <w:tcBorders>
              <w:top w:val="nil"/>
              <w:left w:val="nil"/>
              <w:bottom w:val="nil"/>
              <w:right w:val="nil"/>
            </w:tcBorders>
            <w:shd w:val="clear" w:color="auto" w:fill="auto"/>
            <w:noWrap/>
            <w:vAlign w:val="bottom"/>
            <w:hideMark/>
          </w:tcPr>
          <w:p w:rsidR="00A46DCA" w:rsidRPr="009372C1" w:rsidRDefault="00A46DCA" w:rsidP="00A26D04">
            <w:pPr>
              <w:keepLines w:val="0"/>
              <w:rPr>
                <w:rFonts w:eastAsia="Calibri" w:cs="Times New Roman"/>
                <w:szCs w:val="17"/>
              </w:rPr>
            </w:pPr>
            <w:r w:rsidRPr="009372C1">
              <w:rPr>
                <w:rFonts w:eastAsia="Calibri" w:cs="Times New Roman"/>
                <w:szCs w:val="17"/>
              </w:rPr>
              <w:t>Expenses from transactions</w:t>
            </w:r>
          </w:p>
        </w:tc>
        <w:tc>
          <w:tcPr>
            <w:tcW w:w="850" w:type="dxa"/>
            <w:tcBorders>
              <w:top w:val="nil"/>
              <w:left w:val="nil"/>
              <w:bottom w:val="nil"/>
              <w:right w:val="nil"/>
            </w:tcBorders>
            <w:shd w:val="clear" w:color="000000" w:fill="FFFFFF"/>
            <w:noWrap/>
            <w:vAlign w:val="bottom"/>
            <w:hideMark/>
          </w:tcPr>
          <w:p w:rsidR="00A46DCA" w:rsidRPr="009372C1" w:rsidRDefault="00A46DCA" w:rsidP="00A26D04">
            <w:pPr>
              <w:cnfStyle w:val="000000000000" w:firstRow="0" w:lastRow="0" w:firstColumn="0" w:lastColumn="0" w:oddVBand="0" w:evenVBand="0" w:oddHBand="0" w:evenHBand="0" w:firstRowFirstColumn="0" w:firstRowLastColumn="0" w:lastRowFirstColumn="0" w:lastRowLastColumn="0"/>
              <w:rPr>
                <w:szCs w:val="17"/>
              </w:rPr>
            </w:pPr>
            <w:r w:rsidRPr="009372C1">
              <w:rPr>
                <w:szCs w:val="17"/>
              </w:rPr>
              <w:t>5</w:t>
            </w:r>
          </w:p>
        </w:tc>
        <w:tc>
          <w:tcPr>
            <w:tcW w:w="850" w:type="dxa"/>
            <w:tcBorders>
              <w:top w:val="nil"/>
              <w:left w:val="nil"/>
              <w:bottom w:val="nil"/>
              <w:right w:val="nil"/>
            </w:tcBorders>
            <w:shd w:val="clear" w:color="000000" w:fill="FFFFFF"/>
            <w:noWrap/>
            <w:vAlign w:val="bottom"/>
            <w:hideMark/>
          </w:tcPr>
          <w:p w:rsidR="00A46DCA" w:rsidRPr="009372C1" w:rsidRDefault="00A46DCA" w:rsidP="00A26D04">
            <w:pPr>
              <w:cnfStyle w:val="000000000000" w:firstRow="0" w:lastRow="0" w:firstColumn="0" w:lastColumn="0" w:oddVBand="0" w:evenVBand="0" w:oddHBand="0" w:evenHBand="0" w:firstRowFirstColumn="0" w:firstRowLastColumn="0" w:lastRowFirstColumn="0" w:lastRowLastColumn="0"/>
              <w:rPr>
                <w:szCs w:val="17"/>
              </w:rPr>
            </w:pPr>
            <w:r w:rsidRPr="009372C1">
              <w:rPr>
                <w:szCs w:val="17"/>
              </w:rPr>
              <w:t>7</w:t>
            </w:r>
          </w:p>
        </w:tc>
        <w:tc>
          <w:tcPr>
            <w:tcW w:w="850" w:type="dxa"/>
            <w:tcBorders>
              <w:top w:val="nil"/>
              <w:left w:val="nil"/>
              <w:bottom w:val="nil"/>
              <w:right w:val="nil"/>
            </w:tcBorders>
            <w:shd w:val="clear" w:color="000000" w:fill="FFFFFF"/>
            <w:noWrap/>
            <w:vAlign w:val="bottom"/>
            <w:hideMark/>
          </w:tcPr>
          <w:p w:rsidR="00A46DCA" w:rsidRPr="009372C1" w:rsidRDefault="00A46DCA" w:rsidP="00A26D04">
            <w:pPr>
              <w:cnfStyle w:val="000000000000" w:firstRow="0" w:lastRow="0" w:firstColumn="0" w:lastColumn="0" w:oddVBand="0" w:evenVBand="0" w:oddHBand="0" w:evenHBand="0" w:firstRowFirstColumn="0" w:firstRowLastColumn="0" w:lastRowFirstColumn="0" w:lastRowLastColumn="0"/>
              <w:rPr>
                <w:szCs w:val="17"/>
              </w:rPr>
            </w:pPr>
            <w:r w:rsidRPr="009372C1">
              <w:rPr>
                <w:szCs w:val="17"/>
              </w:rPr>
              <w:t>6</w:t>
            </w:r>
          </w:p>
        </w:tc>
        <w:tc>
          <w:tcPr>
            <w:tcW w:w="850" w:type="dxa"/>
            <w:tcBorders>
              <w:top w:val="nil"/>
              <w:left w:val="nil"/>
              <w:bottom w:val="nil"/>
              <w:right w:val="nil"/>
            </w:tcBorders>
            <w:shd w:val="clear" w:color="000000" w:fill="FFFFFF"/>
            <w:noWrap/>
            <w:vAlign w:val="bottom"/>
            <w:hideMark/>
          </w:tcPr>
          <w:p w:rsidR="00A46DCA" w:rsidRPr="009372C1" w:rsidRDefault="00A46DCA" w:rsidP="00A26D04">
            <w:pPr>
              <w:cnfStyle w:val="000000000000" w:firstRow="0" w:lastRow="0" w:firstColumn="0" w:lastColumn="0" w:oddVBand="0" w:evenVBand="0" w:oddHBand="0" w:evenHBand="0" w:firstRowFirstColumn="0" w:firstRowLastColumn="0" w:lastRowFirstColumn="0" w:lastRowLastColumn="0"/>
              <w:rPr>
                <w:szCs w:val="17"/>
              </w:rPr>
            </w:pPr>
            <w:r w:rsidRPr="009372C1">
              <w:rPr>
                <w:szCs w:val="17"/>
              </w:rPr>
              <w:t>4</w:t>
            </w:r>
          </w:p>
        </w:tc>
      </w:tr>
      <w:tr w:rsidR="00A46DCA" w:rsidRPr="009372C1" w:rsidTr="004906A4">
        <w:tc>
          <w:tcPr>
            <w:cnfStyle w:val="001000000000" w:firstRow="0" w:lastRow="0" w:firstColumn="1" w:lastColumn="0" w:oddVBand="0" w:evenVBand="0" w:oddHBand="0" w:evenHBand="0" w:firstRowFirstColumn="0" w:firstRowLastColumn="0" w:lastRowFirstColumn="0" w:lastRowLastColumn="0"/>
            <w:tcW w:w="4367" w:type="dxa"/>
            <w:tcBorders>
              <w:top w:val="single" w:sz="4" w:space="0" w:color="auto"/>
              <w:left w:val="nil"/>
              <w:bottom w:val="single" w:sz="4" w:space="0" w:color="auto"/>
              <w:right w:val="nil"/>
            </w:tcBorders>
            <w:shd w:val="clear" w:color="auto" w:fill="auto"/>
            <w:noWrap/>
            <w:vAlign w:val="bottom"/>
            <w:hideMark/>
          </w:tcPr>
          <w:p w:rsidR="00A46DCA" w:rsidRPr="009372C1" w:rsidRDefault="00A46DCA" w:rsidP="00A26D04">
            <w:pPr>
              <w:keepLines w:val="0"/>
              <w:rPr>
                <w:rFonts w:eastAsia="Calibri" w:cs="Times New Roman"/>
                <w:b/>
                <w:bCs/>
                <w:szCs w:val="17"/>
              </w:rPr>
            </w:pPr>
            <w:r w:rsidRPr="009372C1">
              <w:rPr>
                <w:rFonts w:eastAsia="Calibri" w:cs="Times New Roman"/>
                <w:b/>
                <w:bCs/>
                <w:szCs w:val="17"/>
              </w:rPr>
              <w:t>Net result from transactions</w:t>
            </w:r>
          </w:p>
        </w:tc>
        <w:tc>
          <w:tcPr>
            <w:tcW w:w="850" w:type="dxa"/>
            <w:tcBorders>
              <w:top w:val="single" w:sz="4" w:space="0" w:color="auto"/>
              <w:left w:val="nil"/>
              <w:bottom w:val="single" w:sz="4" w:space="0" w:color="auto"/>
              <w:right w:val="nil"/>
            </w:tcBorders>
            <w:shd w:val="clear" w:color="000000" w:fill="FFFFFF"/>
            <w:noWrap/>
            <w:vAlign w:val="bottom"/>
            <w:hideMark/>
          </w:tcPr>
          <w:p w:rsidR="00A46DCA" w:rsidRPr="009372C1" w:rsidRDefault="00A46DCA" w:rsidP="00A26D04">
            <w:pPr>
              <w:cnfStyle w:val="000000000000" w:firstRow="0" w:lastRow="0" w:firstColumn="0" w:lastColumn="0" w:oddVBand="0" w:evenVBand="0" w:oddHBand="0" w:evenHBand="0" w:firstRowFirstColumn="0" w:firstRowLastColumn="0" w:lastRowFirstColumn="0" w:lastRowLastColumn="0"/>
              <w:rPr>
                <w:b/>
                <w:bCs/>
                <w:szCs w:val="17"/>
              </w:rPr>
            </w:pPr>
            <w:r w:rsidRPr="009372C1">
              <w:rPr>
                <w:b/>
                <w:bCs/>
                <w:szCs w:val="17"/>
              </w:rPr>
              <w:t>(47)</w:t>
            </w:r>
          </w:p>
        </w:tc>
        <w:tc>
          <w:tcPr>
            <w:tcW w:w="850" w:type="dxa"/>
            <w:tcBorders>
              <w:top w:val="single" w:sz="4" w:space="0" w:color="auto"/>
              <w:left w:val="nil"/>
              <w:bottom w:val="single" w:sz="4" w:space="0" w:color="auto"/>
              <w:right w:val="nil"/>
            </w:tcBorders>
            <w:shd w:val="clear" w:color="000000" w:fill="FFFFFF"/>
            <w:noWrap/>
            <w:vAlign w:val="bottom"/>
            <w:hideMark/>
          </w:tcPr>
          <w:p w:rsidR="00A46DCA" w:rsidRPr="009372C1" w:rsidRDefault="00A46DCA" w:rsidP="00A26D04">
            <w:pPr>
              <w:cnfStyle w:val="000000000000" w:firstRow="0" w:lastRow="0" w:firstColumn="0" w:lastColumn="0" w:oddVBand="0" w:evenVBand="0" w:oddHBand="0" w:evenHBand="0" w:firstRowFirstColumn="0" w:firstRowLastColumn="0" w:lastRowFirstColumn="0" w:lastRowLastColumn="0"/>
              <w:rPr>
                <w:b/>
                <w:bCs/>
                <w:szCs w:val="17"/>
              </w:rPr>
            </w:pPr>
            <w:r w:rsidRPr="009372C1">
              <w:rPr>
                <w:b/>
                <w:bCs/>
                <w:szCs w:val="17"/>
              </w:rPr>
              <w:t>(6)</w:t>
            </w:r>
          </w:p>
        </w:tc>
        <w:tc>
          <w:tcPr>
            <w:tcW w:w="850" w:type="dxa"/>
            <w:tcBorders>
              <w:top w:val="single" w:sz="4" w:space="0" w:color="auto"/>
              <w:left w:val="nil"/>
              <w:bottom w:val="single" w:sz="4" w:space="0" w:color="auto"/>
              <w:right w:val="nil"/>
            </w:tcBorders>
            <w:shd w:val="clear" w:color="000000" w:fill="FFFFFF"/>
            <w:noWrap/>
            <w:vAlign w:val="bottom"/>
            <w:hideMark/>
          </w:tcPr>
          <w:p w:rsidR="00A46DCA" w:rsidRPr="009372C1" w:rsidRDefault="00A46DCA" w:rsidP="00A26D04">
            <w:pPr>
              <w:cnfStyle w:val="000000000000" w:firstRow="0" w:lastRow="0" w:firstColumn="0" w:lastColumn="0" w:oddVBand="0" w:evenVBand="0" w:oddHBand="0" w:evenHBand="0" w:firstRowFirstColumn="0" w:firstRowLastColumn="0" w:lastRowFirstColumn="0" w:lastRowLastColumn="0"/>
              <w:rPr>
                <w:b/>
                <w:bCs/>
                <w:szCs w:val="17"/>
              </w:rPr>
            </w:pPr>
            <w:r w:rsidRPr="009372C1">
              <w:rPr>
                <w:b/>
                <w:bCs/>
                <w:szCs w:val="17"/>
              </w:rPr>
              <w:t>33</w:t>
            </w:r>
          </w:p>
        </w:tc>
        <w:tc>
          <w:tcPr>
            <w:tcW w:w="850" w:type="dxa"/>
            <w:tcBorders>
              <w:top w:val="single" w:sz="4" w:space="0" w:color="auto"/>
              <w:left w:val="nil"/>
              <w:bottom w:val="single" w:sz="4" w:space="0" w:color="auto"/>
              <w:right w:val="nil"/>
            </w:tcBorders>
            <w:shd w:val="clear" w:color="000000" w:fill="FFFFFF"/>
            <w:noWrap/>
            <w:vAlign w:val="bottom"/>
            <w:hideMark/>
          </w:tcPr>
          <w:p w:rsidR="00A46DCA" w:rsidRPr="009372C1" w:rsidRDefault="00A46DCA" w:rsidP="00A26D04">
            <w:pPr>
              <w:cnfStyle w:val="000000000000" w:firstRow="0" w:lastRow="0" w:firstColumn="0" w:lastColumn="0" w:oddVBand="0" w:evenVBand="0" w:oddHBand="0" w:evenHBand="0" w:firstRowFirstColumn="0" w:firstRowLastColumn="0" w:lastRowFirstColumn="0" w:lastRowLastColumn="0"/>
              <w:rPr>
                <w:b/>
                <w:bCs/>
                <w:szCs w:val="17"/>
              </w:rPr>
            </w:pPr>
            <w:r w:rsidRPr="009372C1">
              <w:rPr>
                <w:b/>
                <w:bCs/>
                <w:szCs w:val="17"/>
              </w:rPr>
              <w:t>31</w:t>
            </w:r>
          </w:p>
        </w:tc>
      </w:tr>
      <w:tr w:rsidR="00A46DCA" w:rsidRPr="009372C1" w:rsidTr="004906A4">
        <w:tc>
          <w:tcPr>
            <w:cnfStyle w:val="001000000000" w:firstRow="0" w:lastRow="0" w:firstColumn="1" w:lastColumn="0" w:oddVBand="0" w:evenVBand="0" w:oddHBand="0" w:evenHBand="0" w:firstRowFirstColumn="0" w:firstRowLastColumn="0" w:lastRowFirstColumn="0" w:lastRowLastColumn="0"/>
            <w:tcW w:w="4367" w:type="dxa"/>
            <w:tcBorders>
              <w:top w:val="nil"/>
              <w:left w:val="nil"/>
              <w:bottom w:val="single" w:sz="8" w:space="0" w:color="auto"/>
              <w:right w:val="nil"/>
            </w:tcBorders>
            <w:shd w:val="clear" w:color="auto" w:fill="auto"/>
            <w:noWrap/>
            <w:vAlign w:val="bottom"/>
            <w:hideMark/>
          </w:tcPr>
          <w:p w:rsidR="00A46DCA" w:rsidRPr="009372C1" w:rsidRDefault="00A46DCA" w:rsidP="00A26D04">
            <w:pPr>
              <w:keepLines w:val="0"/>
              <w:rPr>
                <w:rFonts w:eastAsia="Calibri" w:cs="Times New Roman"/>
                <w:b/>
                <w:bCs/>
                <w:szCs w:val="17"/>
              </w:rPr>
            </w:pPr>
            <w:r w:rsidRPr="009372C1">
              <w:rPr>
                <w:rFonts w:eastAsia="Calibri" w:cs="Times New Roman"/>
                <w:b/>
                <w:bCs/>
                <w:szCs w:val="17"/>
              </w:rPr>
              <w:t>Net debt</w:t>
            </w:r>
          </w:p>
        </w:tc>
        <w:tc>
          <w:tcPr>
            <w:tcW w:w="850" w:type="dxa"/>
            <w:tcBorders>
              <w:top w:val="nil"/>
              <w:left w:val="nil"/>
              <w:bottom w:val="single" w:sz="8" w:space="0" w:color="auto"/>
              <w:right w:val="nil"/>
            </w:tcBorders>
            <w:shd w:val="clear" w:color="000000" w:fill="FFFFFF"/>
            <w:noWrap/>
            <w:vAlign w:val="bottom"/>
            <w:hideMark/>
          </w:tcPr>
          <w:p w:rsidR="00A46DCA" w:rsidRPr="009372C1" w:rsidRDefault="00A46DCA" w:rsidP="00A26D04">
            <w:pPr>
              <w:cnfStyle w:val="000000000000" w:firstRow="0" w:lastRow="0" w:firstColumn="0" w:lastColumn="0" w:oddVBand="0" w:evenVBand="0" w:oddHBand="0" w:evenHBand="0" w:firstRowFirstColumn="0" w:firstRowLastColumn="0" w:lastRowFirstColumn="0" w:lastRowLastColumn="0"/>
              <w:rPr>
                <w:b/>
                <w:bCs/>
                <w:szCs w:val="17"/>
              </w:rPr>
            </w:pPr>
            <w:r w:rsidRPr="009372C1">
              <w:rPr>
                <w:b/>
                <w:bCs/>
                <w:szCs w:val="17"/>
              </w:rPr>
              <w:t>47</w:t>
            </w:r>
          </w:p>
        </w:tc>
        <w:tc>
          <w:tcPr>
            <w:tcW w:w="850" w:type="dxa"/>
            <w:tcBorders>
              <w:top w:val="nil"/>
              <w:left w:val="nil"/>
              <w:bottom w:val="single" w:sz="8" w:space="0" w:color="auto"/>
              <w:right w:val="nil"/>
            </w:tcBorders>
            <w:shd w:val="clear" w:color="000000" w:fill="FFFFFF"/>
            <w:noWrap/>
            <w:vAlign w:val="bottom"/>
            <w:hideMark/>
          </w:tcPr>
          <w:p w:rsidR="00A46DCA" w:rsidRPr="009372C1" w:rsidRDefault="00A46DCA" w:rsidP="00A26D04">
            <w:pPr>
              <w:cnfStyle w:val="000000000000" w:firstRow="0" w:lastRow="0" w:firstColumn="0" w:lastColumn="0" w:oddVBand="0" w:evenVBand="0" w:oddHBand="0" w:evenHBand="0" w:firstRowFirstColumn="0" w:firstRowLastColumn="0" w:lastRowFirstColumn="0" w:lastRowLastColumn="0"/>
              <w:rPr>
                <w:b/>
                <w:bCs/>
                <w:szCs w:val="17"/>
              </w:rPr>
            </w:pPr>
            <w:r w:rsidRPr="009372C1">
              <w:rPr>
                <w:b/>
                <w:bCs/>
                <w:szCs w:val="17"/>
              </w:rPr>
              <w:t>53</w:t>
            </w:r>
          </w:p>
        </w:tc>
        <w:tc>
          <w:tcPr>
            <w:tcW w:w="850" w:type="dxa"/>
            <w:tcBorders>
              <w:top w:val="nil"/>
              <w:left w:val="nil"/>
              <w:bottom w:val="single" w:sz="8" w:space="0" w:color="auto"/>
              <w:right w:val="nil"/>
            </w:tcBorders>
            <w:shd w:val="clear" w:color="000000" w:fill="FFFFFF"/>
            <w:noWrap/>
            <w:vAlign w:val="bottom"/>
            <w:hideMark/>
          </w:tcPr>
          <w:p w:rsidR="00A46DCA" w:rsidRPr="009372C1" w:rsidRDefault="00A46DCA" w:rsidP="00A26D04">
            <w:pPr>
              <w:cnfStyle w:val="000000000000" w:firstRow="0" w:lastRow="0" w:firstColumn="0" w:lastColumn="0" w:oddVBand="0" w:evenVBand="0" w:oddHBand="0" w:evenHBand="0" w:firstRowFirstColumn="0" w:firstRowLastColumn="0" w:lastRowFirstColumn="0" w:lastRowLastColumn="0"/>
              <w:rPr>
                <w:b/>
                <w:bCs/>
                <w:szCs w:val="17"/>
              </w:rPr>
            </w:pPr>
            <w:r w:rsidRPr="009372C1">
              <w:rPr>
                <w:b/>
                <w:bCs/>
                <w:szCs w:val="17"/>
              </w:rPr>
              <w:t>20</w:t>
            </w:r>
          </w:p>
        </w:tc>
        <w:tc>
          <w:tcPr>
            <w:tcW w:w="850" w:type="dxa"/>
            <w:tcBorders>
              <w:top w:val="nil"/>
              <w:left w:val="nil"/>
              <w:bottom w:val="single" w:sz="8" w:space="0" w:color="auto"/>
              <w:right w:val="nil"/>
            </w:tcBorders>
            <w:shd w:val="clear" w:color="000000" w:fill="FFFFFF"/>
            <w:noWrap/>
            <w:vAlign w:val="bottom"/>
            <w:hideMark/>
          </w:tcPr>
          <w:p w:rsidR="00A46DCA" w:rsidRPr="009372C1" w:rsidRDefault="00A46DCA" w:rsidP="00A26D04">
            <w:pPr>
              <w:cnfStyle w:val="000000000000" w:firstRow="0" w:lastRow="0" w:firstColumn="0" w:lastColumn="0" w:oddVBand="0" w:evenVBand="0" w:oddHBand="0" w:evenHBand="0" w:firstRowFirstColumn="0" w:firstRowLastColumn="0" w:lastRowFirstColumn="0" w:lastRowLastColumn="0"/>
              <w:rPr>
                <w:b/>
                <w:bCs/>
                <w:szCs w:val="17"/>
              </w:rPr>
            </w:pPr>
            <w:r w:rsidRPr="009372C1">
              <w:rPr>
                <w:b/>
                <w:bCs/>
                <w:szCs w:val="17"/>
              </w:rPr>
              <w:t>(12)</w:t>
            </w:r>
          </w:p>
        </w:tc>
      </w:tr>
      <w:tr w:rsidR="00A46DCA" w:rsidRPr="009372C1" w:rsidTr="004906A4">
        <w:tc>
          <w:tcPr>
            <w:cnfStyle w:val="001000000000" w:firstRow="0" w:lastRow="0" w:firstColumn="1" w:lastColumn="0" w:oddVBand="0" w:evenVBand="0" w:oddHBand="0" w:evenHBand="0" w:firstRowFirstColumn="0" w:firstRowLastColumn="0" w:lastRowFirstColumn="0" w:lastRowLastColumn="0"/>
            <w:tcW w:w="4367" w:type="dxa"/>
            <w:tcBorders>
              <w:top w:val="nil"/>
              <w:left w:val="nil"/>
              <w:bottom w:val="nil"/>
              <w:right w:val="nil"/>
            </w:tcBorders>
            <w:shd w:val="clear" w:color="auto" w:fill="auto"/>
            <w:noWrap/>
            <w:vAlign w:val="bottom"/>
            <w:hideMark/>
          </w:tcPr>
          <w:p w:rsidR="00A46DCA" w:rsidRPr="009372C1" w:rsidRDefault="00A46DCA" w:rsidP="00A26D04">
            <w:pPr>
              <w:keepLines w:val="0"/>
              <w:rPr>
                <w:rFonts w:eastAsia="Calibri" w:cs="Times New Roman"/>
                <w:b/>
                <w:bCs/>
                <w:szCs w:val="17"/>
              </w:rPr>
            </w:pPr>
            <w:r w:rsidRPr="009372C1">
              <w:rPr>
                <w:rFonts w:eastAsia="Calibri" w:cs="Times New Roman"/>
                <w:b/>
                <w:bCs/>
                <w:szCs w:val="17"/>
              </w:rPr>
              <w:t xml:space="preserve">Total employee expenses </w:t>
            </w:r>
            <w:r w:rsidRPr="009372C1">
              <w:rPr>
                <w:rFonts w:eastAsia="Calibri" w:cs="Times New Roman"/>
                <w:b/>
                <w:bCs/>
                <w:szCs w:val="17"/>
                <w:vertAlign w:val="superscript"/>
              </w:rPr>
              <w:t>(g)</w:t>
            </w:r>
          </w:p>
        </w:tc>
        <w:tc>
          <w:tcPr>
            <w:tcW w:w="850" w:type="dxa"/>
            <w:tcBorders>
              <w:top w:val="nil"/>
              <w:left w:val="nil"/>
              <w:bottom w:val="nil"/>
              <w:right w:val="nil"/>
            </w:tcBorders>
            <w:shd w:val="clear" w:color="auto" w:fill="auto"/>
            <w:noWrap/>
            <w:vAlign w:val="bottom"/>
            <w:hideMark/>
          </w:tcPr>
          <w:p w:rsidR="00A46DCA" w:rsidRPr="009372C1" w:rsidRDefault="00A46DCA" w:rsidP="00A26D04">
            <w:pPr>
              <w:cnfStyle w:val="000000000000" w:firstRow="0" w:lastRow="0" w:firstColumn="0" w:lastColumn="0" w:oddVBand="0" w:evenVBand="0" w:oddHBand="0" w:evenHBand="0" w:firstRowFirstColumn="0" w:firstRowLastColumn="0" w:lastRowFirstColumn="0" w:lastRowLastColumn="0"/>
              <w:rPr>
                <w:szCs w:val="17"/>
              </w:rPr>
            </w:pPr>
          </w:p>
        </w:tc>
        <w:tc>
          <w:tcPr>
            <w:tcW w:w="850" w:type="dxa"/>
            <w:tcBorders>
              <w:top w:val="nil"/>
              <w:left w:val="nil"/>
              <w:bottom w:val="nil"/>
              <w:right w:val="nil"/>
            </w:tcBorders>
            <w:shd w:val="clear" w:color="auto" w:fill="auto"/>
            <w:noWrap/>
            <w:vAlign w:val="bottom"/>
            <w:hideMark/>
          </w:tcPr>
          <w:p w:rsidR="00A46DCA" w:rsidRPr="009372C1" w:rsidRDefault="00A46DCA" w:rsidP="00A26D04">
            <w:pPr>
              <w:cnfStyle w:val="000000000000" w:firstRow="0" w:lastRow="0" w:firstColumn="0" w:lastColumn="0" w:oddVBand="0" w:evenVBand="0" w:oddHBand="0" w:evenHBand="0" w:firstRowFirstColumn="0" w:firstRowLastColumn="0" w:lastRowFirstColumn="0" w:lastRowLastColumn="0"/>
              <w:rPr>
                <w:szCs w:val="17"/>
              </w:rPr>
            </w:pPr>
          </w:p>
        </w:tc>
        <w:tc>
          <w:tcPr>
            <w:tcW w:w="850" w:type="dxa"/>
            <w:tcBorders>
              <w:top w:val="nil"/>
              <w:left w:val="nil"/>
              <w:bottom w:val="nil"/>
              <w:right w:val="nil"/>
            </w:tcBorders>
            <w:shd w:val="clear" w:color="auto" w:fill="auto"/>
            <w:noWrap/>
            <w:vAlign w:val="bottom"/>
            <w:hideMark/>
          </w:tcPr>
          <w:p w:rsidR="00A46DCA" w:rsidRPr="009372C1" w:rsidRDefault="00A46DCA" w:rsidP="00A26D04">
            <w:pPr>
              <w:cnfStyle w:val="000000000000" w:firstRow="0" w:lastRow="0" w:firstColumn="0" w:lastColumn="0" w:oddVBand="0" w:evenVBand="0" w:oddHBand="0" w:evenHBand="0" w:firstRowFirstColumn="0" w:firstRowLastColumn="0" w:lastRowFirstColumn="0" w:lastRowLastColumn="0"/>
              <w:rPr>
                <w:szCs w:val="17"/>
              </w:rPr>
            </w:pPr>
          </w:p>
        </w:tc>
        <w:tc>
          <w:tcPr>
            <w:tcW w:w="850" w:type="dxa"/>
            <w:tcBorders>
              <w:top w:val="nil"/>
              <w:left w:val="nil"/>
              <w:bottom w:val="nil"/>
              <w:right w:val="nil"/>
            </w:tcBorders>
            <w:shd w:val="clear" w:color="auto" w:fill="auto"/>
            <w:noWrap/>
            <w:vAlign w:val="bottom"/>
            <w:hideMark/>
          </w:tcPr>
          <w:p w:rsidR="00A46DCA" w:rsidRPr="009372C1" w:rsidRDefault="00A46DCA" w:rsidP="00A26D04">
            <w:pPr>
              <w:cnfStyle w:val="000000000000" w:firstRow="0" w:lastRow="0" w:firstColumn="0" w:lastColumn="0" w:oddVBand="0" w:evenVBand="0" w:oddHBand="0" w:evenHBand="0" w:firstRowFirstColumn="0" w:firstRowLastColumn="0" w:lastRowFirstColumn="0" w:lastRowLastColumn="0"/>
              <w:rPr>
                <w:szCs w:val="17"/>
              </w:rPr>
            </w:pPr>
          </w:p>
        </w:tc>
      </w:tr>
      <w:tr w:rsidR="00A46DCA" w:rsidRPr="009372C1" w:rsidTr="004906A4">
        <w:tc>
          <w:tcPr>
            <w:cnfStyle w:val="001000000000" w:firstRow="0" w:lastRow="0" w:firstColumn="1" w:lastColumn="0" w:oddVBand="0" w:evenVBand="0" w:oddHBand="0" w:evenHBand="0" w:firstRowFirstColumn="0" w:firstRowLastColumn="0" w:lastRowFirstColumn="0" w:lastRowLastColumn="0"/>
            <w:tcW w:w="4367" w:type="dxa"/>
            <w:tcBorders>
              <w:top w:val="nil"/>
              <w:left w:val="nil"/>
              <w:bottom w:val="nil"/>
              <w:right w:val="nil"/>
            </w:tcBorders>
            <w:shd w:val="clear" w:color="auto" w:fill="auto"/>
            <w:noWrap/>
            <w:vAlign w:val="bottom"/>
            <w:hideMark/>
          </w:tcPr>
          <w:p w:rsidR="00A46DCA" w:rsidRPr="009372C1" w:rsidRDefault="00A46DCA" w:rsidP="00A26D04">
            <w:pPr>
              <w:keepLines w:val="0"/>
              <w:rPr>
                <w:rFonts w:eastAsia="Calibri" w:cs="Times New Roman"/>
                <w:szCs w:val="17"/>
              </w:rPr>
            </w:pPr>
            <w:r w:rsidRPr="009372C1">
              <w:rPr>
                <w:rFonts w:eastAsia="Calibri" w:cs="Times New Roman"/>
                <w:szCs w:val="17"/>
              </w:rPr>
              <w:t>Income from transactions</w:t>
            </w:r>
          </w:p>
        </w:tc>
        <w:tc>
          <w:tcPr>
            <w:tcW w:w="850" w:type="dxa"/>
            <w:tcBorders>
              <w:top w:val="nil"/>
              <w:left w:val="nil"/>
              <w:bottom w:val="nil"/>
              <w:right w:val="nil"/>
            </w:tcBorders>
            <w:shd w:val="clear" w:color="000000" w:fill="FFFFFF"/>
            <w:noWrap/>
            <w:vAlign w:val="bottom"/>
            <w:hideMark/>
          </w:tcPr>
          <w:p w:rsidR="00A46DCA" w:rsidRPr="009372C1" w:rsidRDefault="00A46DCA" w:rsidP="00A26D04">
            <w:pPr>
              <w:cnfStyle w:val="000000000000" w:firstRow="0" w:lastRow="0" w:firstColumn="0" w:lastColumn="0" w:oddVBand="0" w:evenVBand="0" w:oddHBand="0" w:evenHBand="0" w:firstRowFirstColumn="0" w:firstRowLastColumn="0" w:lastRowFirstColumn="0" w:lastRowLastColumn="0"/>
              <w:rPr>
                <w:szCs w:val="17"/>
              </w:rPr>
            </w:pPr>
            <w:r w:rsidRPr="009372C1">
              <w:rPr>
                <w:szCs w:val="17"/>
              </w:rPr>
              <w:t>..</w:t>
            </w:r>
          </w:p>
        </w:tc>
        <w:tc>
          <w:tcPr>
            <w:tcW w:w="850" w:type="dxa"/>
            <w:tcBorders>
              <w:top w:val="nil"/>
              <w:left w:val="nil"/>
              <w:bottom w:val="nil"/>
              <w:right w:val="nil"/>
            </w:tcBorders>
            <w:shd w:val="clear" w:color="000000" w:fill="FFFFFF"/>
            <w:noWrap/>
            <w:vAlign w:val="bottom"/>
            <w:hideMark/>
          </w:tcPr>
          <w:p w:rsidR="00A46DCA" w:rsidRPr="009372C1" w:rsidRDefault="00A46DCA" w:rsidP="00A26D04">
            <w:pPr>
              <w:cnfStyle w:val="000000000000" w:firstRow="0" w:lastRow="0" w:firstColumn="0" w:lastColumn="0" w:oddVBand="0" w:evenVBand="0" w:oddHBand="0" w:evenHBand="0" w:firstRowFirstColumn="0" w:firstRowLastColumn="0" w:lastRowFirstColumn="0" w:lastRowLastColumn="0"/>
              <w:rPr>
                <w:szCs w:val="17"/>
              </w:rPr>
            </w:pPr>
            <w:r w:rsidRPr="009372C1">
              <w:rPr>
                <w:szCs w:val="17"/>
              </w:rPr>
              <w:t>23</w:t>
            </w:r>
          </w:p>
        </w:tc>
        <w:tc>
          <w:tcPr>
            <w:tcW w:w="850" w:type="dxa"/>
            <w:tcBorders>
              <w:top w:val="nil"/>
              <w:left w:val="nil"/>
              <w:bottom w:val="nil"/>
              <w:right w:val="nil"/>
            </w:tcBorders>
            <w:shd w:val="clear" w:color="000000" w:fill="FFFFFF"/>
            <w:noWrap/>
            <w:vAlign w:val="bottom"/>
            <w:hideMark/>
          </w:tcPr>
          <w:p w:rsidR="00A46DCA" w:rsidRPr="009372C1" w:rsidRDefault="00A46DCA" w:rsidP="00A26D04">
            <w:pPr>
              <w:cnfStyle w:val="000000000000" w:firstRow="0" w:lastRow="0" w:firstColumn="0" w:lastColumn="0" w:oddVBand="0" w:evenVBand="0" w:oddHBand="0" w:evenHBand="0" w:firstRowFirstColumn="0" w:firstRowLastColumn="0" w:lastRowFirstColumn="0" w:lastRowLastColumn="0"/>
              <w:rPr>
                <w:szCs w:val="17"/>
              </w:rPr>
            </w:pPr>
            <w:r w:rsidRPr="009372C1">
              <w:rPr>
                <w:szCs w:val="17"/>
              </w:rPr>
              <w:t>81</w:t>
            </w:r>
          </w:p>
        </w:tc>
        <w:tc>
          <w:tcPr>
            <w:tcW w:w="850" w:type="dxa"/>
            <w:tcBorders>
              <w:top w:val="nil"/>
              <w:left w:val="nil"/>
              <w:bottom w:val="nil"/>
              <w:right w:val="nil"/>
            </w:tcBorders>
            <w:shd w:val="clear" w:color="000000" w:fill="FFFFFF"/>
            <w:noWrap/>
            <w:vAlign w:val="bottom"/>
            <w:hideMark/>
          </w:tcPr>
          <w:p w:rsidR="00A46DCA" w:rsidRPr="009372C1" w:rsidRDefault="00A46DCA" w:rsidP="00A26D04">
            <w:pPr>
              <w:cnfStyle w:val="000000000000" w:firstRow="0" w:lastRow="0" w:firstColumn="0" w:lastColumn="0" w:oddVBand="0" w:evenVBand="0" w:oddHBand="0" w:evenHBand="0" w:firstRowFirstColumn="0" w:firstRowLastColumn="0" w:lastRowFirstColumn="0" w:lastRowLastColumn="0"/>
              <w:rPr>
                <w:szCs w:val="17"/>
              </w:rPr>
            </w:pPr>
            <w:r w:rsidRPr="009372C1">
              <w:rPr>
                <w:szCs w:val="17"/>
              </w:rPr>
              <w:t>89</w:t>
            </w:r>
          </w:p>
        </w:tc>
      </w:tr>
      <w:tr w:rsidR="00A46DCA" w:rsidRPr="009372C1" w:rsidTr="004906A4">
        <w:tc>
          <w:tcPr>
            <w:cnfStyle w:val="001000000000" w:firstRow="0" w:lastRow="0" w:firstColumn="1" w:lastColumn="0" w:oddVBand="0" w:evenVBand="0" w:oddHBand="0" w:evenHBand="0" w:firstRowFirstColumn="0" w:firstRowLastColumn="0" w:lastRowFirstColumn="0" w:lastRowLastColumn="0"/>
            <w:tcW w:w="4367" w:type="dxa"/>
            <w:tcBorders>
              <w:top w:val="nil"/>
              <w:left w:val="nil"/>
              <w:bottom w:val="nil"/>
              <w:right w:val="nil"/>
            </w:tcBorders>
            <w:shd w:val="clear" w:color="auto" w:fill="auto"/>
            <w:noWrap/>
            <w:vAlign w:val="bottom"/>
            <w:hideMark/>
          </w:tcPr>
          <w:p w:rsidR="00A46DCA" w:rsidRPr="009372C1" w:rsidRDefault="00A46DCA" w:rsidP="00A26D04">
            <w:pPr>
              <w:keepLines w:val="0"/>
              <w:rPr>
                <w:rFonts w:eastAsia="Calibri" w:cs="Times New Roman"/>
                <w:szCs w:val="17"/>
              </w:rPr>
            </w:pPr>
            <w:r w:rsidRPr="009372C1">
              <w:rPr>
                <w:rFonts w:eastAsia="Calibri" w:cs="Times New Roman"/>
                <w:szCs w:val="17"/>
              </w:rPr>
              <w:t>Expenses from transactions</w:t>
            </w:r>
          </w:p>
        </w:tc>
        <w:tc>
          <w:tcPr>
            <w:tcW w:w="850" w:type="dxa"/>
            <w:tcBorders>
              <w:top w:val="nil"/>
              <w:left w:val="nil"/>
              <w:bottom w:val="nil"/>
              <w:right w:val="nil"/>
            </w:tcBorders>
            <w:shd w:val="clear" w:color="000000" w:fill="FFFFFF"/>
            <w:noWrap/>
            <w:vAlign w:val="bottom"/>
            <w:hideMark/>
          </w:tcPr>
          <w:p w:rsidR="00A46DCA" w:rsidRPr="009372C1" w:rsidRDefault="00A46DCA" w:rsidP="00A26D04">
            <w:pPr>
              <w:cnfStyle w:val="000000000000" w:firstRow="0" w:lastRow="0" w:firstColumn="0" w:lastColumn="0" w:oddVBand="0" w:evenVBand="0" w:oddHBand="0" w:evenHBand="0" w:firstRowFirstColumn="0" w:firstRowLastColumn="0" w:lastRowFirstColumn="0" w:lastRowLastColumn="0"/>
              <w:rPr>
                <w:szCs w:val="17"/>
              </w:rPr>
            </w:pPr>
            <w:r w:rsidRPr="009372C1">
              <w:rPr>
                <w:szCs w:val="17"/>
              </w:rPr>
              <w:t>236</w:t>
            </w:r>
          </w:p>
        </w:tc>
        <w:tc>
          <w:tcPr>
            <w:tcW w:w="850" w:type="dxa"/>
            <w:tcBorders>
              <w:top w:val="nil"/>
              <w:left w:val="nil"/>
              <w:bottom w:val="nil"/>
              <w:right w:val="nil"/>
            </w:tcBorders>
            <w:shd w:val="clear" w:color="000000" w:fill="FFFFFF"/>
            <w:noWrap/>
            <w:vAlign w:val="bottom"/>
            <w:hideMark/>
          </w:tcPr>
          <w:p w:rsidR="00A46DCA" w:rsidRPr="009372C1" w:rsidRDefault="00A46DCA" w:rsidP="00A26D04">
            <w:pPr>
              <w:cnfStyle w:val="000000000000" w:firstRow="0" w:lastRow="0" w:firstColumn="0" w:lastColumn="0" w:oddVBand="0" w:evenVBand="0" w:oddHBand="0" w:evenHBand="0" w:firstRowFirstColumn="0" w:firstRowLastColumn="0" w:lastRowFirstColumn="0" w:lastRowLastColumn="0"/>
              <w:rPr>
                <w:szCs w:val="17"/>
              </w:rPr>
            </w:pPr>
            <w:r w:rsidRPr="009372C1">
              <w:rPr>
                <w:szCs w:val="17"/>
              </w:rPr>
              <w:t>294</w:t>
            </w:r>
          </w:p>
        </w:tc>
        <w:tc>
          <w:tcPr>
            <w:tcW w:w="850" w:type="dxa"/>
            <w:tcBorders>
              <w:top w:val="nil"/>
              <w:left w:val="nil"/>
              <w:bottom w:val="nil"/>
              <w:right w:val="nil"/>
            </w:tcBorders>
            <w:shd w:val="clear" w:color="000000" w:fill="FFFFFF"/>
            <w:noWrap/>
            <w:vAlign w:val="bottom"/>
            <w:hideMark/>
          </w:tcPr>
          <w:p w:rsidR="00A46DCA" w:rsidRPr="009372C1" w:rsidRDefault="00A46DCA" w:rsidP="00A26D04">
            <w:pPr>
              <w:cnfStyle w:val="000000000000" w:firstRow="0" w:lastRow="0" w:firstColumn="0" w:lastColumn="0" w:oddVBand="0" w:evenVBand="0" w:oddHBand="0" w:evenHBand="0" w:firstRowFirstColumn="0" w:firstRowLastColumn="0" w:lastRowFirstColumn="0" w:lastRowLastColumn="0"/>
              <w:rPr>
                <w:szCs w:val="17"/>
              </w:rPr>
            </w:pPr>
            <w:r w:rsidRPr="009372C1">
              <w:rPr>
                <w:szCs w:val="17"/>
              </w:rPr>
              <w:t>311</w:t>
            </w:r>
          </w:p>
        </w:tc>
        <w:tc>
          <w:tcPr>
            <w:tcW w:w="850" w:type="dxa"/>
            <w:tcBorders>
              <w:top w:val="nil"/>
              <w:left w:val="nil"/>
              <w:bottom w:val="nil"/>
              <w:right w:val="nil"/>
            </w:tcBorders>
            <w:shd w:val="clear" w:color="000000" w:fill="FFFFFF"/>
            <w:noWrap/>
            <w:vAlign w:val="bottom"/>
            <w:hideMark/>
          </w:tcPr>
          <w:p w:rsidR="00A46DCA" w:rsidRPr="009372C1" w:rsidRDefault="00A46DCA" w:rsidP="00A26D04">
            <w:pPr>
              <w:cnfStyle w:val="000000000000" w:firstRow="0" w:lastRow="0" w:firstColumn="0" w:lastColumn="0" w:oddVBand="0" w:evenVBand="0" w:oddHBand="0" w:evenHBand="0" w:firstRowFirstColumn="0" w:firstRowLastColumn="0" w:lastRowFirstColumn="0" w:lastRowLastColumn="0"/>
              <w:rPr>
                <w:szCs w:val="17"/>
              </w:rPr>
            </w:pPr>
            <w:r w:rsidRPr="009372C1">
              <w:rPr>
                <w:szCs w:val="17"/>
              </w:rPr>
              <w:t>332</w:t>
            </w:r>
          </w:p>
        </w:tc>
      </w:tr>
      <w:tr w:rsidR="00A46DCA" w:rsidRPr="009372C1" w:rsidTr="004906A4">
        <w:tc>
          <w:tcPr>
            <w:cnfStyle w:val="001000000000" w:firstRow="0" w:lastRow="0" w:firstColumn="1" w:lastColumn="0" w:oddVBand="0" w:evenVBand="0" w:oddHBand="0" w:evenHBand="0" w:firstRowFirstColumn="0" w:firstRowLastColumn="0" w:lastRowFirstColumn="0" w:lastRowLastColumn="0"/>
            <w:tcW w:w="4367" w:type="dxa"/>
            <w:tcBorders>
              <w:top w:val="single" w:sz="4" w:space="0" w:color="auto"/>
              <w:left w:val="nil"/>
              <w:bottom w:val="single" w:sz="4" w:space="0" w:color="auto"/>
              <w:right w:val="nil"/>
            </w:tcBorders>
            <w:shd w:val="clear" w:color="auto" w:fill="auto"/>
            <w:noWrap/>
            <w:vAlign w:val="bottom"/>
            <w:hideMark/>
          </w:tcPr>
          <w:p w:rsidR="00A46DCA" w:rsidRPr="009372C1" w:rsidRDefault="00A46DCA" w:rsidP="00A26D04">
            <w:pPr>
              <w:keepLines w:val="0"/>
              <w:rPr>
                <w:rFonts w:eastAsia="Calibri" w:cs="Times New Roman"/>
                <w:b/>
                <w:bCs/>
                <w:szCs w:val="17"/>
              </w:rPr>
            </w:pPr>
            <w:r w:rsidRPr="009372C1">
              <w:rPr>
                <w:rFonts w:eastAsia="Calibri" w:cs="Times New Roman"/>
                <w:b/>
                <w:bCs/>
                <w:szCs w:val="17"/>
              </w:rPr>
              <w:t>Net result from transactions</w:t>
            </w:r>
          </w:p>
        </w:tc>
        <w:tc>
          <w:tcPr>
            <w:tcW w:w="850" w:type="dxa"/>
            <w:tcBorders>
              <w:top w:val="single" w:sz="4" w:space="0" w:color="auto"/>
              <w:left w:val="nil"/>
              <w:bottom w:val="single" w:sz="4" w:space="0" w:color="auto"/>
              <w:right w:val="nil"/>
            </w:tcBorders>
            <w:shd w:val="clear" w:color="000000" w:fill="FFFFFF"/>
            <w:noWrap/>
            <w:vAlign w:val="bottom"/>
            <w:hideMark/>
          </w:tcPr>
          <w:p w:rsidR="00A46DCA" w:rsidRPr="009372C1" w:rsidRDefault="00A46DCA" w:rsidP="00A26D04">
            <w:pPr>
              <w:cnfStyle w:val="000000000000" w:firstRow="0" w:lastRow="0" w:firstColumn="0" w:lastColumn="0" w:oddVBand="0" w:evenVBand="0" w:oddHBand="0" w:evenHBand="0" w:firstRowFirstColumn="0" w:firstRowLastColumn="0" w:lastRowFirstColumn="0" w:lastRowLastColumn="0"/>
              <w:rPr>
                <w:b/>
                <w:bCs/>
                <w:szCs w:val="17"/>
              </w:rPr>
            </w:pPr>
            <w:r w:rsidRPr="009372C1">
              <w:rPr>
                <w:b/>
                <w:bCs/>
                <w:szCs w:val="17"/>
              </w:rPr>
              <w:t>(236)</w:t>
            </w:r>
          </w:p>
        </w:tc>
        <w:tc>
          <w:tcPr>
            <w:tcW w:w="850" w:type="dxa"/>
            <w:tcBorders>
              <w:top w:val="single" w:sz="4" w:space="0" w:color="auto"/>
              <w:left w:val="nil"/>
              <w:bottom w:val="single" w:sz="4" w:space="0" w:color="auto"/>
              <w:right w:val="nil"/>
            </w:tcBorders>
            <w:shd w:val="clear" w:color="000000" w:fill="FFFFFF"/>
            <w:noWrap/>
            <w:vAlign w:val="bottom"/>
            <w:hideMark/>
          </w:tcPr>
          <w:p w:rsidR="00A46DCA" w:rsidRPr="009372C1" w:rsidRDefault="00A46DCA" w:rsidP="00A26D04">
            <w:pPr>
              <w:cnfStyle w:val="000000000000" w:firstRow="0" w:lastRow="0" w:firstColumn="0" w:lastColumn="0" w:oddVBand="0" w:evenVBand="0" w:oddHBand="0" w:evenHBand="0" w:firstRowFirstColumn="0" w:firstRowLastColumn="0" w:lastRowFirstColumn="0" w:lastRowLastColumn="0"/>
              <w:rPr>
                <w:b/>
                <w:bCs/>
                <w:szCs w:val="17"/>
              </w:rPr>
            </w:pPr>
            <w:r w:rsidRPr="009372C1">
              <w:rPr>
                <w:b/>
                <w:bCs/>
                <w:szCs w:val="17"/>
              </w:rPr>
              <w:t>(270)</w:t>
            </w:r>
          </w:p>
        </w:tc>
        <w:tc>
          <w:tcPr>
            <w:tcW w:w="850" w:type="dxa"/>
            <w:tcBorders>
              <w:top w:val="single" w:sz="4" w:space="0" w:color="auto"/>
              <w:left w:val="nil"/>
              <w:bottom w:val="single" w:sz="4" w:space="0" w:color="auto"/>
              <w:right w:val="nil"/>
            </w:tcBorders>
            <w:shd w:val="clear" w:color="000000" w:fill="FFFFFF"/>
            <w:noWrap/>
            <w:vAlign w:val="bottom"/>
            <w:hideMark/>
          </w:tcPr>
          <w:p w:rsidR="00A46DCA" w:rsidRPr="009372C1" w:rsidRDefault="00A46DCA" w:rsidP="00A26D04">
            <w:pPr>
              <w:cnfStyle w:val="000000000000" w:firstRow="0" w:lastRow="0" w:firstColumn="0" w:lastColumn="0" w:oddVBand="0" w:evenVBand="0" w:oddHBand="0" w:evenHBand="0" w:firstRowFirstColumn="0" w:firstRowLastColumn="0" w:lastRowFirstColumn="0" w:lastRowLastColumn="0"/>
              <w:rPr>
                <w:b/>
                <w:bCs/>
                <w:szCs w:val="17"/>
              </w:rPr>
            </w:pPr>
            <w:r w:rsidRPr="009372C1">
              <w:rPr>
                <w:b/>
                <w:bCs/>
                <w:szCs w:val="17"/>
              </w:rPr>
              <w:t>(230)</w:t>
            </w:r>
          </w:p>
        </w:tc>
        <w:tc>
          <w:tcPr>
            <w:tcW w:w="850" w:type="dxa"/>
            <w:tcBorders>
              <w:top w:val="single" w:sz="4" w:space="0" w:color="auto"/>
              <w:left w:val="nil"/>
              <w:bottom w:val="single" w:sz="4" w:space="0" w:color="auto"/>
              <w:right w:val="nil"/>
            </w:tcBorders>
            <w:shd w:val="clear" w:color="000000" w:fill="FFFFFF"/>
            <w:noWrap/>
            <w:vAlign w:val="bottom"/>
            <w:hideMark/>
          </w:tcPr>
          <w:p w:rsidR="00A46DCA" w:rsidRPr="009372C1" w:rsidRDefault="00A46DCA" w:rsidP="00A26D04">
            <w:pPr>
              <w:cnfStyle w:val="000000000000" w:firstRow="0" w:lastRow="0" w:firstColumn="0" w:lastColumn="0" w:oddVBand="0" w:evenVBand="0" w:oddHBand="0" w:evenHBand="0" w:firstRowFirstColumn="0" w:firstRowLastColumn="0" w:lastRowFirstColumn="0" w:lastRowLastColumn="0"/>
              <w:rPr>
                <w:b/>
                <w:bCs/>
                <w:szCs w:val="17"/>
              </w:rPr>
            </w:pPr>
            <w:r w:rsidRPr="009372C1">
              <w:rPr>
                <w:b/>
                <w:bCs/>
                <w:szCs w:val="17"/>
              </w:rPr>
              <w:t>(243)</w:t>
            </w:r>
          </w:p>
        </w:tc>
      </w:tr>
      <w:tr w:rsidR="00A46DCA" w:rsidRPr="009372C1" w:rsidTr="004906A4">
        <w:tc>
          <w:tcPr>
            <w:cnfStyle w:val="001000000000" w:firstRow="0" w:lastRow="0" w:firstColumn="1" w:lastColumn="0" w:oddVBand="0" w:evenVBand="0" w:oddHBand="0" w:evenHBand="0" w:firstRowFirstColumn="0" w:firstRowLastColumn="0" w:lastRowFirstColumn="0" w:lastRowLastColumn="0"/>
            <w:tcW w:w="4367" w:type="dxa"/>
            <w:tcBorders>
              <w:top w:val="nil"/>
              <w:left w:val="nil"/>
              <w:bottom w:val="single" w:sz="8" w:space="0" w:color="auto"/>
              <w:right w:val="nil"/>
            </w:tcBorders>
            <w:shd w:val="clear" w:color="auto" w:fill="auto"/>
            <w:noWrap/>
            <w:vAlign w:val="bottom"/>
            <w:hideMark/>
          </w:tcPr>
          <w:p w:rsidR="00A46DCA" w:rsidRPr="009372C1" w:rsidRDefault="00A46DCA" w:rsidP="00A26D04">
            <w:pPr>
              <w:keepLines w:val="0"/>
              <w:rPr>
                <w:rFonts w:eastAsia="Calibri" w:cs="Times New Roman"/>
                <w:b/>
                <w:bCs/>
                <w:szCs w:val="17"/>
              </w:rPr>
            </w:pPr>
            <w:r w:rsidRPr="009372C1">
              <w:rPr>
                <w:rFonts w:eastAsia="Calibri" w:cs="Times New Roman"/>
                <w:b/>
                <w:bCs/>
                <w:szCs w:val="17"/>
              </w:rPr>
              <w:t>Net debt</w:t>
            </w:r>
          </w:p>
        </w:tc>
        <w:tc>
          <w:tcPr>
            <w:tcW w:w="850" w:type="dxa"/>
            <w:tcBorders>
              <w:top w:val="nil"/>
              <w:left w:val="nil"/>
              <w:bottom w:val="single" w:sz="8" w:space="0" w:color="auto"/>
              <w:right w:val="nil"/>
            </w:tcBorders>
            <w:shd w:val="clear" w:color="000000" w:fill="FFFFFF"/>
            <w:noWrap/>
            <w:vAlign w:val="bottom"/>
            <w:hideMark/>
          </w:tcPr>
          <w:p w:rsidR="00A46DCA" w:rsidRPr="009372C1" w:rsidRDefault="00A46DCA" w:rsidP="00A26D04">
            <w:pPr>
              <w:cnfStyle w:val="000000000000" w:firstRow="0" w:lastRow="0" w:firstColumn="0" w:lastColumn="0" w:oddVBand="0" w:evenVBand="0" w:oddHBand="0" w:evenHBand="0" w:firstRowFirstColumn="0" w:firstRowLastColumn="0" w:lastRowFirstColumn="0" w:lastRowLastColumn="0"/>
              <w:rPr>
                <w:b/>
                <w:bCs/>
                <w:szCs w:val="17"/>
              </w:rPr>
            </w:pPr>
            <w:r w:rsidRPr="009372C1">
              <w:rPr>
                <w:b/>
                <w:bCs/>
                <w:szCs w:val="17"/>
              </w:rPr>
              <w:t>236</w:t>
            </w:r>
          </w:p>
        </w:tc>
        <w:tc>
          <w:tcPr>
            <w:tcW w:w="850" w:type="dxa"/>
            <w:tcBorders>
              <w:top w:val="nil"/>
              <w:left w:val="nil"/>
              <w:bottom w:val="single" w:sz="8" w:space="0" w:color="auto"/>
              <w:right w:val="nil"/>
            </w:tcBorders>
            <w:shd w:val="clear" w:color="000000" w:fill="FFFFFF"/>
            <w:noWrap/>
            <w:vAlign w:val="bottom"/>
            <w:hideMark/>
          </w:tcPr>
          <w:p w:rsidR="00A46DCA" w:rsidRPr="009372C1" w:rsidRDefault="00A46DCA" w:rsidP="00A26D04">
            <w:pPr>
              <w:cnfStyle w:val="000000000000" w:firstRow="0" w:lastRow="0" w:firstColumn="0" w:lastColumn="0" w:oddVBand="0" w:evenVBand="0" w:oddHBand="0" w:evenHBand="0" w:firstRowFirstColumn="0" w:firstRowLastColumn="0" w:lastRowFirstColumn="0" w:lastRowLastColumn="0"/>
              <w:rPr>
                <w:b/>
                <w:bCs/>
                <w:szCs w:val="17"/>
              </w:rPr>
            </w:pPr>
            <w:r w:rsidRPr="009372C1">
              <w:rPr>
                <w:b/>
                <w:bCs/>
                <w:szCs w:val="17"/>
              </w:rPr>
              <w:t>514</w:t>
            </w:r>
          </w:p>
        </w:tc>
        <w:tc>
          <w:tcPr>
            <w:tcW w:w="850" w:type="dxa"/>
            <w:tcBorders>
              <w:top w:val="nil"/>
              <w:left w:val="nil"/>
              <w:bottom w:val="single" w:sz="8" w:space="0" w:color="auto"/>
              <w:right w:val="nil"/>
            </w:tcBorders>
            <w:shd w:val="clear" w:color="000000" w:fill="FFFFFF"/>
            <w:noWrap/>
            <w:vAlign w:val="bottom"/>
            <w:hideMark/>
          </w:tcPr>
          <w:p w:rsidR="00A46DCA" w:rsidRPr="009372C1" w:rsidRDefault="00A46DCA" w:rsidP="00A26D04">
            <w:pPr>
              <w:cnfStyle w:val="000000000000" w:firstRow="0" w:lastRow="0" w:firstColumn="0" w:lastColumn="0" w:oddVBand="0" w:evenVBand="0" w:oddHBand="0" w:evenHBand="0" w:firstRowFirstColumn="0" w:firstRowLastColumn="0" w:lastRowFirstColumn="0" w:lastRowLastColumn="0"/>
              <w:rPr>
                <w:b/>
                <w:bCs/>
                <w:szCs w:val="17"/>
              </w:rPr>
            </w:pPr>
            <w:r w:rsidRPr="009372C1">
              <w:rPr>
                <w:b/>
                <w:bCs/>
                <w:szCs w:val="17"/>
              </w:rPr>
              <w:t>810</w:t>
            </w:r>
          </w:p>
        </w:tc>
        <w:tc>
          <w:tcPr>
            <w:tcW w:w="850" w:type="dxa"/>
            <w:tcBorders>
              <w:top w:val="nil"/>
              <w:left w:val="nil"/>
              <w:bottom w:val="single" w:sz="8" w:space="0" w:color="auto"/>
              <w:right w:val="nil"/>
            </w:tcBorders>
            <w:shd w:val="clear" w:color="000000" w:fill="FFFFFF"/>
            <w:noWrap/>
            <w:vAlign w:val="bottom"/>
            <w:hideMark/>
          </w:tcPr>
          <w:p w:rsidR="00A46DCA" w:rsidRPr="009372C1" w:rsidRDefault="00A46DCA" w:rsidP="00A26D04">
            <w:pPr>
              <w:cnfStyle w:val="000000000000" w:firstRow="0" w:lastRow="0" w:firstColumn="0" w:lastColumn="0" w:oddVBand="0" w:evenVBand="0" w:oddHBand="0" w:evenHBand="0" w:firstRowFirstColumn="0" w:firstRowLastColumn="0" w:lastRowFirstColumn="0" w:lastRowLastColumn="0"/>
              <w:rPr>
                <w:b/>
                <w:bCs/>
                <w:szCs w:val="17"/>
              </w:rPr>
            </w:pPr>
            <w:r>
              <w:rPr>
                <w:b/>
                <w:bCs/>
                <w:szCs w:val="17"/>
              </w:rPr>
              <w:t>1 127</w:t>
            </w:r>
          </w:p>
        </w:tc>
      </w:tr>
      <w:tr w:rsidR="00A46DCA" w:rsidRPr="009372C1" w:rsidTr="004906A4">
        <w:tc>
          <w:tcPr>
            <w:cnfStyle w:val="001000000000" w:firstRow="0" w:lastRow="0" w:firstColumn="1" w:lastColumn="0" w:oddVBand="0" w:evenVBand="0" w:oddHBand="0" w:evenHBand="0" w:firstRowFirstColumn="0" w:firstRowLastColumn="0" w:lastRowFirstColumn="0" w:lastRowLastColumn="0"/>
            <w:tcW w:w="4367" w:type="dxa"/>
            <w:tcBorders>
              <w:top w:val="nil"/>
              <w:left w:val="nil"/>
              <w:bottom w:val="nil"/>
              <w:right w:val="nil"/>
            </w:tcBorders>
            <w:shd w:val="clear" w:color="auto" w:fill="auto"/>
            <w:noWrap/>
            <w:vAlign w:val="bottom"/>
            <w:hideMark/>
          </w:tcPr>
          <w:p w:rsidR="00A46DCA" w:rsidRPr="009372C1" w:rsidRDefault="00A46DCA" w:rsidP="00A26D04">
            <w:pPr>
              <w:keepLines w:val="0"/>
              <w:rPr>
                <w:rFonts w:eastAsia="Calibri" w:cs="Times New Roman"/>
                <w:b/>
                <w:bCs/>
                <w:szCs w:val="17"/>
              </w:rPr>
            </w:pPr>
            <w:r w:rsidRPr="009372C1">
              <w:rPr>
                <w:rFonts w:eastAsia="Calibri" w:cs="Times New Roman"/>
                <w:b/>
                <w:bCs/>
                <w:szCs w:val="17"/>
              </w:rPr>
              <w:t xml:space="preserve">Domestic share prices </w:t>
            </w:r>
          </w:p>
        </w:tc>
        <w:tc>
          <w:tcPr>
            <w:tcW w:w="850" w:type="dxa"/>
            <w:tcBorders>
              <w:top w:val="nil"/>
              <w:left w:val="nil"/>
              <w:bottom w:val="nil"/>
              <w:right w:val="nil"/>
            </w:tcBorders>
            <w:shd w:val="clear" w:color="auto" w:fill="auto"/>
            <w:noWrap/>
            <w:vAlign w:val="bottom"/>
            <w:hideMark/>
          </w:tcPr>
          <w:p w:rsidR="00A46DCA" w:rsidRPr="009372C1" w:rsidRDefault="00A46DCA" w:rsidP="00A26D04">
            <w:pPr>
              <w:cnfStyle w:val="000000000000" w:firstRow="0" w:lastRow="0" w:firstColumn="0" w:lastColumn="0" w:oddVBand="0" w:evenVBand="0" w:oddHBand="0" w:evenHBand="0" w:firstRowFirstColumn="0" w:firstRowLastColumn="0" w:lastRowFirstColumn="0" w:lastRowLastColumn="0"/>
              <w:rPr>
                <w:szCs w:val="17"/>
              </w:rPr>
            </w:pPr>
          </w:p>
        </w:tc>
        <w:tc>
          <w:tcPr>
            <w:tcW w:w="850" w:type="dxa"/>
            <w:tcBorders>
              <w:top w:val="nil"/>
              <w:left w:val="nil"/>
              <w:bottom w:val="nil"/>
              <w:right w:val="nil"/>
            </w:tcBorders>
            <w:shd w:val="clear" w:color="auto" w:fill="auto"/>
            <w:noWrap/>
            <w:vAlign w:val="bottom"/>
            <w:hideMark/>
          </w:tcPr>
          <w:p w:rsidR="00A46DCA" w:rsidRPr="009372C1" w:rsidRDefault="00A46DCA" w:rsidP="00A26D04">
            <w:pPr>
              <w:cnfStyle w:val="000000000000" w:firstRow="0" w:lastRow="0" w:firstColumn="0" w:lastColumn="0" w:oddVBand="0" w:evenVBand="0" w:oddHBand="0" w:evenHBand="0" w:firstRowFirstColumn="0" w:firstRowLastColumn="0" w:lastRowFirstColumn="0" w:lastRowLastColumn="0"/>
              <w:rPr>
                <w:szCs w:val="17"/>
              </w:rPr>
            </w:pPr>
          </w:p>
        </w:tc>
        <w:tc>
          <w:tcPr>
            <w:tcW w:w="850" w:type="dxa"/>
            <w:tcBorders>
              <w:top w:val="nil"/>
              <w:left w:val="nil"/>
              <w:bottom w:val="nil"/>
              <w:right w:val="nil"/>
            </w:tcBorders>
            <w:shd w:val="clear" w:color="auto" w:fill="auto"/>
            <w:noWrap/>
            <w:vAlign w:val="bottom"/>
            <w:hideMark/>
          </w:tcPr>
          <w:p w:rsidR="00A46DCA" w:rsidRPr="009372C1" w:rsidRDefault="00A46DCA" w:rsidP="00A26D04">
            <w:pPr>
              <w:cnfStyle w:val="000000000000" w:firstRow="0" w:lastRow="0" w:firstColumn="0" w:lastColumn="0" w:oddVBand="0" w:evenVBand="0" w:oddHBand="0" w:evenHBand="0" w:firstRowFirstColumn="0" w:firstRowLastColumn="0" w:lastRowFirstColumn="0" w:lastRowLastColumn="0"/>
              <w:rPr>
                <w:szCs w:val="17"/>
              </w:rPr>
            </w:pPr>
          </w:p>
        </w:tc>
        <w:tc>
          <w:tcPr>
            <w:tcW w:w="850" w:type="dxa"/>
            <w:tcBorders>
              <w:top w:val="nil"/>
              <w:left w:val="nil"/>
              <w:bottom w:val="nil"/>
              <w:right w:val="nil"/>
            </w:tcBorders>
            <w:shd w:val="clear" w:color="auto" w:fill="auto"/>
            <w:noWrap/>
            <w:vAlign w:val="bottom"/>
            <w:hideMark/>
          </w:tcPr>
          <w:p w:rsidR="00A46DCA" w:rsidRPr="009372C1" w:rsidRDefault="00A46DCA" w:rsidP="00A26D04">
            <w:pPr>
              <w:cnfStyle w:val="000000000000" w:firstRow="0" w:lastRow="0" w:firstColumn="0" w:lastColumn="0" w:oddVBand="0" w:evenVBand="0" w:oddHBand="0" w:evenHBand="0" w:firstRowFirstColumn="0" w:firstRowLastColumn="0" w:lastRowFirstColumn="0" w:lastRowLastColumn="0"/>
              <w:rPr>
                <w:szCs w:val="17"/>
              </w:rPr>
            </w:pPr>
          </w:p>
        </w:tc>
      </w:tr>
      <w:tr w:rsidR="00A46DCA" w:rsidRPr="009372C1" w:rsidTr="004906A4">
        <w:tc>
          <w:tcPr>
            <w:cnfStyle w:val="001000000000" w:firstRow="0" w:lastRow="0" w:firstColumn="1" w:lastColumn="0" w:oddVBand="0" w:evenVBand="0" w:oddHBand="0" w:evenHBand="0" w:firstRowFirstColumn="0" w:firstRowLastColumn="0" w:lastRowFirstColumn="0" w:lastRowLastColumn="0"/>
            <w:tcW w:w="4367" w:type="dxa"/>
            <w:tcBorders>
              <w:top w:val="nil"/>
              <w:left w:val="nil"/>
              <w:bottom w:val="nil"/>
              <w:right w:val="nil"/>
            </w:tcBorders>
            <w:shd w:val="clear" w:color="auto" w:fill="auto"/>
            <w:noWrap/>
            <w:vAlign w:val="bottom"/>
            <w:hideMark/>
          </w:tcPr>
          <w:p w:rsidR="00A46DCA" w:rsidRPr="009372C1" w:rsidRDefault="00A46DCA" w:rsidP="00A26D04">
            <w:pPr>
              <w:keepLines w:val="0"/>
              <w:rPr>
                <w:rFonts w:eastAsia="Calibri" w:cs="Times New Roman"/>
                <w:szCs w:val="17"/>
              </w:rPr>
            </w:pPr>
            <w:r w:rsidRPr="009372C1">
              <w:rPr>
                <w:rFonts w:eastAsia="Calibri" w:cs="Times New Roman"/>
                <w:szCs w:val="17"/>
              </w:rPr>
              <w:t>Income from transactions</w:t>
            </w:r>
          </w:p>
        </w:tc>
        <w:tc>
          <w:tcPr>
            <w:tcW w:w="850" w:type="dxa"/>
            <w:tcBorders>
              <w:top w:val="nil"/>
              <w:left w:val="nil"/>
              <w:bottom w:val="nil"/>
              <w:right w:val="nil"/>
            </w:tcBorders>
            <w:shd w:val="clear" w:color="auto" w:fill="auto"/>
            <w:noWrap/>
            <w:vAlign w:val="bottom"/>
            <w:hideMark/>
          </w:tcPr>
          <w:p w:rsidR="00A46DCA" w:rsidRPr="009372C1" w:rsidRDefault="00A46DCA" w:rsidP="00A26D04">
            <w:pPr>
              <w:cnfStyle w:val="000000000000" w:firstRow="0" w:lastRow="0" w:firstColumn="0" w:lastColumn="0" w:oddVBand="0" w:evenVBand="0" w:oddHBand="0" w:evenHBand="0" w:firstRowFirstColumn="0" w:firstRowLastColumn="0" w:lastRowFirstColumn="0" w:lastRowLastColumn="0"/>
              <w:rPr>
                <w:szCs w:val="17"/>
              </w:rPr>
            </w:pPr>
            <w:r w:rsidRPr="009372C1">
              <w:rPr>
                <w:szCs w:val="17"/>
              </w:rPr>
              <w:t>6</w:t>
            </w:r>
          </w:p>
        </w:tc>
        <w:tc>
          <w:tcPr>
            <w:tcW w:w="850" w:type="dxa"/>
            <w:tcBorders>
              <w:top w:val="nil"/>
              <w:left w:val="nil"/>
              <w:bottom w:val="nil"/>
              <w:right w:val="nil"/>
            </w:tcBorders>
            <w:shd w:val="clear" w:color="auto" w:fill="auto"/>
            <w:noWrap/>
            <w:vAlign w:val="bottom"/>
            <w:hideMark/>
          </w:tcPr>
          <w:p w:rsidR="00A46DCA" w:rsidRPr="009372C1" w:rsidRDefault="00A46DCA" w:rsidP="00A26D04">
            <w:pPr>
              <w:cnfStyle w:val="000000000000" w:firstRow="0" w:lastRow="0" w:firstColumn="0" w:lastColumn="0" w:oddVBand="0" w:evenVBand="0" w:oddHBand="0" w:evenHBand="0" w:firstRowFirstColumn="0" w:firstRowLastColumn="0" w:lastRowFirstColumn="0" w:lastRowLastColumn="0"/>
              <w:rPr>
                <w:szCs w:val="17"/>
              </w:rPr>
            </w:pPr>
            <w:r w:rsidRPr="009372C1">
              <w:rPr>
                <w:szCs w:val="17"/>
              </w:rPr>
              <w:t>4</w:t>
            </w:r>
          </w:p>
        </w:tc>
        <w:tc>
          <w:tcPr>
            <w:tcW w:w="850" w:type="dxa"/>
            <w:tcBorders>
              <w:top w:val="nil"/>
              <w:left w:val="nil"/>
              <w:bottom w:val="nil"/>
              <w:right w:val="nil"/>
            </w:tcBorders>
            <w:shd w:val="clear" w:color="auto" w:fill="auto"/>
            <w:noWrap/>
            <w:vAlign w:val="bottom"/>
            <w:hideMark/>
          </w:tcPr>
          <w:p w:rsidR="00A46DCA" w:rsidRPr="009372C1" w:rsidRDefault="00A46DCA" w:rsidP="00A26D04">
            <w:pPr>
              <w:cnfStyle w:val="000000000000" w:firstRow="0" w:lastRow="0" w:firstColumn="0" w:lastColumn="0" w:oddVBand="0" w:evenVBand="0" w:oddHBand="0" w:evenHBand="0" w:firstRowFirstColumn="0" w:firstRowLastColumn="0" w:lastRowFirstColumn="0" w:lastRowLastColumn="0"/>
              <w:rPr>
                <w:szCs w:val="17"/>
              </w:rPr>
            </w:pPr>
            <w:r w:rsidRPr="009372C1">
              <w:rPr>
                <w:szCs w:val="17"/>
              </w:rPr>
              <w:t>2</w:t>
            </w:r>
          </w:p>
        </w:tc>
        <w:tc>
          <w:tcPr>
            <w:tcW w:w="850" w:type="dxa"/>
            <w:tcBorders>
              <w:top w:val="nil"/>
              <w:left w:val="nil"/>
              <w:bottom w:val="nil"/>
              <w:right w:val="nil"/>
            </w:tcBorders>
            <w:shd w:val="clear" w:color="auto" w:fill="auto"/>
            <w:noWrap/>
            <w:vAlign w:val="bottom"/>
            <w:hideMark/>
          </w:tcPr>
          <w:p w:rsidR="00A46DCA" w:rsidRPr="009372C1" w:rsidRDefault="00A46DCA" w:rsidP="00A26D04">
            <w:pPr>
              <w:cnfStyle w:val="000000000000" w:firstRow="0" w:lastRow="0" w:firstColumn="0" w:lastColumn="0" w:oddVBand="0" w:evenVBand="0" w:oddHBand="0" w:evenHBand="0" w:firstRowFirstColumn="0" w:firstRowLastColumn="0" w:lastRowFirstColumn="0" w:lastRowLastColumn="0"/>
              <w:rPr>
                <w:szCs w:val="17"/>
              </w:rPr>
            </w:pPr>
            <w:r w:rsidRPr="009372C1">
              <w:rPr>
                <w:szCs w:val="17"/>
              </w:rPr>
              <w:t>1</w:t>
            </w:r>
          </w:p>
        </w:tc>
      </w:tr>
      <w:tr w:rsidR="00A46DCA" w:rsidRPr="009372C1" w:rsidTr="004906A4">
        <w:tc>
          <w:tcPr>
            <w:cnfStyle w:val="001000000000" w:firstRow="0" w:lastRow="0" w:firstColumn="1" w:lastColumn="0" w:oddVBand="0" w:evenVBand="0" w:oddHBand="0" w:evenHBand="0" w:firstRowFirstColumn="0" w:firstRowLastColumn="0" w:lastRowFirstColumn="0" w:lastRowLastColumn="0"/>
            <w:tcW w:w="4367" w:type="dxa"/>
            <w:tcBorders>
              <w:top w:val="nil"/>
              <w:left w:val="nil"/>
              <w:bottom w:val="nil"/>
              <w:right w:val="nil"/>
            </w:tcBorders>
            <w:shd w:val="clear" w:color="auto" w:fill="auto"/>
            <w:noWrap/>
            <w:vAlign w:val="bottom"/>
            <w:hideMark/>
          </w:tcPr>
          <w:p w:rsidR="00A46DCA" w:rsidRPr="009372C1" w:rsidRDefault="00A46DCA" w:rsidP="00A26D04">
            <w:pPr>
              <w:keepLines w:val="0"/>
              <w:rPr>
                <w:rFonts w:eastAsia="Calibri" w:cs="Times New Roman"/>
                <w:szCs w:val="17"/>
              </w:rPr>
            </w:pPr>
            <w:r w:rsidRPr="009372C1">
              <w:rPr>
                <w:rFonts w:eastAsia="Calibri" w:cs="Times New Roman"/>
                <w:szCs w:val="17"/>
              </w:rPr>
              <w:t>Expenses from transactions</w:t>
            </w:r>
          </w:p>
        </w:tc>
        <w:tc>
          <w:tcPr>
            <w:tcW w:w="850" w:type="dxa"/>
            <w:tcBorders>
              <w:top w:val="nil"/>
              <w:left w:val="nil"/>
              <w:bottom w:val="nil"/>
              <w:right w:val="nil"/>
            </w:tcBorders>
            <w:shd w:val="clear" w:color="auto" w:fill="auto"/>
            <w:noWrap/>
            <w:vAlign w:val="bottom"/>
            <w:hideMark/>
          </w:tcPr>
          <w:p w:rsidR="00A46DCA" w:rsidRPr="009372C1" w:rsidRDefault="00A46DCA" w:rsidP="00A26D04">
            <w:pPr>
              <w:cnfStyle w:val="000000000000" w:firstRow="0" w:lastRow="0" w:firstColumn="0" w:lastColumn="0" w:oddVBand="0" w:evenVBand="0" w:oddHBand="0" w:evenHBand="0" w:firstRowFirstColumn="0" w:firstRowLastColumn="0" w:lastRowFirstColumn="0" w:lastRowLastColumn="0"/>
              <w:rPr>
                <w:szCs w:val="17"/>
              </w:rPr>
            </w:pPr>
            <w:r>
              <w:rPr>
                <w:szCs w:val="17"/>
              </w:rPr>
              <w:t>..</w:t>
            </w:r>
          </w:p>
        </w:tc>
        <w:tc>
          <w:tcPr>
            <w:tcW w:w="850" w:type="dxa"/>
            <w:tcBorders>
              <w:top w:val="nil"/>
              <w:left w:val="nil"/>
              <w:bottom w:val="nil"/>
              <w:right w:val="nil"/>
            </w:tcBorders>
            <w:shd w:val="clear" w:color="auto" w:fill="auto"/>
            <w:noWrap/>
            <w:vAlign w:val="bottom"/>
            <w:hideMark/>
          </w:tcPr>
          <w:p w:rsidR="00A46DCA" w:rsidRPr="009372C1" w:rsidRDefault="00A46DCA" w:rsidP="00A26D04">
            <w:pPr>
              <w:cnfStyle w:val="000000000000" w:firstRow="0" w:lastRow="0" w:firstColumn="0" w:lastColumn="0" w:oddVBand="0" w:evenVBand="0" w:oddHBand="0" w:evenHBand="0" w:firstRowFirstColumn="0" w:firstRowLastColumn="0" w:lastRowFirstColumn="0" w:lastRowLastColumn="0"/>
              <w:rPr>
                <w:szCs w:val="17"/>
              </w:rPr>
            </w:pPr>
            <w:r w:rsidRPr="009372C1">
              <w:rPr>
                <w:szCs w:val="17"/>
              </w:rPr>
              <w:t>(2)</w:t>
            </w:r>
          </w:p>
        </w:tc>
        <w:tc>
          <w:tcPr>
            <w:tcW w:w="850" w:type="dxa"/>
            <w:tcBorders>
              <w:top w:val="nil"/>
              <w:left w:val="nil"/>
              <w:bottom w:val="nil"/>
              <w:right w:val="nil"/>
            </w:tcBorders>
            <w:shd w:val="clear" w:color="auto" w:fill="auto"/>
            <w:noWrap/>
            <w:vAlign w:val="bottom"/>
            <w:hideMark/>
          </w:tcPr>
          <w:p w:rsidR="00A46DCA" w:rsidRPr="009372C1" w:rsidRDefault="00A46DCA" w:rsidP="00A26D04">
            <w:pPr>
              <w:cnfStyle w:val="000000000000" w:firstRow="0" w:lastRow="0" w:firstColumn="0" w:lastColumn="0" w:oddVBand="0" w:evenVBand="0" w:oddHBand="0" w:evenHBand="0" w:firstRowFirstColumn="0" w:firstRowLastColumn="0" w:lastRowFirstColumn="0" w:lastRowLastColumn="0"/>
              <w:rPr>
                <w:szCs w:val="17"/>
              </w:rPr>
            </w:pPr>
            <w:r w:rsidRPr="009372C1">
              <w:rPr>
                <w:szCs w:val="17"/>
              </w:rPr>
              <w:t>(3)</w:t>
            </w:r>
          </w:p>
        </w:tc>
        <w:tc>
          <w:tcPr>
            <w:tcW w:w="850" w:type="dxa"/>
            <w:tcBorders>
              <w:top w:val="nil"/>
              <w:left w:val="nil"/>
              <w:bottom w:val="nil"/>
              <w:right w:val="nil"/>
            </w:tcBorders>
            <w:shd w:val="clear" w:color="auto" w:fill="auto"/>
            <w:noWrap/>
            <w:vAlign w:val="bottom"/>
            <w:hideMark/>
          </w:tcPr>
          <w:p w:rsidR="00A46DCA" w:rsidRPr="009372C1" w:rsidRDefault="00A46DCA" w:rsidP="00A26D04">
            <w:pPr>
              <w:cnfStyle w:val="000000000000" w:firstRow="0" w:lastRow="0" w:firstColumn="0" w:lastColumn="0" w:oddVBand="0" w:evenVBand="0" w:oddHBand="0" w:evenHBand="0" w:firstRowFirstColumn="0" w:firstRowLastColumn="0" w:lastRowFirstColumn="0" w:lastRowLastColumn="0"/>
              <w:rPr>
                <w:szCs w:val="17"/>
              </w:rPr>
            </w:pPr>
            <w:r w:rsidRPr="009372C1">
              <w:rPr>
                <w:szCs w:val="17"/>
              </w:rPr>
              <w:t>(3)</w:t>
            </w:r>
          </w:p>
        </w:tc>
      </w:tr>
      <w:tr w:rsidR="00A46DCA" w:rsidRPr="009372C1" w:rsidTr="004906A4">
        <w:tc>
          <w:tcPr>
            <w:cnfStyle w:val="001000000000" w:firstRow="0" w:lastRow="0" w:firstColumn="1" w:lastColumn="0" w:oddVBand="0" w:evenVBand="0" w:oddHBand="0" w:evenHBand="0" w:firstRowFirstColumn="0" w:firstRowLastColumn="0" w:lastRowFirstColumn="0" w:lastRowLastColumn="0"/>
            <w:tcW w:w="4367" w:type="dxa"/>
            <w:tcBorders>
              <w:top w:val="single" w:sz="4" w:space="0" w:color="auto"/>
              <w:left w:val="nil"/>
              <w:bottom w:val="single" w:sz="4" w:space="0" w:color="auto"/>
              <w:right w:val="nil"/>
            </w:tcBorders>
            <w:shd w:val="clear" w:color="auto" w:fill="auto"/>
            <w:noWrap/>
            <w:vAlign w:val="bottom"/>
            <w:hideMark/>
          </w:tcPr>
          <w:p w:rsidR="00A46DCA" w:rsidRPr="009372C1" w:rsidRDefault="00A46DCA" w:rsidP="00A26D04">
            <w:pPr>
              <w:keepLines w:val="0"/>
              <w:rPr>
                <w:rFonts w:eastAsia="Calibri" w:cs="Times New Roman"/>
                <w:b/>
                <w:bCs/>
                <w:szCs w:val="17"/>
              </w:rPr>
            </w:pPr>
            <w:r w:rsidRPr="009372C1">
              <w:rPr>
                <w:rFonts w:eastAsia="Calibri" w:cs="Times New Roman"/>
                <w:b/>
                <w:bCs/>
                <w:szCs w:val="17"/>
              </w:rPr>
              <w:t>Net result from transactions</w:t>
            </w:r>
          </w:p>
        </w:tc>
        <w:tc>
          <w:tcPr>
            <w:tcW w:w="850" w:type="dxa"/>
            <w:tcBorders>
              <w:top w:val="single" w:sz="4" w:space="0" w:color="auto"/>
              <w:left w:val="nil"/>
              <w:bottom w:val="single" w:sz="4" w:space="0" w:color="auto"/>
              <w:right w:val="nil"/>
            </w:tcBorders>
            <w:shd w:val="clear" w:color="auto" w:fill="auto"/>
            <w:noWrap/>
            <w:vAlign w:val="bottom"/>
            <w:hideMark/>
          </w:tcPr>
          <w:p w:rsidR="00A46DCA" w:rsidRPr="009372C1" w:rsidRDefault="00A46DCA" w:rsidP="00A26D04">
            <w:pPr>
              <w:cnfStyle w:val="000000000000" w:firstRow="0" w:lastRow="0" w:firstColumn="0" w:lastColumn="0" w:oddVBand="0" w:evenVBand="0" w:oddHBand="0" w:evenHBand="0" w:firstRowFirstColumn="0" w:firstRowLastColumn="0" w:lastRowFirstColumn="0" w:lastRowLastColumn="0"/>
              <w:rPr>
                <w:b/>
                <w:bCs/>
                <w:szCs w:val="17"/>
              </w:rPr>
            </w:pPr>
            <w:r w:rsidRPr="009372C1">
              <w:rPr>
                <w:b/>
                <w:bCs/>
                <w:szCs w:val="17"/>
              </w:rPr>
              <w:t>6</w:t>
            </w:r>
          </w:p>
        </w:tc>
        <w:tc>
          <w:tcPr>
            <w:tcW w:w="850" w:type="dxa"/>
            <w:tcBorders>
              <w:top w:val="single" w:sz="4" w:space="0" w:color="auto"/>
              <w:left w:val="nil"/>
              <w:bottom w:val="single" w:sz="4" w:space="0" w:color="auto"/>
              <w:right w:val="nil"/>
            </w:tcBorders>
            <w:shd w:val="clear" w:color="auto" w:fill="auto"/>
            <w:noWrap/>
            <w:vAlign w:val="bottom"/>
            <w:hideMark/>
          </w:tcPr>
          <w:p w:rsidR="00A46DCA" w:rsidRPr="009372C1" w:rsidRDefault="00A46DCA" w:rsidP="00A26D04">
            <w:pPr>
              <w:cnfStyle w:val="000000000000" w:firstRow="0" w:lastRow="0" w:firstColumn="0" w:lastColumn="0" w:oddVBand="0" w:evenVBand="0" w:oddHBand="0" w:evenHBand="0" w:firstRowFirstColumn="0" w:firstRowLastColumn="0" w:lastRowFirstColumn="0" w:lastRowLastColumn="0"/>
              <w:rPr>
                <w:b/>
                <w:bCs/>
                <w:szCs w:val="17"/>
              </w:rPr>
            </w:pPr>
            <w:r w:rsidRPr="009372C1">
              <w:rPr>
                <w:b/>
                <w:bCs/>
                <w:szCs w:val="17"/>
              </w:rPr>
              <w:t>6</w:t>
            </w:r>
          </w:p>
        </w:tc>
        <w:tc>
          <w:tcPr>
            <w:tcW w:w="850" w:type="dxa"/>
            <w:tcBorders>
              <w:top w:val="single" w:sz="4" w:space="0" w:color="auto"/>
              <w:left w:val="nil"/>
              <w:bottom w:val="single" w:sz="4" w:space="0" w:color="auto"/>
              <w:right w:val="nil"/>
            </w:tcBorders>
            <w:shd w:val="clear" w:color="auto" w:fill="auto"/>
            <w:noWrap/>
            <w:vAlign w:val="bottom"/>
            <w:hideMark/>
          </w:tcPr>
          <w:p w:rsidR="00A46DCA" w:rsidRPr="009372C1" w:rsidRDefault="00A46DCA" w:rsidP="00A26D04">
            <w:pPr>
              <w:cnfStyle w:val="000000000000" w:firstRow="0" w:lastRow="0" w:firstColumn="0" w:lastColumn="0" w:oddVBand="0" w:evenVBand="0" w:oddHBand="0" w:evenHBand="0" w:firstRowFirstColumn="0" w:firstRowLastColumn="0" w:lastRowFirstColumn="0" w:lastRowLastColumn="0"/>
              <w:rPr>
                <w:b/>
                <w:bCs/>
                <w:szCs w:val="17"/>
              </w:rPr>
            </w:pPr>
            <w:r w:rsidRPr="009372C1">
              <w:rPr>
                <w:b/>
                <w:bCs/>
                <w:szCs w:val="17"/>
              </w:rPr>
              <w:t>5</w:t>
            </w:r>
          </w:p>
        </w:tc>
        <w:tc>
          <w:tcPr>
            <w:tcW w:w="850" w:type="dxa"/>
            <w:tcBorders>
              <w:top w:val="single" w:sz="4" w:space="0" w:color="auto"/>
              <w:left w:val="nil"/>
              <w:bottom w:val="single" w:sz="4" w:space="0" w:color="auto"/>
              <w:right w:val="nil"/>
            </w:tcBorders>
            <w:shd w:val="clear" w:color="auto" w:fill="auto"/>
            <w:noWrap/>
            <w:vAlign w:val="bottom"/>
            <w:hideMark/>
          </w:tcPr>
          <w:p w:rsidR="00A46DCA" w:rsidRPr="009372C1" w:rsidRDefault="00A46DCA" w:rsidP="00A26D04">
            <w:pPr>
              <w:cnfStyle w:val="000000000000" w:firstRow="0" w:lastRow="0" w:firstColumn="0" w:lastColumn="0" w:oddVBand="0" w:evenVBand="0" w:oddHBand="0" w:evenHBand="0" w:firstRowFirstColumn="0" w:firstRowLastColumn="0" w:lastRowFirstColumn="0" w:lastRowLastColumn="0"/>
              <w:rPr>
                <w:b/>
                <w:bCs/>
                <w:szCs w:val="17"/>
              </w:rPr>
            </w:pPr>
            <w:r w:rsidRPr="009372C1">
              <w:rPr>
                <w:b/>
                <w:bCs/>
                <w:szCs w:val="17"/>
              </w:rPr>
              <w:t>4</w:t>
            </w:r>
          </w:p>
        </w:tc>
      </w:tr>
      <w:tr w:rsidR="00A46DCA" w:rsidRPr="009372C1" w:rsidTr="004906A4">
        <w:tc>
          <w:tcPr>
            <w:cnfStyle w:val="001000000000" w:firstRow="0" w:lastRow="0" w:firstColumn="1" w:lastColumn="0" w:oddVBand="0" w:evenVBand="0" w:oddHBand="0" w:evenHBand="0" w:firstRowFirstColumn="0" w:firstRowLastColumn="0" w:lastRowFirstColumn="0" w:lastRowLastColumn="0"/>
            <w:tcW w:w="4367" w:type="dxa"/>
            <w:tcBorders>
              <w:top w:val="nil"/>
              <w:left w:val="nil"/>
              <w:bottom w:val="single" w:sz="8" w:space="0" w:color="auto"/>
              <w:right w:val="nil"/>
            </w:tcBorders>
            <w:shd w:val="clear" w:color="auto" w:fill="auto"/>
            <w:noWrap/>
            <w:vAlign w:val="bottom"/>
            <w:hideMark/>
          </w:tcPr>
          <w:p w:rsidR="00A46DCA" w:rsidRPr="009372C1" w:rsidRDefault="00A46DCA" w:rsidP="00A26D04">
            <w:pPr>
              <w:keepLines w:val="0"/>
              <w:rPr>
                <w:rFonts w:eastAsia="Calibri" w:cs="Times New Roman"/>
                <w:b/>
                <w:bCs/>
                <w:szCs w:val="17"/>
              </w:rPr>
            </w:pPr>
            <w:r w:rsidRPr="009372C1">
              <w:rPr>
                <w:rFonts w:eastAsia="Calibri" w:cs="Times New Roman"/>
                <w:b/>
                <w:bCs/>
                <w:szCs w:val="17"/>
              </w:rPr>
              <w:t>Net debt</w:t>
            </w:r>
          </w:p>
        </w:tc>
        <w:tc>
          <w:tcPr>
            <w:tcW w:w="850" w:type="dxa"/>
            <w:tcBorders>
              <w:top w:val="nil"/>
              <w:left w:val="nil"/>
              <w:bottom w:val="single" w:sz="8" w:space="0" w:color="auto"/>
              <w:right w:val="nil"/>
            </w:tcBorders>
            <w:shd w:val="clear" w:color="auto" w:fill="auto"/>
            <w:noWrap/>
            <w:vAlign w:val="bottom"/>
            <w:hideMark/>
          </w:tcPr>
          <w:p w:rsidR="00A46DCA" w:rsidRPr="009372C1" w:rsidRDefault="00A46DCA" w:rsidP="00A26D04">
            <w:pPr>
              <w:cnfStyle w:val="000000000000" w:firstRow="0" w:lastRow="0" w:firstColumn="0" w:lastColumn="0" w:oddVBand="0" w:evenVBand="0" w:oddHBand="0" w:evenHBand="0" w:firstRowFirstColumn="0" w:firstRowLastColumn="0" w:lastRowFirstColumn="0" w:lastRowLastColumn="0"/>
              <w:rPr>
                <w:b/>
                <w:bCs/>
                <w:szCs w:val="17"/>
              </w:rPr>
            </w:pPr>
            <w:r w:rsidRPr="009372C1">
              <w:rPr>
                <w:b/>
                <w:bCs/>
                <w:szCs w:val="17"/>
              </w:rPr>
              <w:t>(6)</w:t>
            </w:r>
          </w:p>
        </w:tc>
        <w:tc>
          <w:tcPr>
            <w:tcW w:w="850" w:type="dxa"/>
            <w:tcBorders>
              <w:top w:val="nil"/>
              <w:left w:val="nil"/>
              <w:bottom w:val="single" w:sz="8" w:space="0" w:color="auto"/>
              <w:right w:val="nil"/>
            </w:tcBorders>
            <w:shd w:val="clear" w:color="auto" w:fill="auto"/>
            <w:noWrap/>
            <w:vAlign w:val="bottom"/>
            <w:hideMark/>
          </w:tcPr>
          <w:p w:rsidR="00A46DCA" w:rsidRPr="009372C1" w:rsidRDefault="00A46DCA" w:rsidP="00A26D04">
            <w:pPr>
              <w:cnfStyle w:val="000000000000" w:firstRow="0" w:lastRow="0" w:firstColumn="0" w:lastColumn="0" w:oddVBand="0" w:evenVBand="0" w:oddHBand="0" w:evenHBand="0" w:firstRowFirstColumn="0" w:firstRowLastColumn="0" w:lastRowFirstColumn="0" w:lastRowLastColumn="0"/>
              <w:rPr>
                <w:b/>
                <w:bCs/>
                <w:szCs w:val="17"/>
              </w:rPr>
            </w:pPr>
            <w:r w:rsidRPr="009372C1">
              <w:rPr>
                <w:b/>
                <w:bCs/>
                <w:szCs w:val="17"/>
              </w:rPr>
              <w:t>(10)</w:t>
            </w:r>
          </w:p>
        </w:tc>
        <w:tc>
          <w:tcPr>
            <w:tcW w:w="850" w:type="dxa"/>
            <w:tcBorders>
              <w:top w:val="nil"/>
              <w:left w:val="nil"/>
              <w:bottom w:val="single" w:sz="8" w:space="0" w:color="auto"/>
              <w:right w:val="nil"/>
            </w:tcBorders>
            <w:shd w:val="clear" w:color="auto" w:fill="auto"/>
            <w:noWrap/>
            <w:vAlign w:val="bottom"/>
            <w:hideMark/>
          </w:tcPr>
          <w:p w:rsidR="00A46DCA" w:rsidRPr="009372C1" w:rsidRDefault="00A46DCA" w:rsidP="00A26D04">
            <w:pPr>
              <w:cnfStyle w:val="000000000000" w:firstRow="0" w:lastRow="0" w:firstColumn="0" w:lastColumn="0" w:oddVBand="0" w:evenVBand="0" w:oddHBand="0" w:evenHBand="0" w:firstRowFirstColumn="0" w:firstRowLastColumn="0" w:lastRowFirstColumn="0" w:lastRowLastColumn="0"/>
              <w:rPr>
                <w:b/>
                <w:bCs/>
                <w:szCs w:val="17"/>
              </w:rPr>
            </w:pPr>
            <w:r w:rsidRPr="009372C1">
              <w:rPr>
                <w:b/>
                <w:bCs/>
                <w:szCs w:val="17"/>
              </w:rPr>
              <w:t>(12)</w:t>
            </w:r>
          </w:p>
        </w:tc>
        <w:tc>
          <w:tcPr>
            <w:tcW w:w="850" w:type="dxa"/>
            <w:tcBorders>
              <w:top w:val="nil"/>
              <w:left w:val="nil"/>
              <w:bottom w:val="single" w:sz="8" w:space="0" w:color="auto"/>
              <w:right w:val="nil"/>
            </w:tcBorders>
            <w:shd w:val="clear" w:color="auto" w:fill="auto"/>
            <w:noWrap/>
            <w:vAlign w:val="bottom"/>
            <w:hideMark/>
          </w:tcPr>
          <w:p w:rsidR="00A46DCA" w:rsidRPr="009372C1" w:rsidRDefault="00A46DCA" w:rsidP="00A26D04">
            <w:pPr>
              <w:cnfStyle w:val="000000000000" w:firstRow="0" w:lastRow="0" w:firstColumn="0" w:lastColumn="0" w:oddVBand="0" w:evenVBand="0" w:oddHBand="0" w:evenHBand="0" w:firstRowFirstColumn="0" w:firstRowLastColumn="0" w:lastRowFirstColumn="0" w:lastRowLastColumn="0"/>
              <w:rPr>
                <w:b/>
                <w:bCs/>
                <w:szCs w:val="17"/>
              </w:rPr>
            </w:pPr>
            <w:r w:rsidRPr="009372C1">
              <w:rPr>
                <w:b/>
                <w:bCs/>
                <w:szCs w:val="17"/>
              </w:rPr>
              <w:t>(14)</w:t>
            </w:r>
          </w:p>
        </w:tc>
      </w:tr>
      <w:tr w:rsidR="00A46DCA" w:rsidRPr="009372C1" w:rsidTr="004906A4">
        <w:tc>
          <w:tcPr>
            <w:cnfStyle w:val="001000000000" w:firstRow="0" w:lastRow="0" w:firstColumn="1" w:lastColumn="0" w:oddVBand="0" w:evenVBand="0" w:oddHBand="0" w:evenHBand="0" w:firstRowFirstColumn="0" w:firstRowLastColumn="0" w:lastRowFirstColumn="0" w:lastRowLastColumn="0"/>
            <w:tcW w:w="4367" w:type="dxa"/>
            <w:tcBorders>
              <w:top w:val="nil"/>
              <w:left w:val="nil"/>
              <w:bottom w:val="nil"/>
              <w:right w:val="nil"/>
            </w:tcBorders>
            <w:shd w:val="clear" w:color="auto" w:fill="auto"/>
            <w:noWrap/>
            <w:vAlign w:val="bottom"/>
            <w:hideMark/>
          </w:tcPr>
          <w:p w:rsidR="00A46DCA" w:rsidRPr="009372C1" w:rsidRDefault="00A46DCA" w:rsidP="00A26D04">
            <w:pPr>
              <w:keepLines w:val="0"/>
              <w:rPr>
                <w:rFonts w:eastAsia="Calibri" w:cs="Times New Roman"/>
                <w:b/>
                <w:bCs/>
                <w:szCs w:val="17"/>
              </w:rPr>
            </w:pPr>
            <w:r w:rsidRPr="009372C1">
              <w:rPr>
                <w:rFonts w:eastAsia="Calibri" w:cs="Times New Roman"/>
                <w:b/>
                <w:bCs/>
                <w:szCs w:val="17"/>
              </w:rPr>
              <w:t xml:space="preserve">Overseas share prices </w:t>
            </w:r>
          </w:p>
        </w:tc>
        <w:tc>
          <w:tcPr>
            <w:tcW w:w="850" w:type="dxa"/>
            <w:tcBorders>
              <w:top w:val="nil"/>
              <w:left w:val="nil"/>
              <w:bottom w:val="nil"/>
              <w:right w:val="nil"/>
            </w:tcBorders>
            <w:shd w:val="clear" w:color="auto" w:fill="auto"/>
            <w:noWrap/>
            <w:vAlign w:val="bottom"/>
            <w:hideMark/>
          </w:tcPr>
          <w:p w:rsidR="00A46DCA" w:rsidRPr="009372C1" w:rsidRDefault="00A46DCA" w:rsidP="00A26D04">
            <w:pPr>
              <w:cnfStyle w:val="000000000000" w:firstRow="0" w:lastRow="0" w:firstColumn="0" w:lastColumn="0" w:oddVBand="0" w:evenVBand="0" w:oddHBand="0" w:evenHBand="0" w:firstRowFirstColumn="0" w:firstRowLastColumn="0" w:lastRowFirstColumn="0" w:lastRowLastColumn="0"/>
              <w:rPr>
                <w:szCs w:val="17"/>
              </w:rPr>
            </w:pPr>
          </w:p>
        </w:tc>
        <w:tc>
          <w:tcPr>
            <w:tcW w:w="850" w:type="dxa"/>
            <w:tcBorders>
              <w:top w:val="nil"/>
              <w:left w:val="nil"/>
              <w:bottom w:val="nil"/>
              <w:right w:val="nil"/>
            </w:tcBorders>
            <w:shd w:val="clear" w:color="auto" w:fill="auto"/>
            <w:noWrap/>
            <w:vAlign w:val="bottom"/>
            <w:hideMark/>
          </w:tcPr>
          <w:p w:rsidR="00A46DCA" w:rsidRPr="009372C1" w:rsidRDefault="00A46DCA" w:rsidP="00A26D04">
            <w:pPr>
              <w:cnfStyle w:val="000000000000" w:firstRow="0" w:lastRow="0" w:firstColumn="0" w:lastColumn="0" w:oddVBand="0" w:evenVBand="0" w:oddHBand="0" w:evenHBand="0" w:firstRowFirstColumn="0" w:firstRowLastColumn="0" w:lastRowFirstColumn="0" w:lastRowLastColumn="0"/>
              <w:rPr>
                <w:szCs w:val="17"/>
              </w:rPr>
            </w:pPr>
          </w:p>
        </w:tc>
        <w:tc>
          <w:tcPr>
            <w:tcW w:w="850" w:type="dxa"/>
            <w:tcBorders>
              <w:top w:val="nil"/>
              <w:left w:val="nil"/>
              <w:bottom w:val="nil"/>
              <w:right w:val="nil"/>
            </w:tcBorders>
            <w:shd w:val="clear" w:color="auto" w:fill="auto"/>
            <w:noWrap/>
            <w:vAlign w:val="bottom"/>
            <w:hideMark/>
          </w:tcPr>
          <w:p w:rsidR="00A46DCA" w:rsidRPr="009372C1" w:rsidRDefault="00A46DCA" w:rsidP="00A26D04">
            <w:pPr>
              <w:cnfStyle w:val="000000000000" w:firstRow="0" w:lastRow="0" w:firstColumn="0" w:lastColumn="0" w:oddVBand="0" w:evenVBand="0" w:oddHBand="0" w:evenHBand="0" w:firstRowFirstColumn="0" w:firstRowLastColumn="0" w:lastRowFirstColumn="0" w:lastRowLastColumn="0"/>
              <w:rPr>
                <w:szCs w:val="17"/>
              </w:rPr>
            </w:pPr>
          </w:p>
        </w:tc>
        <w:tc>
          <w:tcPr>
            <w:tcW w:w="850" w:type="dxa"/>
            <w:tcBorders>
              <w:top w:val="nil"/>
              <w:left w:val="nil"/>
              <w:bottom w:val="nil"/>
              <w:right w:val="nil"/>
            </w:tcBorders>
            <w:shd w:val="clear" w:color="auto" w:fill="auto"/>
            <w:noWrap/>
            <w:vAlign w:val="bottom"/>
            <w:hideMark/>
          </w:tcPr>
          <w:p w:rsidR="00A46DCA" w:rsidRPr="009372C1" w:rsidRDefault="00A46DCA" w:rsidP="00A26D04">
            <w:pPr>
              <w:cnfStyle w:val="000000000000" w:firstRow="0" w:lastRow="0" w:firstColumn="0" w:lastColumn="0" w:oddVBand="0" w:evenVBand="0" w:oddHBand="0" w:evenHBand="0" w:firstRowFirstColumn="0" w:firstRowLastColumn="0" w:lastRowFirstColumn="0" w:lastRowLastColumn="0"/>
              <w:rPr>
                <w:szCs w:val="17"/>
              </w:rPr>
            </w:pPr>
          </w:p>
        </w:tc>
      </w:tr>
      <w:tr w:rsidR="00A46DCA" w:rsidRPr="009372C1" w:rsidTr="004906A4">
        <w:tc>
          <w:tcPr>
            <w:cnfStyle w:val="001000000000" w:firstRow="0" w:lastRow="0" w:firstColumn="1" w:lastColumn="0" w:oddVBand="0" w:evenVBand="0" w:oddHBand="0" w:evenHBand="0" w:firstRowFirstColumn="0" w:firstRowLastColumn="0" w:lastRowFirstColumn="0" w:lastRowLastColumn="0"/>
            <w:tcW w:w="4367" w:type="dxa"/>
            <w:tcBorders>
              <w:top w:val="nil"/>
              <w:left w:val="nil"/>
              <w:bottom w:val="nil"/>
              <w:right w:val="nil"/>
            </w:tcBorders>
            <w:shd w:val="clear" w:color="auto" w:fill="auto"/>
            <w:noWrap/>
            <w:vAlign w:val="bottom"/>
            <w:hideMark/>
          </w:tcPr>
          <w:p w:rsidR="00A46DCA" w:rsidRPr="009372C1" w:rsidRDefault="00A46DCA" w:rsidP="00A26D04">
            <w:pPr>
              <w:keepLines w:val="0"/>
              <w:rPr>
                <w:rFonts w:eastAsia="Calibri" w:cs="Times New Roman"/>
                <w:szCs w:val="17"/>
              </w:rPr>
            </w:pPr>
            <w:r w:rsidRPr="009372C1">
              <w:rPr>
                <w:rFonts w:eastAsia="Calibri" w:cs="Times New Roman"/>
                <w:szCs w:val="17"/>
              </w:rPr>
              <w:t>Income from transactions</w:t>
            </w:r>
          </w:p>
        </w:tc>
        <w:tc>
          <w:tcPr>
            <w:tcW w:w="850" w:type="dxa"/>
            <w:tcBorders>
              <w:top w:val="nil"/>
              <w:left w:val="nil"/>
              <w:bottom w:val="nil"/>
              <w:right w:val="nil"/>
            </w:tcBorders>
            <w:shd w:val="clear" w:color="000000" w:fill="FFFFFF"/>
            <w:noWrap/>
            <w:vAlign w:val="bottom"/>
            <w:hideMark/>
          </w:tcPr>
          <w:p w:rsidR="00A46DCA" w:rsidRPr="009372C1" w:rsidRDefault="00A46DCA" w:rsidP="00A26D04">
            <w:pPr>
              <w:cnfStyle w:val="000000000000" w:firstRow="0" w:lastRow="0" w:firstColumn="0" w:lastColumn="0" w:oddVBand="0" w:evenVBand="0" w:oddHBand="0" w:evenHBand="0" w:firstRowFirstColumn="0" w:firstRowLastColumn="0" w:lastRowFirstColumn="0" w:lastRowLastColumn="0"/>
              <w:rPr>
                <w:szCs w:val="17"/>
              </w:rPr>
            </w:pPr>
            <w:r w:rsidRPr="009372C1">
              <w:rPr>
                <w:szCs w:val="17"/>
              </w:rPr>
              <w:t>17</w:t>
            </w:r>
          </w:p>
        </w:tc>
        <w:tc>
          <w:tcPr>
            <w:tcW w:w="850" w:type="dxa"/>
            <w:tcBorders>
              <w:top w:val="nil"/>
              <w:left w:val="nil"/>
              <w:bottom w:val="nil"/>
              <w:right w:val="nil"/>
            </w:tcBorders>
            <w:shd w:val="clear" w:color="000000" w:fill="FFFFFF"/>
            <w:noWrap/>
            <w:vAlign w:val="bottom"/>
            <w:hideMark/>
          </w:tcPr>
          <w:p w:rsidR="00A46DCA" w:rsidRPr="009372C1" w:rsidRDefault="00A46DCA" w:rsidP="00A26D04">
            <w:pPr>
              <w:cnfStyle w:val="000000000000" w:firstRow="0" w:lastRow="0" w:firstColumn="0" w:lastColumn="0" w:oddVBand="0" w:evenVBand="0" w:oddHBand="0" w:evenHBand="0" w:firstRowFirstColumn="0" w:firstRowLastColumn="0" w:lastRowFirstColumn="0" w:lastRowLastColumn="0"/>
              <w:rPr>
                <w:szCs w:val="17"/>
              </w:rPr>
            </w:pPr>
            <w:r w:rsidRPr="009372C1">
              <w:rPr>
                <w:szCs w:val="17"/>
              </w:rPr>
              <w:t>10</w:t>
            </w:r>
          </w:p>
        </w:tc>
        <w:tc>
          <w:tcPr>
            <w:tcW w:w="850" w:type="dxa"/>
            <w:tcBorders>
              <w:top w:val="nil"/>
              <w:left w:val="nil"/>
              <w:bottom w:val="nil"/>
              <w:right w:val="nil"/>
            </w:tcBorders>
            <w:shd w:val="clear" w:color="000000" w:fill="FFFFFF"/>
            <w:noWrap/>
            <w:vAlign w:val="bottom"/>
            <w:hideMark/>
          </w:tcPr>
          <w:p w:rsidR="00A46DCA" w:rsidRPr="009372C1" w:rsidRDefault="00A46DCA" w:rsidP="00A26D04">
            <w:pPr>
              <w:cnfStyle w:val="000000000000" w:firstRow="0" w:lastRow="0" w:firstColumn="0" w:lastColumn="0" w:oddVBand="0" w:evenVBand="0" w:oddHBand="0" w:evenHBand="0" w:firstRowFirstColumn="0" w:firstRowLastColumn="0" w:lastRowFirstColumn="0" w:lastRowLastColumn="0"/>
              <w:rPr>
                <w:szCs w:val="17"/>
              </w:rPr>
            </w:pPr>
            <w:r w:rsidRPr="009372C1">
              <w:rPr>
                <w:szCs w:val="17"/>
              </w:rPr>
              <w:t>6</w:t>
            </w:r>
          </w:p>
        </w:tc>
        <w:tc>
          <w:tcPr>
            <w:tcW w:w="850" w:type="dxa"/>
            <w:tcBorders>
              <w:top w:val="nil"/>
              <w:left w:val="nil"/>
              <w:bottom w:val="nil"/>
              <w:right w:val="nil"/>
            </w:tcBorders>
            <w:shd w:val="clear" w:color="000000" w:fill="FFFFFF"/>
            <w:noWrap/>
            <w:vAlign w:val="bottom"/>
            <w:hideMark/>
          </w:tcPr>
          <w:p w:rsidR="00A46DCA" w:rsidRPr="009372C1" w:rsidRDefault="00A46DCA" w:rsidP="00A26D04">
            <w:pPr>
              <w:cnfStyle w:val="000000000000" w:firstRow="0" w:lastRow="0" w:firstColumn="0" w:lastColumn="0" w:oddVBand="0" w:evenVBand="0" w:oddHBand="0" w:evenHBand="0" w:firstRowFirstColumn="0" w:firstRowLastColumn="0" w:lastRowFirstColumn="0" w:lastRowLastColumn="0"/>
              <w:rPr>
                <w:szCs w:val="17"/>
              </w:rPr>
            </w:pPr>
            <w:r w:rsidRPr="009372C1">
              <w:rPr>
                <w:szCs w:val="17"/>
              </w:rPr>
              <w:t>4</w:t>
            </w:r>
          </w:p>
        </w:tc>
      </w:tr>
      <w:tr w:rsidR="00A46DCA" w:rsidRPr="009372C1" w:rsidTr="004906A4">
        <w:tc>
          <w:tcPr>
            <w:cnfStyle w:val="001000000000" w:firstRow="0" w:lastRow="0" w:firstColumn="1" w:lastColumn="0" w:oddVBand="0" w:evenVBand="0" w:oddHBand="0" w:evenHBand="0" w:firstRowFirstColumn="0" w:firstRowLastColumn="0" w:lastRowFirstColumn="0" w:lastRowLastColumn="0"/>
            <w:tcW w:w="4367" w:type="dxa"/>
            <w:tcBorders>
              <w:top w:val="nil"/>
              <w:left w:val="nil"/>
              <w:bottom w:val="nil"/>
              <w:right w:val="nil"/>
            </w:tcBorders>
            <w:shd w:val="clear" w:color="auto" w:fill="auto"/>
            <w:noWrap/>
            <w:vAlign w:val="bottom"/>
            <w:hideMark/>
          </w:tcPr>
          <w:p w:rsidR="00A46DCA" w:rsidRPr="009372C1" w:rsidRDefault="00A46DCA" w:rsidP="00A26D04">
            <w:pPr>
              <w:keepLines w:val="0"/>
              <w:rPr>
                <w:rFonts w:eastAsia="Calibri" w:cs="Times New Roman"/>
                <w:szCs w:val="17"/>
              </w:rPr>
            </w:pPr>
            <w:r w:rsidRPr="009372C1">
              <w:rPr>
                <w:rFonts w:eastAsia="Calibri" w:cs="Times New Roman"/>
                <w:szCs w:val="17"/>
              </w:rPr>
              <w:t>Expenses from transactions</w:t>
            </w:r>
          </w:p>
        </w:tc>
        <w:tc>
          <w:tcPr>
            <w:tcW w:w="850" w:type="dxa"/>
            <w:tcBorders>
              <w:top w:val="nil"/>
              <w:left w:val="nil"/>
              <w:bottom w:val="nil"/>
              <w:right w:val="nil"/>
            </w:tcBorders>
            <w:shd w:val="clear" w:color="000000" w:fill="FFFFFF"/>
            <w:noWrap/>
            <w:vAlign w:val="bottom"/>
            <w:hideMark/>
          </w:tcPr>
          <w:p w:rsidR="00A46DCA" w:rsidRPr="009372C1" w:rsidRDefault="00A46DCA" w:rsidP="00A26D04">
            <w:pPr>
              <w:cnfStyle w:val="000000000000" w:firstRow="0" w:lastRow="0" w:firstColumn="0" w:lastColumn="0" w:oddVBand="0" w:evenVBand="0" w:oddHBand="0" w:evenHBand="0" w:firstRowFirstColumn="0" w:firstRowLastColumn="0" w:lastRowFirstColumn="0" w:lastRowLastColumn="0"/>
              <w:rPr>
                <w:szCs w:val="17"/>
              </w:rPr>
            </w:pPr>
            <w:r>
              <w:rPr>
                <w:szCs w:val="17"/>
              </w:rPr>
              <w:t>..</w:t>
            </w:r>
          </w:p>
        </w:tc>
        <w:tc>
          <w:tcPr>
            <w:tcW w:w="850" w:type="dxa"/>
            <w:tcBorders>
              <w:top w:val="nil"/>
              <w:left w:val="nil"/>
              <w:bottom w:val="nil"/>
              <w:right w:val="nil"/>
            </w:tcBorders>
            <w:shd w:val="clear" w:color="000000" w:fill="FFFFFF"/>
            <w:noWrap/>
            <w:vAlign w:val="bottom"/>
            <w:hideMark/>
          </w:tcPr>
          <w:p w:rsidR="00A46DCA" w:rsidRPr="009372C1" w:rsidRDefault="00A46DCA" w:rsidP="00A26D04">
            <w:pPr>
              <w:cnfStyle w:val="000000000000" w:firstRow="0" w:lastRow="0" w:firstColumn="0" w:lastColumn="0" w:oddVBand="0" w:evenVBand="0" w:oddHBand="0" w:evenHBand="0" w:firstRowFirstColumn="0" w:firstRowLastColumn="0" w:lastRowFirstColumn="0" w:lastRowLastColumn="0"/>
              <w:rPr>
                <w:szCs w:val="17"/>
              </w:rPr>
            </w:pPr>
            <w:r w:rsidRPr="009372C1">
              <w:rPr>
                <w:szCs w:val="17"/>
              </w:rPr>
              <w:t>(3)</w:t>
            </w:r>
          </w:p>
        </w:tc>
        <w:tc>
          <w:tcPr>
            <w:tcW w:w="850" w:type="dxa"/>
            <w:tcBorders>
              <w:top w:val="nil"/>
              <w:left w:val="nil"/>
              <w:bottom w:val="nil"/>
              <w:right w:val="nil"/>
            </w:tcBorders>
            <w:shd w:val="clear" w:color="000000" w:fill="FFFFFF"/>
            <w:noWrap/>
            <w:vAlign w:val="bottom"/>
            <w:hideMark/>
          </w:tcPr>
          <w:p w:rsidR="00A46DCA" w:rsidRPr="009372C1" w:rsidRDefault="00A46DCA" w:rsidP="00A26D04">
            <w:pPr>
              <w:cnfStyle w:val="000000000000" w:firstRow="0" w:lastRow="0" w:firstColumn="0" w:lastColumn="0" w:oddVBand="0" w:evenVBand="0" w:oddHBand="0" w:evenHBand="0" w:firstRowFirstColumn="0" w:firstRowLastColumn="0" w:lastRowFirstColumn="0" w:lastRowLastColumn="0"/>
              <w:rPr>
                <w:szCs w:val="17"/>
              </w:rPr>
            </w:pPr>
            <w:r w:rsidRPr="009372C1">
              <w:rPr>
                <w:szCs w:val="17"/>
              </w:rPr>
              <w:t>(3)</w:t>
            </w:r>
          </w:p>
        </w:tc>
        <w:tc>
          <w:tcPr>
            <w:tcW w:w="850" w:type="dxa"/>
            <w:tcBorders>
              <w:top w:val="nil"/>
              <w:left w:val="nil"/>
              <w:bottom w:val="nil"/>
              <w:right w:val="nil"/>
            </w:tcBorders>
            <w:shd w:val="clear" w:color="000000" w:fill="FFFFFF"/>
            <w:noWrap/>
            <w:vAlign w:val="bottom"/>
            <w:hideMark/>
          </w:tcPr>
          <w:p w:rsidR="00A46DCA" w:rsidRPr="009372C1" w:rsidRDefault="00A46DCA" w:rsidP="00A26D04">
            <w:pPr>
              <w:cnfStyle w:val="000000000000" w:firstRow="0" w:lastRow="0" w:firstColumn="0" w:lastColumn="0" w:oddVBand="0" w:evenVBand="0" w:oddHBand="0" w:evenHBand="0" w:firstRowFirstColumn="0" w:firstRowLastColumn="0" w:lastRowFirstColumn="0" w:lastRowLastColumn="0"/>
              <w:rPr>
                <w:szCs w:val="17"/>
              </w:rPr>
            </w:pPr>
            <w:r w:rsidRPr="009372C1">
              <w:rPr>
                <w:szCs w:val="17"/>
              </w:rPr>
              <w:t>(4)</w:t>
            </w:r>
          </w:p>
        </w:tc>
      </w:tr>
      <w:tr w:rsidR="00A46DCA" w:rsidRPr="009372C1" w:rsidTr="004906A4">
        <w:tc>
          <w:tcPr>
            <w:cnfStyle w:val="001000000000" w:firstRow="0" w:lastRow="0" w:firstColumn="1" w:lastColumn="0" w:oddVBand="0" w:evenVBand="0" w:oddHBand="0" w:evenHBand="0" w:firstRowFirstColumn="0" w:firstRowLastColumn="0" w:lastRowFirstColumn="0" w:lastRowLastColumn="0"/>
            <w:tcW w:w="4367" w:type="dxa"/>
            <w:tcBorders>
              <w:top w:val="single" w:sz="4" w:space="0" w:color="auto"/>
              <w:left w:val="nil"/>
              <w:bottom w:val="single" w:sz="4" w:space="0" w:color="auto"/>
              <w:right w:val="nil"/>
            </w:tcBorders>
            <w:shd w:val="clear" w:color="auto" w:fill="auto"/>
            <w:noWrap/>
            <w:vAlign w:val="bottom"/>
            <w:hideMark/>
          </w:tcPr>
          <w:p w:rsidR="00A46DCA" w:rsidRPr="009372C1" w:rsidRDefault="00A46DCA" w:rsidP="00A26D04">
            <w:pPr>
              <w:keepLines w:val="0"/>
              <w:rPr>
                <w:rFonts w:eastAsia="Calibri" w:cs="Times New Roman"/>
                <w:b/>
                <w:bCs/>
                <w:szCs w:val="17"/>
              </w:rPr>
            </w:pPr>
            <w:r w:rsidRPr="009372C1">
              <w:rPr>
                <w:rFonts w:eastAsia="Calibri" w:cs="Times New Roman"/>
                <w:b/>
                <w:bCs/>
                <w:szCs w:val="17"/>
              </w:rPr>
              <w:t>Net result from transactions</w:t>
            </w:r>
          </w:p>
        </w:tc>
        <w:tc>
          <w:tcPr>
            <w:tcW w:w="850" w:type="dxa"/>
            <w:tcBorders>
              <w:top w:val="single" w:sz="4" w:space="0" w:color="auto"/>
              <w:left w:val="nil"/>
              <w:bottom w:val="single" w:sz="4" w:space="0" w:color="auto"/>
              <w:right w:val="nil"/>
            </w:tcBorders>
            <w:shd w:val="clear" w:color="000000" w:fill="FFFFFF"/>
            <w:noWrap/>
            <w:vAlign w:val="bottom"/>
            <w:hideMark/>
          </w:tcPr>
          <w:p w:rsidR="00A46DCA" w:rsidRPr="009372C1" w:rsidRDefault="00A46DCA" w:rsidP="00A26D04">
            <w:pPr>
              <w:cnfStyle w:val="000000000000" w:firstRow="0" w:lastRow="0" w:firstColumn="0" w:lastColumn="0" w:oddVBand="0" w:evenVBand="0" w:oddHBand="0" w:evenHBand="0" w:firstRowFirstColumn="0" w:firstRowLastColumn="0" w:lastRowFirstColumn="0" w:lastRowLastColumn="0"/>
              <w:rPr>
                <w:b/>
                <w:bCs/>
                <w:szCs w:val="17"/>
              </w:rPr>
            </w:pPr>
            <w:r w:rsidRPr="009372C1">
              <w:rPr>
                <w:b/>
                <w:bCs/>
                <w:szCs w:val="17"/>
              </w:rPr>
              <w:t>17</w:t>
            </w:r>
          </w:p>
        </w:tc>
        <w:tc>
          <w:tcPr>
            <w:tcW w:w="850" w:type="dxa"/>
            <w:tcBorders>
              <w:top w:val="single" w:sz="4" w:space="0" w:color="auto"/>
              <w:left w:val="nil"/>
              <w:bottom w:val="single" w:sz="4" w:space="0" w:color="auto"/>
              <w:right w:val="nil"/>
            </w:tcBorders>
            <w:shd w:val="clear" w:color="000000" w:fill="FFFFFF"/>
            <w:noWrap/>
            <w:vAlign w:val="bottom"/>
            <w:hideMark/>
          </w:tcPr>
          <w:p w:rsidR="00A46DCA" w:rsidRPr="009372C1" w:rsidRDefault="00A46DCA" w:rsidP="00A26D04">
            <w:pPr>
              <w:cnfStyle w:val="000000000000" w:firstRow="0" w:lastRow="0" w:firstColumn="0" w:lastColumn="0" w:oddVBand="0" w:evenVBand="0" w:oddHBand="0" w:evenHBand="0" w:firstRowFirstColumn="0" w:firstRowLastColumn="0" w:lastRowFirstColumn="0" w:lastRowLastColumn="0"/>
              <w:rPr>
                <w:b/>
                <w:bCs/>
                <w:szCs w:val="17"/>
              </w:rPr>
            </w:pPr>
            <w:r w:rsidRPr="009372C1">
              <w:rPr>
                <w:b/>
                <w:bCs/>
                <w:szCs w:val="17"/>
              </w:rPr>
              <w:t>13</w:t>
            </w:r>
          </w:p>
        </w:tc>
        <w:tc>
          <w:tcPr>
            <w:tcW w:w="850" w:type="dxa"/>
            <w:tcBorders>
              <w:top w:val="single" w:sz="4" w:space="0" w:color="auto"/>
              <w:left w:val="nil"/>
              <w:bottom w:val="single" w:sz="4" w:space="0" w:color="auto"/>
              <w:right w:val="nil"/>
            </w:tcBorders>
            <w:shd w:val="clear" w:color="000000" w:fill="FFFFFF"/>
            <w:noWrap/>
            <w:vAlign w:val="bottom"/>
            <w:hideMark/>
          </w:tcPr>
          <w:p w:rsidR="00A46DCA" w:rsidRPr="009372C1" w:rsidRDefault="00A46DCA" w:rsidP="00A26D04">
            <w:pPr>
              <w:cnfStyle w:val="000000000000" w:firstRow="0" w:lastRow="0" w:firstColumn="0" w:lastColumn="0" w:oddVBand="0" w:evenVBand="0" w:oddHBand="0" w:evenHBand="0" w:firstRowFirstColumn="0" w:firstRowLastColumn="0" w:lastRowFirstColumn="0" w:lastRowLastColumn="0"/>
              <w:rPr>
                <w:b/>
                <w:bCs/>
                <w:szCs w:val="17"/>
              </w:rPr>
            </w:pPr>
            <w:r w:rsidRPr="009372C1">
              <w:rPr>
                <w:b/>
                <w:bCs/>
                <w:szCs w:val="17"/>
              </w:rPr>
              <w:t>9</w:t>
            </w:r>
          </w:p>
        </w:tc>
        <w:tc>
          <w:tcPr>
            <w:tcW w:w="850" w:type="dxa"/>
            <w:tcBorders>
              <w:top w:val="single" w:sz="4" w:space="0" w:color="auto"/>
              <w:left w:val="nil"/>
              <w:bottom w:val="single" w:sz="4" w:space="0" w:color="auto"/>
              <w:right w:val="nil"/>
            </w:tcBorders>
            <w:shd w:val="clear" w:color="000000" w:fill="FFFFFF"/>
            <w:noWrap/>
            <w:vAlign w:val="bottom"/>
            <w:hideMark/>
          </w:tcPr>
          <w:p w:rsidR="00A46DCA" w:rsidRPr="009372C1" w:rsidRDefault="00A46DCA" w:rsidP="00A26D04">
            <w:pPr>
              <w:cnfStyle w:val="000000000000" w:firstRow="0" w:lastRow="0" w:firstColumn="0" w:lastColumn="0" w:oddVBand="0" w:evenVBand="0" w:oddHBand="0" w:evenHBand="0" w:firstRowFirstColumn="0" w:firstRowLastColumn="0" w:lastRowFirstColumn="0" w:lastRowLastColumn="0"/>
              <w:rPr>
                <w:b/>
                <w:bCs/>
                <w:szCs w:val="17"/>
              </w:rPr>
            </w:pPr>
            <w:r w:rsidRPr="009372C1">
              <w:rPr>
                <w:b/>
                <w:bCs/>
                <w:szCs w:val="17"/>
              </w:rPr>
              <w:t>8</w:t>
            </w:r>
          </w:p>
        </w:tc>
      </w:tr>
      <w:tr w:rsidR="00A46DCA" w:rsidRPr="009372C1" w:rsidTr="004906A4">
        <w:tc>
          <w:tcPr>
            <w:cnfStyle w:val="001000000000" w:firstRow="0" w:lastRow="0" w:firstColumn="1" w:lastColumn="0" w:oddVBand="0" w:evenVBand="0" w:oddHBand="0" w:evenHBand="0" w:firstRowFirstColumn="0" w:firstRowLastColumn="0" w:lastRowFirstColumn="0" w:lastRowLastColumn="0"/>
            <w:tcW w:w="4367" w:type="dxa"/>
            <w:tcBorders>
              <w:top w:val="nil"/>
              <w:left w:val="nil"/>
              <w:bottom w:val="single" w:sz="8" w:space="0" w:color="auto"/>
              <w:right w:val="nil"/>
            </w:tcBorders>
            <w:shd w:val="clear" w:color="auto" w:fill="auto"/>
            <w:noWrap/>
            <w:vAlign w:val="bottom"/>
            <w:hideMark/>
          </w:tcPr>
          <w:p w:rsidR="00A46DCA" w:rsidRPr="009372C1" w:rsidRDefault="00A46DCA" w:rsidP="00A26D04">
            <w:pPr>
              <w:keepLines w:val="0"/>
              <w:rPr>
                <w:rFonts w:eastAsia="Calibri" w:cs="Times New Roman"/>
                <w:b/>
                <w:bCs/>
                <w:szCs w:val="17"/>
              </w:rPr>
            </w:pPr>
            <w:r w:rsidRPr="009372C1">
              <w:rPr>
                <w:rFonts w:eastAsia="Calibri" w:cs="Times New Roman"/>
                <w:b/>
                <w:bCs/>
                <w:szCs w:val="17"/>
              </w:rPr>
              <w:t>Net debt</w:t>
            </w:r>
          </w:p>
        </w:tc>
        <w:tc>
          <w:tcPr>
            <w:tcW w:w="850" w:type="dxa"/>
            <w:tcBorders>
              <w:top w:val="nil"/>
              <w:left w:val="nil"/>
              <w:bottom w:val="single" w:sz="8" w:space="0" w:color="auto"/>
              <w:right w:val="nil"/>
            </w:tcBorders>
            <w:shd w:val="clear" w:color="000000" w:fill="FFFFFF"/>
            <w:noWrap/>
            <w:vAlign w:val="bottom"/>
            <w:hideMark/>
          </w:tcPr>
          <w:p w:rsidR="00A46DCA" w:rsidRPr="009372C1" w:rsidRDefault="00A46DCA" w:rsidP="00A26D04">
            <w:pPr>
              <w:cnfStyle w:val="000000000000" w:firstRow="0" w:lastRow="0" w:firstColumn="0" w:lastColumn="0" w:oddVBand="0" w:evenVBand="0" w:oddHBand="0" w:evenHBand="0" w:firstRowFirstColumn="0" w:firstRowLastColumn="0" w:lastRowFirstColumn="0" w:lastRowLastColumn="0"/>
              <w:rPr>
                <w:b/>
                <w:bCs/>
                <w:szCs w:val="17"/>
              </w:rPr>
            </w:pPr>
            <w:r w:rsidRPr="009372C1">
              <w:rPr>
                <w:b/>
                <w:bCs/>
                <w:szCs w:val="17"/>
              </w:rPr>
              <w:t>(17)</w:t>
            </w:r>
          </w:p>
        </w:tc>
        <w:tc>
          <w:tcPr>
            <w:tcW w:w="850" w:type="dxa"/>
            <w:tcBorders>
              <w:top w:val="nil"/>
              <w:left w:val="nil"/>
              <w:bottom w:val="single" w:sz="8" w:space="0" w:color="auto"/>
              <w:right w:val="nil"/>
            </w:tcBorders>
            <w:shd w:val="clear" w:color="000000" w:fill="FFFFFF"/>
            <w:noWrap/>
            <w:vAlign w:val="bottom"/>
            <w:hideMark/>
          </w:tcPr>
          <w:p w:rsidR="00A46DCA" w:rsidRPr="009372C1" w:rsidRDefault="00A46DCA" w:rsidP="00A26D04">
            <w:pPr>
              <w:cnfStyle w:val="000000000000" w:firstRow="0" w:lastRow="0" w:firstColumn="0" w:lastColumn="0" w:oddVBand="0" w:evenVBand="0" w:oddHBand="0" w:evenHBand="0" w:firstRowFirstColumn="0" w:firstRowLastColumn="0" w:lastRowFirstColumn="0" w:lastRowLastColumn="0"/>
              <w:rPr>
                <w:b/>
                <w:bCs/>
                <w:szCs w:val="17"/>
              </w:rPr>
            </w:pPr>
            <w:r w:rsidRPr="009372C1">
              <w:rPr>
                <w:b/>
                <w:bCs/>
                <w:szCs w:val="17"/>
              </w:rPr>
              <w:t>(28)</w:t>
            </w:r>
          </w:p>
        </w:tc>
        <w:tc>
          <w:tcPr>
            <w:tcW w:w="850" w:type="dxa"/>
            <w:tcBorders>
              <w:top w:val="nil"/>
              <w:left w:val="nil"/>
              <w:bottom w:val="single" w:sz="8" w:space="0" w:color="auto"/>
              <w:right w:val="nil"/>
            </w:tcBorders>
            <w:shd w:val="clear" w:color="000000" w:fill="FFFFFF"/>
            <w:noWrap/>
            <w:vAlign w:val="bottom"/>
            <w:hideMark/>
          </w:tcPr>
          <w:p w:rsidR="00A46DCA" w:rsidRPr="009372C1" w:rsidRDefault="00A46DCA" w:rsidP="00A26D04">
            <w:pPr>
              <w:cnfStyle w:val="000000000000" w:firstRow="0" w:lastRow="0" w:firstColumn="0" w:lastColumn="0" w:oddVBand="0" w:evenVBand="0" w:oddHBand="0" w:evenHBand="0" w:firstRowFirstColumn="0" w:firstRowLastColumn="0" w:lastRowFirstColumn="0" w:lastRowLastColumn="0"/>
              <w:rPr>
                <w:b/>
                <w:bCs/>
                <w:szCs w:val="17"/>
              </w:rPr>
            </w:pPr>
            <w:r w:rsidRPr="009372C1">
              <w:rPr>
                <w:b/>
                <w:bCs/>
                <w:szCs w:val="17"/>
              </w:rPr>
              <w:t>(35)</w:t>
            </w:r>
          </w:p>
        </w:tc>
        <w:tc>
          <w:tcPr>
            <w:tcW w:w="850" w:type="dxa"/>
            <w:tcBorders>
              <w:top w:val="nil"/>
              <w:left w:val="nil"/>
              <w:bottom w:val="single" w:sz="8" w:space="0" w:color="auto"/>
              <w:right w:val="nil"/>
            </w:tcBorders>
            <w:shd w:val="clear" w:color="000000" w:fill="FFFFFF"/>
            <w:noWrap/>
            <w:vAlign w:val="bottom"/>
            <w:hideMark/>
          </w:tcPr>
          <w:p w:rsidR="00A46DCA" w:rsidRPr="009372C1" w:rsidRDefault="00A46DCA" w:rsidP="00A26D04">
            <w:pPr>
              <w:cnfStyle w:val="000000000000" w:firstRow="0" w:lastRow="0" w:firstColumn="0" w:lastColumn="0" w:oddVBand="0" w:evenVBand="0" w:oddHBand="0" w:evenHBand="0" w:firstRowFirstColumn="0" w:firstRowLastColumn="0" w:lastRowFirstColumn="0" w:lastRowLastColumn="0"/>
              <w:rPr>
                <w:b/>
                <w:bCs/>
                <w:szCs w:val="17"/>
              </w:rPr>
            </w:pPr>
            <w:r w:rsidRPr="009372C1">
              <w:rPr>
                <w:b/>
                <w:bCs/>
                <w:szCs w:val="17"/>
              </w:rPr>
              <w:t>(41)</w:t>
            </w:r>
          </w:p>
        </w:tc>
      </w:tr>
      <w:tr w:rsidR="00A46DCA" w:rsidRPr="009372C1" w:rsidTr="004906A4">
        <w:tc>
          <w:tcPr>
            <w:cnfStyle w:val="001000000000" w:firstRow="0" w:lastRow="0" w:firstColumn="1" w:lastColumn="0" w:oddVBand="0" w:evenVBand="0" w:oddHBand="0" w:evenHBand="0" w:firstRowFirstColumn="0" w:firstRowLastColumn="0" w:lastRowFirstColumn="0" w:lastRowLastColumn="0"/>
            <w:tcW w:w="4367" w:type="dxa"/>
            <w:tcBorders>
              <w:top w:val="nil"/>
              <w:left w:val="nil"/>
              <w:bottom w:val="nil"/>
              <w:right w:val="nil"/>
            </w:tcBorders>
            <w:shd w:val="clear" w:color="auto" w:fill="auto"/>
            <w:noWrap/>
            <w:vAlign w:val="bottom"/>
            <w:hideMark/>
          </w:tcPr>
          <w:p w:rsidR="00A46DCA" w:rsidRPr="009372C1" w:rsidRDefault="00A46DCA" w:rsidP="00A26D04">
            <w:pPr>
              <w:keepLines w:val="0"/>
              <w:rPr>
                <w:rFonts w:eastAsia="Calibri" w:cs="Times New Roman"/>
                <w:b/>
                <w:bCs/>
                <w:szCs w:val="17"/>
              </w:rPr>
            </w:pPr>
            <w:r w:rsidRPr="009372C1">
              <w:rPr>
                <w:rFonts w:eastAsia="Calibri" w:cs="Times New Roman"/>
                <w:b/>
                <w:bCs/>
                <w:szCs w:val="17"/>
              </w:rPr>
              <w:t>Property prices</w:t>
            </w:r>
          </w:p>
        </w:tc>
        <w:tc>
          <w:tcPr>
            <w:tcW w:w="850" w:type="dxa"/>
            <w:tcBorders>
              <w:top w:val="nil"/>
              <w:left w:val="nil"/>
              <w:bottom w:val="nil"/>
              <w:right w:val="nil"/>
            </w:tcBorders>
            <w:shd w:val="clear" w:color="auto" w:fill="auto"/>
            <w:noWrap/>
            <w:vAlign w:val="bottom"/>
            <w:hideMark/>
          </w:tcPr>
          <w:p w:rsidR="00A46DCA" w:rsidRPr="009372C1" w:rsidRDefault="00A46DCA" w:rsidP="00A26D04">
            <w:pPr>
              <w:cnfStyle w:val="000000000000" w:firstRow="0" w:lastRow="0" w:firstColumn="0" w:lastColumn="0" w:oddVBand="0" w:evenVBand="0" w:oddHBand="0" w:evenHBand="0" w:firstRowFirstColumn="0" w:firstRowLastColumn="0" w:lastRowFirstColumn="0" w:lastRowLastColumn="0"/>
              <w:rPr>
                <w:szCs w:val="17"/>
              </w:rPr>
            </w:pPr>
          </w:p>
        </w:tc>
        <w:tc>
          <w:tcPr>
            <w:tcW w:w="850" w:type="dxa"/>
            <w:tcBorders>
              <w:top w:val="nil"/>
              <w:left w:val="nil"/>
              <w:bottom w:val="nil"/>
              <w:right w:val="nil"/>
            </w:tcBorders>
            <w:shd w:val="clear" w:color="auto" w:fill="auto"/>
            <w:noWrap/>
            <w:vAlign w:val="bottom"/>
            <w:hideMark/>
          </w:tcPr>
          <w:p w:rsidR="00A46DCA" w:rsidRPr="009372C1" w:rsidRDefault="00A46DCA" w:rsidP="00A26D04">
            <w:pPr>
              <w:cnfStyle w:val="000000000000" w:firstRow="0" w:lastRow="0" w:firstColumn="0" w:lastColumn="0" w:oddVBand="0" w:evenVBand="0" w:oddHBand="0" w:evenHBand="0" w:firstRowFirstColumn="0" w:firstRowLastColumn="0" w:lastRowFirstColumn="0" w:lastRowLastColumn="0"/>
              <w:rPr>
                <w:szCs w:val="17"/>
              </w:rPr>
            </w:pPr>
          </w:p>
        </w:tc>
        <w:tc>
          <w:tcPr>
            <w:tcW w:w="850" w:type="dxa"/>
            <w:tcBorders>
              <w:top w:val="nil"/>
              <w:left w:val="nil"/>
              <w:bottom w:val="nil"/>
              <w:right w:val="nil"/>
            </w:tcBorders>
            <w:shd w:val="clear" w:color="auto" w:fill="auto"/>
            <w:noWrap/>
            <w:vAlign w:val="bottom"/>
            <w:hideMark/>
          </w:tcPr>
          <w:p w:rsidR="00A46DCA" w:rsidRPr="009372C1" w:rsidRDefault="00A46DCA" w:rsidP="00A26D04">
            <w:pPr>
              <w:cnfStyle w:val="000000000000" w:firstRow="0" w:lastRow="0" w:firstColumn="0" w:lastColumn="0" w:oddVBand="0" w:evenVBand="0" w:oddHBand="0" w:evenHBand="0" w:firstRowFirstColumn="0" w:firstRowLastColumn="0" w:lastRowFirstColumn="0" w:lastRowLastColumn="0"/>
              <w:rPr>
                <w:szCs w:val="17"/>
              </w:rPr>
            </w:pPr>
          </w:p>
        </w:tc>
        <w:tc>
          <w:tcPr>
            <w:tcW w:w="850" w:type="dxa"/>
            <w:tcBorders>
              <w:top w:val="nil"/>
              <w:left w:val="nil"/>
              <w:bottom w:val="nil"/>
              <w:right w:val="nil"/>
            </w:tcBorders>
            <w:shd w:val="clear" w:color="auto" w:fill="auto"/>
            <w:noWrap/>
            <w:vAlign w:val="bottom"/>
            <w:hideMark/>
          </w:tcPr>
          <w:p w:rsidR="00A46DCA" w:rsidRPr="009372C1" w:rsidRDefault="00A46DCA" w:rsidP="00A26D04">
            <w:pPr>
              <w:cnfStyle w:val="000000000000" w:firstRow="0" w:lastRow="0" w:firstColumn="0" w:lastColumn="0" w:oddVBand="0" w:evenVBand="0" w:oddHBand="0" w:evenHBand="0" w:firstRowFirstColumn="0" w:firstRowLastColumn="0" w:lastRowFirstColumn="0" w:lastRowLastColumn="0"/>
              <w:rPr>
                <w:szCs w:val="17"/>
              </w:rPr>
            </w:pPr>
          </w:p>
        </w:tc>
      </w:tr>
      <w:tr w:rsidR="00A46DCA" w:rsidRPr="009372C1" w:rsidTr="004906A4">
        <w:tc>
          <w:tcPr>
            <w:cnfStyle w:val="001000000000" w:firstRow="0" w:lastRow="0" w:firstColumn="1" w:lastColumn="0" w:oddVBand="0" w:evenVBand="0" w:oddHBand="0" w:evenHBand="0" w:firstRowFirstColumn="0" w:firstRowLastColumn="0" w:lastRowFirstColumn="0" w:lastRowLastColumn="0"/>
            <w:tcW w:w="4367" w:type="dxa"/>
            <w:tcBorders>
              <w:top w:val="nil"/>
              <w:left w:val="nil"/>
              <w:bottom w:val="nil"/>
              <w:right w:val="nil"/>
            </w:tcBorders>
            <w:shd w:val="clear" w:color="auto" w:fill="auto"/>
            <w:noWrap/>
            <w:vAlign w:val="bottom"/>
            <w:hideMark/>
          </w:tcPr>
          <w:p w:rsidR="00A46DCA" w:rsidRPr="009372C1" w:rsidRDefault="00A46DCA" w:rsidP="00A26D04">
            <w:pPr>
              <w:keepLines w:val="0"/>
              <w:rPr>
                <w:rFonts w:eastAsia="Calibri" w:cs="Times New Roman"/>
                <w:szCs w:val="17"/>
              </w:rPr>
            </w:pPr>
            <w:r w:rsidRPr="009372C1">
              <w:rPr>
                <w:rFonts w:eastAsia="Calibri" w:cs="Times New Roman"/>
                <w:szCs w:val="17"/>
              </w:rPr>
              <w:t>Income from transactions</w:t>
            </w:r>
          </w:p>
        </w:tc>
        <w:tc>
          <w:tcPr>
            <w:tcW w:w="850" w:type="dxa"/>
            <w:tcBorders>
              <w:top w:val="nil"/>
              <w:left w:val="nil"/>
              <w:bottom w:val="nil"/>
              <w:right w:val="nil"/>
            </w:tcBorders>
            <w:shd w:val="clear" w:color="000000" w:fill="FFFFFF"/>
            <w:noWrap/>
            <w:vAlign w:val="bottom"/>
            <w:hideMark/>
          </w:tcPr>
          <w:p w:rsidR="00A46DCA" w:rsidRPr="009372C1" w:rsidRDefault="00A46DCA" w:rsidP="00A26D04">
            <w:pPr>
              <w:cnfStyle w:val="000000000000" w:firstRow="0" w:lastRow="0" w:firstColumn="0" w:lastColumn="0" w:oddVBand="0" w:evenVBand="0" w:oddHBand="0" w:evenHBand="0" w:firstRowFirstColumn="0" w:firstRowLastColumn="0" w:lastRowFirstColumn="0" w:lastRowLastColumn="0"/>
              <w:rPr>
                <w:szCs w:val="17"/>
              </w:rPr>
            </w:pPr>
            <w:r w:rsidRPr="009372C1">
              <w:rPr>
                <w:szCs w:val="17"/>
              </w:rPr>
              <w:t>74</w:t>
            </w:r>
          </w:p>
        </w:tc>
        <w:tc>
          <w:tcPr>
            <w:tcW w:w="850" w:type="dxa"/>
            <w:tcBorders>
              <w:top w:val="nil"/>
              <w:left w:val="nil"/>
              <w:bottom w:val="nil"/>
              <w:right w:val="nil"/>
            </w:tcBorders>
            <w:shd w:val="clear" w:color="000000" w:fill="FFFFFF"/>
            <w:noWrap/>
            <w:vAlign w:val="bottom"/>
            <w:hideMark/>
          </w:tcPr>
          <w:p w:rsidR="00A46DCA" w:rsidRPr="009372C1" w:rsidRDefault="00A46DCA" w:rsidP="00A26D04">
            <w:pPr>
              <w:cnfStyle w:val="000000000000" w:firstRow="0" w:lastRow="0" w:firstColumn="0" w:lastColumn="0" w:oddVBand="0" w:evenVBand="0" w:oddHBand="0" w:evenHBand="0" w:firstRowFirstColumn="0" w:firstRowLastColumn="0" w:lastRowFirstColumn="0" w:lastRowLastColumn="0"/>
              <w:rPr>
                <w:szCs w:val="17"/>
              </w:rPr>
            </w:pPr>
            <w:r w:rsidRPr="009372C1">
              <w:rPr>
                <w:szCs w:val="17"/>
              </w:rPr>
              <w:t>93</w:t>
            </w:r>
          </w:p>
        </w:tc>
        <w:tc>
          <w:tcPr>
            <w:tcW w:w="850" w:type="dxa"/>
            <w:tcBorders>
              <w:top w:val="nil"/>
              <w:left w:val="nil"/>
              <w:bottom w:val="nil"/>
              <w:right w:val="nil"/>
            </w:tcBorders>
            <w:shd w:val="clear" w:color="000000" w:fill="FFFFFF"/>
            <w:noWrap/>
            <w:vAlign w:val="bottom"/>
            <w:hideMark/>
          </w:tcPr>
          <w:p w:rsidR="00A46DCA" w:rsidRPr="009372C1" w:rsidRDefault="00A46DCA" w:rsidP="00A26D04">
            <w:pPr>
              <w:cnfStyle w:val="000000000000" w:firstRow="0" w:lastRow="0" w:firstColumn="0" w:lastColumn="0" w:oddVBand="0" w:evenVBand="0" w:oddHBand="0" w:evenHBand="0" w:firstRowFirstColumn="0" w:firstRowLastColumn="0" w:lastRowFirstColumn="0" w:lastRowLastColumn="0"/>
              <w:rPr>
                <w:szCs w:val="17"/>
              </w:rPr>
            </w:pPr>
            <w:r w:rsidRPr="009372C1">
              <w:rPr>
                <w:szCs w:val="17"/>
              </w:rPr>
              <w:t>96</w:t>
            </w:r>
          </w:p>
        </w:tc>
        <w:tc>
          <w:tcPr>
            <w:tcW w:w="850" w:type="dxa"/>
            <w:tcBorders>
              <w:top w:val="nil"/>
              <w:left w:val="nil"/>
              <w:bottom w:val="nil"/>
              <w:right w:val="nil"/>
            </w:tcBorders>
            <w:shd w:val="clear" w:color="000000" w:fill="FFFFFF"/>
            <w:noWrap/>
            <w:vAlign w:val="bottom"/>
            <w:hideMark/>
          </w:tcPr>
          <w:p w:rsidR="00A46DCA" w:rsidRPr="009372C1" w:rsidRDefault="00A46DCA" w:rsidP="00A26D04">
            <w:pPr>
              <w:cnfStyle w:val="000000000000" w:firstRow="0" w:lastRow="0" w:firstColumn="0" w:lastColumn="0" w:oddVBand="0" w:evenVBand="0" w:oddHBand="0" w:evenHBand="0" w:firstRowFirstColumn="0" w:firstRowLastColumn="0" w:lastRowFirstColumn="0" w:lastRowLastColumn="0"/>
              <w:rPr>
                <w:szCs w:val="17"/>
              </w:rPr>
            </w:pPr>
            <w:r w:rsidRPr="009372C1">
              <w:rPr>
                <w:szCs w:val="17"/>
              </w:rPr>
              <w:t>101</w:t>
            </w:r>
          </w:p>
        </w:tc>
      </w:tr>
      <w:tr w:rsidR="00A46DCA" w:rsidRPr="009372C1" w:rsidTr="004906A4">
        <w:tc>
          <w:tcPr>
            <w:cnfStyle w:val="001000000000" w:firstRow="0" w:lastRow="0" w:firstColumn="1" w:lastColumn="0" w:oddVBand="0" w:evenVBand="0" w:oddHBand="0" w:evenHBand="0" w:firstRowFirstColumn="0" w:firstRowLastColumn="0" w:lastRowFirstColumn="0" w:lastRowLastColumn="0"/>
            <w:tcW w:w="4367" w:type="dxa"/>
            <w:tcBorders>
              <w:top w:val="nil"/>
              <w:left w:val="nil"/>
              <w:bottom w:val="nil"/>
              <w:right w:val="nil"/>
            </w:tcBorders>
            <w:shd w:val="clear" w:color="auto" w:fill="auto"/>
            <w:noWrap/>
            <w:vAlign w:val="bottom"/>
            <w:hideMark/>
          </w:tcPr>
          <w:p w:rsidR="00A46DCA" w:rsidRPr="009372C1" w:rsidRDefault="00A46DCA" w:rsidP="00A26D04">
            <w:pPr>
              <w:keepLines w:val="0"/>
              <w:rPr>
                <w:rFonts w:eastAsia="Calibri" w:cs="Times New Roman"/>
                <w:szCs w:val="17"/>
              </w:rPr>
            </w:pPr>
            <w:r w:rsidRPr="009372C1">
              <w:rPr>
                <w:rFonts w:eastAsia="Calibri" w:cs="Times New Roman"/>
                <w:szCs w:val="17"/>
              </w:rPr>
              <w:t>Expenses from transactions</w:t>
            </w:r>
          </w:p>
        </w:tc>
        <w:tc>
          <w:tcPr>
            <w:tcW w:w="850" w:type="dxa"/>
            <w:tcBorders>
              <w:top w:val="nil"/>
              <w:left w:val="nil"/>
              <w:bottom w:val="nil"/>
              <w:right w:val="nil"/>
            </w:tcBorders>
            <w:shd w:val="clear" w:color="000000" w:fill="FFFFFF"/>
            <w:noWrap/>
            <w:vAlign w:val="bottom"/>
            <w:hideMark/>
          </w:tcPr>
          <w:p w:rsidR="00A46DCA" w:rsidRPr="009372C1" w:rsidRDefault="00A46DCA" w:rsidP="00A26D04">
            <w:pPr>
              <w:cnfStyle w:val="000000000000" w:firstRow="0" w:lastRow="0" w:firstColumn="0" w:lastColumn="0" w:oddVBand="0" w:evenVBand="0" w:oddHBand="0" w:evenHBand="0" w:firstRowFirstColumn="0" w:firstRowLastColumn="0" w:lastRowFirstColumn="0" w:lastRowLastColumn="0"/>
              <w:rPr>
                <w:szCs w:val="17"/>
              </w:rPr>
            </w:pPr>
            <w:r w:rsidRPr="009372C1">
              <w:rPr>
                <w:szCs w:val="17"/>
              </w:rPr>
              <w:t>(2)</w:t>
            </w:r>
          </w:p>
        </w:tc>
        <w:tc>
          <w:tcPr>
            <w:tcW w:w="850" w:type="dxa"/>
            <w:tcBorders>
              <w:top w:val="nil"/>
              <w:left w:val="nil"/>
              <w:bottom w:val="nil"/>
              <w:right w:val="nil"/>
            </w:tcBorders>
            <w:shd w:val="clear" w:color="000000" w:fill="FFFFFF"/>
            <w:noWrap/>
            <w:vAlign w:val="bottom"/>
            <w:hideMark/>
          </w:tcPr>
          <w:p w:rsidR="00A46DCA" w:rsidRPr="009372C1" w:rsidRDefault="00A46DCA" w:rsidP="00A26D04">
            <w:pPr>
              <w:cnfStyle w:val="000000000000" w:firstRow="0" w:lastRow="0" w:firstColumn="0" w:lastColumn="0" w:oddVBand="0" w:evenVBand="0" w:oddHBand="0" w:evenHBand="0" w:firstRowFirstColumn="0" w:firstRowLastColumn="0" w:lastRowFirstColumn="0" w:lastRowLastColumn="0"/>
              <w:rPr>
                <w:szCs w:val="17"/>
              </w:rPr>
            </w:pPr>
            <w:r w:rsidRPr="009372C1">
              <w:rPr>
                <w:szCs w:val="17"/>
              </w:rPr>
              <w:t>(6)</w:t>
            </w:r>
          </w:p>
        </w:tc>
        <w:tc>
          <w:tcPr>
            <w:tcW w:w="850" w:type="dxa"/>
            <w:tcBorders>
              <w:top w:val="nil"/>
              <w:left w:val="nil"/>
              <w:bottom w:val="nil"/>
              <w:right w:val="nil"/>
            </w:tcBorders>
            <w:shd w:val="clear" w:color="000000" w:fill="FFFFFF"/>
            <w:noWrap/>
            <w:vAlign w:val="bottom"/>
            <w:hideMark/>
          </w:tcPr>
          <w:p w:rsidR="00A46DCA" w:rsidRPr="009372C1" w:rsidRDefault="00A46DCA" w:rsidP="00A26D04">
            <w:pPr>
              <w:cnfStyle w:val="000000000000" w:firstRow="0" w:lastRow="0" w:firstColumn="0" w:lastColumn="0" w:oddVBand="0" w:evenVBand="0" w:oddHBand="0" w:evenHBand="0" w:firstRowFirstColumn="0" w:firstRowLastColumn="0" w:lastRowFirstColumn="0" w:lastRowLastColumn="0"/>
              <w:rPr>
                <w:szCs w:val="17"/>
              </w:rPr>
            </w:pPr>
            <w:r w:rsidRPr="009372C1">
              <w:rPr>
                <w:szCs w:val="17"/>
              </w:rPr>
              <w:t>(10)</w:t>
            </w:r>
          </w:p>
        </w:tc>
        <w:tc>
          <w:tcPr>
            <w:tcW w:w="850" w:type="dxa"/>
            <w:tcBorders>
              <w:top w:val="nil"/>
              <w:left w:val="nil"/>
              <w:bottom w:val="nil"/>
              <w:right w:val="nil"/>
            </w:tcBorders>
            <w:shd w:val="clear" w:color="000000" w:fill="FFFFFF"/>
            <w:noWrap/>
            <w:vAlign w:val="bottom"/>
            <w:hideMark/>
          </w:tcPr>
          <w:p w:rsidR="00A46DCA" w:rsidRPr="009372C1" w:rsidRDefault="00A46DCA" w:rsidP="00A26D04">
            <w:pPr>
              <w:cnfStyle w:val="000000000000" w:firstRow="0" w:lastRow="0" w:firstColumn="0" w:lastColumn="0" w:oddVBand="0" w:evenVBand="0" w:oddHBand="0" w:evenHBand="0" w:firstRowFirstColumn="0" w:firstRowLastColumn="0" w:lastRowFirstColumn="0" w:lastRowLastColumn="0"/>
              <w:rPr>
                <w:szCs w:val="17"/>
              </w:rPr>
            </w:pPr>
            <w:r w:rsidRPr="009372C1">
              <w:rPr>
                <w:szCs w:val="17"/>
              </w:rPr>
              <w:t>(15)</w:t>
            </w:r>
          </w:p>
        </w:tc>
      </w:tr>
      <w:tr w:rsidR="00A46DCA" w:rsidRPr="009372C1" w:rsidTr="004906A4">
        <w:tc>
          <w:tcPr>
            <w:cnfStyle w:val="001000000000" w:firstRow="0" w:lastRow="0" w:firstColumn="1" w:lastColumn="0" w:oddVBand="0" w:evenVBand="0" w:oddHBand="0" w:evenHBand="0" w:firstRowFirstColumn="0" w:firstRowLastColumn="0" w:lastRowFirstColumn="0" w:lastRowLastColumn="0"/>
            <w:tcW w:w="4367" w:type="dxa"/>
            <w:tcBorders>
              <w:top w:val="single" w:sz="4" w:space="0" w:color="auto"/>
              <w:left w:val="nil"/>
              <w:bottom w:val="single" w:sz="4" w:space="0" w:color="auto"/>
              <w:right w:val="nil"/>
            </w:tcBorders>
            <w:shd w:val="clear" w:color="auto" w:fill="auto"/>
            <w:noWrap/>
            <w:vAlign w:val="bottom"/>
            <w:hideMark/>
          </w:tcPr>
          <w:p w:rsidR="00A46DCA" w:rsidRPr="009372C1" w:rsidRDefault="00A46DCA" w:rsidP="00A26D04">
            <w:pPr>
              <w:keepLines w:val="0"/>
              <w:rPr>
                <w:rFonts w:eastAsia="Calibri" w:cs="Times New Roman"/>
                <w:b/>
                <w:bCs/>
                <w:szCs w:val="17"/>
              </w:rPr>
            </w:pPr>
            <w:r w:rsidRPr="009372C1">
              <w:rPr>
                <w:rFonts w:eastAsia="Calibri" w:cs="Times New Roman"/>
                <w:b/>
                <w:bCs/>
                <w:szCs w:val="17"/>
              </w:rPr>
              <w:t>Net result from transactions</w:t>
            </w:r>
          </w:p>
        </w:tc>
        <w:tc>
          <w:tcPr>
            <w:tcW w:w="850" w:type="dxa"/>
            <w:tcBorders>
              <w:top w:val="single" w:sz="4" w:space="0" w:color="auto"/>
              <w:left w:val="nil"/>
              <w:bottom w:val="single" w:sz="4" w:space="0" w:color="auto"/>
              <w:right w:val="nil"/>
            </w:tcBorders>
            <w:shd w:val="clear" w:color="000000" w:fill="FFFFFF"/>
            <w:noWrap/>
            <w:vAlign w:val="bottom"/>
            <w:hideMark/>
          </w:tcPr>
          <w:p w:rsidR="00A46DCA" w:rsidRPr="009372C1" w:rsidRDefault="00A46DCA" w:rsidP="00A26D04">
            <w:pPr>
              <w:cnfStyle w:val="000000000000" w:firstRow="0" w:lastRow="0" w:firstColumn="0" w:lastColumn="0" w:oddVBand="0" w:evenVBand="0" w:oddHBand="0" w:evenHBand="0" w:firstRowFirstColumn="0" w:firstRowLastColumn="0" w:lastRowFirstColumn="0" w:lastRowLastColumn="0"/>
              <w:rPr>
                <w:b/>
                <w:bCs/>
                <w:szCs w:val="17"/>
              </w:rPr>
            </w:pPr>
            <w:r w:rsidRPr="009372C1">
              <w:rPr>
                <w:b/>
                <w:bCs/>
                <w:szCs w:val="17"/>
              </w:rPr>
              <w:t>75</w:t>
            </w:r>
          </w:p>
        </w:tc>
        <w:tc>
          <w:tcPr>
            <w:tcW w:w="850" w:type="dxa"/>
            <w:tcBorders>
              <w:top w:val="single" w:sz="4" w:space="0" w:color="auto"/>
              <w:left w:val="nil"/>
              <w:bottom w:val="single" w:sz="4" w:space="0" w:color="auto"/>
              <w:right w:val="nil"/>
            </w:tcBorders>
            <w:shd w:val="clear" w:color="000000" w:fill="FFFFFF"/>
            <w:noWrap/>
            <w:vAlign w:val="bottom"/>
            <w:hideMark/>
          </w:tcPr>
          <w:p w:rsidR="00A46DCA" w:rsidRPr="009372C1" w:rsidRDefault="00A46DCA" w:rsidP="00A26D04">
            <w:pPr>
              <w:cnfStyle w:val="000000000000" w:firstRow="0" w:lastRow="0" w:firstColumn="0" w:lastColumn="0" w:oddVBand="0" w:evenVBand="0" w:oddHBand="0" w:evenHBand="0" w:firstRowFirstColumn="0" w:firstRowLastColumn="0" w:lastRowFirstColumn="0" w:lastRowLastColumn="0"/>
              <w:rPr>
                <w:b/>
                <w:bCs/>
                <w:szCs w:val="17"/>
              </w:rPr>
            </w:pPr>
            <w:r w:rsidRPr="009372C1">
              <w:rPr>
                <w:b/>
                <w:bCs/>
                <w:szCs w:val="17"/>
              </w:rPr>
              <w:t>99</w:t>
            </w:r>
          </w:p>
        </w:tc>
        <w:tc>
          <w:tcPr>
            <w:tcW w:w="850" w:type="dxa"/>
            <w:tcBorders>
              <w:top w:val="single" w:sz="4" w:space="0" w:color="auto"/>
              <w:left w:val="nil"/>
              <w:bottom w:val="single" w:sz="4" w:space="0" w:color="auto"/>
              <w:right w:val="nil"/>
            </w:tcBorders>
            <w:shd w:val="clear" w:color="000000" w:fill="FFFFFF"/>
            <w:noWrap/>
            <w:vAlign w:val="bottom"/>
            <w:hideMark/>
          </w:tcPr>
          <w:p w:rsidR="00A46DCA" w:rsidRPr="009372C1" w:rsidRDefault="00A46DCA" w:rsidP="00A26D04">
            <w:pPr>
              <w:cnfStyle w:val="000000000000" w:firstRow="0" w:lastRow="0" w:firstColumn="0" w:lastColumn="0" w:oddVBand="0" w:evenVBand="0" w:oddHBand="0" w:evenHBand="0" w:firstRowFirstColumn="0" w:firstRowLastColumn="0" w:lastRowFirstColumn="0" w:lastRowLastColumn="0"/>
              <w:rPr>
                <w:b/>
                <w:bCs/>
                <w:szCs w:val="17"/>
              </w:rPr>
            </w:pPr>
            <w:r w:rsidRPr="009372C1">
              <w:rPr>
                <w:b/>
                <w:bCs/>
                <w:szCs w:val="17"/>
              </w:rPr>
              <w:t>107</w:t>
            </w:r>
          </w:p>
        </w:tc>
        <w:tc>
          <w:tcPr>
            <w:tcW w:w="850" w:type="dxa"/>
            <w:tcBorders>
              <w:top w:val="single" w:sz="4" w:space="0" w:color="auto"/>
              <w:left w:val="nil"/>
              <w:bottom w:val="single" w:sz="4" w:space="0" w:color="auto"/>
              <w:right w:val="nil"/>
            </w:tcBorders>
            <w:shd w:val="clear" w:color="000000" w:fill="FFFFFF"/>
            <w:noWrap/>
            <w:vAlign w:val="bottom"/>
            <w:hideMark/>
          </w:tcPr>
          <w:p w:rsidR="00A46DCA" w:rsidRPr="009372C1" w:rsidRDefault="00A46DCA" w:rsidP="00A26D04">
            <w:pPr>
              <w:cnfStyle w:val="000000000000" w:firstRow="0" w:lastRow="0" w:firstColumn="0" w:lastColumn="0" w:oddVBand="0" w:evenVBand="0" w:oddHBand="0" w:evenHBand="0" w:firstRowFirstColumn="0" w:firstRowLastColumn="0" w:lastRowFirstColumn="0" w:lastRowLastColumn="0"/>
              <w:rPr>
                <w:b/>
                <w:bCs/>
                <w:szCs w:val="17"/>
              </w:rPr>
            </w:pPr>
            <w:r w:rsidRPr="009372C1">
              <w:rPr>
                <w:b/>
                <w:bCs/>
                <w:szCs w:val="17"/>
              </w:rPr>
              <w:t>116</w:t>
            </w:r>
          </w:p>
        </w:tc>
      </w:tr>
      <w:tr w:rsidR="00A46DCA" w:rsidRPr="009372C1" w:rsidTr="004906A4">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7" w:type="dxa"/>
            <w:tcBorders>
              <w:top w:val="nil"/>
              <w:bottom w:val="single" w:sz="8" w:space="0" w:color="auto"/>
            </w:tcBorders>
            <w:shd w:val="clear" w:color="auto" w:fill="auto"/>
            <w:noWrap/>
            <w:vAlign w:val="bottom"/>
            <w:hideMark/>
          </w:tcPr>
          <w:p w:rsidR="00A46DCA" w:rsidRPr="009372C1" w:rsidRDefault="00A46DCA" w:rsidP="00A26D04">
            <w:pPr>
              <w:keepLines w:val="0"/>
              <w:rPr>
                <w:rFonts w:eastAsia="Calibri" w:cs="Times New Roman"/>
                <w:b w:val="0"/>
                <w:bCs/>
                <w:szCs w:val="17"/>
              </w:rPr>
            </w:pPr>
            <w:r w:rsidRPr="009372C1">
              <w:rPr>
                <w:rFonts w:eastAsia="Calibri" w:cs="Times New Roman"/>
                <w:b w:val="0"/>
                <w:bCs/>
                <w:szCs w:val="17"/>
              </w:rPr>
              <w:t>Net debt</w:t>
            </w:r>
          </w:p>
        </w:tc>
        <w:tc>
          <w:tcPr>
            <w:tcW w:w="850" w:type="dxa"/>
            <w:tcBorders>
              <w:top w:val="nil"/>
              <w:bottom w:val="single" w:sz="8" w:space="0" w:color="auto"/>
            </w:tcBorders>
            <w:shd w:val="clear" w:color="000000" w:fill="FFFFFF"/>
            <w:noWrap/>
            <w:vAlign w:val="bottom"/>
            <w:hideMark/>
          </w:tcPr>
          <w:p w:rsidR="00A46DCA" w:rsidRPr="009372C1" w:rsidRDefault="00A46DCA" w:rsidP="00A26D04">
            <w:pPr>
              <w:cnfStyle w:val="010000000000" w:firstRow="0" w:lastRow="1" w:firstColumn="0" w:lastColumn="0" w:oddVBand="0" w:evenVBand="0" w:oddHBand="0" w:evenHBand="0" w:firstRowFirstColumn="0" w:firstRowLastColumn="0" w:lastRowFirstColumn="0" w:lastRowLastColumn="0"/>
              <w:rPr>
                <w:b w:val="0"/>
                <w:bCs/>
                <w:szCs w:val="17"/>
              </w:rPr>
            </w:pPr>
            <w:r w:rsidRPr="009372C1">
              <w:rPr>
                <w:b w:val="0"/>
                <w:bCs/>
                <w:szCs w:val="17"/>
              </w:rPr>
              <w:t>(79)</w:t>
            </w:r>
          </w:p>
        </w:tc>
        <w:tc>
          <w:tcPr>
            <w:tcW w:w="850" w:type="dxa"/>
            <w:tcBorders>
              <w:top w:val="nil"/>
              <w:bottom w:val="single" w:sz="8" w:space="0" w:color="auto"/>
            </w:tcBorders>
            <w:shd w:val="clear" w:color="000000" w:fill="FFFFFF"/>
            <w:noWrap/>
            <w:vAlign w:val="bottom"/>
            <w:hideMark/>
          </w:tcPr>
          <w:p w:rsidR="00A46DCA" w:rsidRPr="009372C1" w:rsidRDefault="00A46DCA" w:rsidP="00A26D04">
            <w:pPr>
              <w:cnfStyle w:val="010000000000" w:firstRow="0" w:lastRow="1" w:firstColumn="0" w:lastColumn="0" w:oddVBand="0" w:evenVBand="0" w:oddHBand="0" w:evenHBand="0" w:firstRowFirstColumn="0" w:firstRowLastColumn="0" w:lastRowFirstColumn="0" w:lastRowLastColumn="0"/>
              <w:rPr>
                <w:b w:val="0"/>
                <w:bCs/>
                <w:szCs w:val="17"/>
              </w:rPr>
            </w:pPr>
            <w:r w:rsidRPr="009372C1">
              <w:rPr>
                <w:b w:val="0"/>
                <w:bCs/>
                <w:szCs w:val="17"/>
              </w:rPr>
              <w:t>(184)</w:t>
            </w:r>
          </w:p>
        </w:tc>
        <w:tc>
          <w:tcPr>
            <w:tcW w:w="850" w:type="dxa"/>
            <w:tcBorders>
              <w:top w:val="nil"/>
              <w:bottom w:val="single" w:sz="8" w:space="0" w:color="auto"/>
            </w:tcBorders>
            <w:shd w:val="clear" w:color="000000" w:fill="FFFFFF"/>
            <w:noWrap/>
            <w:vAlign w:val="bottom"/>
            <w:hideMark/>
          </w:tcPr>
          <w:p w:rsidR="00A46DCA" w:rsidRPr="009372C1" w:rsidRDefault="00A46DCA" w:rsidP="00A26D04">
            <w:pPr>
              <w:cnfStyle w:val="010000000000" w:firstRow="0" w:lastRow="1" w:firstColumn="0" w:lastColumn="0" w:oddVBand="0" w:evenVBand="0" w:oddHBand="0" w:evenHBand="0" w:firstRowFirstColumn="0" w:firstRowLastColumn="0" w:lastRowFirstColumn="0" w:lastRowLastColumn="0"/>
              <w:rPr>
                <w:b w:val="0"/>
                <w:bCs/>
                <w:szCs w:val="17"/>
              </w:rPr>
            </w:pPr>
            <w:r w:rsidRPr="009372C1">
              <w:rPr>
                <w:b w:val="0"/>
                <w:bCs/>
                <w:szCs w:val="17"/>
              </w:rPr>
              <w:t>(294)</w:t>
            </w:r>
          </w:p>
        </w:tc>
        <w:tc>
          <w:tcPr>
            <w:tcW w:w="850" w:type="dxa"/>
            <w:tcBorders>
              <w:top w:val="nil"/>
              <w:bottom w:val="single" w:sz="8" w:space="0" w:color="auto"/>
            </w:tcBorders>
            <w:shd w:val="clear" w:color="000000" w:fill="FFFFFF"/>
            <w:noWrap/>
            <w:vAlign w:val="bottom"/>
            <w:hideMark/>
          </w:tcPr>
          <w:p w:rsidR="00A46DCA" w:rsidRPr="009372C1" w:rsidRDefault="00A46DCA" w:rsidP="00A26D04">
            <w:pPr>
              <w:cnfStyle w:val="010000000000" w:firstRow="0" w:lastRow="1" w:firstColumn="0" w:lastColumn="0" w:oddVBand="0" w:evenVBand="0" w:oddHBand="0" w:evenHBand="0" w:firstRowFirstColumn="0" w:firstRowLastColumn="0" w:lastRowFirstColumn="0" w:lastRowLastColumn="0"/>
              <w:rPr>
                <w:b w:val="0"/>
                <w:bCs/>
                <w:szCs w:val="17"/>
              </w:rPr>
            </w:pPr>
            <w:r w:rsidRPr="009372C1">
              <w:rPr>
                <w:b w:val="0"/>
                <w:bCs/>
                <w:szCs w:val="17"/>
              </w:rPr>
              <w:t>(415)</w:t>
            </w:r>
          </w:p>
        </w:tc>
      </w:tr>
    </w:tbl>
    <w:p w:rsidR="004906A4" w:rsidRDefault="004906A4"/>
    <w:p w:rsidR="004906A4" w:rsidRPr="00442C0B" w:rsidRDefault="004906A4" w:rsidP="004906A4">
      <w:pPr>
        <w:keepNext/>
        <w:tabs>
          <w:tab w:val="left" w:pos="1134"/>
          <w:tab w:val="right" w:pos="7710"/>
        </w:tabs>
        <w:spacing w:before="240" w:after="60"/>
        <w:ind w:left="1134" w:hanging="1134"/>
        <w:rPr>
          <w:rFonts w:ascii="Calibri" w:eastAsia="Garamond" w:hAnsi="Calibri" w:cs="Times New Roman"/>
          <w:b/>
          <w:sz w:val="20"/>
          <w:szCs w:val="20"/>
        </w:rPr>
      </w:pPr>
      <w:r w:rsidRPr="00442C0B">
        <w:rPr>
          <w:rFonts w:ascii="Calibri" w:eastAsia="Garamond" w:hAnsi="Calibri" w:cs="Times New Roman"/>
          <w:b/>
          <w:sz w:val="20"/>
          <w:szCs w:val="20"/>
        </w:rPr>
        <w:lastRenderedPageBreak/>
        <w:t>Table D.1:</w:t>
      </w:r>
      <w:r w:rsidRPr="00442C0B">
        <w:rPr>
          <w:rFonts w:ascii="Calibri" w:eastAsia="Garamond" w:hAnsi="Calibri" w:cs="Times New Roman"/>
          <w:b/>
          <w:sz w:val="20"/>
          <w:szCs w:val="20"/>
        </w:rPr>
        <w:tab/>
        <w:t xml:space="preserve">Sensitivity of key fiscal aggregates to selected indicators being </w:t>
      </w:r>
      <w:r w:rsidRPr="00442C0B">
        <w:rPr>
          <w:rFonts w:ascii="Calibri" w:eastAsia="Garamond" w:hAnsi="Calibri" w:cs="Times New Roman"/>
          <w:b/>
          <w:sz w:val="20"/>
          <w:szCs w:val="20"/>
        </w:rPr>
        <w:br/>
        <w:t>1 per cent hi</w:t>
      </w:r>
      <w:r>
        <w:rPr>
          <w:rFonts w:ascii="Calibri" w:eastAsia="Garamond" w:hAnsi="Calibri" w:cs="Times New Roman"/>
          <w:b/>
          <w:sz w:val="20"/>
          <w:szCs w:val="20"/>
        </w:rPr>
        <w:t>gher than expected from 2017</w:t>
      </w:r>
      <w:r>
        <w:rPr>
          <w:rFonts w:ascii="Calibri" w:eastAsia="Garamond" w:hAnsi="Calibri" w:cs="Times New Roman"/>
          <w:b/>
          <w:sz w:val="20"/>
          <w:szCs w:val="20"/>
        </w:rPr>
        <w:noBreakHyphen/>
        <w:t xml:space="preserve">18 </w:t>
      </w:r>
      <w:r w:rsidRPr="004906A4">
        <w:rPr>
          <w:rFonts w:ascii="Calibri" w:eastAsia="Garamond" w:hAnsi="Calibri" w:cs="Times New Roman"/>
          <w:b/>
          <w:i/>
          <w:sz w:val="20"/>
          <w:szCs w:val="20"/>
        </w:rPr>
        <w:t>(continued)</w:t>
      </w:r>
      <w:r w:rsidRPr="00442C0B">
        <w:rPr>
          <w:rFonts w:ascii="Calibri" w:eastAsia="Garamond" w:hAnsi="Calibri" w:cs="Times New Roman"/>
          <w:b/>
          <w:sz w:val="20"/>
          <w:szCs w:val="20"/>
          <w:vertAlign w:val="superscript"/>
        </w:rPr>
        <w:tab/>
      </w:r>
      <w:r w:rsidRPr="00442C0B">
        <w:rPr>
          <w:rFonts w:ascii="Calibri" w:eastAsia="Garamond" w:hAnsi="Calibri" w:cs="Times New Roman"/>
          <w:b/>
          <w:sz w:val="20"/>
          <w:szCs w:val="20"/>
        </w:rPr>
        <w:t>($ million)</w:t>
      </w:r>
    </w:p>
    <w:tbl>
      <w:tblPr>
        <w:tblStyle w:val="DTFTable"/>
        <w:tblW w:w="7767" w:type="dxa"/>
        <w:tblInd w:w="45" w:type="dxa"/>
        <w:tblLayout w:type="fixed"/>
        <w:tblCellMar>
          <w:left w:w="45" w:type="dxa"/>
          <w:right w:w="45" w:type="dxa"/>
        </w:tblCellMar>
        <w:tblLook w:val="06E0" w:firstRow="1" w:lastRow="1" w:firstColumn="1" w:lastColumn="0" w:noHBand="1" w:noVBand="1"/>
      </w:tblPr>
      <w:tblGrid>
        <w:gridCol w:w="4367"/>
        <w:gridCol w:w="850"/>
        <w:gridCol w:w="850"/>
        <w:gridCol w:w="850"/>
        <w:gridCol w:w="850"/>
      </w:tblGrid>
      <w:tr w:rsidR="004906A4" w:rsidRPr="009372C1" w:rsidTr="004906A4">
        <w:trPr>
          <w:cnfStyle w:val="100000000000" w:firstRow="1" w:lastRow="0" w:firstColumn="0" w:lastColumn="0" w:oddVBand="0" w:evenVBand="0" w:oddHBand="0" w:evenHBand="0" w:firstRowFirstColumn="0" w:firstRowLastColumn="0" w:lastRowFirstColumn="0" w:lastRowLastColumn="0"/>
          <w:cantSplit/>
          <w:trHeight w:val="56"/>
          <w:tblHeader/>
        </w:trPr>
        <w:tc>
          <w:tcPr>
            <w:cnfStyle w:val="001000000000" w:firstRow="0" w:lastRow="0" w:firstColumn="1" w:lastColumn="0" w:oddVBand="0" w:evenVBand="0" w:oddHBand="0" w:evenHBand="0" w:firstRowFirstColumn="0" w:firstRowLastColumn="0" w:lastRowFirstColumn="0" w:lastRowLastColumn="0"/>
            <w:tcW w:w="4367" w:type="dxa"/>
            <w:tcBorders>
              <w:top w:val="single" w:sz="4" w:space="0" w:color="auto"/>
              <w:left w:val="nil"/>
              <w:bottom w:val="single" w:sz="4" w:space="0" w:color="auto"/>
              <w:right w:val="nil"/>
            </w:tcBorders>
            <w:shd w:val="clear" w:color="000000" w:fill="000000"/>
            <w:noWrap/>
            <w:hideMark/>
          </w:tcPr>
          <w:p w:rsidR="004906A4" w:rsidRPr="009372C1" w:rsidRDefault="004906A4" w:rsidP="007A7C8C">
            <w:pPr>
              <w:rPr>
                <w:lang w:eastAsia="en-AU"/>
              </w:rPr>
            </w:pPr>
          </w:p>
        </w:tc>
        <w:tc>
          <w:tcPr>
            <w:tcW w:w="850" w:type="dxa"/>
            <w:tcBorders>
              <w:top w:val="single" w:sz="4" w:space="0" w:color="auto"/>
              <w:left w:val="nil"/>
              <w:bottom w:val="single" w:sz="4" w:space="0" w:color="auto"/>
              <w:right w:val="nil"/>
            </w:tcBorders>
            <w:shd w:val="clear" w:color="000000" w:fill="000000"/>
            <w:hideMark/>
          </w:tcPr>
          <w:p w:rsidR="004906A4" w:rsidRPr="009372C1" w:rsidRDefault="004906A4" w:rsidP="004906A4">
            <w:pPr>
              <w:keepLines w:val="0"/>
              <w:cnfStyle w:val="100000000000" w:firstRow="1" w:lastRow="0" w:firstColumn="0" w:lastColumn="0" w:oddVBand="0" w:evenVBand="0" w:oddHBand="0" w:evenHBand="0" w:firstRowFirstColumn="0" w:firstRowLastColumn="0" w:lastRowFirstColumn="0" w:lastRowLastColumn="0"/>
              <w:rPr>
                <w:rFonts w:eastAsia="Times New Roman" w:cs="Times New Roman"/>
                <w:i w:val="0"/>
                <w:iCs/>
                <w:color w:val="FFFFFF"/>
                <w:szCs w:val="17"/>
                <w:lang w:eastAsia="en-AU"/>
              </w:rPr>
            </w:pPr>
            <w:r w:rsidRPr="009372C1">
              <w:rPr>
                <w:rFonts w:eastAsia="Times New Roman" w:cs="Times New Roman"/>
                <w:iCs/>
                <w:color w:val="FFFFFF"/>
                <w:szCs w:val="17"/>
                <w:lang w:eastAsia="en-AU"/>
              </w:rPr>
              <w:t>2017-18 estimate</w:t>
            </w:r>
          </w:p>
        </w:tc>
        <w:tc>
          <w:tcPr>
            <w:tcW w:w="850" w:type="dxa"/>
            <w:tcBorders>
              <w:top w:val="single" w:sz="4" w:space="0" w:color="auto"/>
              <w:left w:val="nil"/>
              <w:bottom w:val="single" w:sz="4" w:space="0" w:color="auto"/>
              <w:right w:val="nil"/>
            </w:tcBorders>
            <w:shd w:val="clear" w:color="000000" w:fill="000000"/>
            <w:hideMark/>
          </w:tcPr>
          <w:p w:rsidR="004906A4" w:rsidRPr="009372C1" w:rsidRDefault="004906A4" w:rsidP="004906A4">
            <w:pPr>
              <w:keepLines w:val="0"/>
              <w:cnfStyle w:val="100000000000" w:firstRow="1" w:lastRow="0" w:firstColumn="0" w:lastColumn="0" w:oddVBand="0" w:evenVBand="0" w:oddHBand="0" w:evenHBand="0" w:firstRowFirstColumn="0" w:firstRowLastColumn="0" w:lastRowFirstColumn="0" w:lastRowLastColumn="0"/>
              <w:rPr>
                <w:rFonts w:eastAsia="Times New Roman" w:cs="Times New Roman"/>
                <w:i w:val="0"/>
                <w:iCs/>
                <w:color w:val="FFFFFF"/>
                <w:szCs w:val="17"/>
                <w:lang w:eastAsia="en-AU"/>
              </w:rPr>
            </w:pPr>
            <w:r w:rsidRPr="009372C1">
              <w:rPr>
                <w:rFonts w:eastAsia="Times New Roman" w:cs="Times New Roman"/>
                <w:iCs/>
                <w:color w:val="FFFFFF"/>
                <w:szCs w:val="17"/>
                <w:lang w:eastAsia="en-AU"/>
              </w:rPr>
              <w:t>2018-19 estimate</w:t>
            </w:r>
          </w:p>
        </w:tc>
        <w:tc>
          <w:tcPr>
            <w:tcW w:w="850" w:type="dxa"/>
            <w:tcBorders>
              <w:top w:val="single" w:sz="4" w:space="0" w:color="auto"/>
              <w:left w:val="nil"/>
              <w:bottom w:val="single" w:sz="4" w:space="0" w:color="auto"/>
              <w:right w:val="nil"/>
            </w:tcBorders>
            <w:shd w:val="clear" w:color="000000" w:fill="000000"/>
            <w:hideMark/>
          </w:tcPr>
          <w:p w:rsidR="004906A4" w:rsidRPr="009372C1" w:rsidRDefault="004906A4" w:rsidP="004906A4">
            <w:pPr>
              <w:keepLines w:val="0"/>
              <w:cnfStyle w:val="100000000000" w:firstRow="1" w:lastRow="0" w:firstColumn="0" w:lastColumn="0" w:oddVBand="0" w:evenVBand="0" w:oddHBand="0" w:evenHBand="0" w:firstRowFirstColumn="0" w:firstRowLastColumn="0" w:lastRowFirstColumn="0" w:lastRowLastColumn="0"/>
              <w:rPr>
                <w:rFonts w:eastAsia="Times New Roman" w:cs="Times New Roman"/>
                <w:i w:val="0"/>
                <w:iCs/>
                <w:color w:val="FFFFFF"/>
                <w:szCs w:val="17"/>
                <w:lang w:eastAsia="en-AU"/>
              </w:rPr>
            </w:pPr>
            <w:r w:rsidRPr="009372C1">
              <w:rPr>
                <w:rFonts w:eastAsia="Times New Roman" w:cs="Times New Roman"/>
                <w:iCs/>
                <w:color w:val="FFFFFF"/>
                <w:szCs w:val="17"/>
                <w:lang w:eastAsia="en-AU"/>
              </w:rPr>
              <w:t>2019-20 estimate</w:t>
            </w:r>
          </w:p>
        </w:tc>
        <w:tc>
          <w:tcPr>
            <w:tcW w:w="850" w:type="dxa"/>
            <w:tcBorders>
              <w:top w:val="single" w:sz="4" w:space="0" w:color="auto"/>
              <w:left w:val="nil"/>
              <w:bottom w:val="single" w:sz="4" w:space="0" w:color="auto"/>
              <w:right w:val="nil"/>
            </w:tcBorders>
            <w:shd w:val="clear" w:color="000000" w:fill="000000"/>
            <w:hideMark/>
          </w:tcPr>
          <w:p w:rsidR="004906A4" w:rsidRPr="009372C1" w:rsidRDefault="004906A4" w:rsidP="004906A4">
            <w:pPr>
              <w:keepLines w:val="0"/>
              <w:cnfStyle w:val="100000000000" w:firstRow="1" w:lastRow="0" w:firstColumn="0" w:lastColumn="0" w:oddVBand="0" w:evenVBand="0" w:oddHBand="0" w:evenHBand="0" w:firstRowFirstColumn="0" w:firstRowLastColumn="0" w:lastRowFirstColumn="0" w:lastRowLastColumn="0"/>
              <w:rPr>
                <w:rFonts w:eastAsia="Times New Roman" w:cs="Times New Roman"/>
                <w:i w:val="0"/>
                <w:iCs/>
                <w:color w:val="FFFFFF"/>
                <w:szCs w:val="17"/>
                <w:lang w:eastAsia="en-AU"/>
              </w:rPr>
            </w:pPr>
            <w:r w:rsidRPr="009372C1">
              <w:rPr>
                <w:rFonts w:eastAsia="Times New Roman" w:cs="Times New Roman"/>
                <w:iCs/>
                <w:color w:val="FFFFFF"/>
                <w:szCs w:val="17"/>
                <w:lang w:eastAsia="en-AU"/>
              </w:rPr>
              <w:t>2020-21 estimate</w:t>
            </w:r>
          </w:p>
        </w:tc>
      </w:tr>
      <w:tr w:rsidR="00A46DCA" w:rsidRPr="009372C1" w:rsidTr="004906A4">
        <w:tc>
          <w:tcPr>
            <w:cnfStyle w:val="001000000000" w:firstRow="0" w:lastRow="0" w:firstColumn="1" w:lastColumn="0" w:oddVBand="0" w:evenVBand="0" w:oddHBand="0" w:evenHBand="0" w:firstRowFirstColumn="0" w:firstRowLastColumn="0" w:lastRowFirstColumn="0" w:lastRowLastColumn="0"/>
            <w:tcW w:w="4367" w:type="dxa"/>
            <w:tcBorders>
              <w:top w:val="nil"/>
              <w:left w:val="nil"/>
              <w:bottom w:val="nil"/>
              <w:right w:val="nil"/>
            </w:tcBorders>
            <w:shd w:val="clear" w:color="auto" w:fill="auto"/>
            <w:noWrap/>
            <w:vAlign w:val="bottom"/>
            <w:hideMark/>
          </w:tcPr>
          <w:p w:rsidR="00A46DCA" w:rsidRPr="009372C1" w:rsidRDefault="00A46DCA" w:rsidP="004906A4">
            <w:pPr>
              <w:keepLines w:val="0"/>
              <w:rPr>
                <w:rFonts w:eastAsia="Calibri" w:cs="Times New Roman"/>
                <w:b/>
                <w:bCs/>
                <w:szCs w:val="17"/>
              </w:rPr>
            </w:pPr>
            <w:r w:rsidRPr="009372C1">
              <w:rPr>
                <w:rFonts w:eastAsia="Calibri" w:cs="Times New Roman"/>
                <w:b/>
                <w:bCs/>
                <w:szCs w:val="17"/>
              </w:rPr>
              <w:t>Property volumes</w:t>
            </w:r>
          </w:p>
        </w:tc>
        <w:tc>
          <w:tcPr>
            <w:tcW w:w="850" w:type="dxa"/>
            <w:tcBorders>
              <w:top w:val="nil"/>
              <w:left w:val="nil"/>
              <w:bottom w:val="nil"/>
              <w:right w:val="nil"/>
            </w:tcBorders>
            <w:shd w:val="clear" w:color="auto" w:fill="auto"/>
            <w:noWrap/>
            <w:vAlign w:val="bottom"/>
            <w:hideMark/>
          </w:tcPr>
          <w:p w:rsidR="00A46DCA" w:rsidRPr="009372C1" w:rsidRDefault="00A46DCA" w:rsidP="00A26D04">
            <w:pPr>
              <w:cnfStyle w:val="000000000000" w:firstRow="0" w:lastRow="0" w:firstColumn="0" w:lastColumn="0" w:oddVBand="0" w:evenVBand="0" w:oddHBand="0" w:evenHBand="0" w:firstRowFirstColumn="0" w:firstRowLastColumn="0" w:lastRowFirstColumn="0" w:lastRowLastColumn="0"/>
              <w:rPr>
                <w:szCs w:val="17"/>
              </w:rPr>
            </w:pPr>
          </w:p>
        </w:tc>
        <w:tc>
          <w:tcPr>
            <w:tcW w:w="850" w:type="dxa"/>
            <w:tcBorders>
              <w:top w:val="nil"/>
              <w:left w:val="nil"/>
              <w:bottom w:val="nil"/>
              <w:right w:val="nil"/>
            </w:tcBorders>
            <w:shd w:val="clear" w:color="auto" w:fill="auto"/>
            <w:noWrap/>
            <w:vAlign w:val="bottom"/>
            <w:hideMark/>
          </w:tcPr>
          <w:p w:rsidR="00A46DCA" w:rsidRPr="009372C1" w:rsidRDefault="00A46DCA" w:rsidP="00A26D04">
            <w:pPr>
              <w:cnfStyle w:val="000000000000" w:firstRow="0" w:lastRow="0" w:firstColumn="0" w:lastColumn="0" w:oddVBand="0" w:evenVBand="0" w:oddHBand="0" w:evenHBand="0" w:firstRowFirstColumn="0" w:firstRowLastColumn="0" w:lastRowFirstColumn="0" w:lastRowLastColumn="0"/>
              <w:rPr>
                <w:szCs w:val="17"/>
              </w:rPr>
            </w:pPr>
          </w:p>
        </w:tc>
        <w:tc>
          <w:tcPr>
            <w:tcW w:w="850" w:type="dxa"/>
            <w:tcBorders>
              <w:top w:val="nil"/>
              <w:left w:val="nil"/>
              <w:bottom w:val="nil"/>
              <w:right w:val="nil"/>
            </w:tcBorders>
            <w:shd w:val="clear" w:color="auto" w:fill="auto"/>
            <w:noWrap/>
            <w:vAlign w:val="bottom"/>
            <w:hideMark/>
          </w:tcPr>
          <w:p w:rsidR="00A46DCA" w:rsidRPr="009372C1" w:rsidRDefault="00A46DCA" w:rsidP="00A26D04">
            <w:pPr>
              <w:cnfStyle w:val="000000000000" w:firstRow="0" w:lastRow="0" w:firstColumn="0" w:lastColumn="0" w:oddVBand="0" w:evenVBand="0" w:oddHBand="0" w:evenHBand="0" w:firstRowFirstColumn="0" w:firstRowLastColumn="0" w:lastRowFirstColumn="0" w:lastRowLastColumn="0"/>
              <w:rPr>
                <w:szCs w:val="17"/>
              </w:rPr>
            </w:pPr>
          </w:p>
        </w:tc>
        <w:tc>
          <w:tcPr>
            <w:tcW w:w="850" w:type="dxa"/>
            <w:tcBorders>
              <w:top w:val="nil"/>
              <w:left w:val="nil"/>
              <w:bottom w:val="nil"/>
              <w:right w:val="nil"/>
            </w:tcBorders>
            <w:shd w:val="clear" w:color="auto" w:fill="auto"/>
            <w:noWrap/>
            <w:vAlign w:val="bottom"/>
            <w:hideMark/>
          </w:tcPr>
          <w:p w:rsidR="00A46DCA" w:rsidRPr="009372C1" w:rsidRDefault="00A46DCA" w:rsidP="00A26D04">
            <w:pPr>
              <w:cnfStyle w:val="000000000000" w:firstRow="0" w:lastRow="0" w:firstColumn="0" w:lastColumn="0" w:oddVBand="0" w:evenVBand="0" w:oddHBand="0" w:evenHBand="0" w:firstRowFirstColumn="0" w:firstRowLastColumn="0" w:lastRowFirstColumn="0" w:lastRowLastColumn="0"/>
              <w:rPr>
                <w:szCs w:val="17"/>
              </w:rPr>
            </w:pPr>
          </w:p>
        </w:tc>
      </w:tr>
      <w:tr w:rsidR="00A46DCA" w:rsidRPr="009372C1" w:rsidTr="004906A4">
        <w:tc>
          <w:tcPr>
            <w:cnfStyle w:val="001000000000" w:firstRow="0" w:lastRow="0" w:firstColumn="1" w:lastColumn="0" w:oddVBand="0" w:evenVBand="0" w:oddHBand="0" w:evenHBand="0" w:firstRowFirstColumn="0" w:firstRowLastColumn="0" w:lastRowFirstColumn="0" w:lastRowLastColumn="0"/>
            <w:tcW w:w="4367" w:type="dxa"/>
            <w:tcBorders>
              <w:top w:val="nil"/>
              <w:left w:val="nil"/>
              <w:bottom w:val="nil"/>
              <w:right w:val="nil"/>
            </w:tcBorders>
            <w:shd w:val="clear" w:color="auto" w:fill="auto"/>
            <w:noWrap/>
            <w:vAlign w:val="bottom"/>
            <w:hideMark/>
          </w:tcPr>
          <w:p w:rsidR="00A46DCA" w:rsidRPr="009372C1" w:rsidRDefault="00A46DCA" w:rsidP="00A26D04">
            <w:pPr>
              <w:keepLines w:val="0"/>
              <w:rPr>
                <w:rFonts w:eastAsia="Calibri" w:cs="Times New Roman"/>
                <w:szCs w:val="17"/>
              </w:rPr>
            </w:pPr>
            <w:r w:rsidRPr="009372C1">
              <w:rPr>
                <w:rFonts w:eastAsia="Calibri" w:cs="Times New Roman"/>
                <w:szCs w:val="17"/>
              </w:rPr>
              <w:t>Income from transactions</w:t>
            </w:r>
          </w:p>
        </w:tc>
        <w:tc>
          <w:tcPr>
            <w:tcW w:w="850" w:type="dxa"/>
            <w:tcBorders>
              <w:top w:val="nil"/>
              <w:left w:val="nil"/>
              <w:bottom w:val="nil"/>
              <w:right w:val="nil"/>
            </w:tcBorders>
            <w:shd w:val="clear" w:color="000000" w:fill="FFFFFF"/>
            <w:noWrap/>
            <w:vAlign w:val="bottom"/>
            <w:hideMark/>
          </w:tcPr>
          <w:p w:rsidR="00A46DCA" w:rsidRPr="009372C1" w:rsidRDefault="00A46DCA" w:rsidP="00A26D04">
            <w:pPr>
              <w:cnfStyle w:val="000000000000" w:firstRow="0" w:lastRow="0" w:firstColumn="0" w:lastColumn="0" w:oddVBand="0" w:evenVBand="0" w:oddHBand="0" w:evenHBand="0" w:firstRowFirstColumn="0" w:firstRowLastColumn="0" w:lastRowFirstColumn="0" w:lastRowLastColumn="0"/>
              <w:rPr>
                <w:szCs w:val="17"/>
              </w:rPr>
            </w:pPr>
            <w:r w:rsidRPr="009372C1">
              <w:rPr>
                <w:szCs w:val="17"/>
              </w:rPr>
              <w:t>69</w:t>
            </w:r>
          </w:p>
        </w:tc>
        <w:tc>
          <w:tcPr>
            <w:tcW w:w="850" w:type="dxa"/>
            <w:tcBorders>
              <w:top w:val="nil"/>
              <w:left w:val="nil"/>
              <w:bottom w:val="nil"/>
              <w:right w:val="nil"/>
            </w:tcBorders>
            <w:shd w:val="clear" w:color="000000" w:fill="FFFFFF"/>
            <w:noWrap/>
            <w:vAlign w:val="bottom"/>
            <w:hideMark/>
          </w:tcPr>
          <w:p w:rsidR="00A46DCA" w:rsidRPr="009372C1" w:rsidRDefault="00A46DCA" w:rsidP="00A26D04">
            <w:pPr>
              <w:cnfStyle w:val="000000000000" w:firstRow="0" w:lastRow="0" w:firstColumn="0" w:lastColumn="0" w:oddVBand="0" w:evenVBand="0" w:oddHBand="0" w:evenHBand="0" w:firstRowFirstColumn="0" w:firstRowLastColumn="0" w:lastRowFirstColumn="0" w:lastRowLastColumn="0"/>
              <w:rPr>
                <w:szCs w:val="17"/>
              </w:rPr>
            </w:pPr>
            <w:r w:rsidRPr="009372C1">
              <w:rPr>
                <w:szCs w:val="17"/>
              </w:rPr>
              <w:t>73</w:t>
            </w:r>
          </w:p>
        </w:tc>
        <w:tc>
          <w:tcPr>
            <w:tcW w:w="850" w:type="dxa"/>
            <w:tcBorders>
              <w:top w:val="nil"/>
              <w:left w:val="nil"/>
              <w:bottom w:val="nil"/>
              <w:right w:val="nil"/>
            </w:tcBorders>
            <w:shd w:val="clear" w:color="000000" w:fill="FFFFFF"/>
            <w:noWrap/>
            <w:vAlign w:val="bottom"/>
            <w:hideMark/>
          </w:tcPr>
          <w:p w:rsidR="00A46DCA" w:rsidRPr="009372C1" w:rsidRDefault="00A46DCA" w:rsidP="00A26D04">
            <w:pPr>
              <w:cnfStyle w:val="000000000000" w:firstRow="0" w:lastRow="0" w:firstColumn="0" w:lastColumn="0" w:oddVBand="0" w:evenVBand="0" w:oddHBand="0" w:evenHBand="0" w:firstRowFirstColumn="0" w:firstRowLastColumn="0" w:lastRowFirstColumn="0" w:lastRowLastColumn="0"/>
              <w:rPr>
                <w:szCs w:val="17"/>
              </w:rPr>
            </w:pPr>
            <w:r w:rsidRPr="009372C1">
              <w:rPr>
                <w:szCs w:val="17"/>
              </w:rPr>
              <w:t>75</w:t>
            </w:r>
          </w:p>
        </w:tc>
        <w:tc>
          <w:tcPr>
            <w:tcW w:w="850" w:type="dxa"/>
            <w:tcBorders>
              <w:top w:val="nil"/>
              <w:left w:val="nil"/>
              <w:bottom w:val="nil"/>
              <w:right w:val="nil"/>
            </w:tcBorders>
            <w:shd w:val="clear" w:color="000000" w:fill="FFFFFF"/>
            <w:noWrap/>
            <w:vAlign w:val="bottom"/>
            <w:hideMark/>
          </w:tcPr>
          <w:p w:rsidR="00A46DCA" w:rsidRPr="009372C1" w:rsidRDefault="00A46DCA" w:rsidP="00A26D04">
            <w:pPr>
              <w:cnfStyle w:val="000000000000" w:firstRow="0" w:lastRow="0" w:firstColumn="0" w:lastColumn="0" w:oddVBand="0" w:evenVBand="0" w:oddHBand="0" w:evenHBand="0" w:firstRowFirstColumn="0" w:firstRowLastColumn="0" w:lastRowFirstColumn="0" w:lastRowLastColumn="0"/>
              <w:rPr>
                <w:szCs w:val="17"/>
              </w:rPr>
            </w:pPr>
            <w:r w:rsidRPr="009372C1">
              <w:rPr>
                <w:szCs w:val="17"/>
              </w:rPr>
              <w:t>78</w:t>
            </w:r>
          </w:p>
        </w:tc>
      </w:tr>
      <w:tr w:rsidR="00A46DCA" w:rsidRPr="009372C1" w:rsidTr="004906A4">
        <w:tc>
          <w:tcPr>
            <w:cnfStyle w:val="001000000000" w:firstRow="0" w:lastRow="0" w:firstColumn="1" w:lastColumn="0" w:oddVBand="0" w:evenVBand="0" w:oddHBand="0" w:evenHBand="0" w:firstRowFirstColumn="0" w:firstRowLastColumn="0" w:lastRowFirstColumn="0" w:lastRowLastColumn="0"/>
            <w:tcW w:w="4367" w:type="dxa"/>
            <w:tcBorders>
              <w:top w:val="nil"/>
              <w:left w:val="nil"/>
              <w:bottom w:val="nil"/>
              <w:right w:val="nil"/>
            </w:tcBorders>
            <w:shd w:val="clear" w:color="auto" w:fill="auto"/>
            <w:noWrap/>
            <w:vAlign w:val="bottom"/>
            <w:hideMark/>
          </w:tcPr>
          <w:p w:rsidR="00A46DCA" w:rsidRPr="009372C1" w:rsidRDefault="00A46DCA" w:rsidP="00A26D04">
            <w:pPr>
              <w:keepLines w:val="0"/>
              <w:rPr>
                <w:rFonts w:eastAsia="Calibri" w:cs="Times New Roman"/>
                <w:szCs w:val="17"/>
              </w:rPr>
            </w:pPr>
            <w:r w:rsidRPr="009372C1">
              <w:rPr>
                <w:rFonts w:eastAsia="Calibri" w:cs="Times New Roman"/>
                <w:szCs w:val="17"/>
              </w:rPr>
              <w:t>Expenses from transactions</w:t>
            </w:r>
          </w:p>
        </w:tc>
        <w:tc>
          <w:tcPr>
            <w:tcW w:w="850" w:type="dxa"/>
            <w:tcBorders>
              <w:top w:val="nil"/>
              <w:left w:val="nil"/>
              <w:bottom w:val="nil"/>
              <w:right w:val="nil"/>
            </w:tcBorders>
            <w:shd w:val="clear" w:color="000000" w:fill="FFFFFF"/>
            <w:noWrap/>
            <w:vAlign w:val="bottom"/>
            <w:hideMark/>
          </w:tcPr>
          <w:p w:rsidR="00A46DCA" w:rsidRPr="009372C1" w:rsidRDefault="00A46DCA" w:rsidP="00A26D04">
            <w:pPr>
              <w:cnfStyle w:val="000000000000" w:firstRow="0" w:lastRow="0" w:firstColumn="0" w:lastColumn="0" w:oddVBand="0" w:evenVBand="0" w:oddHBand="0" w:evenHBand="0" w:firstRowFirstColumn="0" w:firstRowLastColumn="0" w:lastRowFirstColumn="0" w:lastRowLastColumn="0"/>
              <w:rPr>
                <w:szCs w:val="17"/>
              </w:rPr>
            </w:pPr>
            <w:r w:rsidRPr="009372C1">
              <w:rPr>
                <w:szCs w:val="17"/>
              </w:rPr>
              <w:t>(2)</w:t>
            </w:r>
          </w:p>
        </w:tc>
        <w:tc>
          <w:tcPr>
            <w:tcW w:w="850" w:type="dxa"/>
            <w:tcBorders>
              <w:top w:val="nil"/>
              <w:left w:val="nil"/>
              <w:bottom w:val="nil"/>
              <w:right w:val="nil"/>
            </w:tcBorders>
            <w:shd w:val="clear" w:color="000000" w:fill="FFFFFF"/>
            <w:noWrap/>
            <w:vAlign w:val="bottom"/>
            <w:hideMark/>
          </w:tcPr>
          <w:p w:rsidR="00A46DCA" w:rsidRPr="009372C1" w:rsidRDefault="00A46DCA" w:rsidP="00A26D04">
            <w:pPr>
              <w:cnfStyle w:val="000000000000" w:firstRow="0" w:lastRow="0" w:firstColumn="0" w:lastColumn="0" w:oddVBand="0" w:evenVBand="0" w:oddHBand="0" w:evenHBand="0" w:firstRowFirstColumn="0" w:firstRowLastColumn="0" w:lastRowFirstColumn="0" w:lastRowLastColumn="0"/>
              <w:rPr>
                <w:szCs w:val="17"/>
              </w:rPr>
            </w:pPr>
            <w:r w:rsidRPr="009372C1">
              <w:rPr>
                <w:szCs w:val="17"/>
              </w:rPr>
              <w:t>(5)</w:t>
            </w:r>
          </w:p>
        </w:tc>
        <w:tc>
          <w:tcPr>
            <w:tcW w:w="850" w:type="dxa"/>
            <w:tcBorders>
              <w:top w:val="nil"/>
              <w:left w:val="nil"/>
              <w:bottom w:val="nil"/>
              <w:right w:val="nil"/>
            </w:tcBorders>
            <w:shd w:val="clear" w:color="000000" w:fill="FFFFFF"/>
            <w:noWrap/>
            <w:vAlign w:val="bottom"/>
            <w:hideMark/>
          </w:tcPr>
          <w:p w:rsidR="00A46DCA" w:rsidRPr="009372C1" w:rsidRDefault="00A46DCA" w:rsidP="00A26D04">
            <w:pPr>
              <w:cnfStyle w:val="000000000000" w:firstRow="0" w:lastRow="0" w:firstColumn="0" w:lastColumn="0" w:oddVBand="0" w:evenVBand="0" w:oddHBand="0" w:evenHBand="0" w:firstRowFirstColumn="0" w:firstRowLastColumn="0" w:lastRowFirstColumn="0" w:lastRowLastColumn="0"/>
              <w:rPr>
                <w:szCs w:val="17"/>
              </w:rPr>
            </w:pPr>
            <w:r w:rsidRPr="009372C1">
              <w:rPr>
                <w:szCs w:val="17"/>
              </w:rPr>
              <w:t>(8)</w:t>
            </w:r>
          </w:p>
        </w:tc>
        <w:tc>
          <w:tcPr>
            <w:tcW w:w="850" w:type="dxa"/>
            <w:tcBorders>
              <w:top w:val="nil"/>
              <w:left w:val="nil"/>
              <w:bottom w:val="nil"/>
              <w:right w:val="nil"/>
            </w:tcBorders>
            <w:shd w:val="clear" w:color="000000" w:fill="FFFFFF"/>
            <w:noWrap/>
            <w:vAlign w:val="bottom"/>
            <w:hideMark/>
          </w:tcPr>
          <w:p w:rsidR="00A46DCA" w:rsidRPr="009372C1" w:rsidRDefault="00A46DCA" w:rsidP="00A26D04">
            <w:pPr>
              <w:cnfStyle w:val="000000000000" w:firstRow="0" w:lastRow="0" w:firstColumn="0" w:lastColumn="0" w:oddVBand="0" w:evenVBand="0" w:oddHBand="0" w:evenHBand="0" w:firstRowFirstColumn="0" w:firstRowLastColumn="0" w:lastRowFirstColumn="0" w:lastRowLastColumn="0"/>
              <w:rPr>
                <w:szCs w:val="17"/>
              </w:rPr>
            </w:pPr>
            <w:r w:rsidRPr="009372C1">
              <w:rPr>
                <w:szCs w:val="17"/>
              </w:rPr>
              <w:t>(12)</w:t>
            </w:r>
          </w:p>
        </w:tc>
      </w:tr>
      <w:tr w:rsidR="00A46DCA" w:rsidRPr="009372C1" w:rsidTr="004906A4">
        <w:tc>
          <w:tcPr>
            <w:cnfStyle w:val="001000000000" w:firstRow="0" w:lastRow="0" w:firstColumn="1" w:lastColumn="0" w:oddVBand="0" w:evenVBand="0" w:oddHBand="0" w:evenHBand="0" w:firstRowFirstColumn="0" w:firstRowLastColumn="0" w:lastRowFirstColumn="0" w:lastRowLastColumn="0"/>
            <w:tcW w:w="4367" w:type="dxa"/>
            <w:tcBorders>
              <w:top w:val="single" w:sz="4" w:space="0" w:color="auto"/>
              <w:left w:val="nil"/>
              <w:bottom w:val="single" w:sz="4" w:space="0" w:color="auto"/>
              <w:right w:val="nil"/>
            </w:tcBorders>
            <w:shd w:val="clear" w:color="auto" w:fill="auto"/>
            <w:noWrap/>
            <w:vAlign w:val="bottom"/>
            <w:hideMark/>
          </w:tcPr>
          <w:p w:rsidR="00A46DCA" w:rsidRPr="009372C1" w:rsidRDefault="00A46DCA" w:rsidP="00A26D04">
            <w:pPr>
              <w:keepLines w:val="0"/>
              <w:rPr>
                <w:rFonts w:eastAsia="Calibri" w:cs="Times New Roman"/>
                <w:b/>
                <w:bCs/>
                <w:szCs w:val="17"/>
              </w:rPr>
            </w:pPr>
            <w:r w:rsidRPr="009372C1">
              <w:rPr>
                <w:rFonts w:eastAsia="Calibri" w:cs="Times New Roman"/>
                <w:b/>
                <w:bCs/>
                <w:szCs w:val="17"/>
              </w:rPr>
              <w:t>Net result from transactions</w:t>
            </w:r>
          </w:p>
        </w:tc>
        <w:tc>
          <w:tcPr>
            <w:tcW w:w="850" w:type="dxa"/>
            <w:tcBorders>
              <w:top w:val="single" w:sz="4" w:space="0" w:color="auto"/>
              <w:left w:val="nil"/>
              <w:bottom w:val="single" w:sz="4" w:space="0" w:color="auto"/>
              <w:right w:val="nil"/>
            </w:tcBorders>
            <w:shd w:val="clear" w:color="000000" w:fill="FFFFFF"/>
            <w:noWrap/>
            <w:vAlign w:val="bottom"/>
            <w:hideMark/>
          </w:tcPr>
          <w:p w:rsidR="00A46DCA" w:rsidRPr="009372C1" w:rsidRDefault="00A46DCA" w:rsidP="00A26D04">
            <w:pPr>
              <w:cnfStyle w:val="000000000000" w:firstRow="0" w:lastRow="0" w:firstColumn="0" w:lastColumn="0" w:oddVBand="0" w:evenVBand="0" w:oddHBand="0" w:evenHBand="0" w:firstRowFirstColumn="0" w:firstRowLastColumn="0" w:lastRowFirstColumn="0" w:lastRowLastColumn="0"/>
              <w:rPr>
                <w:b/>
                <w:bCs/>
                <w:szCs w:val="17"/>
              </w:rPr>
            </w:pPr>
            <w:r w:rsidRPr="009372C1">
              <w:rPr>
                <w:b/>
                <w:bCs/>
                <w:szCs w:val="17"/>
              </w:rPr>
              <w:t>71</w:t>
            </w:r>
          </w:p>
        </w:tc>
        <w:tc>
          <w:tcPr>
            <w:tcW w:w="850" w:type="dxa"/>
            <w:tcBorders>
              <w:top w:val="single" w:sz="4" w:space="0" w:color="auto"/>
              <w:left w:val="nil"/>
              <w:bottom w:val="single" w:sz="4" w:space="0" w:color="auto"/>
              <w:right w:val="nil"/>
            </w:tcBorders>
            <w:shd w:val="clear" w:color="000000" w:fill="FFFFFF"/>
            <w:noWrap/>
            <w:vAlign w:val="bottom"/>
            <w:hideMark/>
          </w:tcPr>
          <w:p w:rsidR="00A46DCA" w:rsidRPr="009372C1" w:rsidRDefault="00A46DCA" w:rsidP="00A26D04">
            <w:pPr>
              <w:cnfStyle w:val="000000000000" w:firstRow="0" w:lastRow="0" w:firstColumn="0" w:lastColumn="0" w:oddVBand="0" w:evenVBand="0" w:oddHBand="0" w:evenHBand="0" w:firstRowFirstColumn="0" w:firstRowLastColumn="0" w:lastRowFirstColumn="0" w:lastRowLastColumn="0"/>
              <w:rPr>
                <w:b/>
                <w:bCs/>
                <w:szCs w:val="17"/>
              </w:rPr>
            </w:pPr>
            <w:r w:rsidRPr="009372C1">
              <w:rPr>
                <w:b/>
                <w:bCs/>
                <w:szCs w:val="17"/>
              </w:rPr>
              <w:t>78</w:t>
            </w:r>
          </w:p>
        </w:tc>
        <w:tc>
          <w:tcPr>
            <w:tcW w:w="850" w:type="dxa"/>
            <w:tcBorders>
              <w:top w:val="single" w:sz="4" w:space="0" w:color="auto"/>
              <w:left w:val="nil"/>
              <w:bottom w:val="single" w:sz="4" w:space="0" w:color="auto"/>
              <w:right w:val="nil"/>
            </w:tcBorders>
            <w:shd w:val="clear" w:color="000000" w:fill="FFFFFF"/>
            <w:noWrap/>
            <w:vAlign w:val="bottom"/>
            <w:hideMark/>
          </w:tcPr>
          <w:p w:rsidR="00A46DCA" w:rsidRPr="009372C1" w:rsidRDefault="00A46DCA" w:rsidP="00A26D04">
            <w:pPr>
              <w:cnfStyle w:val="000000000000" w:firstRow="0" w:lastRow="0" w:firstColumn="0" w:lastColumn="0" w:oddVBand="0" w:evenVBand="0" w:oddHBand="0" w:evenHBand="0" w:firstRowFirstColumn="0" w:firstRowLastColumn="0" w:lastRowFirstColumn="0" w:lastRowLastColumn="0"/>
              <w:rPr>
                <w:b/>
                <w:bCs/>
                <w:szCs w:val="17"/>
              </w:rPr>
            </w:pPr>
            <w:r w:rsidRPr="009372C1">
              <w:rPr>
                <w:b/>
                <w:bCs/>
                <w:szCs w:val="17"/>
              </w:rPr>
              <w:t>84</w:t>
            </w:r>
          </w:p>
        </w:tc>
        <w:tc>
          <w:tcPr>
            <w:tcW w:w="850" w:type="dxa"/>
            <w:tcBorders>
              <w:top w:val="single" w:sz="4" w:space="0" w:color="auto"/>
              <w:left w:val="nil"/>
              <w:bottom w:val="single" w:sz="4" w:space="0" w:color="auto"/>
              <w:right w:val="nil"/>
            </w:tcBorders>
            <w:shd w:val="clear" w:color="000000" w:fill="FFFFFF"/>
            <w:noWrap/>
            <w:vAlign w:val="bottom"/>
            <w:hideMark/>
          </w:tcPr>
          <w:p w:rsidR="00A46DCA" w:rsidRPr="009372C1" w:rsidRDefault="00A46DCA" w:rsidP="00A26D04">
            <w:pPr>
              <w:cnfStyle w:val="000000000000" w:firstRow="0" w:lastRow="0" w:firstColumn="0" w:lastColumn="0" w:oddVBand="0" w:evenVBand="0" w:oddHBand="0" w:evenHBand="0" w:firstRowFirstColumn="0" w:firstRowLastColumn="0" w:lastRowFirstColumn="0" w:lastRowLastColumn="0"/>
              <w:rPr>
                <w:b/>
                <w:bCs/>
                <w:szCs w:val="17"/>
              </w:rPr>
            </w:pPr>
            <w:r w:rsidRPr="009372C1">
              <w:rPr>
                <w:b/>
                <w:bCs/>
                <w:szCs w:val="17"/>
              </w:rPr>
              <w:t>90</w:t>
            </w:r>
          </w:p>
        </w:tc>
      </w:tr>
      <w:tr w:rsidR="00A46DCA" w:rsidRPr="009372C1" w:rsidTr="004906A4">
        <w:tc>
          <w:tcPr>
            <w:cnfStyle w:val="001000000000" w:firstRow="0" w:lastRow="0" w:firstColumn="1" w:lastColumn="0" w:oddVBand="0" w:evenVBand="0" w:oddHBand="0" w:evenHBand="0" w:firstRowFirstColumn="0" w:firstRowLastColumn="0" w:lastRowFirstColumn="0" w:lastRowLastColumn="0"/>
            <w:tcW w:w="4367" w:type="dxa"/>
            <w:tcBorders>
              <w:top w:val="nil"/>
              <w:left w:val="nil"/>
              <w:bottom w:val="single" w:sz="8" w:space="0" w:color="auto"/>
              <w:right w:val="nil"/>
            </w:tcBorders>
            <w:shd w:val="clear" w:color="auto" w:fill="auto"/>
            <w:noWrap/>
            <w:vAlign w:val="bottom"/>
            <w:hideMark/>
          </w:tcPr>
          <w:p w:rsidR="00A46DCA" w:rsidRPr="009372C1" w:rsidRDefault="00A46DCA" w:rsidP="00A26D04">
            <w:pPr>
              <w:keepLines w:val="0"/>
              <w:rPr>
                <w:rFonts w:eastAsia="Calibri" w:cs="Times New Roman"/>
                <w:b/>
                <w:bCs/>
                <w:szCs w:val="17"/>
              </w:rPr>
            </w:pPr>
            <w:r w:rsidRPr="009372C1">
              <w:rPr>
                <w:rFonts w:eastAsia="Calibri" w:cs="Times New Roman"/>
                <w:b/>
                <w:bCs/>
                <w:szCs w:val="17"/>
              </w:rPr>
              <w:t>Net debt</w:t>
            </w:r>
          </w:p>
        </w:tc>
        <w:tc>
          <w:tcPr>
            <w:tcW w:w="850" w:type="dxa"/>
            <w:tcBorders>
              <w:top w:val="nil"/>
              <w:left w:val="nil"/>
              <w:bottom w:val="single" w:sz="8" w:space="0" w:color="auto"/>
              <w:right w:val="nil"/>
            </w:tcBorders>
            <w:shd w:val="clear" w:color="000000" w:fill="FFFFFF"/>
            <w:noWrap/>
            <w:vAlign w:val="bottom"/>
            <w:hideMark/>
          </w:tcPr>
          <w:p w:rsidR="00A46DCA" w:rsidRPr="009372C1" w:rsidRDefault="00A46DCA" w:rsidP="00A26D04">
            <w:pPr>
              <w:cnfStyle w:val="000000000000" w:firstRow="0" w:lastRow="0" w:firstColumn="0" w:lastColumn="0" w:oddVBand="0" w:evenVBand="0" w:oddHBand="0" w:evenHBand="0" w:firstRowFirstColumn="0" w:firstRowLastColumn="0" w:lastRowFirstColumn="0" w:lastRowLastColumn="0"/>
              <w:rPr>
                <w:b/>
                <w:bCs/>
                <w:szCs w:val="17"/>
              </w:rPr>
            </w:pPr>
            <w:r w:rsidRPr="009372C1">
              <w:rPr>
                <w:b/>
                <w:bCs/>
                <w:szCs w:val="17"/>
              </w:rPr>
              <w:t>(71)</w:t>
            </w:r>
          </w:p>
        </w:tc>
        <w:tc>
          <w:tcPr>
            <w:tcW w:w="850" w:type="dxa"/>
            <w:tcBorders>
              <w:top w:val="nil"/>
              <w:left w:val="nil"/>
              <w:bottom w:val="single" w:sz="8" w:space="0" w:color="auto"/>
              <w:right w:val="nil"/>
            </w:tcBorders>
            <w:shd w:val="clear" w:color="000000" w:fill="FFFFFF"/>
            <w:noWrap/>
            <w:vAlign w:val="bottom"/>
            <w:hideMark/>
          </w:tcPr>
          <w:p w:rsidR="00A46DCA" w:rsidRPr="009372C1" w:rsidRDefault="00A46DCA" w:rsidP="00A26D04">
            <w:pPr>
              <w:cnfStyle w:val="000000000000" w:firstRow="0" w:lastRow="0" w:firstColumn="0" w:lastColumn="0" w:oddVBand="0" w:evenVBand="0" w:oddHBand="0" w:evenHBand="0" w:firstRowFirstColumn="0" w:firstRowLastColumn="0" w:lastRowFirstColumn="0" w:lastRowLastColumn="0"/>
              <w:rPr>
                <w:b/>
                <w:bCs/>
                <w:szCs w:val="17"/>
              </w:rPr>
            </w:pPr>
            <w:r w:rsidRPr="009372C1">
              <w:rPr>
                <w:b/>
                <w:bCs/>
                <w:szCs w:val="17"/>
              </w:rPr>
              <w:t>(149)</w:t>
            </w:r>
          </w:p>
        </w:tc>
        <w:tc>
          <w:tcPr>
            <w:tcW w:w="850" w:type="dxa"/>
            <w:tcBorders>
              <w:top w:val="nil"/>
              <w:left w:val="nil"/>
              <w:bottom w:val="single" w:sz="8" w:space="0" w:color="auto"/>
              <w:right w:val="nil"/>
            </w:tcBorders>
            <w:shd w:val="clear" w:color="000000" w:fill="FFFFFF"/>
            <w:noWrap/>
            <w:vAlign w:val="bottom"/>
            <w:hideMark/>
          </w:tcPr>
          <w:p w:rsidR="00A46DCA" w:rsidRPr="009372C1" w:rsidRDefault="00A46DCA" w:rsidP="00A26D04">
            <w:pPr>
              <w:cnfStyle w:val="000000000000" w:firstRow="0" w:lastRow="0" w:firstColumn="0" w:lastColumn="0" w:oddVBand="0" w:evenVBand="0" w:oddHBand="0" w:evenHBand="0" w:firstRowFirstColumn="0" w:firstRowLastColumn="0" w:lastRowFirstColumn="0" w:lastRowLastColumn="0"/>
              <w:rPr>
                <w:b/>
                <w:bCs/>
                <w:szCs w:val="17"/>
              </w:rPr>
            </w:pPr>
            <w:r w:rsidRPr="009372C1">
              <w:rPr>
                <w:b/>
                <w:bCs/>
                <w:szCs w:val="17"/>
              </w:rPr>
              <w:t>(232)</w:t>
            </w:r>
          </w:p>
        </w:tc>
        <w:tc>
          <w:tcPr>
            <w:tcW w:w="850" w:type="dxa"/>
            <w:tcBorders>
              <w:top w:val="nil"/>
              <w:left w:val="nil"/>
              <w:bottom w:val="single" w:sz="8" w:space="0" w:color="auto"/>
              <w:right w:val="nil"/>
            </w:tcBorders>
            <w:shd w:val="clear" w:color="000000" w:fill="FFFFFF"/>
            <w:noWrap/>
            <w:vAlign w:val="bottom"/>
            <w:hideMark/>
          </w:tcPr>
          <w:p w:rsidR="00A46DCA" w:rsidRPr="009372C1" w:rsidRDefault="00A46DCA" w:rsidP="00A26D04">
            <w:pPr>
              <w:cnfStyle w:val="000000000000" w:firstRow="0" w:lastRow="0" w:firstColumn="0" w:lastColumn="0" w:oddVBand="0" w:evenVBand="0" w:oddHBand="0" w:evenHBand="0" w:firstRowFirstColumn="0" w:firstRowLastColumn="0" w:lastRowFirstColumn="0" w:lastRowLastColumn="0"/>
              <w:rPr>
                <w:b/>
                <w:bCs/>
                <w:szCs w:val="17"/>
              </w:rPr>
            </w:pPr>
            <w:r w:rsidRPr="009372C1">
              <w:rPr>
                <w:b/>
                <w:bCs/>
                <w:szCs w:val="17"/>
              </w:rPr>
              <w:t>(322)</w:t>
            </w:r>
          </w:p>
        </w:tc>
      </w:tr>
      <w:tr w:rsidR="00A46DCA" w:rsidRPr="009372C1" w:rsidTr="004906A4">
        <w:tc>
          <w:tcPr>
            <w:cnfStyle w:val="001000000000" w:firstRow="0" w:lastRow="0" w:firstColumn="1" w:lastColumn="0" w:oddVBand="0" w:evenVBand="0" w:oddHBand="0" w:evenHBand="0" w:firstRowFirstColumn="0" w:firstRowLastColumn="0" w:lastRowFirstColumn="0" w:lastRowLastColumn="0"/>
            <w:tcW w:w="4367" w:type="dxa"/>
            <w:tcBorders>
              <w:top w:val="nil"/>
              <w:left w:val="nil"/>
              <w:bottom w:val="nil"/>
              <w:right w:val="nil"/>
            </w:tcBorders>
            <w:shd w:val="clear" w:color="auto" w:fill="auto"/>
            <w:noWrap/>
            <w:vAlign w:val="bottom"/>
            <w:hideMark/>
          </w:tcPr>
          <w:p w:rsidR="00A46DCA" w:rsidRPr="009372C1" w:rsidRDefault="00A46DCA" w:rsidP="00A26D04">
            <w:pPr>
              <w:keepLines w:val="0"/>
              <w:rPr>
                <w:rFonts w:eastAsia="Calibri" w:cs="Times New Roman"/>
                <w:b/>
                <w:bCs/>
                <w:szCs w:val="17"/>
              </w:rPr>
            </w:pPr>
            <w:r w:rsidRPr="009372C1">
              <w:rPr>
                <w:rFonts w:eastAsia="Calibri" w:cs="Times New Roman"/>
                <w:b/>
                <w:bCs/>
                <w:szCs w:val="17"/>
              </w:rPr>
              <w:t xml:space="preserve">Interest rates </w:t>
            </w:r>
            <w:r w:rsidRPr="009372C1">
              <w:rPr>
                <w:rFonts w:eastAsia="Calibri" w:cs="Times New Roman"/>
                <w:b/>
                <w:bCs/>
                <w:szCs w:val="17"/>
                <w:vertAlign w:val="superscript"/>
              </w:rPr>
              <w:t>(h)</w:t>
            </w:r>
          </w:p>
        </w:tc>
        <w:tc>
          <w:tcPr>
            <w:tcW w:w="850" w:type="dxa"/>
            <w:tcBorders>
              <w:top w:val="nil"/>
              <w:left w:val="nil"/>
              <w:bottom w:val="nil"/>
              <w:right w:val="nil"/>
            </w:tcBorders>
            <w:shd w:val="clear" w:color="auto" w:fill="auto"/>
            <w:noWrap/>
            <w:vAlign w:val="bottom"/>
            <w:hideMark/>
          </w:tcPr>
          <w:p w:rsidR="00A46DCA" w:rsidRPr="009372C1" w:rsidRDefault="00A46DCA" w:rsidP="00A26D04">
            <w:pPr>
              <w:cnfStyle w:val="000000000000" w:firstRow="0" w:lastRow="0" w:firstColumn="0" w:lastColumn="0" w:oddVBand="0" w:evenVBand="0" w:oddHBand="0" w:evenHBand="0" w:firstRowFirstColumn="0" w:firstRowLastColumn="0" w:lastRowFirstColumn="0" w:lastRowLastColumn="0"/>
              <w:rPr>
                <w:szCs w:val="17"/>
              </w:rPr>
            </w:pPr>
          </w:p>
        </w:tc>
        <w:tc>
          <w:tcPr>
            <w:tcW w:w="850" w:type="dxa"/>
            <w:tcBorders>
              <w:top w:val="nil"/>
              <w:left w:val="nil"/>
              <w:bottom w:val="nil"/>
              <w:right w:val="nil"/>
            </w:tcBorders>
            <w:shd w:val="clear" w:color="auto" w:fill="auto"/>
            <w:noWrap/>
            <w:vAlign w:val="bottom"/>
            <w:hideMark/>
          </w:tcPr>
          <w:p w:rsidR="00A46DCA" w:rsidRPr="009372C1" w:rsidRDefault="00A46DCA" w:rsidP="00A26D04">
            <w:pPr>
              <w:cnfStyle w:val="000000000000" w:firstRow="0" w:lastRow="0" w:firstColumn="0" w:lastColumn="0" w:oddVBand="0" w:evenVBand="0" w:oddHBand="0" w:evenHBand="0" w:firstRowFirstColumn="0" w:firstRowLastColumn="0" w:lastRowFirstColumn="0" w:lastRowLastColumn="0"/>
              <w:rPr>
                <w:szCs w:val="17"/>
              </w:rPr>
            </w:pPr>
          </w:p>
        </w:tc>
        <w:tc>
          <w:tcPr>
            <w:tcW w:w="850" w:type="dxa"/>
            <w:tcBorders>
              <w:top w:val="nil"/>
              <w:left w:val="nil"/>
              <w:bottom w:val="nil"/>
              <w:right w:val="nil"/>
            </w:tcBorders>
            <w:shd w:val="clear" w:color="auto" w:fill="auto"/>
            <w:noWrap/>
            <w:vAlign w:val="bottom"/>
            <w:hideMark/>
          </w:tcPr>
          <w:p w:rsidR="00A46DCA" w:rsidRPr="009372C1" w:rsidRDefault="00A46DCA" w:rsidP="00A26D04">
            <w:pPr>
              <w:cnfStyle w:val="000000000000" w:firstRow="0" w:lastRow="0" w:firstColumn="0" w:lastColumn="0" w:oddVBand="0" w:evenVBand="0" w:oddHBand="0" w:evenHBand="0" w:firstRowFirstColumn="0" w:firstRowLastColumn="0" w:lastRowFirstColumn="0" w:lastRowLastColumn="0"/>
              <w:rPr>
                <w:szCs w:val="17"/>
              </w:rPr>
            </w:pPr>
          </w:p>
        </w:tc>
        <w:tc>
          <w:tcPr>
            <w:tcW w:w="850" w:type="dxa"/>
            <w:tcBorders>
              <w:top w:val="nil"/>
              <w:left w:val="nil"/>
              <w:bottom w:val="nil"/>
              <w:right w:val="nil"/>
            </w:tcBorders>
            <w:shd w:val="clear" w:color="auto" w:fill="auto"/>
            <w:noWrap/>
            <w:vAlign w:val="bottom"/>
            <w:hideMark/>
          </w:tcPr>
          <w:p w:rsidR="00A46DCA" w:rsidRPr="009372C1" w:rsidRDefault="00A46DCA" w:rsidP="00A26D04">
            <w:pPr>
              <w:cnfStyle w:val="000000000000" w:firstRow="0" w:lastRow="0" w:firstColumn="0" w:lastColumn="0" w:oddVBand="0" w:evenVBand="0" w:oddHBand="0" w:evenHBand="0" w:firstRowFirstColumn="0" w:firstRowLastColumn="0" w:lastRowFirstColumn="0" w:lastRowLastColumn="0"/>
              <w:rPr>
                <w:szCs w:val="17"/>
              </w:rPr>
            </w:pPr>
          </w:p>
        </w:tc>
      </w:tr>
      <w:tr w:rsidR="00A46DCA" w:rsidRPr="009372C1" w:rsidTr="004906A4">
        <w:tc>
          <w:tcPr>
            <w:cnfStyle w:val="001000000000" w:firstRow="0" w:lastRow="0" w:firstColumn="1" w:lastColumn="0" w:oddVBand="0" w:evenVBand="0" w:oddHBand="0" w:evenHBand="0" w:firstRowFirstColumn="0" w:firstRowLastColumn="0" w:lastRowFirstColumn="0" w:lastRowLastColumn="0"/>
            <w:tcW w:w="4367" w:type="dxa"/>
            <w:tcBorders>
              <w:top w:val="nil"/>
              <w:left w:val="nil"/>
              <w:bottom w:val="nil"/>
              <w:right w:val="nil"/>
            </w:tcBorders>
            <w:shd w:val="clear" w:color="auto" w:fill="auto"/>
            <w:noWrap/>
            <w:vAlign w:val="bottom"/>
            <w:hideMark/>
          </w:tcPr>
          <w:p w:rsidR="00A46DCA" w:rsidRPr="009372C1" w:rsidRDefault="00A46DCA" w:rsidP="00A26D04">
            <w:pPr>
              <w:keepLines w:val="0"/>
              <w:rPr>
                <w:rFonts w:eastAsia="Calibri" w:cs="Times New Roman"/>
                <w:szCs w:val="17"/>
              </w:rPr>
            </w:pPr>
            <w:r w:rsidRPr="009372C1">
              <w:rPr>
                <w:rFonts w:eastAsia="Calibri" w:cs="Times New Roman"/>
                <w:szCs w:val="17"/>
              </w:rPr>
              <w:t>Income from transactions</w:t>
            </w:r>
          </w:p>
        </w:tc>
        <w:tc>
          <w:tcPr>
            <w:tcW w:w="850" w:type="dxa"/>
            <w:tcBorders>
              <w:top w:val="nil"/>
              <w:left w:val="nil"/>
              <w:bottom w:val="nil"/>
              <w:right w:val="nil"/>
            </w:tcBorders>
            <w:shd w:val="clear" w:color="000000" w:fill="FFFFFF"/>
            <w:noWrap/>
            <w:vAlign w:val="bottom"/>
            <w:hideMark/>
          </w:tcPr>
          <w:p w:rsidR="00A46DCA" w:rsidRPr="009372C1" w:rsidRDefault="00A46DCA" w:rsidP="00A26D04">
            <w:pPr>
              <w:cnfStyle w:val="000000000000" w:firstRow="0" w:lastRow="0" w:firstColumn="0" w:lastColumn="0" w:oddVBand="0" w:evenVBand="0" w:oddHBand="0" w:evenHBand="0" w:firstRowFirstColumn="0" w:firstRowLastColumn="0" w:lastRowFirstColumn="0" w:lastRowLastColumn="0"/>
              <w:rPr>
                <w:szCs w:val="17"/>
              </w:rPr>
            </w:pPr>
            <w:r w:rsidRPr="009372C1">
              <w:rPr>
                <w:szCs w:val="17"/>
              </w:rPr>
              <w:t>130</w:t>
            </w:r>
          </w:p>
        </w:tc>
        <w:tc>
          <w:tcPr>
            <w:tcW w:w="850" w:type="dxa"/>
            <w:tcBorders>
              <w:top w:val="nil"/>
              <w:left w:val="nil"/>
              <w:bottom w:val="nil"/>
              <w:right w:val="nil"/>
            </w:tcBorders>
            <w:shd w:val="clear" w:color="000000" w:fill="FFFFFF"/>
            <w:noWrap/>
            <w:vAlign w:val="bottom"/>
            <w:hideMark/>
          </w:tcPr>
          <w:p w:rsidR="00A46DCA" w:rsidRPr="009372C1" w:rsidRDefault="00A46DCA" w:rsidP="00A26D04">
            <w:pPr>
              <w:cnfStyle w:val="000000000000" w:firstRow="0" w:lastRow="0" w:firstColumn="0" w:lastColumn="0" w:oddVBand="0" w:evenVBand="0" w:oddHBand="0" w:evenHBand="0" w:firstRowFirstColumn="0" w:firstRowLastColumn="0" w:lastRowFirstColumn="0" w:lastRowLastColumn="0"/>
              <w:rPr>
                <w:szCs w:val="17"/>
              </w:rPr>
            </w:pPr>
            <w:r w:rsidRPr="009372C1">
              <w:rPr>
                <w:szCs w:val="17"/>
              </w:rPr>
              <w:t>87</w:t>
            </w:r>
          </w:p>
        </w:tc>
        <w:tc>
          <w:tcPr>
            <w:tcW w:w="850" w:type="dxa"/>
            <w:tcBorders>
              <w:top w:val="nil"/>
              <w:left w:val="nil"/>
              <w:bottom w:val="nil"/>
              <w:right w:val="nil"/>
            </w:tcBorders>
            <w:shd w:val="clear" w:color="000000" w:fill="FFFFFF"/>
            <w:noWrap/>
            <w:vAlign w:val="bottom"/>
            <w:hideMark/>
          </w:tcPr>
          <w:p w:rsidR="00A46DCA" w:rsidRPr="009372C1" w:rsidRDefault="00A46DCA" w:rsidP="00A26D04">
            <w:pPr>
              <w:cnfStyle w:val="000000000000" w:firstRow="0" w:lastRow="0" w:firstColumn="0" w:lastColumn="0" w:oddVBand="0" w:evenVBand="0" w:oddHBand="0" w:evenHBand="0" w:firstRowFirstColumn="0" w:firstRowLastColumn="0" w:lastRowFirstColumn="0" w:lastRowLastColumn="0"/>
              <w:rPr>
                <w:szCs w:val="17"/>
              </w:rPr>
            </w:pPr>
            <w:r w:rsidRPr="009372C1">
              <w:rPr>
                <w:szCs w:val="17"/>
              </w:rPr>
              <w:t>90</w:t>
            </w:r>
          </w:p>
        </w:tc>
        <w:tc>
          <w:tcPr>
            <w:tcW w:w="850" w:type="dxa"/>
            <w:tcBorders>
              <w:top w:val="nil"/>
              <w:left w:val="nil"/>
              <w:bottom w:val="nil"/>
              <w:right w:val="nil"/>
            </w:tcBorders>
            <w:shd w:val="clear" w:color="000000" w:fill="FFFFFF"/>
            <w:noWrap/>
            <w:vAlign w:val="bottom"/>
            <w:hideMark/>
          </w:tcPr>
          <w:p w:rsidR="00A46DCA" w:rsidRPr="009372C1" w:rsidRDefault="00A46DCA" w:rsidP="00A26D04">
            <w:pPr>
              <w:cnfStyle w:val="000000000000" w:firstRow="0" w:lastRow="0" w:firstColumn="0" w:lastColumn="0" w:oddVBand="0" w:evenVBand="0" w:oddHBand="0" w:evenHBand="0" w:firstRowFirstColumn="0" w:firstRowLastColumn="0" w:lastRowFirstColumn="0" w:lastRowLastColumn="0"/>
              <w:rPr>
                <w:szCs w:val="17"/>
              </w:rPr>
            </w:pPr>
            <w:r w:rsidRPr="009372C1">
              <w:rPr>
                <w:szCs w:val="17"/>
              </w:rPr>
              <w:t>94</w:t>
            </w:r>
          </w:p>
        </w:tc>
      </w:tr>
      <w:tr w:rsidR="00A46DCA" w:rsidRPr="009372C1" w:rsidTr="004906A4">
        <w:tc>
          <w:tcPr>
            <w:cnfStyle w:val="001000000000" w:firstRow="0" w:lastRow="0" w:firstColumn="1" w:lastColumn="0" w:oddVBand="0" w:evenVBand="0" w:oddHBand="0" w:evenHBand="0" w:firstRowFirstColumn="0" w:firstRowLastColumn="0" w:lastRowFirstColumn="0" w:lastRowLastColumn="0"/>
            <w:tcW w:w="4367" w:type="dxa"/>
            <w:tcBorders>
              <w:top w:val="nil"/>
              <w:left w:val="nil"/>
              <w:bottom w:val="nil"/>
              <w:right w:val="nil"/>
            </w:tcBorders>
            <w:shd w:val="clear" w:color="auto" w:fill="auto"/>
            <w:noWrap/>
            <w:vAlign w:val="bottom"/>
            <w:hideMark/>
          </w:tcPr>
          <w:p w:rsidR="00A46DCA" w:rsidRPr="009372C1" w:rsidRDefault="00A46DCA" w:rsidP="00A26D04">
            <w:pPr>
              <w:keepLines w:val="0"/>
              <w:rPr>
                <w:rFonts w:eastAsia="Calibri" w:cs="Times New Roman"/>
                <w:szCs w:val="17"/>
              </w:rPr>
            </w:pPr>
            <w:r w:rsidRPr="009372C1">
              <w:rPr>
                <w:rFonts w:eastAsia="Calibri" w:cs="Times New Roman"/>
                <w:szCs w:val="17"/>
              </w:rPr>
              <w:t>Expenses from transactions</w:t>
            </w:r>
          </w:p>
        </w:tc>
        <w:tc>
          <w:tcPr>
            <w:tcW w:w="850" w:type="dxa"/>
            <w:tcBorders>
              <w:top w:val="nil"/>
              <w:left w:val="nil"/>
              <w:bottom w:val="nil"/>
              <w:right w:val="nil"/>
            </w:tcBorders>
            <w:shd w:val="clear" w:color="000000" w:fill="FFFFFF"/>
            <w:noWrap/>
            <w:vAlign w:val="bottom"/>
            <w:hideMark/>
          </w:tcPr>
          <w:p w:rsidR="00A46DCA" w:rsidRPr="009372C1" w:rsidRDefault="00A46DCA" w:rsidP="00A26D04">
            <w:pPr>
              <w:cnfStyle w:val="000000000000" w:firstRow="0" w:lastRow="0" w:firstColumn="0" w:lastColumn="0" w:oddVBand="0" w:evenVBand="0" w:oddHBand="0" w:evenHBand="0" w:firstRowFirstColumn="0" w:firstRowLastColumn="0" w:lastRowFirstColumn="0" w:lastRowLastColumn="0"/>
              <w:rPr>
                <w:szCs w:val="17"/>
              </w:rPr>
            </w:pPr>
            <w:r w:rsidRPr="009372C1">
              <w:rPr>
                <w:szCs w:val="17"/>
              </w:rPr>
              <w:t>7</w:t>
            </w:r>
          </w:p>
        </w:tc>
        <w:tc>
          <w:tcPr>
            <w:tcW w:w="850" w:type="dxa"/>
            <w:tcBorders>
              <w:top w:val="nil"/>
              <w:left w:val="nil"/>
              <w:bottom w:val="nil"/>
              <w:right w:val="nil"/>
            </w:tcBorders>
            <w:shd w:val="clear" w:color="000000" w:fill="FFFFFF"/>
            <w:noWrap/>
            <w:vAlign w:val="bottom"/>
            <w:hideMark/>
          </w:tcPr>
          <w:p w:rsidR="00A46DCA" w:rsidRPr="009372C1" w:rsidRDefault="00A46DCA" w:rsidP="00A26D04">
            <w:pPr>
              <w:cnfStyle w:val="000000000000" w:firstRow="0" w:lastRow="0" w:firstColumn="0" w:lastColumn="0" w:oddVBand="0" w:evenVBand="0" w:oddHBand="0" w:evenHBand="0" w:firstRowFirstColumn="0" w:firstRowLastColumn="0" w:lastRowFirstColumn="0" w:lastRowLastColumn="0"/>
              <w:rPr>
                <w:szCs w:val="17"/>
              </w:rPr>
            </w:pPr>
            <w:r w:rsidRPr="009372C1">
              <w:rPr>
                <w:szCs w:val="17"/>
              </w:rPr>
              <w:t>175</w:t>
            </w:r>
          </w:p>
        </w:tc>
        <w:tc>
          <w:tcPr>
            <w:tcW w:w="850" w:type="dxa"/>
            <w:tcBorders>
              <w:top w:val="nil"/>
              <w:left w:val="nil"/>
              <w:bottom w:val="nil"/>
              <w:right w:val="nil"/>
            </w:tcBorders>
            <w:shd w:val="clear" w:color="000000" w:fill="FFFFFF"/>
            <w:noWrap/>
            <w:vAlign w:val="bottom"/>
            <w:hideMark/>
          </w:tcPr>
          <w:p w:rsidR="00A46DCA" w:rsidRPr="009372C1" w:rsidRDefault="00A46DCA" w:rsidP="00A26D04">
            <w:pPr>
              <w:cnfStyle w:val="000000000000" w:firstRow="0" w:lastRow="0" w:firstColumn="0" w:lastColumn="0" w:oddVBand="0" w:evenVBand="0" w:oddHBand="0" w:evenHBand="0" w:firstRowFirstColumn="0" w:firstRowLastColumn="0" w:lastRowFirstColumn="0" w:lastRowLastColumn="0"/>
              <w:rPr>
                <w:szCs w:val="17"/>
              </w:rPr>
            </w:pPr>
            <w:r w:rsidRPr="009372C1">
              <w:rPr>
                <w:szCs w:val="17"/>
              </w:rPr>
              <w:t>172</w:t>
            </w:r>
          </w:p>
        </w:tc>
        <w:tc>
          <w:tcPr>
            <w:tcW w:w="850" w:type="dxa"/>
            <w:tcBorders>
              <w:top w:val="nil"/>
              <w:left w:val="nil"/>
              <w:bottom w:val="nil"/>
              <w:right w:val="nil"/>
            </w:tcBorders>
            <w:shd w:val="clear" w:color="000000" w:fill="FFFFFF"/>
            <w:noWrap/>
            <w:vAlign w:val="bottom"/>
            <w:hideMark/>
          </w:tcPr>
          <w:p w:rsidR="00A46DCA" w:rsidRPr="009372C1" w:rsidRDefault="00A46DCA" w:rsidP="00A26D04">
            <w:pPr>
              <w:cnfStyle w:val="000000000000" w:firstRow="0" w:lastRow="0" w:firstColumn="0" w:lastColumn="0" w:oddVBand="0" w:evenVBand="0" w:oddHBand="0" w:evenHBand="0" w:firstRowFirstColumn="0" w:firstRowLastColumn="0" w:lastRowFirstColumn="0" w:lastRowLastColumn="0"/>
              <w:rPr>
                <w:szCs w:val="17"/>
              </w:rPr>
            </w:pPr>
            <w:r w:rsidRPr="009372C1">
              <w:rPr>
                <w:szCs w:val="17"/>
              </w:rPr>
              <w:t>156</w:t>
            </w:r>
          </w:p>
        </w:tc>
      </w:tr>
      <w:tr w:rsidR="00A46DCA" w:rsidRPr="009372C1" w:rsidTr="004906A4">
        <w:tc>
          <w:tcPr>
            <w:cnfStyle w:val="001000000000" w:firstRow="0" w:lastRow="0" w:firstColumn="1" w:lastColumn="0" w:oddVBand="0" w:evenVBand="0" w:oddHBand="0" w:evenHBand="0" w:firstRowFirstColumn="0" w:firstRowLastColumn="0" w:lastRowFirstColumn="0" w:lastRowLastColumn="0"/>
            <w:tcW w:w="4367" w:type="dxa"/>
            <w:tcBorders>
              <w:top w:val="single" w:sz="4" w:space="0" w:color="auto"/>
              <w:left w:val="nil"/>
              <w:bottom w:val="single" w:sz="4" w:space="0" w:color="auto"/>
              <w:right w:val="nil"/>
            </w:tcBorders>
            <w:shd w:val="clear" w:color="auto" w:fill="auto"/>
            <w:noWrap/>
            <w:vAlign w:val="bottom"/>
            <w:hideMark/>
          </w:tcPr>
          <w:p w:rsidR="00A46DCA" w:rsidRPr="009372C1" w:rsidRDefault="00A46DCA" w:rsidP="00A26D04">
            <w:pPr>
              <w:keepLines w:val="0"/>
              <w:rPr>
                <w:rFonts w:eastAsia="Calibri" w:cs="Times New Roman"/>
                <w:b/>
                <w:bCs/>
                <w:szCs w:val="17"/>
              </w:rPr>
            </w:pPr>
            <w:r w:rsidRPr="009372C1">
              <w:rPr>
                <w:rFonts w:eastAsia="Calibri" w:cs="Times New Roman"/>
                <w:b/>
                <w:bCs/>
                <w:szCs w:val="17"/>
              </w:rPr>
              <w:t>Net result from transactions</w:t>
            </w:r>
          </w:p>
        </w:tc>
        <w:tc>
          <w:tcPr>
            <w:tcW w:w="850" w:type="dxa"/>
            <w:tcBorders>
              <w:top w:val="single" w:sz="4" w:space="0" w:color="auto"/>
              <w:left w:val="nil"/>
              <w:bottom w:val="single" w:sz="4" w:space="0" w:color="auto"/>
              <w:right w:val="nil"/>
            </w:tcBorders>
            <w:shd w:val="clear" w:color="000000" w:fill="FFFFFF"/>
            <w:noWrap/>
            <w:vAlign w:val="bottom"/>
            <w:hideMark/>
          </w:tcPr>
          <w:p w:rsidR="00A46DCA" w:rsidRPr="009372C1" w:rsidRDefault="00A46DCA" w:rsidP="00A26D04">
            <w:pPr>
              <w:cnfStyle w:val="000000000000" w:firstRow="0" w:lastRow="0" w:firstColumn="0" w:lastColumn="0" w:oddVBand="0" w:evenVBand="0" w:oddHBand="0" w:evenHBand="0" w:firstRowFirstColumn="0" w:firstRowLastColumn="0" w:lastRowFirstColumn="0" w:lastRowLastColumn="0"/>
              <w:rPr>
                <w:b/>
                <w:bCs/>
                <w:szCs w:val="17"/>
              </w:rPr>
            </w:pPr>
            <w:r w:rsidRPr="009372C1">
              <w:rPr>
                <w:b/>
                <w:bCs/>
                <w:szCs w:val="17"/>
              </w:rPr>
              <w:t>122</w:t>
            </w:r>
          </w:p>
        </w:tc>
        <w:tc>
          <w:tcPr>
            <w:tcW w:w="850" w:type="dxa"/>
            <w:tcBorders>
              <w:top w:val="single" w:sz="4" w:space="0" w:color="auto"/>
              <w:left w:val="nil"/>
              <w:bottom w:val="single" w:sz="4" w:space="0" w:color="auto"/>
              <w:right w:val="nil"/>
            </w:tcBorders>
            <w:shd w:val="clear" w:color="000000" w:fill="FFFFFF"/>
            <w:noWrap/>
            <w:vAlign w:val="bottom"/>
            <w:hideMark/>
          </w:tcPr>
          <w:p w:rsidR="00A46DCA" w:rsidRPr="009372C1" w:rsidRDefault="00A46DCA" w:rsidP="00A26D04">
            <w:pPr>
              <w:cnfStyle w:val="000000000000" w:firstRow="0" w:lastRow="0" w:firstColumn="0" w:lastColumn="0" w:oddVBand="0" w:evenVBand="0" w:oddHBand="0" w:evenHBand="0" w:firstRowFirstColumn="0" w:firstRowLastColumn="0" w:lastRowFirstColumn="0" w:lastRowLastColumn="0"/>
              <w:rPr>
                <w:b/>
                <w:bCs/>
                <w:szCs w:val="17"/>
              </w:rPr>
            </w:pPr>
            <w:r w:rsidRPr="009372C1">
              <w:rPr>
                <w:b/>
                <w:bCs/>
                <w:szCs w:val="17"/>
              </w:rPr>
              <w:t>(88)</w:t>
            </w:r>
          </w:p>
        </w:tc>
        <w:tc>
          <w:tcPr>
            <w:tcW w:w="850" w:type="dxa"/>
            <w:tcBorders>
              <w:top w:val="single" w:sz="4" w:space="0" w:color="auto"/>
              <w:left w:val="nil"/>
              <w:bottom w:val="single" w:sz="4" w:space="0" w:color="auto"/>
              <w:right w:val="nil"/>
            </w:tcBorders>
            <w:shd w:val="clear" w:color="000000" w:fill="FFFFFF"/>
            <w:noWrap/>
            <w:vAlign w:val="bottom"/>
            <w:hideMark/>
          </w:tcPr>
          <w:p w:rsidR="00A46DCA" w:rsidRPr="009372C1" w:rsidRDefault="00A46DCA" w:rsidP="00A26D04">
            <w:pPr>
              <w:cnfStyle w:val="000000000000" w:firstRow="0" w:lastRow="0" w:firstColumn="0" w:lastColumn="0" w:oddVBand="0" w:evenVBand="0" w:oddHBand="0" w:evenHBand="0" w:firstRowFirstColumn="0" w:firstRowLastColumn="0" w:lastRowFirstColumn="0" w:lastRowLastColumn="0"/>
              <w:rPr>
                <w:b/>
                <w:bCs/>
                <w:szCs w:val="17"/>
              </w:rPr>
            </w:pPr>
            <w:r w:rsidRPr="009372C1">
              <w:rPr>
                <w:b/>
                <w:bCs/>
                <w:szCs w:val="17"/>
              </w:rPr>
              <w:t>(81)</w:t>
            </w:r>
          </w:p>
        </w:tc>
        <w:tc>
          <w:tcPr>
            <w:tcW w:w="850" w:type="dxa"/>
            <w:tcBorders>
              <w:top w:val="single" w:sz="4" w:space="0" w:color="auto"/>
              <w:left w:val="nil"/>
              <w:bottom w:val="single" w:sz="4" w:space="0" w:color="auto"/>
              <w:right w:val="nil"/>
            </w:tcBorders>
            <w:shd w:val="clear" w:color="000000" w:fill="FFFFFF"/>
            <w:noWrap/>
            <w:vAlign w:val="bottom"/>
            <w:hideMark/>
          </w:tcPr>
          <w:p w:rsidR="00A46DCA" w:rsidRPr="009372C1" w:rsidRDefault="00A46DCA" w:rsidP="00A26D04">
            <w:pPr>
              <w:cnfStyle w:val="000000000000" w:firstRow="0" w:lastRow="0" w:firstColumn="0" w:lastColumn="0" w:oddVBand="0" w:evenVBand="0" w:oddHBand="0" w:evenHBand="0" w:firstRowFirstColumn="0" w:firstRowLastColumn="0" w:lastRowFirstColumn="0" w:lastRowLastColumn="0"/>
              <w:rPr>
                <w:b/>
                <w:bCs/>
                <w:szCs w:val="17"/>
              </w:rPr>
            </w:pPr>
            <w:r w:rsidRPr="009372C1">
              <w:rPr>
                <w:b/>
                <w:bCs/>
                <w:szCs w:val="17"/>
              </w:rPr>
              <w:t>(62)</w:t>
            </w:r>
          </w:p>
        </w:tc>
      </w:tr>
      <w:tr w:rsidR="00A46DCA" w:rsidRPr="009372C1" w:rsidTr="004906A4">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7" w:type="dxa"/>
            <w:tcBorders>
              <w:top w:val="nil"/>
              <w:bottom w:val="single" w:sz="8" w:space="0" w:color="auto"/>
            </w:tcBorders>
            <w:shd w:val="clear" w:color="auto" w:fill="auto"/>
            <w:noWrap/>
            <w:vAlign w:val="bottom"/>
            <w:hideMark/>
          </w:tcPr>
          <w:p w:rsidR="00A46DCA" w:rsidRPr="009372C1" w:rsidRDefault="00A46DCA" w:rsidP="00A26D04">
            <w:pPr>
              <w:keepLines w:val="0"/>
              <w:rPr>
                <w:rFonts w:eastAsia="Calibri" w:cs="Times New Roman"/>
                <w:b w:val="0"/>
                <w:bCs/>
                <w:szCs w:val="17"/>
              </w:rPr>
            </w:pPr>
            <w:r w:rsidRPr="009372C1">
              <w:rPr>
                <w:rFonts w:eastAsia="Calibri" w:cs="Times New Roman"/>
                <w:bCs/>
                <w:szCs w:val="17"/>
              </w:rPr>
              <w:t>Net debt</w:t>
            </w:r>
          </w:p>
        </w:tc>
        <w:tc>
          <w:tcPr>
            <w:tcW w:w="850" w:type="dxa"/>
            <w:tcBorders>
              <w:top w:val="nil"/>
              <w:bottom w:val="single" w:sz="8" w:space="0" w:color="auto"/>
            </w:tcBorders>
            <w:shd w:val="clear" w:color="000000" w:fill="FFFFFF"/>
            <w:noWrap/>
            <w:vAlign w:val="bottom"/>
            <w:hideMark/>
          </w:tcPr>
          <w:p w:rsidR="00A46DCA" w:rsidRPr="009372C1" w:rsidRDefault="00A46DCA" w:rsidP="00A26D04">
            <w:pPr>
              <w:cnfStyle w:val="010000000000" w:firstRow="0" w:lastRow="1" w:firstColumn="0" w:lastColumn="0" w:oddVBand="0" w:evenVBand="0" w:oddHBand="0" w:evenHBand="0" w:firstRowFirstColumn="0" w:firstRowLastColumn="0" w:lastRowFirstColumn="0" w:lastRowLastColumn="0"/>
              <w:rPr>
                <w:bCs/>
                <w:szCs w:val="17"/>
              </w:rPr>
            </w:pPr>
            <w:r w:rsidRPr="009372C1">
              <w:rPr>
                <w:bCs/>
                <w:szCs w:val="17"/>
              </w:rPr>
              <w:t>(122)</w:t>
            </w:r>
          </w:p>
        </w:tc>
        <w:tc>
          <w:tcPr>
            <w:tcW w:w="850" w:type="dxa"/>
            <w:tcBorders>
              <w:top w:val="nil"/>
              <w:bottom w:val="single" w:sz="8" w:space="0" w:color="auto"/>
            </w:tcBorders>
            <w:shd w:val="clear" w:color="000000" w:fill="FFFFFF"/>
            <w:noWrap/>
            <w:vAlign w:val="bottom"/>
            <w:hideMark/>
          </w:tcPr>
          <w:p w:rsidR="00A46DCA" w:rsidRPr="009372C1" w:rsidRDefault="00A46DCA" w:rsidP="00A26D04">
            <w:pPr>
              <w:cnfStyle w:val="010000000000" w:firstRow="0" w:lastRow="1" w:firstColumn="0" w:lastColumn="0" w:oddVBand="0" w:evenVBand="0" w:oddHBand="0" w:evenHBand="0" w:firstRowFirstColumn="0" w:firstRowLastColumn="0" w:lastRowFirstColumn="0" w:lastRowLastColumn="0"/>
              <w:rPr>
                <w:bCs/>
                <w:szCs w:val="17"/>
              </w:rPr>
            </w:pPr>
            <w:r w:rsidRPr="009372C1">
              <w:rPr>
                <w:bCs/>
                <w:szCs w:val="17"/>
              </w:rPr>
              <w:t>(206)</w:t>
            </w:r>
          </w:p>
        </w:tc>
        <w:tc>
          <w:tcPr>
            <w:tcW w:w="850" w:type="dxa"/>
            <w:tcBorders>
              <w:top w:val="nil"/>
              <w:bottom w:val="single" w:sz="8" w:space="0" w:color="auto"/>
            </w:tcBorders>
            <w:shd w:val="clear" w:color="000000" w:fill="FFFFFF"/>
            <w:noWrap/>
            <w:vAlign w:val="bottom"/>
            <w:hideMark/>
          </w:tcPr>
          <w:p w:rsidR="00A46DCA" w:rsidRPr="009372C1" w:rsidRDefault="00A46DCA" w:rsidP="00A26D04">
            <w:pPr>
              <w:cnfStyle w:val="010000000000" w:firstRow="0" w:lastRow="1" w:firstColumn="0" w:lastColumn="0" w:oddVBand="0" w:evenVBand="0" w:oddHBand="0" w:evenHBand="0" w:firstRowFirstColumn="0" w:firstRowLastColumn="0" w:lastRowFirstColumn="0" w:lastRowLastColumn="0"/>
              <w:rPr>
                <w:bCs/>
                <w:szCs w:val="17"/>
              </w:rPr>
            </w:pPr>
            <w:r w:rsidRPr="009372C1">
              <w:rPr>
                <w:bCs/>
                <w:szCs w:val="17"/>
              </w:rPr>
              <w:t>(296)</w:t>
            </w:r>
          </w:p>
        </w:tc>
        <w:tc>
          <w:tcPr>
            <w:tcW w:w="850" w:type="dxa"/>
            <w:tcBorders>
              <w:top w:val="nil"/>
              <w:bottom w:val="single" w:sz="8" w:space="0" w:color="auto"/>
            </w:tcBorders>
            <w:shd w:val="clear" w:color="000000" w:fill="FFFFFF"/>
            <w:noWrap/>
            <w:vAlign w:val="bottom"/>
            <w:hideMark/>
          </w:tcPr>
          <w:p w:rsidR="00A46DCA" w:rsidRPr="009372C1" w:rsidRDefault="00A46DCA" w:rsidP="00A26D04">
            <w:pPr>
              <w:cnfStyle w:val="010000000000" w:firstRow="0" w:lastRow="1" w:firstColumn="0" w:lastColumn="0" w:oddVBand="0" w:evenVBand="0" w:oddHBand="0" w:evenHBand="0" w:firstRowFirstColumn="0" w:firstRowLastColumn="0" w:lastRowFirstColumn="0" w:lastRowLastColumn="0"/>
              <w:rPr>
                <w:bCs/>
                <w:szCs w:val="17"/>
              </w:rPr>
            </w:pPr>
            <w:r w:rsidRPr="009372C1">
              <w:rPr>
                <w:bCs/>
                <w:szCs w:val="17"/>
              </w:rPr>
              <w:t>(394)</w:t>
            </w:r>
          </w:p>
        </w:tc>
      </w:tr>
    </w:tbl>
    <w:p w:rsidR="00A46DCA" w:rsidRPr="00442C0B" w:rsidRDefault="00A46DCA" w:rsidP="00A26D04">
      <w:pPr>
        <w:spacing w:before="20" w:after="60"/>
        <w:rPr>
          <w:rFonts w:ascii="Calibri" w:eastAsia="Garamond" w:hAnsi="Calibri" w:cs="Times New Roman"/>
          <w:i/>
          <w:spacing w:val="-2"/>
          <w:sz w:val="14"/>
        </w:rPr>
      </w:pPr>
      <w:r w:rsidRPr="00442C0B">
        <w:rPr>
          <w:rFonts w:ascii="Calibri" w:eastAsia="Garamond" w:hAnsi="Calibri" w:cs="Times New Roman"/>
          <w:i/>
          <w:spacing w:val="-2"/>
          <w:sz w:val="14"/>
          <w:lang w:eastAsia="en-AU"/>
        </w:rPr>
        <w:t xml:space="preserve">Source: Department of Treasury and </w:t>
      </w:r>
      <w:r w:rsidRPr="00442C0B">
        <w:rPr>
          <w:rFonts w:ascii="Calibri" w:eastAsia="Garamond" w:hAnsi="Calibri" w:cs="Times New Roman"/>
          <w:i/>
          <w:spacing w:val="-2"/>
          <w:sz w:val="14"/>
        </w:rPr>
        <w:t>Finance</w:t>
      </w:r>
    </w:p>
    <w:p w:rsidR="00A46DCA" w:rsidRPr="00442C0B" w:rsidRDefault="00A46DCA" w:rsidP="00A26D04">
      <w:pPr>
        <w:spacing w:before="20"/>
        <w:ind w:left="284" w:hanging="284"/>
        <w:contextualSpacing/>
        <w:rPr>
          <w:rFonts w:ascii="Calibri" w:eastAsia="Garamond" w:hAnsi="Calibri" w:cs="Times New Roman"/>
          <w:i/>
          <w:spacing w:val="-2"/>
          <w:sz w:val="14"/>
          <w:lang w:eastAsia="en-AU"/>
        </w:rPr>
      </w:pPr>
      <w:r w:rsidRPr="00442C0B">
        <w:rPr>
          <w:rFonts w:ascii="Calibri" w:eastAsia="Garamond" w:hAnsi="Calibri" w:cs="Times New Roman"/>
          <w:i/>
          <w:spacing w:val="-2"/>
          <w:sz w:val="14"/>
          <w:lang w:eastAsia="en-AU"/>
        </w:rPr>
        <w:t>Notes:</w:t>
      </w:r>
    </w:p>
    <w:p w:rsidR="00A46DCA" w:rsidRPr="00307F6A" w:rsidRDefault="00A46DCA" w:rsidP="00A26D04">
      <w:pPr>
        <w:spacing w:before="20"/>
        <w:ind w:left="284" w:hanging="284"/>
        <w:contextualSpacing/>
        <w:rPr>
          <w:rFonts w:ascii="Calibri" w:eastAsia="Garamond" w:hAnsi="Calibri" w:cs="Times New Roman"/>
          <w:i/>
          <w:spacing w:val="-2"/>
          <w:sz w:val="14"/>
          <w:lang w:eastAsia="en-AU"/>
        </w:rPr>
      </w:pPr>
      <w:r w:rsidRPr="00307F6A">
        <w:rPr>
          <w:rFonts w:ascii="Calibri" w:eastAsia="Garamond" w:hAnsi="Calibri" w:cs="Times New Roman"/>
          <w:i/>
          <w:spacing w:val="-2"/>
          <w:sz w:val="14"/>
          <w:lang w:eastAsia="en-AU"/>
        </w:rPr>
        <w:t>(a)</w:t>
      </w:r>
      <w:r w:rsidRPr="00307F6A">
        <w:rPr>
          <w:rFonts w:ascii="Calibri" w:eastAsia="Garamond" w:hAnsi="Calibri" w:cs="Times New Roman"/>
          <w:i/>
          <w:spacing w:val="-2"/>
          <w:sz w:val="14"/>
          <w:lang w:eastAsia="en-AU"/>
        </w:rPr>
        <w:tab/>
        <w:t xml:space="preserve">Variations are applied to the economic variables in the budget year. </w:t>
      </w:r>
      <w:r>
        <w:rPr>
          <w:rFonts w:ascii="Calibri" w:eastAsia="Garamond" w:hAnsi="Calibri" w:cs="Times New Roman"/>
          <w:i/>
          <w:spacing w:val="-2"/>
          <w:sz w:val="14"/>
          <w:lang w:eastAsia="en-AU"/>
        </w:rPr>
        <w:t>I</w:t>
      </w:r>
      <w:r w:rsidRPr="00307F6A">
        <w:rPr>
          <w:rFonts w:ascii="Calibri" w:eastAsia="Garamond" w:hAnsi="Calibri" w:cs="Times New Roman"/>
          <w:i/>
          <w:spacing w:val="-2"/>
          <w:sz w:val="14"/>
          <w:lang w:eastAsia="en-AU"/>
        </w:rPr>
        <w:t>t is assumed that variables</w:t>
      </w:r>
      <w:r>
        <w:rPr>
          <w:rFonts w:ascii="Calibri" w:eastAsia="Garamond" w:hAnsi="Calibri" w:cs="Times New Roman"/>
          <w:i/>
          <w:spacing w:val="-2"/>
          <w:sz w:val="14"/>
          <w:lang w:eastAsia="en-AU"/>
        </w:rPr>
        <w:t>’</w:t>
      </w:r>
      <w:r w:rsidRPr="00307F6A">
        <w:rPr>
          <w:rFonts w:ascii="Calibri" w:eastAsia="Garamond" w:hAnsi="Calibri" w:cs="Times New Roman"/>
          <w:i/>
          <w:spacing w:val="-2"/>
          <w:sz w:val="14"/>
          <w:lang w:eastAsia="en-AU"/>
        </w:rPr>
        <w:t xml:space="preserve"> growth rates match those under a no</w:t>
      </w:r>
      <w:r w:rsidRPr="00307F6A">
        <w:rPr>
          <w:rFonts w:ascii="Calibri" w:eastAsia="Garamond" w:hAnsi="Calibri" w:cs="Times New Roman"/>
          <w:i/>
          <w:spacing w:val="-2"/>
          <w:sz w:val="14"/>
          <w:lang w:eastAsia="en-AU"/>
        </w:rPr>
        <w:noBreakHyphen/>
        <w:t>variation scenario</w:t>
      </w:r>
      <w:r>
        <w:rPr>
          <w:rFonts w:ascii="Calibri" w:eastAsia="Garamond" w:hAnsi="Calibri" w:cs="Times New Roman"/>
          <w:i/>
          <w:spacing w:val="-2"/>
          <w:sz w:val="14"/>
          <w:lang w:eastAsia="en-AU"/>
        </w:rPr>
        <w:t xml:space="preserve"> for the forward years</w:t>
      </w:r>
      <w:r w:rsidRPr="00307F6A">
        <w:rPr>
          <w:rFonts w:ascii="Calibri" w:eastAsia="Garamond" w:hAnsi="Calibri" w:cs="Times New Roman"/>
          <w:i/>
          <w:spacing w:val="-2"/>
          <w:sz w:val="14"/>
          <w:lang w:eastAsia="en-AU"/>
        </w:rPr>
        <w:t>. This implies that economic variables are 1 per cent higher across the four years, compared with a no</w:t>
      </w:r>
      <w:r w:rsidRPr="00307F6A">
        <w:rPr>
          <w:rFonts w:ascii="Calibri" w:eastAsia="Garamond" w:hAnsi="Calibri" w:cs="Times New Roman"/>
          <w:i/>
          <w:spacing w:val="-2"/>
          <w:sz w:val="14"/>
          <w:lang w:eastAsia="en-AU"/>
        </w:rPr>
        <w:noBreakHyphen/>
        <w:t>variation scenario.</w:t>
      </w:r>
    </w:p>
    <w:p w:rsidR="00A46DCA" w:rsidRPr="00307F6A" w:rsidRDefault="00A46DCA" w:rsidP="00A26D04">
      <w:pPr>
        <w:spacing w:before="20"/>
        <w:ind w:left="284" w:hanging="284"/>
        <w:contextualSpacing/>
        <w:rPr>
          <w:rFonts w:ascii="Calibri" w:eastAsia="Garamond" w:hAnsi="Calibri" w:cs="Times New Roman"/>
          <w:i/>
          <w:spacing w:val="-2"/>
          <w:sz w:val="14"/>
        </w:rPr>
      </w:pPr>
      <w:r w:rsidRPr="00307F6A">
        <w:rPr>
          <w:rFonts w:ascii="Calibri" w:eastAsia="Garamond" w:hAnsi="Calibri" w:cs="Times New Roman"/>
          <w:i/>
          <w:spacing w:val="-2"/>
          <w:sz w:val="14"/>
          <w:lang w:eastAsia="en-AU"/>
        </w:rPr>
        <w:t>(b)</w:t>
      </w:r>
      <w:r w:rsidRPr="00307F6A">
        <w:rPr>
          <w:rFonts w:ascii="Calibri" w:eastAsia="Garamond" w:hAnsi="Calibri" w:cs="Times New Roman"/>
          <w:i/>
          <w:spacing w:val="-2"/>
          <w:sz w:val="14"/>
          <w:lang w:eastAsia="en-AU"/>
        </w:rPr>
        <w:tab/>
        <w:t xml:space="preserve">A positive number for income from transactions denotes an increase in revenue. A positive number for expenses from transactions denotes an increase in expenses (and hence a reduction in the net result from transactions). A positive number for the net result from transactions denotes a higher surplus or smaller deficit. A positive number for net debt denotes a higher level of net debt in the </w:t>
      </w:r>
      <w:r w:rsidRPr="00307F6A">
        <w:rPr>
          <w:rFonts w:ascii="Calibri" w:eastAsia="Garamond" w:hAnsi="Calibri" w:cs="Times New Roman"/>
          <w:i/>
          <w:spacing w:val="-2"/>
          <w:sz w:val="14"/>
        </w:rPr>
        <w:t>relevant year compared with a no</w:t>
      </w:r>
      <w:r w:rsidRPr="00307F6A">
        <w:rPr>
          <w:rFonts w:ascii="Calibri" w:eastAsia="Garamond" w:hAnsi="Calibri" w:cs="Times New Roman"/>
          <w:i/>
          <w:spacing w:val="-2"/>
          <w:sz w:val="14"/>
        </w:rPr>
        <w:noBreakHyphen/>
        <w:t>variation scenario. Numbers may not balance due to rounding.</w:t>
      </w:r>
    </w:p>
    <w:p w:rsidR="00A46DCA" w:rsidRPr="00307F6A" w:rsidRDefault="00A46DCA" w:rsidP="00A26D04">
      <w:pPr>
        <w:spacing w:before="20"/>
        <w:ind w:left="284" w:hanging="284"/>
        <w:contextualSpacing/>
        <w:rPr>
          <w:rFonts w:ascii="Calibri" w:eastAsia="Garamond" w:hAnsi="Calibri" w:cs="Times New Roman"/>
          <w:i/>
          <w:spacing w:val="-2"/>
          <w:sz w:val="14"/>
        </w:rPr>
      </w:pPr>
      <w:r w:rsidRPr="00307F6A">
        <w:rPr>
          <w:rFonts w:ascii="Calibri" w:eastAsia="Garamond" w:hAnsi="Calibri" w:cs="Times New Roman"/>
          <w:i/>
          <w:spacing w:val="-2"/>
          <w:sz w:val="14"/>
        </w:rPr>
        <w:t>(c)</w:t>
      </w:r>
      <w:r w:rsidRPr="00307F6A">
        <w:rPr>
          <w:rFonts w:ascii="Calibri" w:eastAsia="Garamond" w:hAnsi="Calibri" w:cs="Times New Roman"/>
          <w:i/>
          <w:spacing w:val="-2"/>
          <w:sz w:val="14"/>
        </w:rPr>
        <w:tab/>
        <w:t>Only reasonably quantifiable impacts have been included in the analysis.</w:t>
      </w:r>
    </w:p>
    <w:p w:rsidR="00A46DCA" w:rsidRPr="00307F6A" w:rsidRDefault="00A46DCA" w:rsidP="00A26D04">
      <w:pPr>
        <w:spacing w:before="20"/>
        <w:ind w:left="284" w:hanging="284"/>
        <w:contextualSpacing/>
        <w:rPr>
          <w:rFonts w:ascii="Calibri" w:eastAsia="Garamond" w:hAnsi="Calibri" w:cs="Times New Roman"/>
          <w:i/>
          <w:spacing w:val="-2"/>
          <w:sz w:val="14"/>
        </w:rPr>
      </w:pPr>
      <w:r w:rsidRPr="00307F6A">
        <w:rPr>
          <w:rFonts w:ascii="Calibri" w:eastAsia="Garamond" w:hAnsi="Calibri" w:cs="Times New Roman"/>
          <w:i/>
          <w:spacing w:val="-2"/>
          <w:sz w:val="14"/>
        </w:rPr>
        <w:t>(d)</w:t>
      </w:r>
      <w:r w:rsidRPr="00307F6A">
        <w:rPr>
          <w:rFonts w:ascii="Calibri" w:eastAsia="Garamond" w:hAnsi="Calibri" w:cs="Times New Roman"/>
          <w:i/>
          <w:spacing w:val="-2"/>
          <w:sz w:val="14"/>
        </w:rPr>
        <w:tab/>
        <w:t>Estimates of net debt are approximately equal to the cumulative impact of the net result from transactions. The difference between the cumulative net result from transactions and net debt is due to non</w:t>
      </w:r>
      <w:r w:rsidRPr="00307F6A">
        <w:rPr>
          <w:rFonts w:ascii="Calibri" w:eastAsia="Garamond" w:hAnsi="Calibri" w:cs="Times New Roman"/>
          <w:i/>
          <w:spacing w:val="-2"/>
          <w:sz w:val="14"/>
        </w:rPr>
        <w:noBreakHyphen/>
        <w:t>cash expenses and gross sale proceeds (where applicable).</w:t>
      </w:r>
    </w:p>
    <w:p w:rsidR="00A46DCA" w:rsidRPr="00307F6A" w:rsidRDefault="00A46DCA" w:rsidP="00A26D04">
      <w:pPr>
        <w:spacing w:before="20"/>
        <w:ind w:left="284" w:hanging="284"/>
        <w:contextualSpacing/>
        <w:rPr>
          <w:rFonts w:ascii="Calibri" w:eastAsia="Garamond" w:hAnsi="Calibri" w:cs="Times New Roman"/>
          <w:i/>
          <w:spacing w:val="-2"/>
          <w:sz w:val="14"/>
        </w:rPr>
      </w:pPr>
      <w:r w:rsidRPr="00307F6A">
        <w:rPr>
          <w:rFonts w:ascii="Calibri" w:eastAsia="Garamond" w:hAnsi="Calibri" w:cs="Times New Roman"/>
          <w:i/>
          <w:spacing w:val="-2"/>
          <w:sz w:val="14"/>
        </w:rPr>
        <w:t>(e)</w:t>
      </w:r>
      <w:r w:rsidRPr="00307F6A">
        <w:rPr>
          <w:rFonts w:ascii="Calibri" w:eastAsia="Garamond" w:hAnsi="Calibri" w:cs="Times New Roman"/>
          <w:i/>
          <w:spacing w:val="-2"/>
          <w:sz w:val="14"/>
        </w:rPr>
        <w:tab/>
        <w:t>A shock to employment is assumed to impact payroll tax revenue to an extent consistent with no change to historical relationships between total employment, part</w:t>
      </w:r>
      <w:r w:rsidRPr="00307F6A">
        <w:rPr>
          <w:rFonts w:ascii="Calibri" w:eastAsia="Garamond" w:hAnsi="Calibri" w:cs="Times New Roman"/>
          <w:i/>
          <w:spacing w:val="-2"/>
          <w:sz w:val="14"/>
        </w:rPr>
        <w:noBreakHyphen/>
        <w:t>time/full</w:t>
      </w:r>
      <w:r w:rsidRPr="00307F6A">
        <w:rPr>
          <w:rFonts w:ascii="Calibri" w:eastAsia="Garamond" w:hAnsi="Calibri" w:cs="Times New Roman"/>
          <w:i/>
          <w:spacing w:val="-2"/>
          <w:sz w:val="14"/>
        </w:rPr>
        <w:noBreakHyphen/>
        <w:t>time employment shares, and payroll tax revenue.</w:t>
      </w:r>
    </w:p>
    <w:p w:rsidR="00A46DCA" w:rsidRPr="00307F6A" w:rsidRDefault="00A46DCA" w:rsidP="00A26D04">
      <w:pPr>
        <w:spacing w:before="20"/>
        <w:ind w:left="284" w:hanging="284"/>
        <w:contextualSpacing/>
        <w:rPr>
          <w:rFonts w:ascii="Calibri" w:eastAsia="Garamond" w:hAnsi="Calibri" w:cs="Times New Roman"/>
          <w:i/>
          <w:spacing w:val="-2"/>
          <w:sz w:val="14"/>
          <w:lang w:eastAsia="en-AU"/>
        </w:rPr>
      </w:pPr>
      <w:r w:rsidRPr="00307F6A">
        <w:rPr>
          <w:rFonts w:ascii="Calibri" w:eastAsia="Garamond" w:hAnsi="Calibri" w:cs="Times New Roman"/>
          <w:i/>
          <w:spacing w:val="-2"/>
          <w:sz w:val="14"/>
        </w:rPr>
        <w:t>(f)</w:t>
      </w:r>
      <w:r w:rsidRPr="00307F6A">
        <w:rPr>
          <w:rFonts w:ascii="Calibri" w:eastAsia="Garamond" w:hAnsi="Calibri" w:cs="Times New Roman"/>
          <w:i/>
          <w:spacing w:val="-2"/>
          <w:sz w:val="14"/>
        </w:rPr>
        <w:tab/>
        <w:t xml:space="preserve">Incorporates the impact of departmental funding model arrangements. It is assumed that an increase in consumer prices within the budget year does not affect employee entitlements. </w:t>
      </w:r>
    </w:p>
    <w:p w:rsidR="00A46DCA" w:rsidRPr="00307F6A" w:rsidRDefault="00A46DCA" w:rsidP="00A26D04">
      <w:pPr>
        <w:spacing w:before="20"/>
        <w:ind w:left="284" w:hanging="284"/>
        <w:contextualSpacing/>
        <w:rPr>
          <w:rFonts w:ascii="Calibri" w:eastAsia="Garamond" w:hAnsi="Calibri" w:cs="Times New Roman"/>
          <w:i/>
          <w:spacing w:val="-2"/>
          <w:sz w:val="14"/>
          <w:lang w:eastAsia="en-AU"/>
        </w:rPr>
      </w:pPr>
      <w:r w:rsidRPr="00307F6A">
        <w:rPr>
          <w:rFonts w:ascii="Calibri" w:eastAsia="Garamond" w:hAnsi="Calibri" w:cs="Times New Roman"/>
          <w:i/>
          <w:spacing w:val="-2"/>
          <w:sz w:val="14"/>
        </w:rPr>
        <w:t xml:space="preserve">(g) </w:t>
      </w:r>
      <w:r w:rsidRPr="00307F6A">
        <w:rPr>
          <w:rFonts w:ascii="Calibri" w:eastAsia="Garamond" w:hAnsi="Calibri" w:cs="Times New Roman"/>
          <w:i/>
          <w:spacing w:val="-2"/>
          <w:sz w:val="14"/>
        </w:rPr>
        <w:tab/>
        <w:t>Represents a one</w:t>
      </w:r>
      <w:r w:rsidRPr="00307F6A">
        <w:rPr>
          <w:rFonts w:ascii="Calibri" w:eastAsia="Garamond" w:hAnsi="Calibri" w:cs="Times New Roman"/>
          <w:i/>
          <w:spacing w:val="-2"/>
          <w:sz w:val="14"/>
        </w:rPr>
        <w:noBreakHyphen/>
        <w:t>off 1 per cent</w:t>
      </w:r>
      <w:r w:rsidRPr="00307F6A">
        <w:rPr>
          <w:rFonts w:ascii="Calibri" w:eastAsia="Garamond" w:hAnsi="Calibri" w:cs="Times New Roman"/>
          <w:i/>
          <w:spacing w:val="-2"/>
          <w:sz w:val="14"/>
          <w:lang w:eastAsia="en-AU"/>
        </w:rPr>
        <w:t xml:space="preserve"> increase in total employee expenses relative to a no</w:t>
      </w:r>
      <w:r w:rsidRPr="00307F6A">
        <w:rPr>
          <w:rFonts w:ascii="Calibri" w:eastAsia="Garamond" w:hAnsi="Calibri" w:cs="Times New Roman"/>
          <w:i/>
          <w:spacing w:val="-2"/>
          <w:sz w:val="14"/>
          <w:lang w:eastAsia="en-AU"/>
        </w:rPr>
        <w:noBreakHyphen/>
        <w:t xml:space="preserve">variation scenario. This could be generated through a change in the size of the workforce, the price of the workforce (salaries, overtime, allowances and bonuses, long service leave expenses, fringe benefits tax and WorkCover premiums), </w:t>
      </w:r>
      <w:r>
        <w:rPr>
          <w:rFonts w:ascii="Calibri" w:eastAsia="Garamond" w:hAnsi="Calibri" w:cs="Times New Roman"/>
          <w:i/>
          <w:spacing w:val="-2"/>
          <w:sz w:val="14"/>
          <w:lang w:eastAsia="en-AU"/>
        </w:rPr>
        <w:t xml:space="preserve">or </w:t>
      </w:r>
      <w:r w:rsidRPr="00307F6A">
        <w:rPr>
          <w:rFonts w:ascii="Calibri" w:eastAsia="Garamond" w:hAnsi="Calibri" w:cs="Times New Roman"/>
          <w:i/>
          <w:spacing w:val="-2"/>
          <w:sz w:val="14"/>
          <w:lang w:eastAsia="en-AU"/>
        </w:rPr>
        <w:t>through other management decisions regarding the composition and profile of the workforce</w:t>
      </w:r>
      <w:r>
        <w:rPr>
          <w:rFonts w:ascii="Calibri" w:eastAsia="Garamond" w:hAnsi="Calibri" w:cs="Times New Roman"/>
          <w:i/>
          <w:spacing w:val="-2"/>
          <w:sz w:val="14"/>
          <w:lang w:eastAsia="en-AU"/>
        </w:rPr>
        <w:t>,</w:t>
      </w:r>
      <w:r w:rsidRPr="00307F6A">
        <w:rPr>
          <w:rFonts w:ascii="Calibri" w:eastAsia="Garamond" w:hAnsi="Calibri" w:cs="Times New Roman"/>
          <w:i/>
          <w:spacing w:val="-2"/>
          <w:sz w:val="14"/>
          <w:lang w:eastAsia="en-AU"/>
        </w:rPr>
        <w:t xml:space="preserve"> or any combination of these.</w:t>
      </w:r>
    </w:p>
    <w:p w:rsidR="00A46DCA" w:rsidRPr="00307F6A" w:rsidRDefault="00A46DCA" w:rsidP="00A26D04">
      <w:pPr>
        <w:spacing w:before="20"/>
        <w:ind w:left="284" w:hanging="284"/>
        <w:contextualSpacing/>
        <w:rPr>
          <w:rFonts w:ascii="Calibri" w:eastAsia="Garamond" w:hAnsi="Calibri" w:cs="Times New Roman"/>
          <w:i/>
          <w:spacing w:val="-2"/>
          <w:sz w:val="14"/>
          <w:lang w:eastAsia="en-AU"/>
        </w:rPr>
      </w:pPr>
      <w:r w:rsidRPr="00307F6A">
        <w:rPr>
          <w:rFonts w:ascii="Calibri" w:eastAsia="Garamond" w:hAnsi="Calibri" w:cs="Times New Roman"/>
          <w:i/>
          <w:spacing w:val="-2"/>
          <w:sz w:val="14"/>
          <w:lang w:eastAsia="en-AU"/>
        </w:rPr>
        <w:t>(h)</w:t>
      </w:r>
      <w:r w:rsidRPr="00307F6A">
        <w:rPr>
          <w:rFonts w:ascii="Calibri" w:eastAsia="Garamond" w:hAnsi="Calibri" w:cs="Times New Roman"/>
          <w:i/>
          <w:spacing w:val="-2"/>
          <w:sz w:val="14"/>
          <w:lang w:eastAsia="en-AU"/>
        </w:rPr>
        <w:tab/>
      </w:r>
      <w:r w:rsidRPr="00307F6A">
        <w:rPr>
          <w:rFonts w:ascii="Calibri" w:eastAsia="Garamond" w:hAnsi="Calibri" w:cs="Times New Roman"/>
          <w:i/>
          <w:spacing w:val="-2"/>
          <w:sz w:val="14"/>
        </w:rPr>
        <w:t xml:space="preserve">Assumes interest rates </w:t>
      </w:r>
      <w:r>
        <w:rPr>
          <w:rFonts w:ascii="Calibri" w:eastAsia="Garamond" w:hAnsi="Calibri" w:cs="Times New Roman"/>
          <w:i/>
          <w:spacing w:val="-2"/>
          <w:sz w:val="14"/>
        </w:rPr>
        <w:t xml:space="preserve">(i.e. short and long-term rates) </w:t>
      </w:r>
      <w:r w:rsidRPr="00307F6A">
        <w:rPr>
          <w:rFonts w:ascii="Calibri" w:eastAsia="Garamond" w:hAnsi="Calibri" w:cs="Times New Roman"/>
          <w:i/>
          <w:spacing w:val="-2"/>
          <w:sz w:val="14"/>
        </w:rPr>
        <w:t xml:space="preserve">are 1 percentage point higher in each year of the </w:t>
      </w:r>
      <w:r>
        <w:rPr>
          <w:rFonts w:ascii="Calibri" w:eastAsia="Garamond" w:hAnsi="Calibri" w:cs="Times New Roman"/>
          <w:i/>
          <w:spacing w:val="-2"/>
          <w:sz w:val="14"/>
        </w:rPr>
        <w:t xml:space="preserve">budget and </w:t>
      </w:r>
      <w:r w:rsidRPr="00307F6A">
        <w:rPr>
          <w:rFonts w:ascii="Calibri" w:eastAsia="Garamond" w:hAnsi="Calibri" w:cs="Times New Roman"/>
          <w:i/>
          <w:spacing w:val="-2"/>
          <w:sz w:val="14"/>
        </w:rPr>
        <w:t>forward estimates.</w:t>
      </w:r>
    </w:p>
    <w:p w:rsidR="00A46DCA" w:rsidRDefault="00A46DCA" w:rsidP="00A26D04">
      <w:pPr>
        <w:rPr>
          <w:highlight w:val="yellow"/>
        </w:rPr>
      </w:pPr>
    </w:p>
    <w:p w:rsidR="00A46DCA" w:rsidRDefault="00A46DCA" w:rsidP="00A26D04"/>
    <w:p w:rsidR="00A46DCA" w:rsidRPr="00E44DAB" w:rsidRDefault="00A46DCA" w:rsidP="00A26D04">
      <w:pPr>
        <w:keepLines w:val="0"/>
        <w:spacing w:before="0"/>
        <w:rPr>
          <w:rFonts w:ascii="Garamond" w:eastAsia="Garamond" w:hAnsi="Garamond" w:cs="Times New Roman"/>
          <w:sz w:val="20"/>
          <w:szCs w:val="20"/>
          <w:highlight w:val="yellow"/>
        </w:rPr>
      </w:pPr>
      <w:r w:rsidRPr="009C398F">
        <w:rPr>
          <w:rFonts w:ascii="Garamond" w:eastAsia="Garamond" w:hAnsi="Garamond" w:cs="Times New Roman"/>
          <w:sz w:val="20"/>
          <w:szCs w:val="20"/>
        </w:rPr>
        <w:br w:type="page"/>
      </w:r>
    </w:p>
    <w:p w:rsidR="00A46DCA" w:rsidRPr="00307F6A" w:rsidRDefault="00A46DCA" w:rsidP="00A26D04">
      <w:pPr>
        <w:pStyle w:val="Heading10"/>
        <w:rPr>
          <w:rFonts w:eastAsia="Times New Roman"/>
        </w:rPr>
      </w:pPr>
      <w:bookmarkStart w:id="97" w:name="_Toc481160581"/>
      <w:bookmarkStart w:id="98" w:name="_Toc500435601"/>
      <w:r w:rsidRPr="00307F6A">
        <w:rPr>
          <w:rFonts w:eastAsia="Times New Roman"/>
        </w:rPr>
        <w:lastRenderedPageBreak/>
        <w:t>Impacts of variations to the economic outlook</w:t>
      </w:r>
      <w:bookmarkEnd w:id="97"/>
      <w:bookmarkEnd w:id="98"/>
    </w:p>
    <w:p w:rsidR="00A46DCA" w:rsidRPr="005B5D17" w:rsidRDefault="00A46DCA" w:rsidP="00A26D04">
      <w:pPr>
        <w:rPr>
          <w:rFonts w:ascii="Garamond" w:eastAsia="Garamond" w:hAnsi="Garamond" w:cs="Times New Roman"/>
        </w:rPr>
      </w:pPr>
      <w:r w:rsidRPr="008003E7">
        <w:rPr>
          <w:rFonts w:ascii="Garamond" w:eastAsia="Garamond" w:hAnsi="Garamond" w:cs="Times New Roman"/>
        </w:rPr>
        <w:t xml:space="preserve">The previous section considered the fiscal implications of independent variations in selected economic parameters. Typically, however, variations in economic parameters do not occur in isolation. </w:t>
      </w:r>
      <w:r>
        <w:rPr>
          <w:rFonts w:ascii="Garamond" w:eastAsia="Garamond" w:hAnsi="Garamond" w:cs="Times New Roman"/>
        </w:rPr>
        <w:t xml:space="preserve">The </w:t>
      </w:r>
      <w:r w:rsidRPr="00B32794">
        <w:rPr>
          <w:rFonts w:ascii="Garamond" w:eastAsia="Garamond" w:hAnsi="Garamond" w:cs="Times New Roman"/>
          <w:i/>
        </w:rPr>
        <w:t>2017-18 Budget</w:t>
      </w:r>
      <w:r>
        <w:rPr>
          <w:rFonts w:ascii="Garamond" w:eastAsia="Garamond" w:hAnsi="Garamond" w:cs="Times New Roman"/>
        </w:rPr>
        <w:t xml:space="preserve"> adopted a</w:t>
      </w:r>
      <w:r w:rsidRPr="00C77907">
        <w:rPr>
          <w:rFonts w:ascii="Garamond" w:eastAsia="Garamond" w:hAnsi="Garamond" w:cs="Times New Roman"/>
        </w:rPr>
        <w:t xml:space="preserve"> new methodology to </w:t>
      </w:r>
      <w:r>
        <w:rPr>
          <w:rFonts w:ascii="Garamond" w:eastAsia="Garamond" w:hAnsi="Garamond" w:cs="Times New Roman"/>
        </w:rPr>
        <w:t>quantify</w:t>
      </w:r>
      <w:r w:rsidRPr="00C77907">
        <w:rPr>
          <w:rFonts w:ascii="Garamond" w:eastAsia="Garamond" w:hAnsi="Garamond" w:cs="Times New Roman"/>
        </w:rPr>
        <w:t xml:space="preserve"> some of the risks </w:t>
      </w:r>
      <w:r w:rsidRPr="00C56B04">
        <w:rPr>
          <w:rFonts w:ascii="Garamond" w:eastAsia="Garamond" w:hAnsi="Garamond" w:cs="Times New Roman"/>
        </w:rPr>
        <w:t xml:space="preserve">described in Chapter 2 </w:t>
      </w:r>
      <w:r w:rsidRPr="00C56B04">
        <w:rPr>
          <w:rFonts w:ascii="Garamond" w:eastAsia="Garamond" w:hAnsi="Garamond" w:cs="Times New Roman"/>
          <w:i/>
        </w:rPr>
        <w:t>Economic context</w:t>
      </w:r>
      <w:r w:rsidRPr="00EF67FD">
        <w:rPr>
          <w:rFonts w:ascii="Garamond" w:eastAsia="Garamond" w:hAnsi="Garamond" w:cs="Times New Roman"/>
        </w:rPr>
        <w:t xml:space="preserve"> </w:t>
      </w:r>
      <w:r>
        <w:rPr>
          <w:rFonts w:ascii="Garamond" w:eastAsia="Garamond" w:hAnsi="Garamond" w:cs="Times New Roman"/>
        </w:rPr>
        <w:t>occurring simultaneously</w:t>
      </w:r>
      <w:r w:rsidRPr="00C77907">
        <w:rPr>
          <w:rFonts w:ascii="Garamond" w:eastAsia="Garamond" w:hAnsi="Garamond" w:cs="Times New Roman"/>
        </w:rPr>
        <w:t>.</w:t>
      </w:r>
      <w:r>
        <w:rPr>
          <w:rFonts w:ascii="Garamond" w:eastAsia="Garamond" w:hAnsi="Garamond" w:cs="Times New Roman"/>
        </w:rPr>
        <w:t xml:space="preserve"> </w:t>
      </w:r>
      <w:r w:rsidRPr="005B5D17">
        <w:rPr>
          <w:rFonts w:ascii="Garamond" w:eastAsia="Garamond" w:hAnsi="Garamond" w:cs="Times New Roman"/>
        </w:rPr>
        <w:t xml:space="preserve">This </w:t>
      </w:r>
      <w:r>
        <w:rPr>
          <w:rFonts w:ascii="Garamond" w:eastAsia="Garamond" w:hAnsi="Garamond" w:cs="Times New Roman"/>
        </w:rPr>
        <w:t xml:space="preserve">provides a </w:t>
      </w:r>
      <w:r w:rsidRPr="005B5D17">
        <w:rPr>
          <w:rFonts w:ascii="Garamond" w:eastAsia="Garamond" w:hAnsi="Garamond" w:cs="Times New Roman"/>
        </w:rPr>
        <w:t>better understand</w:t>
      </w:r>
      <w:r>
        <w:rPr>
          <w:rFonts w:ascii="Garamond" w:eastAsia="Garamond" w:hAnsi="Garamond" w:cs="Times New Roman"/>
        </w:rPr>
        <w:t>ing</w:t>
      </w:r>
      <w:r w:rsidRPr="005B5D17">
        <w:rPr>
          <w:rFonts w:ascii="Garamond" w:eastAsia="Garamond" w:hAnsi="Garamond" w:cs="Times New Roman"/>
        </w:rPr>
        <w:t xml:space="preserve"> the effects of potential </w:t>
      </w:r>
      <w:r>
        <w:rPr>
          <w:rFonts w:ascii="Garamond" w:eastAsia="Garamond" w:hAnsi="Garamond" w:cs="Times New Roman"/>
        </w:rPr>
        <w:t xml:space="preserve">departures from </w:t>
      </w:r>
      <w:r w:rsidRPr="005B5D17">
        <w:rPr>
          <w:rFonts w:ascii="Garamond" w:eastAsia="Garamond" w:hAnsi="Garamond" w:cs="Times New Roman"/>
        </w:rPr>
        <w:t xml:space="preserve">the economic outlook, and </w:t>
      </w:r>
      <w:r>
        <w:rPr>
          <w:rFonts w:ascii="Garamond" w:eastAsia="Garamond" w:hAnsi="Garamond" w:cs="Times New Roman"/>
        </w:rPr>
        <w:t xml:space="preserve">the extent to which </w:t>
      </w:r>
      <w:r w:rsidRPr="005B5D17">
        <w:rPr>
          <w:rFonts w:ascii="Garamond" w:eastAsia="Garamond" w:hAnsi="Garamond" w:cs="Times New Roman"/>
        </w:rPr>
        <w:t xml:space="preserve">the </w:t>
      </w:r>
      <w:r>
        <w:rPr>
          <w:rFonts w:ascii="Garamond" w:eastAsia="Garamond" w:hAnsi="Garamond" w:cs="Times New Roman"/>
        </w:rPr>
        <w:t>fiscal aggregates</w:t>
      </w:r>
      <w:r w:rsidRPr="005B5D17">
        <w:rPr>
          <w:rFonts w:ascii="Garamond" w:eastAsia="Garamond" w:hAnsi="Garamond" w:cs="Times New Roman"/>
        </w:rPr>
        <w:t xml:space="preserve"> </w:t>
      </w:r>
      <w:r>
        <w:rPr>
          <w:rFonts w:ascii="Garamond" w:eastAsia="Garamond" w:hAnsi="Garamond" w:cs="Times New Roman"/>
        </w:rPr>
        <w:t>are</w:t>
      </w:r>
      <w:r w:rsidRPr="005B5D17">
        <w:rPr>
          <w:rFonts w:ascii="Garamond" w:eastAsia="Garamond" w:hAnsi="Garamond" w:cs="Times New Roman"/>
        </w:rPr>
        <w:t xml:space="preserve"> sensitive to </w:t>
      </w:r>
      <w:r>
        <w:rPr>
          <w:rFonts w:ascii="Garamond" w:eastAsia="Garamond" w:hAnsi="Garamond" w:cs="Times New Roman"/>
        </w:rPr>
        <w:t>adverse</w:t>
      </w:r>
      <w:r w:rsidRPr="005B5D17">
        <w:rPr>
          <w:rFonts w:ascii="Garamond" w:eastAsia="Garamond" w:hAnsi="Garamond" w:cs="Times New Roman"/>
        </w:rPr>
        <w:t xml:space="preserve"> economic shocks.</w:t>
      </w:r>
      <w:r>
        <w:rPr>
          <w:rFonts w:ascii="Garamond" w:eastAsia="Garamond" w:hAnsi="Garamond" w:cs="Times New Roman"/>
        </w:rPr>
        <w:t xml:space="preserve"> </w:t>
      </w:r>
    </w:p>
    <w:p w:rsidR="00A46DCA" w:rsidRDefault="00A46DCA" w:rsidP="00A26D04">
      <w:pPr>
        <w:rPr>
          <w:rFonts w:ascii="Garamond" w:eastAsia="Garamond" w:hAnsi="Garamond" w:cs="Times New Roman"/>
        </w:rPr>
      </w:pPr>
      <w:r>
        <w:rPr>
          <w:rFonts w:ascii="Garamond" w:eastAsia="Garamond" w:hAnsi="Garamond" w:cs="Times New Roman"/>
        </w:rPr>
        <w:t>This section considers t</w:t>
      </w:r>
      <w:r w:rsidRPr="00307F6A">
        <w:rPr>
          <w:rFonts w:ascii="Garamond" w:eastAsia="Garamond" w:hAnsi="Garamond" w:cs="Times New Roman"/>
        </w:rPr>
        <w:t xml:space="preserve">hree scenarios: </w:t>
      </w:r>
    </w:p>
    <w:p w:rsidR="00A46DCA" w:rsidRDefault="00A46DCA" w:rsidP="00A26D04">
      <w:pPr>
        <w:pStyle w:val="ListBullet"/>
        <w:ind w:right="-227"/>
      </w:pPr>
      <w:r w:rsidRPr="00307F6A">
        <w:t>a negative trade shock to the world</w:t>
      </w:r>
      <w:r>
        <w:t>’</w:t>
      </w:r>
      <w:r w:rsidRPr="00307F6A">
        <w:t xml:space="preserve">s major trading economies – the United States (US), China and the European Union (EU); </w:t>
      </w:r>
    </w:p>
    <w:p w:rsidR="00A46DCA" w:rsidRDefault="00A46DCA" w:rsidP="00A26D04">
      <w:pPr>
        <w:pStyle w:val="ListBullet"/>
      </w:pPr>
      <w:r w:rsidRPr="00307F6A">
        <w:t xml:space="preserve">a positive shock to population growth in Victoria; and </w:t>
      </w:r>
    </w:p>
    <w:p w:rsidR="00A46DCA" w:rsidRDefault="00A46DCA" w:rsidP="00A26D04">
      <w:pPr>
        <w:pStyle w:val="ListBullet"/>
      </w:pPr>
      <w:r w:rsidRPr="00307F6A">
        <w:t>a positive shock</w:t>
      </w:r>
      <w:r>
        <w:t xml:space="preserve"> to</w:t>
      </w:r>
      <w:r w:rsidRPr="00307F6A">
        <w:t xml:space="preserve"> both population growth and Victoria</w:t>
      </w:r>
      <w:r>
        <w:t>’</w:t>
      </w:r>
      <w:r w:rsidRPr="00307F6A">
        <w:t>s labour force participation rate</w:t>
      </w:r>
      <w:r>
        <w:t>.</w:t>
      </w:r>
      <w:r w:rsidRPr="005B5D17">
        <w:rPr>
          <w:vertAlign w:val="superscript"/>
        </w:rPr>
        <w:footnoteReference w:id="2"/>
      </w:r>
      <w:r w:rsidRPr="00307F6A">
        <w:t xml:space="preserve"> </w:t>
      </w:r>
    </w:p>
    <w:p w:rsidR="00A46DCA" w:rsidRPr="00307F6A" w:rsidRDefault="00A46DCA" w:rsidP="00A26D04">
      <w:pPr>
        <w:rPr>
          <w:rFonts w:ascii="Garamond" w:eastAsia="Garamond" w:hAnsi="Garamond" w:cs="Times New Roman"/>
        </w:rPr>
      </w:pPr>
      <w:r w:rsidRPr="00307F6A">
        <w:rPr>
          <w:rFonts w:ascii="Garamond" w:eastAsia="Garamond" w:hAnsi="Garamond" w:cs="Times New Roman"/>
        </w:rPr>
        <w:t>The results generated in each scenario are mutually exclusive and non</w:t>
      </w:r>
      <w:r w:rsidRPr="00307F6A">
        <w:rPr>
          <w:rFonts w:ascii="Garamond" w:eastAsia="Garamond" w:hAnsi="Garamond" w:cs="Times New Roman"/>
        </w:rPr>
        <w:noBreakHyphen/>
        <w:t xml:space="preserve">additive. </w:t>
      </w:r>
    </w:p>
    <w:p w:rsidR="00A46DCA" w:rsidRPr="00CC1221" w:rsidRDefault="00A46DCA" w:rsidP="00A26D04">
      <w:pPr>
        <w:keepNext/>
        <w:spacing w:before="360"/>
        <w:outlineLvl w:val="0"/>
        <w:rPr>
          <w:rFonts w:ascii="Calibri" w:hAnsi="Calibri"/>
          <w:b/>
          <w:spacing w:val="-2"/>
          <w:sz w:val="26"/>
        </w:rPr>
      </w:pPr>
      <w:bookmarkStart w:id="99" w:name="_Toc481160582"/>
      <w:r w:rsidRPr="000803D4">
        <w:rPr>
          <w:rFonts w:ascii="Calibri" w:eastAsia="Times New Roman" w:hAnsi="Calibri" w:cs="Times New Roman"/>
          <w:b/>
          <w:bCs/>
          <w:spacing w:val="-2"/>
          <w:sz w:val="26"/>
          <w:szCs w:val="28"/>
        </w:rPr>
        <w:t>Sensitivity to</w:t>
      </w:r>
      <w:r w:rsidRPr="00CC1221">
        <w:rPr>
          <w:rFonts w:ascii="Calibri" w:hAnsi="Calibri"/>
          <w:b/>
          <w:spacing w:val="-2"/>
          <w:sz w:val="26"/>
        </w:rPr>
        <w:t xml:space="preserve"> global trade</w:t>
      </w:r>
      <w:bookmarkEnd w:id="99"/>
    </w:p>
    <w:p w:rsidR="00A46DCA" w:rsidRDefault="00A46DCA" w:rsidP="00A26D04">
      <w:pPr>
        <w:rPr>
          <w:rFonts w:ascii="Garamond" w:eastAsia="Garamond" w:hAnsi="Garamond" w:cs="Times New Roman"/>
        </w:rPr>
      </w:pPr>
      <w:r w:rsidRPr="00307F6A">
        <w:rPr>
          <w:rFonts w:ascii="Garamond" w:eastAsia="Garamond" w:hAnsi="Garamond" w:cs="Times New Roman"/>
        </w:rPr>
        <w:t>As a medium</w:t>
      </w:r>
      <w:r w:rsidRPr="00307F6A">
        <w:rPr>
          <w:rFonts w:ascii="Garamond" w:eastAsia="Garamond" w:hAnsi="Garamond" w:cs="Times New Roman"/>
        </w:rPr>
        <w:noBreakHyphen/>
        <w:t>sized open economy, Australia</w:t>
      </w:r>
      <w:r>
        <w:rPr>
          <w:rFonts w:ascii="Garamond" w:eastAsia="Garamond" w:hAnsi="Garamond" w:cs="Times New Roman"/>
        </w:rPr>
        <w:t>’</w:t>
      </w:r>
      <w:r w:rsidRPr="00307F6A">
        <w:rPr>
          <w:rFonts w:ascii="Garamond" w:eastAsia="Garamond" w:hAnsi="Garamond" w:cs="Times New Roman"/>
        </w:rPr>
        <w:t xml:space="preserve">s economic performance is </w:t>
      </w:r>
      <w:r>
        <w:rPr>
          <w:rFonts w:ascii="Garamond" w:eastAsia="Garamond" w:hAnsi="Garamond" w:cs="Times New Roman"/>
        </w:rPr>
        <w:t xml:space="preserve">vulnerable to shifts in </w:t>
      </w:r>
      <w:r w:rsidRPr="00307F6A">
        <w:rPr>
          <w:rFonts w:ascii="Garamond" w:eastAsia="Garamond" w:hAnsi="Garamond" w:cs="Times New Roman"/>
        </w:rPr>
        <w:t xml:space="preserve">economic </w:t>
      </w:r>
      <w:r>
        <w:rPr>
          <w:rFonts w:ascii="Garamond" w:eastAsia="Garamond" w:hAnsi="Garamond" w:cs="Times New Roman"/>
        </w:rPr>
        <w:t xml:space="preserve">and financial </w:t>
      </w:r>
      <w:r w:rsidRPr="00307F6A">
        <w:rPr>
          <w:rFonts w:ascii="Garamond" w:eastAsia="Garamond" w:hAnsi="Garamond" w:cs="Times New Roman"/>
        </w:rPr>
        <w:t xml:space="preserve">conditions abroad. </w:t>
      </w:r>
      <w:r>
        <w:rPr>
          <w:rFonts w:ascii="Garamond" w:eastAsia="Garamond" w:hAnsi="Garamond" w:cs="Times New Roman"/>
        </w:rPr>
        <w:t xml:space="preserve">A significant </w:t>
      </w:r>
      <w:r w:rsidRPr="00307F6A">
        <w:rPr>
          <w:rFonts w:ascii="Garamond" w:eastAsia="Garamond" w:hAnsi="Garamond" w:cs="Times New Roman"/>
        </w:rPr>
        <w:t xml:space="preserve">risk to </w:t>
      </w:r>
      <w:r>
        <w:rPr>
          <w:rFonts w:ascii="Garamond" w:eastAsia="Garamond" w:hAnsi="Garamond" w:cs="Times New Roman"/>
        </w:rPr>
        <w:t xml:space="preserve">Victoria’s economic </w:t>
      </w:r>
      <w:r w:rsidRPr="00307F6A">
        <w:rPr>
          <w:rFonts w:ascii="Garamond" w:eastAsia="Garamond" w:hAnsi="Garamond" w:cs="Times New Roman"/>
        </w:rPr>
        <w:t>outlook identified in Chapter 2</w:t>
      </w:r>
      <w:r>
        <w:rPr>
          <w:rFonts w:ascii="Garamond" w:eastAsia="Garamond" w:hAnsi="Garamond" w:cs="Times New Roman"/>
        </w:rPr>
        <w:t xml:space="preserve"> is t</w:t>
      </w:r>
      <w:r w:rsidRPr="00307F6A">
        <w:rPr>
          <w:rFonts w:ascii="Garamond" w:eastAsia="Garamond" w:hAnsi="Garamond" w:cs="Times New Roman"/>
        </w:rPr>
        <w:t xml:space="preserve">he rise in </w:t>
      </w:r>
      <w:r>
        <w:rPr>
          <w:rFonts w:ascii="Garamond" w:eastAsia="Garamond" w:hAnsi="Garamond" w:cs="Times New Roman"/>
        </w:rPr>
        <w:t xml:space="preserve">protectionist </w:t>
      </w:r>
      <w:r w:rsidRPr="00307F6A">
        <w:rPr>
          <w:rFonts w:ascii="Garamond" w:eastAsia="Garamond" w:hAnsi="Garamond" w:cs="Times New Roman"/>
        </w:rPr>
        <w:t xml:space="preserve">sentiment </w:t>
      </w:r>
      <w:r>
        <w:rPr>
          <w:rFonts w:ascii="Garamond" w:eastAsia="Garamond" w:hAnsi="Garamond" w:cs="Times New Roman"/>
        </w:rPr>
        <w:t xml:space="preserve">in some </w:t>
      </w:r>
      <w:r w:rsidRPr="00307F6A">
        <w:rPr>
          <w:rFonts w:ascii="Garamond" w:eastAsia="Garamond" w:hAnsi="Garamond" w:cs="Times New Roman"/>
        </w:rPr>
        <w:t xml:space="preserve">major economies. </w:t>
      </w:r>
    </w:p>
    <w:p w:rsidR="00A46DCA" w:rsidRPr="00307F6A" w:rsidRDefault="00A46DCA" w:rsidP="00A26D04">
      <w:pPr>
        <w:rPr>
          <w:rFonts w:ascii="Garamond" w:eastAsia="Garamond" w:hAnsi="Garamond" w:cs="Times New Roman"/>
        </w:rPr>
      </w:pPr>
      <w:r w:rsidRPr="00307F6A">
        <w:rPr>
          <w:rFonts w:ascii="Garamond" w:eastAsia="Garamond" w:hAnsi="Garamond" w:cs="Times New Roman"/>
        </w:rPr>
        <w:t xml:space="preserve">This scenario models a 10 percentage point rise in </w:t>
      </w:r>
      <w:r>
        <w:rPr>
          <w:rFonts w:ascii="Garamond" w:eastAsia="Garamond" w:hAnsi="Garamond" w:cs="Times New Roman"/>
        </w:rPr>
        <w:t xml:space="preserve">both </w:t>
      </w:r>
      <w:r w:rsidRPr="00307F6A">
        <w:rPr>
          <w:rFonts w:ascii="Garamond" w:eastAsia="Garamond" w:hAnsi="Garamond" w:cs="Times New Roman"/>
        </w:rPr>
        <w:t xml:space="preserve">the costs of </w:t>
      </w:r>
      <w:r>
        <w:rPr>
          <w:rFonts w:ascii="Garamond" w:eastAsia="Garamond" w:hAnsi="Garamond" w:cs="Times New Roman"/>
        </w:rPr>
        <w:t xml:space="preserve">Victoria’s </w:t>
      </w:r>
      <w:r w:rsidRPr="00307F6A">
        <w:rPr>
          <w:rFonts w:ascii="Garamond" w:eastAsia="Garamond" w:hAnsi="Garamond" w:cs="Times New Roman"/>
        </w:rPr>
        <w:t xml:space="preserve">goods </w:t>
      </w:r>
      <w:r>
        <w:rPr>
          <w:rFonts w:ascii="Garamond" w:eastAsia="Garamond" w:hAnsi="Garamond" w:cs="Times New Roman"/>
        </w:rPr>
        <w:t xml:space="preserve">exported to </w:t>
      </w:r>
      <w:r w:rsidRPr="00307F6A">
        <w:rPr>
          <w:rFonts w:ascii="Garamond" w:eastAsia="Garamond" w:hAnsi="Garamond" w:cs="Times New Roman"/>
        </w:rPr>
        <w:t>the US, China and the EU</w:t>
      </w:r>
      <w:r>
        <w:rPr>
          <w:rFonts w:ascii="Garamond" w:eastAsia="Garamond" w:hAnsi="Garamond" w:cs="Times New Roman"/>
        </w:rPr>
        <w:t>, and to goods imported into Victoria from those economies</w:t>
      </w:r>
      <w:r w:rsidRPr="00307F6A">
        <w:rPr>
          <w:rFonts w:ascii="Garamond" w:eastAsia="Garamond" w:hAnsi="Garamond" w:cs="Times New Roman"/>
        </w:rPr>
        <w:t>.</w:t>
      </w:r>
      <w:r w:rsidRPr="00307F6A">
        <w:rPr>
          <w:rFonts w:ascii="Garamond" w:eastAsia="Garamond" w:hAnsi="Garamond" w:cs="Times New Roman"/>
          <w:vertAlign w:val="superscript"/>
        </w:rPr>
        <w:footnoteReference w:id="3"/>
      </w:r>
      <w:r w:rsidRPr="00307F6A">
        <w:rPr>
          <w:rFonts w:ascii="Garamond" w:eastAsia="Garamond" w:hAnsi="Garamond" w:cs="Times New Roman"/>
        </w:rPr>
        <w:t xml:space="preserve"> Th</w:t>
      </w:r>
      <w:r>
        <w:rPr>
          <w:rFonts w:ascii="Garamond" w:eastAsia="Garamond" w:hAnsi="Garamond" w:cs="Times New Roman"/>
        </w:rPr>
        <w:t xml:space="preserve">is </w:t>
      </w:r>
      <w:r w:rsidRPr="00307F6A">
        <w:rPr>
          <w:rFonts w:ascii="Garamond" w:eastAsia="Garamond" w:hAnsi="Garamond" w:cs="Times New Roman"/>
        </w:rPr>
        <w:t xml:space="preserve">change in the terms of trade </w:t>
      </w:r>
      <w:r>
        <w:rPr>
          <w:rFonts w:ascii="Garamond" w:eastAsia="Garamond" w:hAnsi="Garamond" w:cs="Times New Roman"/>
        </w:rPr>
        <w:t>has been</w:t>
      </w:r>
      <w:r w:rsidRPr="00307F6A">
        <w:rPr>
          <w:rFonts w:ascii="Garamond" w:eastAsia="Garamond" w:hAnsi="Garamond" w:cs="Times New Roman"/>
        </w:rPr>
        <w:t xml:space="preserve"> applied in</w:t>
      </w:r>
      <w:r>
        <w:rPr>
          <w:rFonts w:ascii="Garamond" w:eastAsia="Garamond" w:hAnsi="Garamond" w:cs="Times New Roman"/>
        </w:rPr>
        <w:t xml:space="preserve"> the Victoria University Regional Model</w:t>
      </w:r>
      <w:r w:rsidRPr="00307F6A">
        <w:rPr>
          <w:rFonts w:ascii="Garamond" w:eastAsia="Garamond" w:hAnsi="Garamond" w:cs="Times New Roman"/>
        </w:rPr>
        <w:t xml:space="preserve"> </w:t>
      </w:r>
      <w:r>
        <w:rPr>
          <w:rFonts w:ascii="Garamond" w:eastAsia="Garamond" w:hAnsi="Garamond" w:cs="Times New Roman"/>
        </w:rPr>
        <w:t>(</w:t>
      </w:r>
      <w:r w:rsidRPr="00307F6A">
        <w:rPr>
          <w:rFonts w:ascii="Garamond" w:eastAsia="Garamond" w:hAnsi="Garamond" w:cs="Times New Roman"/>
        </w:rPr>
        <w:t>VURM</w:t>
      </w:r>
      <w:r>
        <w:rPr>
          <w:rFonts w:ascii="Garamond" w:eastAsia="Garamond" w:hAnsi="Garamond" w:cs="Times New Roman"/>
        </w:rPr>
        <w:t>)</w:t>
      </w:r>
      <w:r w:rsidRPr="00307F6A">
        <w:rPr>
          <w:rFonts w:ascii="Garamond" w:eastAsia="Garamond" w:hAnsi="Garamond" w:cs="Times New Roman"/>
        </w:rPr>
        <w:t xml:space="preserve"> – a computable general equilibrium model of the Australian states and territories</w:t>
      </w:r>
      <w:r>
        <w:rPr>
          <w:rFonts w:ascii="Garamond" w:eastAsia="Garamond" w:hAnsi="Garamond" w:cs="Times New Roman"/>
        </w:rPr>
        <w:t xml:space="preserve">. The modelling yields a </w:t>
      </w:r>
      <w:r w:rsidRPr="00307F6A">
        <w:rPr>
          <w:rFonts w:ascii="Garamond" w:eastAsia="Garamond" w:hAnsi="Garamond" w:cs="Times New Roman"/>
        </w:rPr>
        <w:t>13 per cent decline, on average, in demand for Victoria</w:t>
      </w:r>
      <w:r>
        <w:rPr>
          <w:rFonts w:ascii="Garamond" w:eastAsia="Garamond" w:hAnsi="Garamond" w:cs="Times New Roman"/>
        </w:rPr>
        <w:t>’s</w:t>
      </w:r>
      <w:r w:rsidRPr="00307F6A">
        <w:rPr>
          <w:rFonts w:ascii="Garamond" w:eastAsia="Garamond" w:hAnsi="Garamond" w:cs="Times New Roman"/>
        </w:rPr>
        <w:t xml:space="preserve"> exports.</w:t>
      </w:r>
    </w:p>
    <w:p w:rsidR="00A46DCA" w:rsidRDefault="00A46DCA" w:rsidP="00A26D04">
      <w:pPr>
        <w:rPr>
          <w:rFonts w:ascii="Garamond" w:eastAsia="Garamond" w:hAnsi="Garamond" w:cs="Times New Roman"/>
        </w:rPr>
      </w:pPr>
      <w:r w:rsidRPr="00307F6A">
        <w:rPr>
          <w:rFonts w:ascii="Garamond" w:eastAsia="Garamond" w:hAnsi="Garamond" w:cs="Times New Roman"/>
        </w:rPr>
        <w:t xml:space="preserve">Table </w:t>
      </w:r>
      <w:r>
        <w:rPr>
          <w:rFonts w:ascii="Garamond" w:eastAsia="Garamond" w:hAnsi="Garamond" w:cs="Times New Roman"/>
        </w:rPr>
        <w:t>D</w:t>
      </w:r>
      <w:r w:rsidRPr="00307F6A">
        <w:rPr>
          <w:rFonts w:ascii="Garamond" w:eastAsia="Garamond" w:hAnsi="Garamond" w:cs="Times New Roman"/>
        </w:rPr>
        <w:t xml:space="preserve">.2 </w:t>
      </w:r>
      <w:r>
        <w:rPr>
          <w:rFonts w:ascii="Garamond" w:eastAsia="Garamond" w:hAnsi="Garamond" w:cs="Times New Roman"/>
        </w:rPr>
        <w:t>summarises</w:t>
      </w:r>
      <w:r w:rsidRPr="00307F6A">
        <w:rPr>
          <w:rFonts w:ascii="Garamond" w:eastAsia="Garamond" w:hAnsi="Garamond" w:cs="Times New Roman"/>
        </w:rPr>
        <w:t xml:space="preserve"> the effects </w:t>
      </w:r>
      <w:r>
        <w:rPr>
          <w:rFonts w:ascii="Garamond" w:eastAsia="Garamond" w:hAnsi="Garamond" w:cs="Times New Roman"/>
        </w:rPr>
        <w:t xml:space="preserve">of this scenario </w:t>
      </w:r>
      <w:r w:rsidRPr="00307F6A">
        <w:rPr>
          <w:rFonts w:ascii="Garamond" w:eastAsia="Garamond" w:hAnsi="Garamond" w:cs="Times New Roman"/>
        </w:rPr>
        <w:t xml:space="preserve">on major </w:t>
      </w:r>
      <w:r>
        <w:rPr>
          <w:rFonts w:ascii="Garamond" w:eastAsia="Garamond" w:hAnsi="Garamond" w:cs="Times New Roman"/>
        </w:rPr>
        <w:t xml:space="preserve">Victorian </w:t>
      </w:r>
      <w:r w:rsidRPr="00307F6A">
        <w:rPr>
          <w:rFonts w:ascii="Garamond" w:eastAsia="Garamond" w:hAnsi="Garamond" w:cs="Times New Roman"/>
        </w:rPr>
        <w:t xml:space="preserve">economic parameters. </w:t>
      </w:r>
      <w:r>
        <w:rPr>
          <w:rFonts w:ascii="Garamond" w:eastAsia="Garamond" w:hAnsi="Garamond" w:cs="Times New Roman"/>
        </w:rPr>
        <w:t>G</w:t>
      </w:r>
      <w:r w:rsidRPr="00307F6A">
        <w:rPr>
          <w:rFonts w:ascii="Garamond" w:eastAsia="Garamond" w:hAnsi="Garamond" w:cs="Times New Roman"/>
        </w:rPr>
        <w:t>rowth in real gross state product (GSP) is lower</w:t>
      </w:r>
      <w:r>
        <w:rPr>
          <w:rFonts w:ascii="Garamond" w:eastAsia="Garamond" w:hAnsi="Garamond" w:cs="Times New Roman"/>
        </w:rPr>
        <w:t>,</w:t>
      </w:r>
      <w:r w:rsidRPr="00307F6A">
        <w:rPr>
          <w:rFonts w:ascii="Garamond" w:eastAsia="Garamond" w:hAnsi="Garamond" w:cs="Times New Roman"/>
        </w:rPr>
        <w:t xml:space="preserve"> </w:t>
      </w:r>
      <w:r>
        <w:rPr>
          <w:rFonts w:ascii="Garamond" w:eastAsia="Garamond" w:hAnsi="Garamond" w:cs="Times New Roman"/>
        </w:rPr>
        <w:t xml:space="preserve">reflecting </w:t>
      </w:r>
      <w:r w:rsidRPr="00307F6A">
        <w:rPr>
          <w:rFonts w:ascii="Garamond" w:eastAsia="Garamond" w:hAnsi="Garamond" w:cs="Times New Roman"/>
        </w:rPr>
        <w:t>a fall in the terms of trade</w:t>
      </w:r>
      <w:r>
        <w:rPr>
          <w:rFonts w:ascii="Garamond" w:eastAsia="Garamond" w:hAnsi="Garamond" w:cs="Times New Roman"/>
        </w:rPr>
        <w:t xml:space="preserve"> associated </w:t>
      </w:r>
      <w:r w:rsidRPr="00307F6A">
        <w:rPr>
          <w:rFonts w:ascii="Garamond" w:eastAsia="Garamond" w:hAnsi="Garamond" w:cs="Times New Roman"/>
        </w:rPr>
        <w:t>with weaker demand</w:t>
      </w:r>
      <w:r>
        <w:rPr>
          <w:rFonts w:ascii="Garamond" w:eastAsia="Garamond" w:hAnsi="Garamond" w:cs="Times New Roman"/>
        </w:rPr>
        <w:t xml:space="preserve"> for Victoria’s exports. </w:t>
      </w:r>
      <w:r w:rsidRPr="00307F6A">
        <w:rPr>
          <w:rFonts w:ascii="Garamond" w:eastAsia="Garamond" w:hAnsi="Garamond" w:cs="Times New Roman"/>
        </w:rPr>
        <w:t>Slower wage</w:t>
      </w:r>
      <w:r>
        <w:rPr>
          <w:rFonts w:ascii="Garamond" w:eastAsia="Garamond" w:hAnsi="Garamond" w:cs="Times New Roman"/>
        </w:rPr>
        <w:t>s</w:t>
      </w:r>
      <w:r w:rsidRPr="00307F6A">
        <w:rPr>
          <w:rFonts w:ascii="Garamond" w:eastAsia="Garamond" w:hAnsi="Garamond" w:cs="Times New Roman"/>
        </w:rPr>
        <w:t xml:space="preserve"> growth is in line with softer labour market </w:t>
      </w:r>
      <w:r>
        <w:rPr>
          <w:rFonts w:ascii="Garamond" w:eastAsia="Garamond" w:hAnsi="Garamond" w:cs="Times New Roman"/>
        </w:rPr>
        <w:t xml:space="preserve">and broader economic </w:t>
      </w:r>
      <w:r w:rsidRPr="00307F6A">
        <w:rPr>
          <w:rFonts w:ascii="Garamond" w:eastAsia="Garamond" w:hAnsi="Garamond" w:cs="Times New Roman"/>
        </w:rPr>
        <w:t xml:space="preserve">conditions. </w:t>
      </w:r>
      <w:r>
        <w:rPr>
          <w:rFonts w:ascii="Garamond" w:eastAsia="Garamond" w:hAnsi="Garamond" w:cs="Times New Roman"/>
        </w:rPr>
        <w:t>The indirect effects of increases in prices of imported goods results in higher consumer price inflation. D</w:t>
      </w:r>
      <w:r w:rsidRPr="00307F6A">
        <w:rPr>
          <w:rFonts w:ascii="Garamond" w:eastAsia="Garamond" w:hAnsi="Garamond" w:cs="Times New Roman"/>
        </w:rPr>
        <w:t>omestic demand moves away from imported goods and services, towards domestic</w:t>
      </w:r>
      <w:r>
        <w:rPr>
          <w:rFonts w:ascii="Garamond" w:eastAsia="Garamond" w:hAnsi="Garamond" w:cs="Times New Roman"/>
        </w:rPr>
        <w:t>ally produced</w:t>
      </w:r>
      <w:r w:rsidRPr="00307F6A">
        <w:rPr>
          <w:rFonts w:ascii="Garamond" w:eastAsia="Garamond" w:hAnsi="Garamond" w:cs="Times New Roman"/>
        </w:rPr>
        <w:t xml:space="preserve"> goods and services, although this does not fully offset the decline in demand.</w:t>
      </w:r>
      <w:r w:rsidRPr="00307F6A">
        <w:rPr>
          <w:rFonts w:ascii="Garamond" w:eastAsia="Garamond" w:hAnsi="Garamond" w:cs="Times New Roman"/>
          <w:vertAlign w:val="superscript"/>
        </w:rPr>
        <w:footnoteReference w:id="4"/>
      </w:r>
    </w:p>
    <w:p w:rsidR="00A46DCA" w:rsidRPr="00442C0B" w:rsidRDefault="00A46DCA" w:rsidP="00A26D04">
      <w:pPr>
        <w:keepNext/>
        <w:tabs>
          <w:tab w:val="left" w:pos="1134"/>
          <w:tab w:val="right" w:pos="7710"/>
        </w:tabs>
        <w:spacing w:before="240" w:after="60"/>
        <w:ind w:left="1134" w:hanging="1134"/>
        <w:rPr>
          <w:rFonts w:ascii="Calibri" w:eastAsia="Calibri" w:hAnsi="Calibri" w:cs="Times New Roman"/>
        </w:rPr>
      </w:pPr>
      <w:r w:rsidRPr="00442C0B">
        <w:rPr>
          <w:rFonts w:ascii="Calibri" w:eastAsia="Garamond" w:hAnsi="Calibri" w:cs="Times New Roman"/>
          <w:b/>
          <w:sz w:val="20"/>
          <w:szCs w:val="20"/>
        </w:rPr>
        <w:lastRenderedPageBreak/>
        <w:t>Table D.2:</w:t>
      </w:r>
      <w:r w:rsidRPr="00442C0B">
        <w:rPr>
          <w:rFonts w:ascii="Calibri" w:eastAsia="Garamond" w:hAnsi="Calibri" w:cs="Times New Roman"/>
          <w:b/>
          <w:sz w:val="20"/>
          <w:szCs w:val="20"/>
        </w:rPr>
        <w:tab/>
        <w:t>Economic impact of a global trade shock</w:t>
      </w:r>
      <w:r>
        <w:rPr>
          <w:rFonts w:ascii="Calibri" w:eastAsia="Garamond" w:hAnsi="Calibri" w:cs="Times New Roman"/>
          <w:b/>
          <w:sz w:val="20"/>
          <w:szCs w:val="20"/>
        </w:rPr>
        <w:t xml:space="preserve"> </w:t>
      </w:r>
      <w:r w:rsidRPr="009D5EF6">
        <w:rPr>
          <w:rFonts w:ascii="Calibri" w:eastAsia="Garamond" w:hAnsi="Calibri" w:cs="Times New Roman"/>
          <w:b/>
          <w:sz w:val="20"/>
          <w:szCs w:val="20"/>
          <w:vertAlign w:val="superscript"/>
        </w:rPr>
        <w:t>(a)</w:t>
      </w:r>
      <w:r w:rsidRPr="00442C0B">
        <w:rPr>
          <w:rFonts w:ascii="Calibri" w:eastAsia="Garamond" w:hAnsi="Calibri" w:cs="Times New Roman"/>
          <w:b/>
          <w:sz w:val="20"/>
          <w:szCs w:val="20"/>
        </w:rPr>
        <w:tab/>
        <w:t>(per cent)</w:t>
      </w:r>
      <w:r w:rsidRPr="00442C0B">
        <w:rPr>
          <w:rFonts w:ascii="Calibri" w:eastAsia="Calibri" w:hAnsi="Calibri" w:cs="Times New Roman"/>
        </w:rPr>
        <w:t xml:space="preserve"> </w:t>
      </w:r>
    </w:p>
    <w:tbl>
      <w:tblPr>
        <w:tblStyle w:val="DTFTable"/>
        <w:tblW w:w="7765" w:type="dxa"/>
        <w:tblInd w:w="45" w:type="dxa"/>
        <w:tblLayout w:type="fixed"/>
        <w:tblCellMar>
          <w:left w:w="45" w:type="dxa"/>
          <w:right w:w="45" w:type="dxa"/>
        </w:tblCellMar>
        <w:tblLook w:val="06A0" w:firstRow="1" w:lastRow="0" w:firstColumn="1" w:lastColumn="0" w:noHBand="1" w:noVBand="1"/>
      </w:tblPr>
      <w:tblGrid>
        <w:gridCol w:w="4253"/>
        <w:gridCol w:w="878"/>
        <w:gridCol w:w="878"/>
        <w:gridCol w:w="878"/>
        <w:gridCol w:w="878"/>
      </w:tblGrid>
      <w:tr w:rsidR="00A26D04" w:rsidRPr="00121696" w:rsidTr="004906A4">
        <w:trPr>
          <w:cnfStyle w:val="100000000000" w:firstRow="1" w:lastRow="0" w:firstColumn="0" w:lastColumn="0" w:oddVBand="0" w:evenVBand="0" w:oddHBand="0" w:evenHBand="0" w:firstRowFirstColumn="0" w:firstRowLastColumn="0" w:lastRowFirstColumn="0" w:lastRowLastColumn="0"/>
          <w:trHeight w:val="66"/>
          <w:tblHeader/>
        </w:trPr>
        <w:tc>
          <w:tcPr>
            <w:cnfStyle w:val="001000000000" w:firstRow="0" w:lastRow="0" w:firstColumn="1" w:lastColumn="0" w:oddVBand="0" w:evenVBand="0" w:oddHBand="0" w:evenHBand="0" w:firstRowFirstColumn="0" w:firstRowLastColumn="0" w:lastRowFirstColumn="0" w:lastRowLastColumn="0"/>
            <w:tcW w:w="4253" w:type="dxa"/>
            <w:tcBorders>
              <w:top w:val="nil"/>
              <w:left w:val="nil"/>
              <w:right w:val="nil"/>
            </w:tcBorders>
            <w:shd w:val="clear" w:color="000000" w:fill="000000"/>
            <w:vAlign w:val="center"/>
            <w:hideMark/>
          </w:tcPr>
          <w:p w:rsidR="00A26D04" w:rsidRPr="00121696" w:rsidRDefault="00A26D04" w:rsidP="007A7C8C">
            <w:pPr>
              <w:rPr>
                <w:i w:val="0"/>
                <w:lang w:eastAsia="en-AU"/>
              </w:rPr>
            </w:pPr>
            <w:r w:rsidRPr="00121696">
              <w:rPr>
                <w:lang w:eastAsia="en-AU"/>
              </w:rPr>
              <w:t xml:space="preserve">  </w:t>
            </w:r>
          </w:p>
        </w:tc>
        <w:tc>
          <w:tcPr>
            <w:tcW w:w="878" w:type="dxa"/>
            <w:tcBorders>
              <w:top w:val="nil"/>
              <w:left w:val="nil"/>
              <w:right w:val="nil"/>
            </w:tcBorders>
            <w:shd w:val="clear" w:color="000000" w:fill="000000"/>
            <w:vAlign w:val="center"/>
            <w:hideMark/>
          </w:tcPr>
          <w:p w:rsidR="00A26D04" w:rsidRPr="00121696" w:rsidRDefault="00A26D04" w:rsidP="00A26D04">
            <w:pPr>
              <w:keepNext/>
              <w:keepLines w:val="0"/>
              <w:ind w:firstLineChars="100" w:firstLine="170"/>
              <w:cnfStyle w:val="100000000000" w:firstRow="1" w:lastRow="0" w:firstColumn="0" w:lastColumn="0" w:oddVBand="0" w:evenVBand="0" w:oddHBand="0" w:evenHBand="0" w:firstRowFirstColumn="0" w:firstRowLastColumn="0" w:lastRowFirstColumn="0" w:lastRowLastColumn="0"/>
              <w:rPr>
                <w:rFonts w:eastAsia="Times New Roman" w:cs="Times New Roman"/>
                <w:iCs/>
                <w:color w:val="FFFFFF"/>
                <w:szCs w:val="14"/>
                <w:lang w:eastAsia="en-AU"/>
              </w:rPr>
            </w:pPr>
            <w:r w:rsidRPr="00121696">
              <w:rPr>
                <w:rFonts w:eastAsia="Times New Roman" w:cs="Times New Roman"/>
                <w:iCs/>
                <w:color w:val="FFFFFF"/>
                <w:szCs w:val="14"/>
                <w:lang w:eastAsia="en-AU"/>
              </w:rPr>
              <w:t xml:space="preserve">2017-18 </w:t>
            </w:r>
            <w:r>
              <w:rPr>
                <w:rFonts w:eastAsia="Times New Roman" w:cs="Times New Roman"/>
                <w:iCs/>
                <w:color w:val="FFFFFF"/>
                <w:szCs w:val="14"/>
                <w:lang w:eastAsia="en-AU"/>
              </w:rPr>
              <w:br/>
            </w:r>
            <w:r w:rsidRPr="00121696">
              <w:rPr>
                <w:rFonts w:eastAsia="Times New Roman" w:cs="Times New Roman"/>
                <w:iCs/>
                <w:color w:val="FFFFFF"/>
                <w:szCs w:val="14"/>
                <w:lang w:eastAsia="en-AU"/>
              </w:rPr>
              <w:t>estimate</w:t>
            </w:r>
          </w:p>
        </w:tc>
        <w:tc>
          <w:tcPr>
            <w:tcW w:w="878" w:type="dxa"/>
            <w:tcBorders>
              <w:top w:val="nil"/>
              <w:left w:val="nil"/>
              <w:right w:val="nil"/>
            </w:tcBorders>
            <w:shd w:val="clear" w:color="000000" w:fill="000000"/>
            <w:vAlign w:val="center"/>
            <w:hideMark/>
          </w:tcPr>
          <w:p w:rsidR="00A26D04" w:rsidRPr="00121696" w:rsidRDefault="00A26D04" w:rsidP="00A26D04">
            <w:pPr>
              <w:keepNext/>
              <w:keepLines w:val="0"/>
              <w:ind w:firstLineChars="100" w:firstLine="170"/>
              <w:cnfStyle w:val="100000000000" w:firstRow="1" w:lastRow="0" w:firstColumn="0" w:lastColumn="0" w:oddVBand="0" w:evenVBand="0" w:oddHBand="0" w:evenHBand="0" w:firstRowFirstColumn="0" w:firstRowLastColumn="0" w:lastRowFirstColumn="0" w:lastRowLastColumn="0"/>
              <w:rPr>
                <w:rFonts w:eastAsia="Times New Roman" w:cs="Times New Roman"/>
                <w:iCs/>
                <w:color w:val="FFFFFF"/>
                <w:szCs w:val="14"/>
                <w:lang w:eastAsia="en-AU"/>
              </w:rPr>
            </w:pPr>
            <w:r w:rsidRPr="00121696">
              <w:rPr>
                <w:rFonts w:eastAsia="Times New Roman" w:cs="Times New Roman"/>
                <w:iCs/>
                <w:color w:val="FFFFFF"/>
                <w:szCs w:val="14"/>
                <w:lang w:eastAsia="en-AU"/>
              </w:rPr>
              <w:t xml:space="preserve">2018-19 </w:t>
            </w:r>
            <w:r>
              <w:rPr>
                <w:rFonts w:eastAsia="Times New Roman" w:cs="Times New Roman"/>
                <w:iCs/>
                <w:color w:val="FFFFFF"/>
                <w:szCs w:val="14"/>
                <w:lang w:eastAsia="en-AU"/>
              </w:rPr>
              <w:br/>
            </w:r>
            <w:r w:rsidRPr="00121696">
              <w:rPr>
                <w:rFonts w:eastAsia="Times New Roman" w:cs="Times New Roman"/>
                <w:iCs/>
                <w:color w:val="FFFFFF"/>
                <w:szCs w:val="14"/>
                <w:lang w:eastAsia="en-AU"/>
              </w:rPr>
              <w:t>estimate</w:t>
            </w:r>
          </w:p>
        </w:tc>
        <w:tc>
          <w:tcPr>
            <w:tcW w:w="878" w:type="dxa"/>
            <w:tcBorders>
              <w:top w:val="nil"/>
              <w:left w:val="nil"/>
              <w:right w:val="nil"/>
            </w:tcBorders>
            <w:shd w:val="clear" w:color="000000" w:fill="000000"/>
            <w:vAlign w:val="center"/>
            <w:hideMark/>
          </w:tcPr>
          <w:p w:rsidR="00A26D04" w:rsidRPr="00121696" w:rsidRDefault="00A26D04" w:rsidP="00A26D04">
            <w:pPr>
              <w:keepNext/>
              <w:keepLines w:val="0"/>
              <w:ind w:firstLineChars="100" w:firstLine="170"/>
              <w:cnfStyle w:val="100000000000" w:firstRow="1" w:lastRow="0" w:firstColumn="0" w:lastColumn="0" w:oddVBand="0" w:evenVBand="0" w:oddHBand="0" w:evenHBand="0" w:firstRowFirstColumn="0" w:firstRowLastColumn="0" w:lastRowFirstColumn="0" w:lastRowLastColumn="0"/>
              <w:rPr>
                <w:rFonts w:eastAsia="Times New Roman" w:cs="Times New Roman"/>
                <w:iCs/>
                <w:color w:val="FFFFFF"/>
                <w:szCs w:val="14"/>
                <w:lang w:eastAsia="en-AU"/>
              </w:rPr>
            </w:pPr>
            <w:r w:rsidRPr="00121696">
              <w:rPr>
                <w:rFonts w:eastAsia="Times New Roman" w:cs="Times New Roman"/>
                <w:iCs/>
                <w:color w:val="FFFFFF"/>
                <w:szCs w:val="14"/>
                <w:lang w:eastAsia="en-AU"/>
              </w:rPr>
              <w:t>2019-20</w:t>
            </w:r>
            <w:r>
              <w:rPr>
                <w:rFonts w:eastAsia="Times New Roman" w:cs="Times New Roman"/>
                <w:iCs/>
                <w:color w:val="FFFFFF"/>
                <w:szCs w:val="14"/>
                <w:lang w:eastAsia="en-AU"/>
              </w:rPr>
              <w:br/>
            </w:r>
            <w:r w:rsidRPr="00121696">
              <w:rPr>
                <w:rFonts w:eastAsia="Times New Roman" w:cs="Times New Roman"/>
                <w:iCs/>
                <w:color w:val="FFFFFF"/>
                <w:szCs w:val="14"/>
                <w:lang w:eastAsia="en-AU"/>
              </w:rPr>
              <w:t xml:space="preserve"> estimate</w:t>
            </w:r>
          </w:p>
        </w:tc>
        <w:tc>
          <w:tcPr>
            <w:tcW w:w="878" w:type="dxa"/>
            <w:tcBorders>
              <w:top w:val="nil"/>
              <w:left w:val="nil"/>
              <w:right w:val="nil"/>
            </w:tcBorders>
            <w:shd w:val="clear" w:color="000000" w:fill="000000"/>
            <w:vAlign w:val="center"/>
            <w:hideMark/>
          </w:tcPr>
          <w:p w:rsidR="00A26D04" w:rsidRPr="00121696" w:rsidRDefault="00A26D04" w:rsidP="00A26D04">
            <w:pPr>
              <w:keepNext/>
              <w:keepLines w:val="0"/>
              <w:ind w:firstLineChars="100" w:firstLine="170"/>
              <w:cnfStyle w:val="100000000000" w:firstRow="1" w:lastRow="0" w:firstColumn="0" w:lastColumn="0" w:oddVBand="0" w:evenVBand="0" w:oddHBand="0" w:evenHBand="0" w:firstRowFirstColumn="0" w:firstRowLastColumn="0" w:lastRowFirstColumn="0" w:lastRowLastColumn="0"/>
              <w:rPr>
                <w:rFonts w:eastAsia="Times New Roman" w:cs="Times New Roman"/>
                <w:iCs/>
                <w:color w:val="FFFFFF"/>
                <w:szCs w:val="14"/>
                <w:lang w:eastAsia="en-AU"/>
              </w:rPr>
            </w:pPr>
            <w:r w:rsidRPr="00121696">
              <w:rPr>
                <w:rFonts w:eastAsia="Times New Roman" w:cs="Times New Roman"/>
                <w:iCs/>
                <w:color w:val="FFFFFF"/>
                <w:szCs w:val="14"/>
                <w:lang w:eastAsia="en-AU"/>
              </w:rPr>
              <w:t xml:space="preserve">2020-21 </w:t>
            </w:r>
            <w:r>
              <w:rPr>
                <w:rFonts w:eastAsia="Times New Roman" w:cs="Times New Roman"/>
                <w:iCs/>
                <w:color w:val="FFFFFF"/>
                <w:szCs w:val="14"/>
                <w:lang w:eastAsia="en-AU"/>
              </w:rPr>
              <w:br/>
            </w:r>
            <w:r w:rsidRPr="00121696">
              <w:rPr>
                <w:rFonts w:eastAsia="Times New Roman" w:cs="Times New Roman"/>
                <w:iCs/>
                <w:color w:val="FFFFFF"/>
                <w:szCs w:val="14"/>
                <w:lang w:eastAsia="en-AU"/>
              </w:rPr>
              <w:t>estimate</w:t>
            </w:r>
          </w:p>
        </w:tc>
      </w:tr>
      <w:tr w:rsidR="00A46DCA" w:rsidRPr="00121696" w:rsidTr="00A26D04">
        <w:tc>
          <w:tcPr>
            <w:cnfStyle w:val="001000000000" w:firstRow="0" w:lastRow="0" w:firstColumn="1" w:lastColumn="0" w:oddVBand="0" w:evenVBand="0" w:oddHBand="0" w:evenHBand="0" w:firstRowFirstColumn="0" w:firstRowLastColumn="0" w:lastRowFirstColumn="0" w:lastRowLastColumn="0"/>
            <w:tcW w:w="4253" w:type="dxa"/>
            <w:tcBorders>
              <w:top w:val="nil"/>
              <w:left w:val="nil"/>
              <w:bottom w:val="nil"/>
              <w:right w:val="nil"/>
            </w:tcBorders>
            <w:shd w:val="clear" w:color="auto" w:fill="auto"/>
            <w:vAlign w:val="center"/>
            <w:hideMark/>
          </w:tcPr>
          <w:p w:rsidR="00A46DCA" w:rsidRPr="00121696" w:rsidRDefault="00A46DCA" w:rsidP="00A26D04">
            <w:pPr>
              <w:keepNext/>
              <w:keepLines w:val="0"/>
              <w:ind w:left="0" w:firstLine="0"/>
              <w:rPr>
                <w:rFonts w:eastAsia="Times New Roman" w:cs="Times New Roman"/>
                <w:color w:val="000000"/>
                <w:szCs w:val="14"/>
                <w:lang w:eastAsia="en-AU"/>
              </w:rPr>
            </w:pPr>
            <w:r w:rsidRPr="00121696">
              <w:rPr>
                <w:rFonts w:eastAsia="Times New Roman" w:cs="Times New Roman"/>
                <w:color w:val="000000"/>
                <w:szCs w:val="14"/>
                <w:lang w:eastAsia="en-AU"/>
              </w:rPr>
              <w:t>Real GSP</w:t>
            </w:r>
          </w:p>
        </w:tc>
        <w:tc>
          <w:tcPr>
            <w:tcW w:w="878" w:type="dxa"/>
            <w:tcBorders>
              <w:top w:val="nil"/>
              <w:left w:val="nil"/>
              <w:bottom w:val="nil"/>
              <w:right w:val="nil"/>
            </w:tcBorders>
            <w:shd w:val="clear" w:color="auto" w:fill="auto"/>
            <w:vAlign w:val="center"/>
            <w:hideMark/>
          </w:tcPr>
          <w:p w:rsidR="00A46DCA" w:rsidRPr="00121696" w:rsidRDefault="00A46DCA" w:rsidP="00A26D04">
            <w:pPr>
              <w:keepNext/>
              <w:keepLines w:val="0"/>
              <w:ind w:firstLineChars="100" w:firstLine="170"/>
              <w:cnfStyle w:val="000000000000" w:firstRow="0" w:lastRow="0" w:firstColumn="0" w:lastColumn="0" w:oddVBand="0" w:evenVBand="0" w:oddHBand="0" w:evenHBand="0" w:firstRowFirstColumn="0" w:firstRowLastColumn="0" w:lastRowFirstColumn="0" w:lastRowLastColumn="0"/>
              <w:rPr>
                <w:rFonts w:eastAsia="Calibri" w:cs="Times New Roman"/>
                <w:color w:val="000000"/>
                <w:szCs w:val="14"/>
              </w:rPr>
            </w:pPr>
            <w:r w:rsidRPr="00121696">
              <w:rPr>
                <w:rFonts w:eastAsia="Calibri" w:cs="Times New Roman"/>
                <w:color w:val="000000"/>
                <w:szCs w:val="14"/>
              </w:rPr>
              <w:t>(0.17)</w:t>
            </w:r>
          </w:p>
        </w:tc>
        <w:tc>
          <w:tcPr>
            <w:tcW w:w="878" w:type="dxa"/>
            <w:tcBorders>
              <w:top w:val="nil"/>
              <w:left w:val="nil"/>
              <w:bottom w:val="nil"/>
              <w:right w:val="nil"/>
            </w:tcBorders>
            <w:shd w:val="clear" w:color="auto" w:fill="auto"/>
            <w:vAlign w:val="center"/>
            <w:hideMark/>
          </w:tcPr>
          <w:p w:rsidR="00A46DCA" w:rsidRPr="00121696" w:rsidRDefault="00A46DCA" w:rsidP="00A26D04">
            <w:pPr>
              <w:keepNext/>
              <w:keepLines w:val="0"/>
              <w:ind w:firstLineChars="100" w:firstLine="170"/>
              <w:cnfStyle w:val="000000000000" w:firstRow="0" w:lastRow="0" w:firstColumn="0" w:lastColumn="0" w:oddVBand="0" w:evenVBand="0" w:oddHBand="0" w:evenHBand="0" w:firstRowFirstColumn="0" w:firstRowLastColumn="0" w:lastRowFirstColumn="0" w:lastRowLastColumn="0"/>
              <w:rPr>
                <w:rFonts w:eastAsia="Calibri" w:cs="Times New Roman"/>
                <w:color w:val="000000"/>
                <w:szCs w:val="14"/>
              </w:rPr>
            </w:pPr>
            <w:r w:rsidRPr="00121696">
              <w:rPr>
                <w:rFonts w:eastAsia="Calibri" w:cs="Times New Roman"/>
                <w:color w:val="000000"/>
                <w:szCs w:val="14"/>
              </w:rPr>
              <w:t>(0.32)</w:t>
            </w:r>
          </w:p>
        </w:tc>
        <w:tc>
          <w:tcPr>
            <w:tcW w:w="878" w:type="dxa"/>
            <w:tcBorders>
              <w:top w:val="nil"/>
              <w:left w:val="nil"/>
              <w:bottom w:val="nil"/>
              <w:right w:val="nil"/>
            </w:tcBorders>
            <w:shd w:val="clear" w:color="auto" w:fill="auto"/>
            <w:vAlign w:val="center"/>
            <w:hideMark/>
          </w:tcPr>
          <w:p w:rsidR="00A46DCA" w:rsidRPr="00121696" w:rsidRDefault="00A46DCA" w:rsidP="00A26D04">
            <w:pPr>
              <w:keepNext/>
              <w:keepLines w:val="0"/>
              <w:ind w:firstLineChars="100" w:firstLine="170"/>
              <w:cnfStyle w:val="000000000000" w:firstRow="0" w:lastRow="0" w:firstColumn="0" w:lastColumn="0" w:oddVBand="0" w:evenVBand="0" w:oddHBand="0" w:evenHBand="0" w:firstRowFirstColumn="0" w:firstRowLastColumn="0" w:lastRowFirstColumn="0" w:lastRowLastColumn="0"/>
              <w:rPr>
                <w:rFonts w:eastAsia="Calibri" w:cs="Times New Roman"/>
                <w:color w:val="000000"/>
                <w:szCs w:val="14"/>
              </w:rPr>
            </w:pPr>
            <w:r w:rsidRPr="00121696">
              <w:rPr>
                <w:rFonts w:eastAsia="Calibri" w:cs="Times New Roman"/>
                <w:color w:val="000000"/>
                <w:szCs w:val="14"/>
              </w:rPr>
              <w:t>(0.46)</w:t>
            </w:r>
          </w:p>
        </w:tc>
        <w:tc>
          <w:tcPr>
            <w:tcW w:w="878" w:type="dxa"/>
            <w:tcBorders>
              <w:top w:val="nil"/>
              <w:left w:val="nil"/>
              <w:bottom w:val="nil"/>
              <w:right w:val="nil"/>
            </w:tcBorders>
            <w:shd w:val="clear" w:color="auto" w:fill="auto"/>
            <w:vAlign w:val="center"/>
            <w:hideMark/>
          </w:tcPr>
          <w:p w:rsidR="00A46DCA" w:rsidRPr="00121696" w:rsidRDefault="00A46DCA" w:rsidP="00A26D04">
            <w:pPr>
              <w:keepNext/>
              <w:keepLines w:val="0"/>
              <w:ind w:firstLineChars="100" w:firstLine="170"/>
              <w:cnfStyle w:val="000000000000" w:firstRow="0" w:lastRow="0" w:firstColumn="0" w:lastColumn="0" w:oddVBand="0" w:evenVBand="0" w:oddHBand="0" w:evenHBand="0" w:firstRowFirstColumn="0" w:firstRowLastColumn="0" w:lastRowFirstColumn="0" w:lastRowLastColumn="0"/>
              <w:rPr>
                <w:rFonts w:eastAsia="Calibri" w:cs="Times New Roman"/>
                <w:color w:val="000000"/>
                <w:szCs w:val="14"/>
              </w:rPr>
            </w:pPr>
            <w:r w:rsidRPr="00121696">
              <w:rPr>
                <w:rFonts w:eastAsia="Calibri" w:cs="Times New Roman"/>
                <w:color w:val="000000"/>
                <w:szCs w:val="14"/>
              </w:rPr>
              <w:t>(0.59)</w:t>
            </w:r>
          </w:p>
        </w:tc>
      </w:tr>
      <w:tr w:rsidR="00A46DCA" w:rsidRPr="00121696" w:rsidTr="00A26D04">
        <w:tc>
          <w:tcPr>
            <w:cnfStyle w:val="001000000000" w:firstRow="0" w:lastRow="0" w:firstColumn="1" w:lastColumn="0" w:oddVBand="0" w:evenVBand="0" w:oddHBand="0" w:evenHBand="0" w:firstRowFirstColumn="0" w:firstRowLastColumn="0" w:lastRowFirstColumn="0" w:lastRowLastColumn="0"/>
            <w:tcW w:w="4253" w:type="dxa"/>
            <w:tcBorders>
              <w:top w:val="nil"/>
              <w:left w:val="nil"/>
              <w:bottom w:val="nil"/>
              <w:right w:val="nil"/>
            </w:tcBorders>
            <w:shd w:val="clear" w:color="auto" w:fill="auto"/>
            <w:vAlign w:val="center"/>
            <w:hideMark/>
          </w:tcPr>
          <w:p w:rsidR="00A46DCA" w:rsidRPr="00121696" w:rsidRDefault="00A46DCA" w:rsidP="00A26D04">
            <w:pPr>
              <w:keepNext/>
              <w:keepLines w:val="0"/>
              <w:ind w:left="0" w:firstLine="0"/>
              <w:rPr>
                <w:rFonts w:eastAsia="Times New Roman" w:cs="Times New Roman"/>
                <w:color w:val="000000"/>
                <w:szCs w:val="14"/>
                <w:lang w:eastAsia="en-AU"/>
              </w:rPr>
            </w:pPr>
            <w:r w:rsidRPr="00121696">
              <w:rPr>
                <w:rFonts w:eastAsia="Times New Roman" w:cs="Times New Roman"/>
                <w:color w:val="000000"/>
                <w:szCs w:val="14"/>
                <w:lang w:eastAsia="en-AU"/>
              </w:rPr>
              <w:t>Employment</w:t>
            </w:r>
          </w:p>
        </w:tc>
        <w:tc>
          <w:tcPr>
            <w:tcW w:w="878" w:type="dxa"/>
            <w:tcBorders>
              <w:top w:val="nil"/>
              <w:left w:val="nil"/>
              <w:bottom w:val="nil"/>
              <w:right w:val="nil"/>
            </w:tcBorders>
            <w:shd w:val="clear" w:color="auto" w:fill="auto"/>
            <w:vAlign w:val="center"/>
            <w:hideMark/>
          </w:tcPr>
          <w:p w:rsidR="00A46DCA" w:rsidRPr="00121696" w:rsidRDefault="00A46DCA" w:rsidP="00A26D04">
            <w:pPr>
              <w:keepNext/>
              <w:keepLines w:val="0"/>
              <w:ind w:firstLineChars="100" w:firstLine="170"/>
              <w:cnfStyle w:val="000000000000" w:firstRow="0" w:lastRow="0" w:firstColumn="0" w:lastColumn="0" w:oddVBand="0" w:evenVBand="0" w:oddHBand="0" w:evenHBand="0" w:firstRowFirstColumn="0" w:firstRowLastColumn="0" w:lastRowFirstColumn="0" w:lastRowLastColumn="0"/>
              <w:rPr>
                <w:rFonts w:eastAsia="Calibri" w:cs="Times New Roman"/>
                <w:color w:val="000000"/>
                <w:szCs w:val="14"/>
              </w:rPr>
            </w:pPr>
            <w:r w:rsidRPr="00121696">
              <w:rPr>
                <w:rFonts w:eastAsia="Calibri" w:cs="Times New Roman"/>
                <w:color w:val="000000"/>
                <w:szCs w:val="14"/>
              </w:rPr>
              <w:t>(0.12)</w:t>
            </w:r>
          </w:p>
        </w:tc>
        <w:tc>
          <w:tcPr>
            <w:tcW w:w="878" w:type="dxa"/>
            <w:tcBorders>
              <w:top w:val="nil"/>
              <w:left w:val="nil"/>
              <w:bottom w:val="nil"/>
              <w:right w:val="nil"/>
            </w:tcBorders>
            <w:shd w:val="clear" w:color="auto" w:fill="auto"/>
            <w:vAlign w:val="center"/>
            <w:hideMark/>
          </w:tcPr>
          <w:p w:rsidR="00A46DCA" w:rsidRPr="00121696" w:rsidRDefault="00A46DCA" w:rsidP="00A26D04">
            <w:pPr>
              <w:keepNext/>
              <w:keepLines w:val="0"/>
              <w:ind w:firstLineChars="100" w:firstLine="170"/>
              <w:cnfStyle w:val="000000000000" w:firstRow="0" w:lastRow="0" w:firstColumn="0" w:lastColumn="0" w:oddVBand="0" w:evenVBand="0" w:oddHBand="0" w:evenHBand="0" w:firstRowFirstColumn="0" w:firstRowLastColumn="0" w:lastRowFirstColumn="0" w:lastRowLastColumn="0"/>
              <w:rPr>
                <w:rFonts w:eastAsia="Calibri" w:cs="Times New Roman"/>
                <w:color w:val="000000"/>
                <w:szCs w:val="14"/>
              </w:rPr>
            </w:pPr>
            <w:r w:rsidRPr="00121696">
              <w:rPr>
                <w:rFonts w:eastAsia="Calibri" w:cs="Times New Roman"/>
                <w:color w:val="000000"/>
                <w:szCs w:val="14"/>
              </w:rPr>
              <w:t>(0.20)</w:t>
            </w:r>
          </w:p>
        </w:tc>
        <w:tc>
          <w:tcPr>
            <w:tcW w:w="878" w:type="dxa"/>
            <w:tcBorders>
              <w:top w:val="nil"/>
              <w:left w:val="nil"/>
              <w:bottom w:val="nil"/>
              <w:right w:val="nil"/>
            </w:tcBorders>
            <w:shd w:val="clear" w:color="auto" w:fill="auto"/>
            <w:vAlign w:val="center"/>
            <w:hideMark/>
          </w:tcPr>
          <w:p w:rsidR="00A46DCA" w:rsidRPr="00121696" w:rsidRDefault="00A46DCA" w:rsidP="00A26D04">
            <w:pPr>
              <w:keepNext/>
              <w:keepLines w:val="0"/>
              <w:ind w:firstLineChars="100" w:firstLine="170"/>
              <w:cnfStyle w:val="000000000000" w:firstRow="0" w:lastRow="0" w:firstColumn="0" w:lastColumn="0" w:oddVBand="0" w:evenVBand="0" w:oddHBand="0" w:evenHBand="0" w:firstRowFirstColumn="0" w:firstRowLastColumn="0" w:lastRowFirstColumn="0" w:lastRowLastColumn="0"/>
              <w:rPr>
                <w:rFonts w:eastAsia="Calibri" w:cs="Times New Roman"/>
                <w:color w:val="000000"/>
                <w:szCs w:val="14"/>
              </w:rPr>
            </w:pPr>
            <w:r w:rsidRPr="00121696">
              <w:rPr>
                <w:rFonts w:eastAsia="Calibri" w:cs="Times New Roman"/>
                <w:color w:val="000000"/>
                <w:szCs w:val="14"/>
              </w:rPr>
              <w:t>(0.24)</w:t>
            </w:r>
          </w:p>
        </w:tc>
        <w:tc>
          <w:tcPr>
            <w:tcW w:w="878" w:type="dxa"/>
            <w:tcBorders>
              <w:top w:val="nil"/>
              <w:left w:val="nil"/>
              <w:bottom w:val="nil"/>
              <w:right w:val="nil"/>
            </w:tcBorders>
            <w:shd w:val="clear" w:color="auto" w:fill="auto"/>
            <w:vAlign w:val="center"/>
            <w:hideMark/>
          </w:tcPr>
          <w:p w:rsidR="00A46DCA" w:rsidRPr="00121696" w:rsidRDefault="00A46DCA" w:rsidP="00A26D04">
            <w:pPr>
              <w:keepNext/>
              <w:keepLines w:val="0"/>
              <w:ind w:firstLineChars="100" w:firstLine="170"/>
              <w:cnfStyle w:val="000000000000" w:firstRow="0" w:lastRow="0" w:firstColumn="0" w:lastColumn="0" w:oddVBand="0" w:evenVBand="0" w:oddHBand="0" w:evenHBand="0" w:firstRowFirstColumn="0" w:firstRowLastColumn="0" w:lastRowFirstColumn="0" w:lastRowLastColumn="0"/>
              <w:rPr>
                <w:rFonts w:eastAsia="Calibri" w:cs="Times New Roman"/>
                <w:color w:val="000000"/>
                <w:szCs w:val="14"/>
              </w:rPr>
            </w:pPr>
            <w:r w:rsidRPr="00121696">
              <w:rPr>
                <w:rFonts w:eastAsia="Calibri" w:cs="Times New Roman"/>
                <w:color w:val="000000"/>
                <w:szCs w:val="14"/>
              </w:rPr>
              <w:t>(0.27)</w:t>
            </w:r>
          </w:p>
        </w:tc>
      </w:tr>
      <w:tr w:rsidR="00A46DCA" w:rsidRPr="00121696" w:rsidTr="00A26D04">
        <w:tc>
          <w:tcPr>
            <w:cnfStyle w:val="001000000000" w:firstRow="0" w:lastRow="0" w:firstColumn="1" w:lastColumn="0" w:oddVBand="0" w:evenVBand="0" w:oddHBand="0" w:evenHBand="0" w:firstRowFirstColumn="0" w:firstRowLastColumn="0" w:lastRowFirstColumn="0" w:lastRowLastColumn="0"/>
            <w:tcW w:w="4253" w:type="dxa"/>
            <w:tcBorders>
              <w:top w:val="nil"/>
              <w:left w:val="nil"/>
              <w:bottom w:val="nil"/>
              <w:right w:val="nil"/>
            </w:tcBorders>
            <w:shd w:val="clear" w:color="auto" w:fill="auto"/>
            <w:vAlign w:val="center"/>
            <w:hideMark/>
          </w:tcPr>
          <w:p w:rsidR="00A46DCA" w:rsidRPr="00121696" w:rsidRDefault="00A46DCA" w:rsidP="00A26D04">
            <w:pPr>
              <w:keepNext/>
              <w:keepLines w:val="0"/>
              <w:ind w:left="0" w:firstLine="0"/>
              <w:rPr>
                <w:rFonts w:eastAsia="Times New Roman" w:cs="Times New Roman"/>
                <w:color w:val="000000"/>
                <w:szCs w:val="14"/>
                <w:lang w:eastAsia="en-AU"/>
              </w:rPr>
            </w:pPr>
            <w:r w:rsidRPr="00121696">
              <w:rPr>
                <w:rFonts w:eastAsia="Times New Roman" w:cs="Times New Roman"/>
                <w:color w:val="000000"/>
                <w:szCs w:val="14"/>
                <w:lang w:eastAsia="en-AU"/>
              </w:rPr>
              <w:t>Consumer Price Index</w:t>
            </w:r>
          </w:p>
        </w:tc>
        <w:tc>
          <w:tcPr>
            <w:tcW w:w="878" w:type="dxa"/>
            <w:tcBorders>
              <w:top w:val="nil"/>
              <w:left w:val="nil"/>
              <w:bottom w:val="nil"/>
              <w:right w:val="nil"/>
            </w:tcBorders>
            <w:shd w:val="clear" w:color="auto" w:fill="auto"/>
            <w:vAlign w:val="center"/>
            <w:hideMark/>
          </w:tcPr>
          <w:p w:rsidR="00A46DCA" w:rsidRPr="00121696" w:rsidRDefault="00A46DCA" w:rsidP="00A26D04">
            <w:pPr>
              <w:keepNext/>
              <w:keepLines w:val="0"/>
              <w:ind w:firstLineChars="100" w:firstLine="170"/>
              <w:cnfStyle w:val="000000000000" w:firstRow="0" w:lastRow="0" w:firstColumn="0" w:lastColumn="0" w:oddVBand="0" w:evenVBand="0" w:oddHBand="0" w:evenHBand="0" w:firstRowFirstColumn="0" w:firstRowLastColumn="0" w:lastRowFirstColumn="0" w:lastRowLastColumn="0"/>
              <w:rPr>
                <w:rFonts w:eastAsia="Calibri" w:cs="Times New Roman"/>
                <w:color w:val="000000"/>
                <w:szCs w:val="14"/>
              </w:rPr>
            </w:pPr>
            <w:r w:rsidRPr="00121696">
              <w:rPr>
                <w:rFonts w:eastAsia="Calibri" w:cs="Times New Roman"/>
                <w:color w:val="000000"/>
                <w:szCs w:val="14"/>
              </w:rPr>
              <w:t>0.01</w:t>
            </w:r>
          </w:p>
        </w:tc>
        <w:tc>
          <w:tcPr>
            <w:tcW w:w="878" w:type="dxa"/>
            <w:tcBorders>
              <w:top w:val="nil"/>
              <w:left w:val="nil"/>
              <w:bottom w:val="nil"/>
              <w:right w:val="nil"/>
            </w:tcBorders>
            <w:shd w:val="clear" w:color="auto" w:fill="auto"/>
            <w:vAlign w:val="center"/>
            <w:hideMark/>
          </w:tcPr>
          <w:p w:rsidR="00A46DCA" w:rsidRPr="00121696" w:rsidRDefault="00A46DCA" w:rsidP="00A26D04">
            <w:pPr>
              <w:keepNext/>
              <w:keepLines w:val="0"/>
              <w:ind w:firstLineChars="100" w:firstLine="170"/>
              <w:cnfStyle w:val="000000000000" w:firstRow="0" w:lastRow="0" w:firstColumn="0" w:lastColumn="0" w:oddVBand="0" w:evenVBand="0" w:oddHBand="0" w:evenHBand="0" w:firstRowFirstColumn="0" w:firstRowLastColumn="0" w:lastRowFirstColumn="0" w:lastRowLastColumn="0"/>
              <w:rPr>
                <w:rFonts w:eastAsia="Calibri" w:cs="Times New Roman"/>
                <w:color w:val="000000"/>
                <w:szCs w:val="14"/>
              </w:rPr>
            </w:pPr>
            <w:r w:rsidRPr="00121696">
              <w:rPr>
                <w:rFonts w:eastAsia="Calibri" w:cs="Times New Roman"/>
                <w:color w:val="000000"/>
                <w:szCs w:val="14"/>
              </w:rPr>
              <w:t>0.02</w:t>
            </w:r>
          </w:p>
        </w:tc>
        <w:tc>
          <w:tcPr>
            <w:tcW w:w="878" w:type="dxa"/>
            <w:tcBorders>
              <w:top w:val="nil"/>
              <w:left w:val="nil"/>
              <w:bottom w:val="nil"/>
              <w:right w:val="nil"/>
            </w:tcBorders>
            <w:shd w:val="clear" w:color="auto" w:fill="auto"/>
            <w:vAlign w:val="center"/>
            <w:hideMark/>
          </w:tcPr>
          <w:p w:rsidR="00A46DCA" w:rsidRPr="00121696" w:rsidRDefault="00A46DCA" w:rsidP="00A26D04">
            <w:pPr>
              <w:keepNext/>
              <w:keepLines w:val="0"/>
              <w:ind w:firstLineChars="100" w:firstLine="170"/>
              <w:cnfStyle w:val="000000000000" w:firstRow="0" w:lastRow="0" w:firstColumn="0" w:lastColumn="0" w:oddVBand="0" w:evenVBand="0" w:oddHBand="0" w:evenHBand="0" w:firstRowFirstColumn="0" w:firstRowLastColumn="0" w:lastRowFirstColumn="0" w:lastRowLastColumn="0"/>
              <w:rPr>
                <w:rFonts w:eastAsia="Calibri" w:cs="Times New Roman"/>
                <w:color w:val="000000"/>
                <w:szCs w:val="14"/>
              </w:rPr>
            </w:pPr>
            <w:r w:rsidRPr="00121696">
              <w:rPr>
                <w:rFonts w:eastAsia="Calibri" w:cs="Times New Roman"/>
                <w:color w:val="000000"/>
                <w:szCs w:val="14"/>
              </w:rPr>
              <w:t>0.03</w:t>
            </w:r>
          </w:p>
        </w:tc>
        <w:tc>
          <w:tcPr>
            <w:tcW w:w="878" w:type="dxa"/>
            <w:tcBorders>
              <w:top w:val="nil"/>
              <w:left w:val="nil"/>
              <w:bottom w:val="nil"/>
              <w:right w:val="nil"/>
            </w:tcBorders>
            <w:shd w:val="clear" w:color="auto" w:fill="auto"/>
            <w:vAlign w:val="center"/>
            <w:hideMark/>
          </w:tcPr>
          <w:p w:rsidR="00A46DCA" w:rsidRPr="00121696" w:rsidRDefault="00A46DCA" w:rsidP="00A26D04">
            <w:pPr>
              <w:keepNext/>
              <w:keepLines w:val="0"/>
              <w:ind w:firstLineChars="100" w:firstLine="170"/>
              <w:cnfStyle w:val="000000000000" w:firstRow="0" w:lastRow="0" w:firstColumn="0" w:lastColumn="0" w:oddVBand="0" w:evenVBand="0" w:oddHBand="0" w:evenHBand="0" w:firstRowFirstColumn="0" w:firstRowLastColumn="0" w:lastRowFirstColumn="0" w:lastRowLastColumn="0"/>
              <w:rPr>
                <w:rFonts w:eastAsia="Calibri" w:cs="Times New Roman"/>
                <w:color w:val="000000"/>
                <w:szCs w:val="14"/>
              </w:rPr>
            </w:pPr>
            <w:r w:rsidRPr="00121696">
              <w:rPr>
                <w:rFonts w:eastAsia="Calibri" w:cs="Times New Roman"/>
                <w:color w:val="000000"/>
                <w:szCs w:val="14"/>
              </w:rPr>
              <w:t>0.04</w:t>
            </w:r>
          </w:p>
        </w:tc>
      </w:tr>
      <w:tr w:rsidR="00A46DCA" w:rsidRPr="00121696" w:rsidTr="00A26D04">
        <w:tc>
          <w:tcPr>
            <w:cnfStyle w:val="001000000000" w:firstRow="0" w:lastRow="0" w:firstColumn="1" w:lastColumn="0" w:oddVBand="0" w:evenVBand="0" w:oddHBand="0" w:evenHBand="0" w:firstRowFirstColumn="0" w:firstRowLastColumn="0" w:lastRowFirstColumn="0" w:lastRowLastColumn="0"/>
            <w:tcW w:w="4253" w:type="dxa"/>
            <w:tcBorders>
              <w:top w:val="nil"/>
              <w:bottom w:val="single" w:sz="8" w:space="0" w:color="auto"/>
            </w:tcBorders>
            <w:shd w:val="clear" w:color="auto" w:fill="auto"/>
            <w:vAlign w:val="center"/>
            <w:hideMark/>
          </w:tcPr>
          <w:p w:rsidR="00A46DCA" w:rsidRPr="00121696" w:rsidRDefault="00A46DCA" w:rsidP="00A26D04">
            <w:pPr>
              <w:keepNext/>
              <w:keepLines w:val="0"/>
              <w:ind w:left="0" w:firstLine="0"/>
              <w:rPr>
                <w:rFonts w:eastAsia="Times New Roman" w:cs="Times New Roman"/>
                <w:color w:val="000000"/>
                <w:szCs w:val="14"/>
                <w:lang w:eastAsia="en-AU"/>
              </w:rPr>
            </w:pPr>
            <w:r w:rsidRPr="00121696">
              <w:rPr>
                <w:rFonts w:eastAsia="Times New Roman" w:cs="Times New Roman"/>
                <w:color w:val="000000"/>
                <w:szCs w:val="14"/>
                <w:lang w:eastAsia="en-AU"/>
              </w:rPr>
              <w:t xml:space="preserve">Wage Price Index </w:t>
            </w:r>
          </w:p>
        </w:tc>
        <w:tc>
          <w:tcPr>
            <w:tcW w:w="878" w:type="dxa"/>
            <w:tcBorders>
              <w:top w:val="nil"/>
              <w:bottom w:val="single" w:sz="8" w:space="0" w:color="auto"/>
            </w:tcBorders>
            <w:shd w:val="clear" w:color="auto" w:fill="auto"/>
            <w:vAlign w:val="center"/>
            <w:hideMark/>
          </w:tcPr>
          <w:p w:rsidR="00A46DCA" w:rsidRPr="00121696" w:rsidRDefault="00A46DCA" w:rsidP="00A26D04">
            <w:pPr>
              <w:keepNext/>
              <w:keepLines w:val="0"/>
              <w:ind w:firstLineChars="100" w:firstLine="170"/>
              <w:cnfStyle w:val="000000000000" w:firstRow="0" w:lastRow="0" w:firstColumn="0" w:lastColumn="0" w:oddVBand="0" w:evenVBand="0" w:oddHBand="0" w:evenHBand="0" w:firstRowFirstColumn="0" w:firstRowLastColumn="0" w:lastRowFirstColumn="0" w:lastRowLastColumn="0"/>
              <w:rPr>
                <w:rFonts w:eastAsia="Calibri" w:cs="Times New Roman"/>
                <w:color w:val="000000"/>
                <w:szCs w:val="14"/>
              </w:rPr>
            </w:pPr>
            <w:r w:rsidRPr="00121696">
              <w:rPr>
                <w:rFonts w:eastAsia="Calibri" w:cs="Times New Roman"/>
                <w:color w:val="000000"/>
                <w:szCs w:val="14"/>
              </w:rPr>
              <w:t>(0.11)</w:t>
            </w:r>
          </w:p>
        </w:tc>
        <w:tc>
          <w:tcPr>
            <w:tcW w:w="878" w:type="dxa"/>
            <w:tcBorders>
              <w:top w:val="nil"/>
              <w:bottom w:val="single" w:sz="8" w:space="0" w:color="auto"/>
            </w:tcBorders>
            <w:shd w:val="clear" w:color="auto" w:fill="auto"/>
            <w:vAlign w:val="center"/>
            <w:hideMark/>
          </w:tcPr>
          <w:p w:rsidR="00A46DCA" w:rsidRPr="00121696" w:rsidRDefault="00A46DCA" w:rsidP="00A26D04">
            <w:pPr>
              <w:keepNext/>
              <w:keepLines w:val="0"/>
              <w:ind w:firstLineChars="100" w:firstLine="170"/>
              <w:cnfStyle w:val="000000000000" w:firstRow="0" w:lastRow="0" w:firstColumn="0" w:lastColumn="0" w:oddVBand="0" w:evenVBand="0" w:oddHBand="0" w:evenHBand="0" w:firstRowFirstColumn="0" w:firstRowLastColumn="0" w:lastRowFirstColumn="0" w:lastRowLastColumn="0"/>
              <w:rPr>
                <w:rFonts w:eastAsia="Calibri" w:cs="Times New Roman"/>
                <w:color w:val="000000"/>
                <w:szCs w:val="14"/>
              </w:rPr>
            </w:pPr>
            <w:r w:rsidRPr="00121696">
              <w:rPr>
                <w:rFonts w:eastAsia="Calibri" w:cs="Times New Roman"/>
                <w:color w:val="000000"/>
                <w:szCs w:val="14"/>
              </w:rPr>
              <w:t>(0.28)</w:t>
            </w:r>
          </w:p>
        </w:tc>
        <w:tc>
          <w:tcPr>
            <w:tcW w:w="878" w:type="dxa"/>
            <w:tcBorders>
              <w:top w:val="nil"/>
              <w:bottom w:val="single" w:sz="8" w:space="0" w:color="auto"/>
            </w:tcBorders>
            <w:shd w:val="clear" w:color="auto" w:fill="auto"/>
            <w:vAlign w:val="center"/>
            <w:hideMark/>
          </w:tcPr>
          <w:p w:rsidR="00A46DCA" w:rsidRPr="00121696" w:rsidRDefault="00A46DCA" w:rsidP="00A26D04">
            <w:pPr>
              <w:keepNext/>
              <w:keepLines w:val="0"/>
              <w:ind w:firstLineChars="100" w:firstLine="170"/>
              <w:cnfStyle w:val="000000000000" w:firstRow="0" w:lastRow="0" w:firstColumn="0" w:lastColumn="0" w:oddVBand="0" w:evenVBand="0" w:oddHBand="0" w:evenHBand="0" w:firstRowFirstColumn="0" w:firstRowLastColumn="0" w:lastRowFirstColumn="0" w:lastRowLastColumn="0"/>
              <w:rPr>
                <w:rFonts w:eastAsia="Calibri" w:cs="Times New Roman"/>
                <w:color w:val="000000"/>
                <w:szCs w:val="14"/>
              </w:rPr>
            </w:pPr>
            <w:r w:rsidRPr="00121696">
              <w:rPr>
                <w:rFonts w:eastAsia="Calibri" w:cs="Times New Roman"/>
                <w:color w:val="000000"/>
                <w:szCs w:val="14"/>
              </w:rPr>
              <w:t>(0.50)</w:t>
            </w:r>
          </w:p>
        </w:tc>
        <w:tc>
          <w:tcPr>
            <w:tcW w:w="878" w:type="dxa"/>
            <w:tcBorders>
              <w:top w:val="nil"/>
              <w:bottom w:val="single" w:sz="8" w:space="0" w:color="auto"/>
            </w:tcBorders>
            <w:shd w:val="clear" w:color="auto" w:fill="auto"/>
            <w:vAlign w:val="center"/>
            <w:hideMark/>
          </w:tcPr>
          <w:p w:rsidR="00A46DCA" w:rsidRPr="00121696" w:rsidRDefault="00A46DCA" w:rsidP="00A26D04">
            <w:pPr>
              <w:keepNext/>
              <w:keepLines w:val="0"/>
              <w:ind w:firstLineChars="100" w:firstLine="170"/>
              <w:cnfStyle w:val="000000000000" w:firstRow="0" w:lastRow="0" w:firstColumn="0" w:lastColumn="0" w:oddVBand="0" w:evenVBand="0" w:oddHBand="0" w:evenHBand="0" w:firstRowFirstColumn="0" w:firstRowLastColumn="0" w:lastRowFirstColumn="0" w:lastRowLastColumn="0"/>
              <w:rPr>
                <w:rFonts w:eastAsia="Calibri" w:cs="Times New Roman"/>
                <w:color w:val="000000"/>
                <w:szCs w:val="14"/>
              </w:rPr>
            </w:pPr>
            <w:r w:rsidRPr="00121696">
              <w:rPr>
                <w:rFonts w:eastAsia="Calibri" w:cs="Times New Roman"/>
                <w:color w:val="000000"/>
                <w:szCs w:val="14"/>
              </w:rPr>
              <w:t>(0.75)</w:t>
            </w:r>
          </w:p>
        </w:tc>
      </w:tr>
    </w:tbl>
    <w:p w:rsidR="00A46DCA" w:rsidRPr="00442C0B" w:rsidRDefault="00A46DCA" w:rsidP="00A26D04">
      <w:pPr>
        <w:pStyle w:val="Source"/>
      </w:pPr>
      <w:r w:rsidRPr="00442C0B">
        <w:t>Source: Centre of Policy Studies, Victoria University.</w:t>
      </w:r>
    </w:p>
    <w:p w:rsidR="00A46DCA" w:rsidRPr="009D5EF6" w:rsidRDefault="00A46DCA" w:rsidP="00A26D04">
      <w:pPr>
        <w:pStyle w:val="Note"/>
      </w:pPr>
      <w:r w:rsidRPr="009D5EF6">
        <w:t>Note:</w:t>
      </w:r>
    </w:p>
    <w:p w:rsidR="00A46DCA" w:rsidRPr="009D5EF6" w:rsidRDefault="00A46DCA" w:rsidP="00A26D04">
      <w:pPr>
        <w:pStyle w:val="Note"/>
      </w:pPr>
      <w:r w:rsidRPr="009D5EF6">
        <w:t>(a)</w:t>
      </w:r>
      <w:r w:rsidRPr="009D5EF6">
        <w:tab/>
        <w:t>Figures reported are the change in the level of each parameter relative to the baseline of no change in the economic outlook, for each year of the budget.</w:t>
      </w:r>
    </w:p>
    <w:p w:rsidR="00A46DCA" w:rsidRPr="00442C0B" w:rsidRDefault="00A46DCA" w:rsidP="00A26D04">
      <w:pPr>
        <w:rPr>
          <w:rFonts w:ascii="Garamond" w:eastAsia="Garamond" w:hAnsi="Garamond" w:cs="Times New Roman"/>
        </w:rPr>
      </w:pPr>
    </w:p>
    <w:p w:rsidR="00A46DCA" w:rsidRDefault="00A46DCA" w:rsidP="00A26D04">
      <w:pPr>
        <w:rPr>
          <w:rFonts w:ascii="Garamond" w:eastAsia="Garamond" w:hAnsi="Garamond" w:cs="Times New Roman"/>
        </w:rPr>
      </w:pPr>
      <w:r w:rsidRPr="00307F6A">
        <w:rPr>
          <w:rFonts w:ascii="Garamond" w:eastAsia="Garamond" w:hAnsi="Garamond" w:cs="Times New Roman"/>
        </w:rPr>
        <w:t xml:space="preserve">Table </w:t>
      </w:r>
      <w:r>
        <w:rPr>
          <w:rFonts w:ascii="Garamond" w:eastAsia="Garamond" w:hAnsi="Garamond" w:cs="Times New Roman"/>
        </w:rPr>
        <w:t>D</w:t>
      </w:r>
      <w:r w:rsidRPr="00307F6A">
        <w:rPr>
          <w:rFonts w:ascii="Garamond" w:eastAsia="Garamond" w:hAnsi="Garamond" w:cs="Times New Roman"/>
        </w:rPr>
        <w:t xml:space="preserve">.3 </w:t>
      </w:r>
      <w:r>
        <w:rPr>
          <w:rFonts w:ascii="Garamond" w:eastAsia="Garamond" w:hAnsi="Garamond" w:cs="Times New Roman"/>
        </w:rPr>
        <w:t>presents</w:t>
      </w:r>
      <w:r w:rsidRPr="00307F6A">
        <w:rPr>
          <w:rFonts w:ascii="Garamond" w:eastAsia="Garamond" w:hAnsi="Garamond" w:cs="Times New Roman"/>
        </w:rPr>
        <w:t xml:space="preserve"> the fiscal impact of the chang</w:t>
      </w:r>
      <w:r>
        <w:rPr>
          <w:rFonts w:ascii="Garamond" w:eastAsia="Garamond" w:hAnsi="Garamond" w:cs="Times New Roman"/>
        </w:rPr>
        <w:t>es in economic parameters under this scenario. L</w:t>
      </w:r>
      <w:r w:rsidRPr="00307F6A">
        <w:rPr>
          <w:rFonts w:ascii="Garamond" w:eastAsia="Garamond" w:hAnsi="Garamond" w:cs="Times New Roman"/>
        </w:rPr>
        <w:t>and transfer duty, payroll tax and GST revenue</w:t>
      </w:r>
      <w:r>
        <w:rPr>
          <w:rFonts w:ascii="Garamond" w:eastAsia="Garamond" w:hAnsi="Garamond" w:cs="Times New Roman"/>
        </w:rPr>
        <w:t>s</w:t>
      </w:r>
      <w:r w:rsidRPr="00307F6A">
        <w:rPr>
          <w:rFonts w:ascii="Garamond" w:eastAsia="Garamond" w:hAnsi="Garamond" w:cs="Times New Roman"/>
        </w:rPr>
        <w:t xml:space="preserve"> </w:t>
      </w:r>
      <w:r>
        <w:rPr>
          <w:rFonts w:ascii="Garamond" w:eastAsia="Garamond" w:hAnsi="Garamond" w:cs="Times New Roman"/>
        </w:rPr>
        <w:t xml:space="preserve">are weaker over the next four years as a result of </w:t>
      </w:r>
      <w:r w:rsidRPr="00307F6A">
        <w:rPr>
          <w:rFonts w:ascii="Garamond" w:eastAsia="Garamond" w:hAnsi="Garamond" w:cs="Times New Roman"/>
        </w:rPr>
        <w:t xml:space="preserve">slower growth in GSP, consumption, property prices and wages. </w:t>
      </w:r>
    </w:p>
    <w:p w:rsidR="00A46DCA" w:rsidRPr="00307F6A" w:rsidRDefault="00A46DCA" w:rsidP="00A26D04">
      <w:pPr>
        <w:rPr>
          <w:rFonts w:ascii="Garamond" w:eastAsia="Garamond" w:hAnsi="Garamond" w:cs="Times New Roman"/>
        </w:rPr>
      </w:pPr>
      <w:r w:rsidRPr="00307F6A">
        <w:rPr>
          <w:rFonts w:ascii="Garamond" w:eastAsia="Garamond" w:hAnsi="Garamond" w:cs="Times New Roman"/>
        </w:rPr>
        <w:t xml:space="preserve">Expenses from transactions are also lower as </w:t>
      </w:r>
      <w:r>
        <w:rPr>
          <w:rFonts w:ascii="Garamond" w:eastAsia="Garamond" w:hAnsi="Garamond" w:cs="Times New Roman"/>
        </w:rPr>
        <w:t>weaker</w:t>
      </w:r>
      <w:r w:rsidRPr="00307F6A">
        <w:rPr>
          <w:rFonts w:ascii="Garamond" w:eastAsia="Garamond" w:hAnsi="Garamond" w:cs="Times New Roman"/>
        </w:rPr>
        <w:t xml:space="preserve"> wage</w:t>
      </w:r>
      <w:r>
        <w:rPr>
          <w:rFonts w:ascii="Garamond" w:eastAsia="Garamond" w:hAnsi="Garamond" w:cs="Times New Roman"/>
        </w:rPr>
        <w:t>s</w:t>
      </w:r>
      <w:r w:rsidRPr="00307F6A">
        <w:rPr>
          <w:rFonts w:ascii="Garamond" w:eastAsia="Garamond" w:hAnsi="Garamond" w:cs="Times New Roman"/>
        </w:rPr>
        <w:t xml:space="preserve"> growth reduces employee expenses and in some cases outlays on grants and transfers. </w:t>
      </w:r>
      <w:r>
        <w:rPr>
          <w:rFonts w:ascii="Garamond" w:eastAsia="Garamond" w:hAnsi="Garamond" w:cs="Times New Roman"/>
        </w:rPr>
        <w:t xml:space="preserve">To fund Victoria’s widening fiscal deficit, borrowings rise, </w:t>
      </w:r>
      <w:r w:rsidRPr="00307F6A">
        <w:rPr>
          <w:rFonts w:ascii="Garamond" w:eastAsia="Garamond" w:hAnsi="Garamond" w:cs="Times New Roman"/>
        </w:rPr>
        <w:t>increas</w:t>
      </w:r>
      <w:r>
        <w:rPr>
          <w:rFonts w:ascii="Garamond" w:eastAsia="Garamond" w:hAnsi="Garamond" w:cs="Times New Roman"/>
        </w:rPr>
        <w:t xml:space="preserve">ing </w:t>
      </w:r>
      <w:r w:rsidRPr="00307F6A">
        <w:rPr>
          <w:rFonts w:ascii="Garamond" w:eastAsia="Garamond" w:hAnsi="Garamond" w:cs="Times New Roman"/>
        </w:rPr>
        <w:t xml:space="preserve">net debt. </w:t>
      </w:r>
    </w:p>
    <w:p w:rsidR="00A46DCA" w:rsidRPr="00442C0B" w:rsidRDefault="00A46DCA" w:rsidP="00A26D04">
      <w:pPr>
        <w:keepNext/>
        <w:tabs>
          <w:tab w:val="left" w:pos="1134"/>
          <w:tab w:val="right" w:pos="7710"/>
        </w:tabs>
        <w:spacing w:before="240" w:after="60"/>
        <w:ind w:left="1134" w:hanging="1134"/>
        <w:rPr>
          <w:rFonts w:ascii="Calibri" w:eastAsia="Garamond" w:hAnsi="Calibri" w:cs="Times New Roman"/>
          <w:b/>
          <w:sz w:val="20"/>
          <w:szCs w:val="20"/>
        </w:rPr>
      </w:pPr>
      <w:r w:rsidRPr="00442C0B">
        <w:rPr>
          <w:rFonts w:ascii="Calibri" w:eastAsia="Garamond" w:hAnsi="Calibri" w:cs="Times New Roman"/>
          <w:b/>
          <w:sz w:val="20"/>
          <w:szCs w:val="20"/>
        </w:rPr>
        <w:t>Table D.3:</w:t>
      </w:r>
      <w:r w:rsidRPr="00442C0B">
        <w:rPr>
          <w:rFonts w:ascii="Calibri" w:eastAsia="Garamond" w:hAnsi="Calibri" w:cs="Times New Roman"/>
          <w:b/>
          <w:sz w:val="20"/>
          <w:szCs w:val="20"/>
        </w:rPr>
        <w:tab/>
      </w:r>
      <w:r>
        <w:rPr>
          <w:rFonts w:ascii="Calibri" w:eastAsia="Garamond" w:hAnsi="Calibri" w:cs="Times New Roman"/>
          <w:b/>
          <w:sz w:val="20"/>
          <w:szCs w:val="20"/>
        </w:rPr>
        <w:t>F</w:t>
      </w:r>
      <w:r w:rsidRPr="00442C0B">
        <w:rPr>
          <w:rFonts w:ascii="Calibri" w:eastAsia="Garamond" w:hAnsi="Calibri" w:cs="Times New Roman"/>
          <w:b/>
          <w:sz w:val="20"/>
          <w:szCs w:val="20"/>
        </w:rPr>
        <w:t>iscal impact of a global trade shock</w:t>
      </w:r>
      <w:r w:rsidRPr="00442C0B">
        <w:rPr>
          <w:rFonts w:ascii="Calibri" w:eastAsia="Garamond" w:hAnsi="Calibri" w:cs="Times New Roman"/>
          <w:b/>
          <w:sz w:val="20"/>
          <w:szCs w:val="20"/>
        </w:rPr>
        <w:tab/>
        <w:t>($ million)</w:t>
      </w:r>
    </w:p>
    <w:tbl>
      <w:tblPr>
        <w:tblStyle w:val="DTFTable"/>
        <w:tblW w:w="7765" w:type="dxa"/>
        <w:tblInd w:w="45" w:type="dxa"/>
        <w:tblLayout w:type="fixed"/>
        <w:tblCellMar>
          <w:left w:w="45" w:type="dxa"/>
          <w:right w:w="45" w:type="dxa"/>
        </w:tblCellMar>
        <w:tblLook w:val="06E0" w:firstRow="1" w:lastRow="1" w:firstColumn="1" w:lastColumn="0" w:noHBand="1" w:noVBand="1"/>
      </w:tblPr>
      <w:tblGrid>
        <w:gridCol w:w="4230"/>
        <w:gridCol w:w="883"/>
        <w:gridCol w:w="884"/>
        <w:gridCol w:w="884"/>
        <w:gridCol w:w="884"/>
      </w:tblGrid>
      <w:tr w:rsidR="00A26D04" w:rsidRPr="004D4939" w:rsidTr="004906A4">
        <w:trPr>
          <w:cnfStyle w:val="100000000000" w:firstRow="1" w:lastRow="0" w:firstColumn="0" w:lastColumn="0" w:oddVBand="0" w:evenVBand="0" w:oddHBand="0" w:evenHBand="0" w:firstRowFirstColumn="0" w:firstRowLastColumn="0" w:lastRowFirstColumn="0" w:lastRowLastColumn="0"/>
          <w:trHeight w:val="153"/>
          <w:tblHeader/>
        </w:trPr>
        <w:tc>
          <w:tcPr>
            <w:cnfStyle w:val="001000000000" w:firstRow="0" w:lastRow="0" w:firstColumn="1" w:lastColumn="0" w:oddVBand="0" w:evenVBand="0" w:oddHBand="0" w:evenHBand="0" w:firstRowFirstColumn="0" w:firstRowLastColumn="0" w:lastRowFirstColumn="0" w:lastRowLastColumn="0"/>
            <w:tcW w:w="4230" w:type="dxa"/>
            <w:tcBorders>
              <w:top w:val="nil"/>
              <w:left w:val="nil"/>
              <w:right w:val="nil"/>
            </w:tcBorders>
            <w:shd w:val="clear" w:color="000000" w:fill="000000"/>
            <w:vAlign w:val="center"/>
            <w:hideMark/>
          </w:tcPr>
          <w:p w:rsidR="00A26D04" w:rsidRPr="004D4939" w:rsidRDefault="00A26D04" w:rsidP="007A7C8C">
            <w:pPr>
              <w:rPr>
                <w:i w:val="0"/>
                <w:lang w:eastAsia="en-AU"/>
              </w:rPr>
            </w:pPr>
            <w:r w:rsidRPr="004D4939">
              <w:rPr>
                <w:lang w:eastAsia="en-AU"/>
              </w:rPr>
              <w:t xml:space="preserve">  </w:t>
            </w:r>
          </w:p>
        </w:tc>
        <w:tc>
          <w:tcPr>
            <w:tcW w:w="883" w:type="dxa"/>
            <w:tcBorders>
              <w:top w:val="nil"/>
              <w:left w:val="nil"/>
              <w:right w:val="nil"/>
            </w:tcBorders>
            <w:shd w:val="clear" w:color="000000" w:fill="000000"/>
            <w:vAlign w:val="center"/>
            <w:hideMark/>
          </w:tcPr>
          <w:p w:rsidR="00A26D04" w:rsidRPr="004D4939" w:rsidRDefault="00A26D04" w:rsidP="00A26D04">
            <w:pPr>
              <w:keepLines w:val="0"/>
              <w:ind w:firstLineChars="100" w:firstLine="170"/>
              <w:cnfStyle w:val="100000000000" w:firstRow="1" w:lastRow="0" w:firstColumn="0" w:lastColumn="0" w:oddVBand="0" w:evenVBand="0" w:oddHBand="0" w:evenHBand="0" w:firstRowFirstColumn="0" w:firstRowLastColumn="0" w:lastRowFirstColumn="0" w:lastRowLastColumn="0"/>
              <w:rPr>
                <w:rFonts w:eastAsia="Times New Roman" w:cs="Times New Roman"/>
                <w:i w:val="0"/>
                <w:iCs/>
                <w:color w:val="FFFFFF"/>
                <w:szCs w:val="14"/>
                <w:lang w:eastAsia="en-AU"/>
              </w:rPr>
            </w:pPr>
            <w:r w:rsidRPr="004D4939">
              <w:rPr>
                <w:rFonts w:eastAsia="Times New Roman" w:cs="Times New Roman"/>
                <w:iCs/>
                <w:color w:val="FFFFFF"/>
                <w:szCs w:val="14"/>
                <w:lang w:eastAsia="en-AU"/>
              </w:rPr>
              <w:t xml:space="preserve">2017-18 </w:t>
            </w:r>
            <w:r>
              <w:rPr>
                <w:rFonts w:eastAsia="Times New Roman" w:cs="Times New Roman"/>
                <w:iCs/>
                <w:color w:val="FFFFFF"/>
                <w:szCs w:val="14"/>
                <w:lang w:eastAsia="en-AU"/>
              </w:rPr>
              <w:br/>
            </w:r>
            <w:r w:rsidRPr="004D4939">
              <w:rPr>
                <w:rFonts w:eastAsia="Times New Roman" w:cs="Times New Roman"/>
                <w:iCs/>
                <w:color w:val="FFFFFF"/>
                <w:szCs w:val="14"/>
                <w:lang w:eastAsia="en-AU"/>
              </w:rPr>
              <w:t>estimate</w:t>
            </w:r>
          </w:p>
        </w:tc>
        <w:tc>
          <w:tcPr>
            <w:tcW w:w="884" w:type="dxa"/>
            <w:tcBorders>
              <w:top w:val="nil"/>
              <w:left w:val="nil"/>
              <w:right w:val="nil"/>
            </w:tcBorders>
            <w:shd w:val="clear" w:color="000000" w:fill="000000"/>
            <w:vAlign w:val="center"/>
            <w:hideMark/>
          </w:tcPr>
          <w:p w:rsidR="00A26D04" w:rsidRPr="004D4939" w:rsidRDefault="00A26D04" w:rsidP="00A26D04">
            <w:pPr>
              <w:keepLines w:val="0"/>
              <w:ind w:firstLineChars="100" w:firstLine="170"/>
              <w:cnfStyle w:val="100000000000" w:firstRow="1" w:lastRow="0" w:firstColumn="0" w:lastColumn="0" w:oddVBand="0" w:evenVBand="0" w:oddHBand="0" w:evenHBand="0" w:firstRowFirstColumn="0" w:firstRowLastColumn="0" w:lastRowFirstColumn="0" w:lastRowLastColumn="0"/>
              <w:rPr>
                <w:rFonts w:eastAsia="Times New Roman" w:cs="Times New Roman"/>
                <w:i w:val="0"/>
                <w:iCs/>
                <w:color w:val="FFFFFF"/>
                <w:szCs w:val="14"/>
                <w:lang w:eastAsia="en-AU"/>
              </w:rPr>
            </w:pPr>
            <w:r w:rsidRPr="004D4939">
              <w:rPr>
                <w:rFonts w:eastAsia="Times New Roman" w:cs="Times New Roman"/>
                <w:iCs/>
                <w:color w:val="FFFFFF"/>
                <w:szCs w:val="14"/>
                <w:lang w:eastAsia="en-AU"/>
              </w:rPr>
              <w:t xml:space="preserve">2018-19 </w:t>
            </w:r>
            <w:r>
              <w:rPr>
                <w:rFonts w:eastAsia="Times New Roman" w:cs="Times New Roman"/>
                <w:iCs/>
                <w:color w:val="FFFFFF"/>
                <w:szCs w:val="14"/>
                <w:lang w:eastAsia="en-AU"/>
              </w:rPr>
              <w:br/>
            </w:r>
            <w:r w:rsidRPr="004D4939">
              <w:rPr>
                <w:rFonts w:eastAsia="Times New Roman" w:cs="Times New Roman"/>
                <w:iCs/>
                <w:color w:val="FFFFFF"/>
                <w:szCs w:val="14"/>
                <w:lang w:eastAsia="en-AU"/>
              </w:rPr>
              <w:t>estimate</w:t>
            </w:r>
          </w:p>
        </w:tc>
        <w:tc>
          <w:tcPr>
            <w:tcW w:w="884" w:type="dxa"/>
            <w:tcBorders>
              <w:top w:val="nil"/>
              <w:left w:val="nil"/>
              <w:right w:val="nil"/>
            </w:tcBorders>
            <w:shd w:val="clear" w:color="000000" w:fill="000000"/>
            <w:vAlign w:val="center"/>
            <w:hideMark/>
          </w:tcPr>
          <w:p w:rsidR="00A26D04" w:rsidRPr="004D4939" w:rsidRDefault="00A26D04" w:rsidP="00A26D04">
            <w:pPr>
              <w:keepLines w:val="0"/>
              <w:ind w:firstLineChars="100" w:firstLine="170"/>
              <w:cnfStyle w:val="100000000000" w:firstRow="1" w:lastRow="0" w:firstColumn="0" w:lastColumn="0" w:oddVBand="0" w:evenVBand="0" w:oddHBand="0" w:evenHBand="0" w:firstRowFirstColumn="0" w:firstRowLastColumn="0" w:lastRowFirstColumn="0" w:lastRowLastColumn="0"/>
              <w:rPr>
                <w:rFonts w:eastAsia="Times New Roman" w:cs="Times New Roman"/>
                <w:i w:val="0"/>
                <w:iCs/>
                <w:color w:val="FFFFFF"/>
                <w:szCs w:val="14"/>
                <w:lang w:eastAsia="en-AU"/>
              </w:rPr>
            </w:pPr>
            <w:r w:rsidRPr="004D4939">
              <w:rPr>
                <w:rFonts w:eastAsia="Times New Roman" w:cs="Times New Roman"/>
                <w:iCs/>
                <w:color w:val="FFFFFF"/>
                <w:szCs w:val="14"/>
                <w:lang w:eastAsia="en-AU"/>
              </w:rPr>
              <w:t>2019-20</w:t>
            </w:r>
            <w:r>
              <w:rPr>
                <w:rFonts w:eastAsia="Times New Roman" w:cs="Times New Roman"/>
                <w:iCs/>
                <w:color w:val="FFFFFF"/>
                <w:szCs w:val="14"/>
                <w:lang w:eastAsia="en-AU"/>
              </w:rPr>
              <w:br/>
            </w:r>
            <w:r w:rsidRPr="004D4939">
              <w:rPr>
                <w:rFonts w:eastAsia="Times New Roman" w:cs="Times New Roman"/>
                <w:iCs/>
                <w:color w:val="FFFFFF"/>
                <w:szCs w:val="14"/>
                <w:lang w:eastAsia="en-AU"/>
              </w:rPr>
              <w:t xml:space="preserve"> estimate</w:t>
            </w:r>
          </w:p>
        </w:tc>
        <w:tc>
          <w:tcPr>
            <w:tcW w:w="884" w:type="dxa"/>
            <w:tcBorders>
              <w:top w:val="nil"/>
              <w:left w:val="nil"/>
              <w:right w:val="nil"/>
            </w:tcBorders>
            <w:shd w:val="clear" w:color="000000" w:fill="000000"/>
            <w:vAlign w:val="center"/>
            <w:hideMark/>
          </w:tcPr>
          <w:p w:rsidR="00A26D04" w:rsidRPr="004D4939" w:rsidRDefault="00A26D04" w:rsidP="00A26D04">
            <w:pPr>
              <w:keepLines w:val="0"/>
              <w:ind w:firstLineChars="100" w:firstLine="170"/>
              <w:cnfStyle w:val="100000000000" w:firstRow="1" w:lastRow="0" w:firstColumn="0" w:lastColumn="0" w:oddVBand="0" w:evenVBand="0" w:oddHBand="0" w:evenHBand="0" w:firstRowFirstColumn="0" w:firstRowLastColumn="0" w:lastRowFirstColumn="0" w:lastRowLastColumn="0"/>
              <w:rPr>
                <w:rFonts w:eastAsia="Times New Roman" w:cs="Times New Roman"/>
                <w:i w:val="0"/>
                <w:iCs/>
                <w:color w:val="FFFFFF"/>
                <w:szCs w:val="14"/>
                <w:lang w:eastAsia="en-AU"/>
              </w:rPr>
            </w:pPr>
            <w:r w:rsidRPr="004D4939">
              <w:rPr>
                <w:rFonts w:eastAsia="Times New Roman" w:cs="Times New Roman"/>
                <w:iCs/>
                <w:color w:val="FFFFFF"/>
                <w:szCs w:val="14"/>
                <w:lang w:eastAsia="en-AU"/>
              </w:rPr>
              <w:t xml:space="preserve">2020-21 </w:t>
            </w:r>
            <w:r>
              <w:rPr>
                <w:rFonts w:eastAsia="Times New Roman" w:cs="Times New Roman"/>
                <w:iCs/>
                <w:color w:val="FFFFFF"/>
                <w:szCs w:val="14"/>
                <w:lang w:eastAsia="en-AU"/>
              </w:rPr>
              <w:br/>
            </w:r>
            <w:r w:rsidRPr="004D4939">
              <w:rPr>
                <w:rFonts w:eastAsia="Times New Roman" w:cs="Times New Roman"/>
                <w:iCs/>
                <w:color w:val="FFFFFF"/>
                <w:szCs w:val="14"/>
                <w:lang w:eastAsia="en-AU"/>
              </w:rPr>
              <w:t>estimate</w:t>
            </w:r>
          </w:p>
        </w:tc>
      </w:tr>
      <w:tr w:rsidR="00A46DCA" w:rsidRPr="004D4939" w:rsidTr="00A26D04">
        <w:tc>
          <w:tcPr>
            <w:cnfStyle w:val="001000000000" w:firstRow="0" w:lastRow="0" w:firstColumn="1" w:lastColumn="0" w:oddVBand="0" w:evenVBand="0" w:oddHBand="0" w:evenHBand="0" w:firstRowFirstColumn="0" w:firstRowLastColumn="0" w:lastRowFirstColumn="0" w:lastRowLastColumn="0"/>
            <w:tcW w:w="4230" w:type="dxa"/>
            <w:tcBorders>
              <w:top w:val="single" w:sz="4" w:space="0" w:color="auto"/>
              <w:left w:val="nil"/>
              <w:bottom w:val="nil"/>
              <w:right w:val="nil"/>
            </w:tcBorders>
            <w:shd w:val="clear" w:color="auto" w:fill="auto"/>
            <w:vAlign w:val="center"/>
            <w:hideMark/>
          </w:tcPr>
          <w:p w:rsidR="00A46DCA" w:rsidRPr="004D4939" w:rsidRDefault="00A46DCA" w:rsidP="00A26D04">
            <w:pPr>
              <w:keepLines w:val="0"/>
              <w:ind w:left="0" w:firstLine="0"/>
              <w:rPr>
                <w:rFonts w:eastAsia="Times New Roman" w:cs="Times New Roman"/>
                <w:color w:val="000000"/>
                <w:szCs w:val="14"/>
                <w:lang w:eastAsia="en-AU"/>
              </w:rPr>
            </w:pPr>
            <w:r w:rsidRPr="004D4939">
              <w:rPr>
                <w:rFonts w:eastAsia="Times New Roman" w:cs="Times New Roman"/>
                <w:color w:val="000000"/>
                <w:szCs w:val="14"/>
                <w:lang w:eastAsia="en-AU"/>
              </w:rPr>
              <w:t>Income from transactions</w:t>
            </w:r>
          </w:p>
        </w:tc>
        <w:tc>
          <w:tcPr>
            <w:tcW w:w="883" w:type="dxa"/>
            <w:tcBorders>
              <w:top w:val="single" w:sz="4" w:space="0" w:color="auto"/>
              <w:left w:val="nil"/>
              <w:bottom w:val="nil"/>
              <w:right w:val="nil"/>
            </w:tcBorders>
            <w:shd w:val="clear" w:color="auto" w:fill="auto"/>
            <w:vAlign w:val="bottom"/>
            <w:hideMark/>
          </w:tcPr>
          <w:p w:rsidR="00A46DCA" w:rsidRPr="001D4E6F" w:rsidRDefault="00A46DCA">
            <w:pPr>
              <w:cnfStyle w:val="000000000000" w:firstRow="0" w:lastRow="0" w:firstColumn="0" w:lastColumn="0" w:oddVBand="0" w:evenVBand="0" w:oddHBand="0" w:evenHBand="0" w:firstRowFirstColumn="0" w:firstRowLastColumn="0" w:lastRowFirstColumn="0" w:lastRowLastColumn="0"/>
              <w:rPr>
                <w:rFonts w:ascii="Calibri" w:hAnsi="Calibri"/>
                <w:szCs w:val="17"/>
              </w:rPr>
            </w:pPr>
            <w:bookmarkStart w:id="100" w:name="RANGE!I5:L10"/>
            <w:r w:rsidRPr="001D4E6F">
              <w:rPr>
                <w:rFonts w:ascii="Calibri" w:hAnsi="Calibri"/>
                <w:szCs w:val="17"/>
              </w:rPr>
              <w:t>(76.7)</w:t>
            </w:r>
            <w:bookmarkEnd w:id="100"/>
          </w:p>
        </w:tc>
        <w:tc>
          <w:tcPr>
            <w:tcW w:w="884" w:type="dxa"/>
            <w:tcBorders>
              <w:top w:val="single" w:sz="4" w:space="0" w:color="auto"/>
              <w:left w:val="nil"/>
              <w:bottom w:val="nil"/>
              <w:right w:val="nil"/>
            </w:tcBorders>
            <w:shd w:val="clear" w:color="auto" w:fill="auto"/>
            <w:vAlign w:val="bottom"/>
            <w:hideMark/>
          </w:tcPr>
          <w:p w:rsidR="00A46DCA" w:rsidRPr="001D4E6F" w:rsidRDefault="00A46DCA">
            <w:pPr>
              <w:cnfStyle w:val="000000000000" w:firstRow="0" w:lastRow="0" w:firstColumn="0" w:lastColumn="0" w:oddVBand="0" w:evenVBand="0" w:oddHBand="0" w:evenHBand="0" w:firstRowFirstColumn="0" w:firstRowLastColumn="0" w:lastRowFirstColumn="0" w:lastRowLastColumn="0"/>
              <w:rPr>
                <w:rFonts w:ascii="Calibri" w:hAnsi="Calibri"/>
                <w:szCs w:val="17"/>
              </w:rPr>
            </w:pPr>
            <w:r w:rsidRPr="001D4E6F">
              <w:rPr>
                <w:rFonts w:ascii="Calibri" w:hAnsi="Calibri"/>
                <w:szCs w:val="17"/>
              </w:rPr>
              <w:t>(209.9)</w:t>
            </w:r>
          </w:p>
        </w:tc>
        <w:tc>
          <w:tcPr>
            <w:tcW w:w="884" w:type="dxa"/>
            <w:tcBorders>
              <w:top w:val="single" w:sz="4" w:space="0" w:color="auto"/>
              <w:left w:val="nil"/>
              <w:bottom w:val="nil"/>
              <w:right w:val="nil"/>
            </w:tcBorders>
            <w:shd w:val="clear" w:color="auto" w:fill="auto"/>
            <w:vAlign w:val="bottom"/>
            <w:hideMark/>
          </w:tcPr>
          <w:p w:rsidR="00A46DCA" w:rsidRPr="001D4E6F" w:rsidRDefault="00A46DCA">
            <w:pPr>
              <w:cnfStyle w:val="000000000000" w:firstRow="0" w:lastRow="0" w:firstColumn="0" w:lastColumn="0" w:oddVBand="0" w:evenVBand="0" w:oddHBand="0" w:evenHBand="0" w:firstRowFirstColumn="0" w:firstRowLastColumn="0" w:lastRowFirstColumn="0" w:lastRowLastColumn="0"/>
              <w:rPr>
                <w:rFonts w:ascii="Calibri" w:hAnsi="Calibri"/>
                <w:szCs w:val="17"/>
              </w:rPr>
            </w:pPr>
            <w:r w:rsidRPr="001D4E6F">
              <w:rPr>
                <w:rFonts w:ascii="Calibri" w:hAnsi="Calibri"/>
                <w:szCs w:val="17"/>
              </w:rPr>
              <w:t>(310.9)</w:t>
            </w:r>
          </w:p>
        </w:tc>
        <w:tc>
          <w:tcPr>
            <w:tcW w:w="884" w:type="dxa"/>
            <w:tcBorders>
              <w:top w:val="single" w:sz="4" w:space="0" w:color="auto"/>
              <w:left w:val="nil"/>
              <w:bottom w:val="nil"/>
              <w:right w:val="nil"/>
            </w:tcBorders>
            <w:shd w:val="clear" w:color="auto" w:fill="auto"/>
            <w:vAlign w:val="bottom"/>
            <w:hideMark/>
          </w:tcPr>
          <w:p w:rsidR="00A46DCA" w:rsidRPr="001D4E6F" w:rsidRDefault="00A46DCA">
            <w:pPr>
              <w:cnfStyle w:val="000000000000" w:firstRow="0" w:lastRow="0" w:firstColumn="0" w:lastColumn="0" w:oddVBand="0" w:evenVBand="0" w:oddHBand="0" w:evenHBand="0" w:firstRowFirstColumn="0" w:firstRowLastColumn="0" w:lastRowFirstColumn="0" w:lastRowLastColumn="0"/>
              <w:rPr>
                <w:rFonts w:ascii="Calibri" w:hAnsi="Calibri"/>
                <w:szCs w:val="17"/>
              </w:rPr>
            </w:pPr>
            <w:r w:rsidRPr="001D4E6F">
              <w:rPr>
                <w:rFonts w:ascii="Calibri" w:hAnsi="Calibri"/>
                <w:szCs w:val="17"/>
              </w:rPr>
              <w:t>(432.4)</w:t>
            </w:r>
          </w:p>
        </w:tc>
      </w:tr>
      <w:tr w:rsidR="00A46DCA" w:rsidRPr="004D4939" w:rsidTr="00A26D04">
        <w:tc>
          <w:tcPr>
            <w:cnfStyle w:val="001000000000" w:firstRow="0" w:lastRow="0" w:firstColumn="1" w:lastColumn="0" w:oddVBand="0" w:evenVBand="0" w:oddHBand="0" w:evenHBand="0" w:firstRowFirstColumn="0" w:firstRowLastColumn="0" w:lastRowFirstColumn="0" w:lastRowLastColumn="0"/>
            <w:tcW w:w="4230" w:type="dxa"/>
            <w:tcBorders>
              <w:top w:val="nil"/>
              <w:left w:val="nil"/>
              <w:bottom w:val="nil"/>
              <w:right w:val="nil"/>
            </w:tcBorders>
            <w:shd w:val="clear" w:color="auto" w:fill="auto"/>
            <w:vAlign w:val="center"/>
            <w:hideMark/>
          </w:tcPr>
          <w:p w:rsidR="00A46DCA" w:rsidRPr="004D4939" w:rsidRDefault="00A46DCA" w:rsidP="00A26D04">
            <w:pPr>
              <w:keepLines w:val="0"/>
              <w:ind w:left="0" w:firstLine="0"/>
              <w:rPr>
                <w:rFonts w:eastAsia="Times New Roman" w:cs="Times New Roman"/>
                <w:color w:val="000000"/>
                <w:szCs w:val="14"/>
                <w:lang w:eastAsia="en-AU"/>
              </w:rPr>
            </w:pPr>
            <w:r w:rsidRPr="004D4939">
              <w:rPr>
                <w:rFonts w:eastAsia="Times New Roman" w:cs="Times New Roman"/>
                <w:color w:val="000000"/>
                <w:szCs w:val="14"/>
                <w:lang w:eastAsia="en-AU"/>
              </w:rPr>
              <w:t>Expenses from transactions</w:t>
            </w:r>
          </w:p>
        </w:tc>
        <w:tc>
          <w:tcPr>
            <w:tcW w:w="883" w:type="dxa"/>
            <w:tcBorders>
              <w:top w:val="nil"/>
              <w:left w:val="nil"/>
              <w:bottom w:val="nil"/>
              <w:right w:val="nil"/>
            </w:tcBorders>
            <w:shd w:val="clear" w:color="auto" w:fill="auto"/>
            <w:vAlign w:val="bottom"/>
            <w:hideMark/>
          </w:tcPr>
          <w:p w:rsidR="00A46DCA" w:rsidRPr="001D4E6F" w:rsidRDefault="00A46DCA">
            <w:pPr>
              <w:cnfStyle w:val="000000000000" w:firstRow="0" w:lastRow="0" w:firstColumn="0" w:lastColumn="0" w:oddVBand="0" w:evenVBand="0" w:oddHBand="0" w:evenHBand="0" w:firstRowFirstColumn="0" w:firstRowLastColumn="0" w:lastRowFirstColumn="0" w:lastRowLastColumn="0"/>
              <w:rPr>
                <w:rFonts w:ascii="Calibri" w:hAnsi="Calibri"/>
                <w:szCs w:val="17"/>
              </w:rPr>
            </w:pPr>
            <w:r w:rsidRPr="001D4E6F">
              <w:rPr>
                <w:rFonts w:ascii="Calibri" w:hAnsi="Calibri"/>
                <w:szCs w:val="17"/>
              </w:rPr>
              <w:t>2.1</w:t>
            </w:r>
          </w:p>
        </w:tc>
        <w:tc>
          <w:tcPr>
            <w:tcW w:w="884" w:type="dxa"/>
            <w:tcBorders>
              <w:top w:val="nil"/>
              <w:left w:val="nil"/>
              <w:bottom w:val="nil"/>
              <w:right w:val="nil"/>
            </w:tcBorders>
            <w:shd w:val="clear" w:color="auto" w:fill="auto"/>
            <w:vAlign w:val="bottom"/>
            <w:hideMark/>
          </w:tcPr>
          <w:p w:rsidR="00A46DCA" w:rsidRPr="001D4E6F" w:rsidRDefault="00A46DCA">
            <w:pPr>
              <w:cnfStyle w:val="000000000000" w:firstRow="0" w:lastRow="0" w:firstColumn="0" w:lastColumn="0" w:oddVBand="0" w:evenVBand="0" w:oddHBand="0" w:evenHBand="0" w:firstRowFirstColumn="0" w:firstRowLastColumn="0" w:lastRowFirstColumn="0" w:lastRowLastColumn="0"/>
              <w:rPr>
                <w:rFonts w:ascii="Calibri" w:hAnsi="Calibri"/>
                <w:szCs w:val="17"/>
              </w:rPr>
            </w:pPr>
            <w:r w:rsidRPr="001D4E6F">
              <w:rPr>
                <w:rFonts w:ascii="Calibri" w:hAnsi="Calibri"/>
                <w:szCs w:val="17"/>
              </w:rPr>
              <w:t>(18.7)</w:t>
            </w:r>
          </w:p>
        </w:tc>
        <w:tc>
          <w:tcPr>
            <w:tcW w:w="884" w:type="dxa"/>
            <w:tcBorders>
              <w:top w:val="nil"/>
              <w:left w:val="nil"/>
              <w:bottom w:val="nil"/>
              <w:right w:val="nil"/>
            </w:tcBorders>
            <w:shd w:val="clear" w:color="auto" w:fill="auto"/>
            <w:vAlign w:val="bottom"/>
            <w:hideMark/>
          </w:tcPr>
          <w:p w:rsidR="00A46DCA" w:rsidRPr="001D4E6F" w:rsidRDefault="00A46DCA">
            <w:pPr>
              <w:cnfStyle w:val="000000000000" w:firstRow="0" w:lastRow="0" w:firstColumn="0" w:lastColumn="0" w:oddVBand="0" w:evenVBand="0" w:oddHBand="0" w:evenHBand="0" w:firstRowFirstColumn="0" w:firstRowLastColumn="0" w:lastRowFirstColumn="0" w:lastRowLastColumn="0"/>
              <w:rPr>
                <w:rFonts w:ascii="Calibri" w:hAnsi="Calibri"/>
                <w:szCs w:val="17"/>
              </w:rPr>
            </w:pPr>
            <w:r w:rsidRPr="001D4E6F">
              <w:rPr>
                <w:rFonts w:ascii="Calibri" w:hAnsi="Calibri"/>
                <w:szCs w:val="17"/>
              </w:rPr>
              <w:t>(81.7)</w:t>
            </w:r>
          </w:p>
        </w:tc>
        <w:tc>
          <w:tcPr>
            <w:tcW w:w="884" w:type="dxa"/>
            <w:tcBorders>
              <w:top w:val="nil"/>
              <w:left w:val="nil"/>
              <w:bottom w:val="nil"/>
              <w:right w:val="nil"/>
            </w:tcBorders>
            <w:shd w:val="clear" w:color="auto" w:fill="auto"/>
            <w:vAlign w:val="bottom"/>
            <w:hideMark/>
          </w:tcPr>
          <w:p w:rsidR="00A46DCA" w:rsidRPr="001D4E6F" w:rsidRDefault="00A46DCA">
            <w:pPr>
              <w:cnfStyle w:val="000000000000" w:firstRow="0" w:lastRow="0" w:firstColumn="0" w:lastColumn="0" w:oddVBand="0" w:evenVBand="0" w:oddHBand="0" w:evenHBand="0" w:firstRowFirstColumn="0" w:firstRowLastColumn="0" w:lastRowFirstColumn="0" w:lastRowLastColumn="0"/>
              <w:rPr>
                <w:rFonts w:ascii="Calibri" w:hAnsi="Calibri"/>
                <w:szCs w:val="17"/>
              </w:rPr>
            </w:pPr>
            <w:r w:rsidRPr="001D4E6F">
              <w:rPr>
                <w:rFonts w:ascii="Calibri" w:hAnsi="Calibri"/>
                <w:szCs w:val="17"/>
              </w:rPr>
              <w:t>(146.8)</w:t>
            </w:r>
          </w:p>
        </w:tc>
      </w:tr>
      <w:tr w:rsidR="00A46DCA" w:rsidRPr="004D4939" w:rsidTr="00A26D04">
        <w:tc>
          <w:tcPr>
            <w:cnfStyle w:val="001000000000" w:firstRow="0" w:lastRow="0" w:firstColumn="1" w:lastColumn="0" w:oddVBand="0" w:evenVBand="0" w:oddHBand="0" w:evenHBand="0" w:firstRowFirstColumn="0" w:firstRowLastColumn="0" w:lastRowFirstColumn="0" w:lastRowLastColumn="0"/>
            <w:tcW w:w="4230" w:type="dxa"/>
            <w:tcBorders>
              <w:top w:val="single" w:sz="4" w:space="0" w:color="auto"/>
              <w:left w:val="nil"/>
              <w:bottom w:val="single" w:sz="4" w:space="0" w:color="auto"/>
              <w:right w:val="nil"/>
            </w:tcBorders>
            <w:shd w:val="clear" w:color="auto" w:fill="auto"/>
            <w:vAlign w:val="center"/>
            <w:hideMark/>
          </w:tcPr>
          <w:p w:rsidR="00A46DCA" w:rsidRPr="004D4939" w:rsidRDefault="00A46DCA" w:rsidP="00A26D04">
            <w:pPr>
              <w:keepLines w:val="0"/>
              <w:ind w:left="0" w:firstLine="0"/>
              <w:rPr>
                <w:rFonts w:eastAsia="Times New Roman" w:cs="Times New Roman"/>
                <w:b/>
                <w:bCs/>
                <w:color w:val="000000"/>
                <w:szCs w:val="14"/>
                <w:lang w:eastAsia="en-AU"/>
              </w:rPr>
            </w:pPr>
            <w:r w:rsidRPr="004D4939">
              <w:rPr>
                <w:rFonts w:eastAsia="Times New Roman" w:cs="Times New Roman"/>
                <w:b/>
                <w:bCs/>
                <w:color w:val="000000"/>
                <w:szCs w:val="14"/>
                <w:lang w:eastAsia="en-AU"/>
              </w:rPr>
              <w:t>Net result from transactions</w:t>
            </w:r>
          </w:p>
        </w:tc>
        <w:tc>
          <w:tcPr>
            <w:tcW w:w="883" w:type="dxa"/>
            <w:tcBorders>
              <w:top w:val="single" w:sz="4" w:space="0" w:color="auto"/>
              <w:left w:val="nil"/>
              <w:bottom w:val="single" w:sz="4" w:space="0" w:color="auto"/>
              <w:right w:val="nil"/>
            </w:tcBorders>
            <w:shd w:val="clear" w:color="auto" w:fill="auto"/>
            <w:vAlign w:val="bottom"/>
            <w:hideMark/>
          </w:tcPr>
          <w:p w:rsidR="00A46DCA" w:rsidRPr="001D4E6F" w:rsidRDefault="00A46DCA">
            <w:pPr>
              <w:cnfStyle w:val="000000000000" w:firstRow="0" w:lastRow="0" w:firstColumn="0" w:lastColumn="0" w:oddVBand="0" w:evenVBand="0" w:oddHBand="0" w:evenHBand="0" w:firstRowFirstColumn="0" w:firstRowLastColumn="0" w:lastRowFirstColumn="0" w:lastRowLastColumn="0"/>
              <w:rPr>
                <w:rFonts w:ascii="Calibri" w:hAnsi="Calibri"/>
                <w:b/>
                <w:bCs/>
                <w:szCs w:val="17"/>
              </w:rPr>
            </w:pPr>
            <w:r w:rsidRPr="001D4E6F">
              <w:rPr>
                <w:rFonts w:ascii="Calibri" w:hAnsi="Calibri"/>
                <w:b/>
                <w:bCs/>
                <w:szCs w:val="17"/>
              </w:rPr>
              <w:t>(78.9)</w:t>
            </w:r>
          </w:p>
        </w:tc>
        <w:tc>
          <w:tcPr>
            <w:tcW w:w="884" w:type="dxa"/>
            <w:tcBorders>
              <w:top w:val="single" w:sz="4" w:space="0" w:color="auto"/>
              <w:left w:val="nil"/>
              <w:bottom w:val="single" w:sz="4" w:space="0" w:color="auto"/>
              <w:right w:val="nil"/>
            </w:tcBorders>
            <w:shd w:val="clear" w:color="auto" w:fill="auto"/>
            <w:vAlign w:val="bottom"/>
            <w:hideMark/>
          </w:tcPr>
          <w:p w:rsidR="00A46DCA" w:rsidRPr="001D4E6F" w:rsidRDefault="00A46DCA">
            <w:pPr>
              <w:cnfStyle w:val="000000000000" w:firstRow="0" w:lastRow="0" w:firstColumn="0" w:lastColumn="0" w:oddVBand="0" w:evenVBand="0" w:oddHBand="0" w:evenHBand="0" w:firstRowFirstColumn="0" w:firstRowLastColumn="0" w:lastRowFirstColumn="0" w:lastRowLastColumn="0"/>
              <w:rPr>
                <w:rFonts w:ascii="Calibri" w:hAnsi="Calibri"/>
                <w:b/>
                <w:bCs/>
                <w:szCs w:val="17"/>
              </w:rPr>
            </w:pPr>
            <w:r w:rsidRPr="001D4E6F">
              <w:rPr>
                <w:rFonts w:ascii="Calibri" w:hAnsi="Calibri"/>
                <w:b/>
                <w:bCs/>
                <w:szCs w:val="17"/>
              </w:rPr>
              <w:t>(191.3)</w:t>
            </w:r>
          </w:p>
        </w:tc>
        <w:tc>
          <w:tcPr>
            <w:tcW w:w="884" w:type="dxa"/>
            <w:tcBorders>
              <w:top w:val="single" w:sz="4" w:space="0" w:color="auto"/>
              <w:left w:val="nil"/>
              <w:bottom w:val="single" w:sz="4" w:space="0" w:color="auto"/>
              <w:right w:val="nil"/>
            </w:tcBorders>
            <w:shd w:val="clear" w:color="auto" w:fill="auto"/>
            <w:vAlign w:val="bottom"/>
            <w:hideMark/>
          </w:tcPr>
          <w:p w:rsidR="00A46DCA" w:rsidRPr="001D4E6F" w:rsidRDefault="00A46DCA">
            <w:pPr>
              <w:cnfStyle w:val="000000000000" w:firstRow="0" w:lastRow="0" w:firstColumn="0" w:lastColumn="0" w:oddVBand="0" w:evenVBand="0" w:oddHBand="0" w:evenHBand="0" w:firstRowFirstColumn="0" w:firstRowLastColumn="0" w:lastRowFirstColumn="0" w:lastRowLastColumn="0"/>
              <w:rPr>
                <w:rFonts w:ascii="Calibri" w:hAnsi="Calibri"/>
                <w:b/>
                <w:bCs/>
                <w:szCs w:val="17"/>
              </w:rPr>
            </w:pPr>
            <w:r w:rsidRPr="001D4E6F">
              <w:rPr>
                <w:rFonts w:ascii="Calibri" w:hAnsi="Calibri"/>
                <w:b/>
                <w:bCs/>
                <w:szCs w:val="17"/>
              </w:rPr>
              <w:t>(229.2)</w:t>
            </w:r>
          </w:p>
        </w:tc>
        <w:tc>
          <w:tcPr>
            <w:tcW w:w="884" w:type="dxa"/>
            <w:tcBorders>
              <w:top w:val="single" w:sz="4" w:space="0" w:color="auto"/>
              <w:left w:val="nil"/>
              <w:bottom w:val="single" w:sz="4" w:space="0" w:color="auto"/>
              <w:right w:val="nil"/>
            </w:tcBorders>
            <w:shd w:val="clear" w:color="auto" w:fill="auto"/>
            <w:vAlign w:val="bottom"/>
            <w:hideMark/>
          </w:tcPr>
          <w:p w:rsidR="00A46DCA" w:rsidRPr="001D4E6F" w:rsidRDefault="00A46DCA">
            <w:pPr>
              <w:cnfStyle w:val="000000000000" w:firstRow="0" w:lastRow="0" w:firstColumn="0" w:lastColumn="0" w:oddVBand="0" w:evenVBand="0" w:oddHBand="0" w:evenHBand="0" w:firstRowFirstColumn="0" w:firstRowLastColumn="0" w:lastRowFirstColumn="0" w:lastRowLastColumn="0"/>
              <w:rPr>
                <w:rFonts w:ascii="Calibri" w:hAnsi="Calibri"/>
                <w:b/>
                <w:bCs/>
                <w:szCs w:val="17"/>
              </w:rPr>
            </w:pPr>
            <w:r w:rsidRPr="001D4E6F">
              <w:rPr>
                <w:rFonts w:ascii="Calibri" w:hAnsi="Calibri"/>
                <w:b/>
                <w:bCs/>
                <w:szCs w:val="17"/>
              </w:rPr>
              <w:t>(285.6)</w:t>
            </w:r>
          </w:p>
        </w:tc>
      </w:tr>
      <w:tr w:rsidR="00A46DCA" w:rsidRPr="004D4939" w:rsidTr="00A26D04">
        <w:tc>
          <w:tcPr>
            <w:cnfStyle w:val="001000000000" w:firstRow="0" w:lastRow="0" w:firstColumn="1" w:lastColumn="0" w:oddVBand="0" w:evenVBand="0" w:oddHBand="0" w:evenHBand="0" w:firstRowFirstColumn="0" w:firstRowLastColumn="0" w:lastRowFirstColumn="0" w:lastRowLastColumn="0"/>
            <w:tcW w:w="4230" w:type="dxa"/>
            <w:tcBorders>
              <w:top w:val="nil"/>
              <w:left w:val="nil"/>
              <w:bottom w:val="nil"/>
              <w:right w:val="nil"/>
            </w:tcBorders>
            <w:shd w:val="clear" w:color="auto" w:fill="auto"/>
            <w:vAlign w:val="center"/>
            <w:hideMark/>
          </w:tcPr>
          <w:p w:rsidR="00A46DCA" w:rsidRPr="004D4939" w:rsidRDefault="00A46DCA" w:rsidP="00A26D04">
            <w:pPr>
              <w:keepLines w:val="0"/>
              <w:ind w:left="0" w:firstLine="0"/>
              <w:rPr>
                <w:rFonts w:eastAsia="Times New Roman" w:cs="Times New Roman"/>
                <w:color w:val="000000"/>
                <w:szCs w:val="14"/>
                <w:lang w:eastAsia="en-AU"/>
              </w:rPr>
            </w:pPr>
            <w:r w:rsidRPr="004D4939">
              <w:rPr>
                <w:rFonts w:eastAsia="Times New Roman" w:cs="Times New Roman"/>
                <w:color w:val="000000"/>
                <w:szCs w:val="14"/>
                <w:lang w:eastAsia="en-AU"/>
              </w:rPr>
              <w:t>Other economic flows</w:t>
            </w:r>
          </w:p>
        </w:tc>
        <w:tc>
          <w:tcPr>
            <w:tcW w:w="883" w:type="dxa"/>
            <w:tcBorders>
              <w:top w:val="nil"/>
              <w:left w:val="nil"/>
              <w:bottom w:val="nil"/>
              <w:right w:val="nil"/>
            </w:tcBorders>
            <w:shd w:val="clear" w:color="auto" w:fill="auto"/>
            <w:vAlign w:val="bottom"/>
            <w:hideMark/>
          </w:tcPr>
          <w:p w:rsidR="00A46DCA" w:rsidRPr="001D4E6F" w:rsidRDefault="00A46DCA">
            <w:pPr>
              <w:cnfStyle w:val="000000000000" w:firstRow="0" w:lastRow="0" w:firstColumn="0" w:lastColumn="0" w:oddVBand="0" w:evenVBand="0" w:oddHBand="0" w:evenHBand="0" w:firstRowFirstColumn="0" w:firstRowLastColumn="0" w:lastRowFirstColumn="0" w:lastRowLastColumn="0"/>
              <w:rPr>
                <w:rFonts w:ascii="Calibri" w:hAnsi="Calibri"/>
                <w:szCs w:val="17"/>
              </w:rPr>
            </w:pPr>
            <w:r w:rsidRPr="001D4E6F">
              <w:rPr>
                <w:rFonts w:ascii="Calibri" w:hAnsi="Calibri"/>
                <w:szCs w:val="17"/>
              </w:rPr>
              <w:t>(1.1)</w:t>
            </w:r>
          </w:p>
        </w:tc>
        <w:tc>
          <w:tcPr>
            <w:tcW w:w="884" w:type="dxa"/>
            <w:tcBorders>
              <w:top w:val="nil"/>
              <w:left w:val="nil"/>
              <w:bottom w:val="nil"/>
              <w:right w:val="nil"/>
            </w:tcBorders>
            <w:shd w:val="clear" w:color="auto" w:fill="auto"/>
            <w:vAlign w:val="bottom"/>
            <w:hideMark/>
          </w:tcPr>
          <w:p w:rsidR="00A46DCA" w:rsidRPr="001D4E6F" w:rsidRDefault="00A46DCA">
            <w:pPr>
              <w:cnfStyle w:val="000000000000" w:firstRow="0" w:lastRow="0" w:firstColumn="0" w:lastColumn="0" w:oddVBand="0" w:evenVBand="0" w:oddHBand="0" w:evenHBand="0" w:firstRowFirstColumn="0" w:firstRowLastColumn="0" w:lastRowFirstColumn="0" w:lastRowLastColumn="0"/>
              <w:rPr>
                <w:rFonts w:ascii="Calibri" w:hAnsi="Calibri"/>
                <w:szCs w:val="17"/>
              </w:rPr>
            </w:pPr>
            <w:r w:rsidRPr="001D4E6F">
              <w:rPr>
                <w:rFonts w:ascii="Calibri" w:hAnsi="Calibri"/>
                <w:szCs w:val="17"/>
              </w:rPr>
              <w:t>(3.0)</w:t>
            </w:r>
          </w:p>
        </w:tc>
        <w:tc>
          <w:tcPr>
            <w:tcW w:w="884" w:type="dxa"/>
            <w:tcBorders>
              <w:top w:val="nil"/>
              <w:left w:val="nil"/>
              <w:bottom w:val="nil"/>
              <w:right w:val="nil"/>
            </w:tcBorders>
            <w:shd w:val="clear" w:color="auto" w:fill="auto"/>
            <w:vAlign w:val="bottom"/>
            <w:hideMark/>
          </w:tcPr>
          <w:p w:rsidR="00A46DCA" w:rsidRPr="001D4E6F" w:rsidRDefault="00A46DCA">
            <w:pPr>
              <w:cnfStyle w:val="000000000000" w:firstRow="0" w:lastRow="0" w:firstColumn="0" w:lastColumn="0" w:oddVBand="0" w:evenVBand="0" w:oddHBand="0" w:evenHBand="0" w:firstRowFirstColumn="0" w:firstRowLastColumn="0" w:lastRowFirstColumn="0" w:lastRowLastColumn="0"/>
              <w:rPr>
                <w:rFonts w:ascii="Calibri" w:hAnsi="Calibri"/>
                <w:szCs w:val="17"/>
              </w:rPr>
            </w:pPr>
            <w:r w:rsidRPr="001D4E6F">
              <w:rPr>
                <w:rFonts w:ascii="Calibri" w:hAnsi="Calibri"/>
                <w:szCs w:val="17"/>
              </w:rPr>
              <w:t>(2.8)</w:t>
            </w:r>
          </w:p>
        </w:tc>
        <w:tc>
          <w:tcPr>
            <w:tcW w:w="884" w:type="dxa"/>
            <w:tcBorders>
              <w:top w:val="nil"/>
              <w:left w:val="nil"/>
              <w:bottom w:val="nil"/>
              <w:right w:val="nil"/>
            </w:tcBorders>
            <w:shd w:val="clear" w:color="auto" w:fill="auto"/>
            <w:vAlign w:val="bottom"/>
            <w:hideMark/>
          </w:tcPr>
          <w:p w:rsidR="00A46DCA" w:rsidRPr="001D4E6F" w:rsidRDefault="00A46DCA">
            <w:pPr>
              <w:cnfStyle w:val="000000000000" w:firstRow="0" w:lastRow="0" w:firstColumn="0" w:lastColumn="0" w:oddVBand="0" w:evenVBand="0" w:oddHBand="0" w:evenHBand="0" w:firstRowFirstColumn="0" w:firstRowLastColumn="0" w:lastRowFirstColumn="0" w:lastRowLastColumn="0"/>
              <w:rPr>
                <w:rFonts w:ascii="Calibri" w:hAnsi="Calibri"/>
                <w:szCs w:val="17"/>
              </w:rPr>
            </w:pPr>
            <w:r w:rsidRPr="001D4E6F">
              <w:rPr>
                <w:rFonts w:ascii="Calibri" w:hAnsi="Calibri"/>
                <w:szCs w:val="17"/>
              </w:rPr>
              <w:t>(4.1)</w:t>
            </w:r>
          </w:p>
        </w:tc>
      </w:tr>
      <w:tr w:rsidR="00A46DCA" w:rsidRPr="004D4939" w:rsidTr="00A26D04">
        <w:tc>
          <w:tcPr>
            <w:cnfStyle w:val="001000000000" w:firstRow="0" w:lastRow="0" w:firstColumn="1" w:lastColumn="0" w:oddVBand="0" w:evenVBand="0" w:oddHBand="0" w:evenHBand="0" w:firstRowFirstColumn="0" w:firstRowLastColumn="0" w:lastRowFirstColumn="0" w:lastRowLastColumn="0"/>
            <w:tcW w:w="4230" w:type="dxa"/>
            <w:tcBorders>
              <w:top w:val="single" w:sz="4" w:space="0" w:color="auto"/>
              <w:left w:val="nil"/>
              <w:bottom w:val="single" w:sz="4" w:space="0" w:color="auto"/>
              <w:right w:val="nil"/>
            </w:tcBorders>
            <w:shd w:val="clear" w:color="auto" w:fill="auto"/>
            <w:vAlign w:val="center"/>
            <w:hideMark/>
          </w:tcPr>
          <w:p w:rsidR="00A46DCA" w:rsidRPr="004D4939" w:rsidRDefault="00A46DCA" w:rsidP="00A26D04">
            <w:pPr>
              <w:keepLines w:val="0"/>
              <w:ind w:left="0" w:firstLine="0"/>
              <w:rPr>
                <w:rFonts w:eastAsia="Times New Roman" w:cs="Times New Roman"/>
                <w:b/>
                <w:bCs/>
                <w:color w:val="000000"/>
                <w:szCs w:val="14"/>
                <w:lang w:eastAsia="en-AU"/>
              </w:rPr>
            </w:pPr>
            <w:r w:rsidRPr="004D4939">
              <w:rPr>
                <w:rFonts w:eastAsia="Times New Roman" w:cs="Times New Roman"/>
                <w:b/>
                <w:bCs/>
                <w:color w:val="000000"/>
                <w:szCs w:val="14"/>
                <w:lang w:eastAsia="en-AU"/>
              </w:rPr>
              <w:t>Net result</w:t>
            </w:r>
          </w:p>
        </w:tc>
        <w:tc>
          <w:tcPr>
            <w:tcW w:w="883" w:type="dxa"/>
            <w:tcBorders>
              <w:top w:val="single" w:sz="4" w:space="0" w:color="auto"/>
              <w:left w:val="nil"/>
              <w:bottom w:val="single" w:sz="4" w:space="0" w:color="auto"/>
              <w:right w:val="nil"/>
            </w:tcBorders>
            <w:shd w:val="clear" w:color="auto" w:fill="auto"/>
            <w:vAlign w:val="bottom"/>
            <w:hideMark/>
          </w:tcPr>
          <w:p w:rsidR="00A46DCA" w:rsidRPr="001D4E6F" w:rsidRDefault="00A46DCA">
            <w:pPr>
              <w:cnfStyle w:val="000000000000" w:firstRow="0" w:lastRow="0" w:firstColumn="0" w:lastColumn="0" w:oddVBand="0" w:evenVBand="0" w:oddHBand="0" w:evenHBand="0" w:firstRowFirstColumn="0" w:firstRowLastColumn="0" w:lastRowFirstColumn="0" w:lastRowLastColumn="0"/>
              <w:rPr>
                <w:rFonts w:ascii="Calibri" w:hAnsi="Calibri"/>
                <w:b/>
                <w:bCs/>
                <w:szCs w:val="17"/>
              </w:rPr>
            </w:pPr>
            <w:r w:rsidRPr="001D4E6F">
              <w:rPr>
                <w:rFonts w:ascii="Calibri" w:hAnsi="Calibri"/>
                <w:b/>
                <w:bCs/>
                <w:szCs w:val="17"/>
              </w:rPr>
              <w:t>(80.0)</w:t>
            </w:r>
          </w:p>
        </w:tc>
        <w:tc>
          <w:tcPr>
            <w:tcW w:w="884" w:type="dxa"/>
            <w:tcBorders>
              <w:top w:val="single" w:sz="4" w:space="0" w:color="auto"/>
              <w:left w:val="nil"/>
              <w:bottom w:val="single" w:sz="4" w:space="0" w:color="auto"/>
              <w:right w:val="nil"/>
            </w:tcBorders>
            <w:shd w:val="clear" w:color="auto" w:fill="auto"/>
            <w:vAlign w:val="bottom"/>
            <w:hideMark/>
          </w:tcPr>
          <w:p w:rsidR="00A46DCA" w:rsidRPr="001D4E6F" w:rsidRDefault="00A46DCA">
            <w:pPr>
              <w:cnfStyle w:val="000000000000" w:firstRow="0" w:lastRow="0" w:firstColumn="0" w:lastColumn="0" w:oddVBand="0" w:evenVBand="0" w:oddHBand="0" w:evenHBand="0" w:firstRowFirstColumn="0" w:firstRowLastColumn="0" w:lastRowFirstColumn="0" w:lastRowLastColumn="0"/>
              <w:rPr>
                <w:rFonts w:ascii="Calibri" w:hAnsi="Calibri"/>
                <w:b/>
                <w:bCs/>
                <w:szCs w:val="17"/>
              </w:rPr>
            </w:pPr>
            <w:r w:rsidRPr="001D4E6F">
              <w:rPr>
                <w:rFonts w:ascii="Calibri" w:hAnsi="Calibri"/>
                <w:b/>
                <w:bCs/>
                <w:szCs w:val="17"/>
              </w:rPr>
              <w:t>(194.2)</w:t>
            </w:r>
          </w:p>
        </w:tc>
        <w:tc>
          <w:tcPr>
            <w:tcW w:w="884" w:type="dxa"/>
            <w:tcBorders>
              <w:top w:val="single" w:sz="4" w:space="0" w:color="auto"/>
              <w:left w:val="nil"/>
              <w:bottom w:val="single" w:sz="4" w:space="0" w:color="auto"/>
              <w:right w:val="nil"/>
            </w:tcBorders>
            <w:shd w:val="clear" w:color="auto" w:fill="auto"/>
            <w:vAlign w:val="bottom"/>
            <w:hideMark/>
          </w:tcPr>
          <w:p w:rsidR="00A46DCA" w:rsidRPr="001D4E6F" w:rsidRDefault="00A46DCA">
            <w:pPr>
              <w:cnfStyle w:val="000000000000" w:firstRow="0" w:lastRow="0" w:firstColumn="0" w:lastColumn="0" w:oddVBand="0" w:evenVBand="0" w:oddHBand="0" w:evenHBand="0" w:firstRowFirstColumn="0" w:firstRowLastColumn="0" w:lastRowFirstColumn="0" w:lastRowLastColumn="0"/>
              <w:rPr>
                <w:rFonts w:ascii="Calibri" w:hAnsi="Calibri"/>
                <w:b/>
                <w:bCs/>
                <w:szCs w:val="17"/>
              </w:rPr>
            </w:pPr>
            <w:r w:rsidRPr="001D4E6F">
              <w:rPr>
                <w:rFonts w:ascii="Calibri" w:hAnsi="Calibri"/>
                <w:b/>
                <w:bCs/>
                <w:szCs w:val="17"/>
              </w:rPr>
              <w:t>(232.1)</w:t>
            </w:r>
          </w:p>
        </w:tc>
        <w:tc>
          <w:tcPr>
            <w:tcW w:w="884" w:type="dxa"/>
            <w:tcBorders>
              <w:top w:val="single" w:sz="4" w:space="0" w:color="auto"/>
              <w:left w:val="nil"/>
              <w:bottom w:val="single" w:sz="4" w:space="0" w:color="auto"/>
              <w:right w:val="nil"/>
            </w:tcBorders>
            <w:shd w:val="clear" w:color="auto" w:fill="auto"/>
            <w:vAlign w:val="bottom"/>
            <w:hideMark/>
          </w:tcPr>
          <w:p w:rsidR="00A46DCA" w:rsidRPr="001D4E6F" w:rsidRDefault="00A46DCA">
            <w:pPr>
              <w:cnfStyle w:val="000000000000" w:firstRow="0" w:lastRow="0" w:firstColumn="0" w:lastColumn="0" w:oddVBand="0" w:evenVBand="0" w:oddHBand="0" w:evenHBand="0" w:firstRowFirstColumn="0" w:firstRowLastColumn="0" w:lastRowFirstColumn="0" w:lastRowLastColumn="0"/>
              <w:rPr>
                <w:rFonts w:ascii="Calibri" w:hAnsi="Calibri"/>
                <w:b/>
                <w:bCs/>
                <w:szCs w:val="17"/>
              </w:rPr>
            </w:pPr>
            <w:r w:rsidRPr="001D4E6F">
              <w:rPr>
                <w:rFonts w:ascii="Calibri" w:hAnsi="Calibri"/>
                <w:b/>
                <w:bCs/>
                <w:szCs w:val="17"/>
              </w:rPr>
              <w:t>(289.8)</w:t>
            </w:r>
          </w:p>
        </w:tc>
      </w:tr>
      <w:tr w:rsidR="00A46DCA" w:rsidRPr="004D4939" w:rsidTr="00A26D04">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30" w:type="dxa"/>
            <w:tcBorders>
              <w:top w:val="single" w:sz="4" w:space="0" w:color="auto"/>
              <w:bottom w:val="single" w:sz="12" w:space="0" w:color="auto"/>
            </w:tcBorders>
            <w:shd w:val="clear" w:color="auto" w:fill="auto"/>
            <w:vAlign w:val="center"/>
            <w:hideMark/>
          </w:tcPr>
          <w:p w:rsidR="00A46DCA" w:rsidRPr="004D4939" w:rsidRDefault="00A46DCA" w:rsidP="00A26D04">
            <w:pPr>
              <w:keepLines w:val="0"/>
              <w:ind w:left="0" w:firstLine="0"/>
              <w:rPr>
                <w:rFonts w:eastAsia="Times New Roman" w:cs="Times New Roman"/>
                <w:b w:val="0"/>
                <w:bCs/>
                <w:color w:val="000000"/>
                <w:szCs w:val="14"/>
                <w:lang w:eastAsia="en-AU"/>
              </w:rPr>
            </w:pPr>
            <w:r w:rsidRPr="004D4939">
              <w:rPr>
                <w:rFonts w:eastAsia="Times New Roman" w:cs="Times New Roman"/>
                <w:bCs/>
                <w:color w:val="000000"/>
                <w:szCs w:val="14"/>
                <w:lang w:eastAsia="en-AU"/>
              </w:rPr>
              <w:t>Net debt (cumulative)</w:t>
            </w:r>
          </w:p>
        </w:tc>
        <w:tc>
          <w:tcPr>
            <w:tcW w:w="883" w:type="dxa"/>
            <w:tcBorders>
              <w:top w:val="single" w:sz="4" w:space="0" w:color="auto"/>
              <w:bottom w:val="single" w:sz="12" w:space="0" w:color="auto"/>
            </w:tcBorders>
            <w:shd w:val="clear" w:color="auto" w:fill="auto"/>
            <w:vAlign w:val="bottom"/>
            <w:hideMark/>
          </w:tcPr>
          <w:p w:rsidR="00A46DCA" w:rsidRPr="001D4E6F" w:rsidRDefault="00A46DCA">
            <w:pPr>
              <w:cnfStyle w:val="010000000000" w:firstRow="0" w:lastRow="1" w:firstColumn="0" w:lastColumn="0" w:oddVBand="0" w:evenVBand="0" w:oddHBand="0" w:evenHBand="0" w:firstRowFirstColumn="0" w:firstRowLastColumn="0" w:lastRowFirstColumn="0" w:lastRowLastColumn="0"/>
              <w:rPr>
                <w:rFonts w:ascii="Calibri" w:hAnsi="Calibri"/>
                <w:bCs/>
                <w:szCs w:val="17"/>
              </w:rPr>
            </w:pPr>
            <w:r w:rsidRPr="001D4E6F">
              <w:rPr>
                <w:rFonts w:ascii="Calibri" w:hAnsi="Calibri"/>
                <w:bCs/>
                <w:szCs w:val="17"/>
              </w:rPr>
              <w:t>80.0</w:t>
            </w:r>
          </w:p>
        </w:tc>
        <w:tc>
          <w:tcPr>
            <w:tcW w:w="884" w:type="dxa"/>
            <w:tcBorders>
              <w:top w:val="single" w:sz="4" w:space="0" w:color="auto"/>
              <w:bottom w:val="single" w:sz="12" w:space="0" w:color="auto"/>
            </w:tcBorders>
            <w:shd w:val="clear" w:color="auto" w:fill="auto"/>
            <w:vAlign w:val="bottom"/>
            <w:hideMark/>
          </w:tcPr>
          <w:p w:rsidR="00A46DCA" w:rsidRPr="001D4E6F" w:rsidRDefault="00A46DCA">
            <w:pPr>
              <w:cnfStyle w:val="010000000000" w:firstRow="0" w:lastRow="1" w:firstColumn="0" w:lastColumn="0" w:oddVBand="0" w:evenVBand="0" w:oddHBand="0" w:evenHBand="0" w:firstRowFirstColumn="0" w:firstRowLastColumn="0" w:lastRowFirstColumn="0" w:lastRowLastColumn="0"/>
              <w:rPr>
                <w:rFonts w:ascii="Calibri" w:hAnsi="Calibri"/>
                <w:bCs/>
                <w:szCs w:val="17"/>
              </w:rPr>
            </w:pPr>
            <w:r w:rsidRPr="001D4E6F">
              <w:rPr>
                <w:rFonts w:ascii="Calibri" w:hAnsi="Calibri"/>
                <w:bCs/>
                <w:szCs w:val="17"/>
              </w:rPr>
              <w:t>268.4</w:t>
            </w:r>
          </w:p>
        </w:tc>
        <w:tc>
          <w:tcPr>
            <w:tcW w:w="884" w:type="dxa"/>
            <w:tcBorders>
              <w:top w:val="single" w:sz="4" w:space="0" w:color="auto"/>
              <w:bottom w:val="single" w:sz="12" w:space="0" w:color="auto"/>
            </w:tcBorders>
            <w:shd w:val="clear" w:color="auto" w:fill="auto"/>
            <w:vAlign w:val="bottom"/>
            <w:hideMark/>
          </w:tcPr>
          <w:p w:rsidR="00A46DCA" w:rsidRPr="001D4E6F" w:rsidRDefault="00A46DCA">
            <w:pPr>
              <w:cnfStyle w:val="010000000000" w:firstRow="0" w:lastRow="1" w:firstColumn="0" w:lastColumn="0" w:oddVBand="0" w:evenVBand="0" w:oddHBand="0" w:evenHBand="0" w:firstRowFirstColumn="0" w:firstRowLastColumn="0" w:lastRowFirstColumn="0" w:lastRowLastColumn="0"/>
              <w:rPr>
                <w:rFonts w:ascii="Calibri" w:hAnsi="Calibri"/>
                <w:bCs/>
                <w:szCs w:val="17"/>
              </w:rPr>
            </w:pPr>
            <w:r w:rsidRPr="001D4E6F">
              <w:rPr>
                <w:rFonts w:ascii="Calibri" w:hAnsi="Calibri"/>
                <w:bCs/>
                <w:szCs w:val="17"/>
              </w:rPr>
              <w:t>494.3</w:t>
            </w:r>
          </w:p>
        </w:tc>
        <w:tc>
          <w:tcPr>
            <w:tcW w:w="884" w:type="dxa"/>
            <w:tcBorders>
              <w:top w:val="single" w:sz="4" w:space="0" w:color="auto"/>
              <w:bottom w:val="single" w:sz="12" w:space="0" w:color="auto"/>
            </w:tcBorders>
            <w:shd w:val="clear" w:color="auto" w:fill="auto"/>
            <w:vAlign w:val="bottom"/>
            <w:hideMark/>
          </w:tcPr>
          <w:p w:rsidR="00A46DCA" w:rsidRPr="001D4E6F" w:rsidRDefault="00A46DCA">
            <w:pPr>
              <w:cnfStyle w:val="010000000000" w:firstRow="0" w:lastRow="1" w:firstColumn="0" w:lastColumn="0" w:oddVBand="0" w:evenVBand="0" w:oddHBand="0" w:evenHBand="0" w:firstRowFirstColumn="0" w:firstRowLastColumn="0" w:lastRowFirstColumn="0" w:lastRowLastColumn="0"/>
              <w:rPr>
                <w:rFonts w:ascii="Calibri" w:hAnsi="Calibri"/>
                <w:bCs/>
                <w:szCs w:val="17"/>
              </w:rPr>
            </w:pPr>
            <w:r w:rsidRPr="001D4E6F">
              <w:rPr>
                <w:rFonts w:ascii="Calibri" w:hAnsi="Calibri"/>
                <w:bCs/>
                <w:szCs w:val="17"/>
              </w:rPr>
              <w:t>777.3</w:t>
            </w:r>
          </w:p>
        </w:tc>
      </w:tr>
    </w:tbl>
    <w:p w:rsidR="00A46DCA" w:rsidRDefault="00A46DCA" w:rsidP="00A26D04">
      <w:pPr>
        <w:spacing w:before="20" w:after="60"/>
        <w:rPr>
          <w:rFonts w:ascii="Calibri" w:eastAsia="Garamond" w:hAnsi="Calibri" w:cs="Times New Roman"/>
          <w:i/>
          <w:spacing w:val="-2"/>
          <w:sz w:val="14"/>
        </w:rPr>
      </w:pPr>
      <w:r w:rsidRPr="00442C0B">
        <w:rPr>
          <w:rFonts w:ascii="Calibri" w:eastAsia="Garamond" w:hAnsi="Calibri" w:cs="Times New Roman"/>
          <w:i/>
          <w:spacing w:val="-2"/>
          <w:sz w:val="14"/>
        </w:rPr>
        <w:t>Source: Department of Treasury and Finance</w:t>
      </w:r>
    </w:p>
    <w:p w:rsidR="007A7C8C" w:rsidRPr="00442C0B" w:rsidRDefault="007A7C8C" w:rsidP="007A7C8C"/>
    <w:p w:rsidR="00A46DCA" w:rsidRPr="00307F6A" w:rsidRDefault="00A46DCA" w:rsidP="00A26D04">
      <w:pPr>
        <w:keepNext/>
        <w:numPr>
          <w:ilvl w:val="1"/>
          <w:numId w:val="0"/>
        </w:numPr>
        <w:tabs>
          <w:tab w:val="right" w:pos="9582"/>
        </w:tabs>
        <w:spacing w:before="240"/>
        <w:outlineLvl w:val="1"/>
        <w:rPr>
          <w:rFonts w:ascii="Calibri" w:eastAsia="Times New Roman" w:hAnsi="Calibri" w:cs="Times New Roman"/>
          <w:b/>
          <w:spacing w:val="-2"/>
          <w:sz w:val="26"/>
          <w:szCs w:val="26"/>
        </w:rPr>
      </w:pPr>
      <w:r>
        <w:rPr>
          <w:rFonts w:ascii="Calibri" w:eastAsia="Times New Roman" w:hAnsi="Calibri" w:cs="Times New Roman"/>
          <w:b/>
          <w:spacing w:val="-2"/>
          <w:sz w:val="26"/>
          <w:szCs w:val="26"/>
        </w:rPr>
        <w:t>Sensitivity to population growth</w:t>
      </w:r>
    </w:p>
    <w:p w:rsidR="00A46DCA" w:rsidRPr="00442C0B" w:rsidRDefault="00A46DCA" w:rsidP="00A26D04">
      <w:pPr>
        <w:rPr>
          <w:rFonts w:ascii="Garamond" w:eastAsia="Garamond" w:hAnsi="Garamond" w:cs="Times New Roman"/>
        </w:rPr>
      </w:pPr>
      <w:r w:rsidRPr="00442C0B">
        <w:rPr>
          <w:rFonts w:ascii="Garamond" w:eastAsia="Garamond" w:hAnsi="Garamond" w:cs="Times New Roman"/>
        </w:rPr>
        <w:t>Victoria</w:t>
      </w:r>
      <w:r>
        <w:rPr>
          <w:rFonts w:ascii="Garamond" w:eastAsia="Garamond" w:hAnsi="Garamond" w:cs="Times New Roman"/>
        </w:rPr>
        <w:t>’</w:t>
      </w:r>
      <w:r w:rsidRPr="00442C0B">
        <w:rPr>
          <w:rFonts w:ascii="Garamond" w:eastAsia="Garamond" w:hAnsi="Garamond" w:cs="Times New Roman"/>
        </w:rPr>
        <w:t>s population growth has significantly exceeded expectations in recent years. Over the year to March 2017, it grew 2.4 per cent, which was materially higher than</w:t>
      </w:r>
      <w:r>
        <w:rPr>
          <w:rFonts w:ascii="Garamond" w:eastAsia="Garamond" w:hAnsi="Garamond" w:cs="Times New Roman"/>
        </w:rPr>
        <w:t xml:space="preserve"> the </w:t>
      </w:r>
      <w:r w:rsidRPr="00442C0B">
        <w:rPr>
          <w:rFonts w:ascii="Garamond" w:eastAsia="Garamond" w:hAnsi="Garamond" w:cs="Times New Roman"/>
        </w:rPr>
        <w:t>1.6</w:t>
      </w:r>
      <w:r>
        <w:rPr>
          <w:rFonts w:ascii="Garamond" w:eastAsia="Garamond" w:hAnsi="Garamond" w:cs="Times New Roman"/>
        </w:rPr>
        <w:t> </w:t>
      </w:r>
      <w:r w:rsidRPr="00442C0B">
        <w:rPr>
          <w:rFonts w:ascii="Garamond" w:eastAsia="Garamond" w:hAnsi="Garamond" w:cs="Times New Roman"/>
        </w:rPr>
        <w:t>per</w:t>
      </w:r>
      <w:r>
        <w:rPr>
          <w:rFonts w:ascii="Garamond" w:eastAsia="Garamond" w:hAnsi="Garamond" w:cs="Times New Roman"/>
        </w:rPr>
        <w:t> </w:t>
      </w:r>
      <w:r w:rsidRPr="00442C0B">
        <w:rPr>
          <w:rFonts w:ascii="Garamond" w:eastAsia="Garamond" w:hAnsi="Garamond" w:cs="Times New Roman"/>
        </w:rPr>
        <w:t xml:space="preserve">cent national average. </w:t>
      </w:r>
    </w:p>
    <w:p w:rsidR="00A46DCA" w:rsidRPr="00442C0B" w:rsidRDefault="00A46DCA" w:rsidP="00A26D04">
      <w:pPr>
        <w:rPr>
          <w:rFonts w:ascii="Garamond" w:eastAsia="Garamond" w:hAnsi="Garamond" w:cs="Times New Roman"/>
        </w:rPr>
      </w:pPr>
      <w:r w:rsidRPr="00442C0B">
        <w:rPr>
          <w:rFonts w:ascii="Garamond" w:eastAsia="Garamond" w:hAnsi="Garamond" w:cs="Times New Roman"/>
        </w:rPr>
        <w:t>The forecast is for Victoria</w:t>
      </w:r>
      <w:r>
        <w:rPr>
          <w:rFonts w:ascii="Garamond" w:eastAsia="Garamond" w:hAnsi="Garamond" w:cs="Times New Roman"/>
        </w:rPr>
        <w:t>’</w:t>
      </w:r>
      <w:r w:rsidRPr="00442C0B">
        <w:rPr>
          <w:rFonts w:ascii="Garamond" w:eastAsia="Garamond" w:hAnsi="Garamond" w:cs="Times New Roman"/>
        </w:rPr>
        <w:t>s population growth to remain strong but moderate over the next four years in line with strengthening conditions in Australia</w:t>
      </w:r>
      <w:r>
        <w:rPr>
          <w:rFonts w:ascii="Garamond" w:eastAsia="Garamond" w:hAnsi="Garamond" w:cs="Times New Roman"/>
        </w:rPr>
        <w:t>’</w:t>
      </w:r>
      <w:r w:rsidRPr="00442C0B">
        <w:rPr>
          <w:rFonts w:ascii="Garamond" w:eastAsia="Garamond" w:hAnsi="Garamond" w:cs="Times New Roman"/>
        </w:rPr>
        <w:t>s mining states. This scenario models the impact of an additional positive population growth shock to Victoria. The shock assumes that population growth is 0.1 percentage p</w:t>
      </w:r>
      <w:r>
        <w:rPr>
          <w:rFonts w:ascii="Garamond" w:eastAsia="Garamond" w:hAnsi="Garamond" w:cs="Times New Roman"/>
        </w:rPr>
        <w:t>oint higher in 2017-18, and 0.2 </w:t>
      </w:r>
      <w:r w:rsidRPr="00442C0B">
        <w:rPr>
          <w:rFonts w:ascii="Garamond" w:eastAsia="Garamond" w:hAnsi="Garamond" w:cs="Times New Roman"/>
        </w:rPr>
        <w:t>percentage point</w:t>
      </w:r>
      <w:r>
        <w:rPr>
          <w:rFonts w:ascii="Garamond" w:eastAsia="Garamond" w:hAnsi="Garamond" w:cs="Times New Roman"/>
        </w:rPr>
        <w:t>s</w:t>
      </w:r>
      <w:r w:rsidRPr="00442C0B">
        <w:rPr>
          <w:rFonts w:ascii="Garamond" w:eastAsia="Garamond" w:hAnsi="Garamond" w:cs="Times New Roman"/>
        </w:rPr>
        <w:t xml:space="preserve"> higher in each of the forward years.</w:t>
      </w:r>
      <w:r w:rsidRPr="00442C0B">
        <w:rPr>
          <w:rFonts w:ascii="Garamond" w:eastAsia="Garamond" w:hAnsi="Garamond" w:cs="Times New Roman"/>
          <w:vertAlign w:val="superscript"/>
        </w:rPr>
        <w:footnoteReference w:id="5"/>
      </w:r>
      <w:r w:rsidRPr="00442C0B">
        <w:rPr>
          <w:rFonts w:ascii="Garamond" w:eastAsia="Garamond" w:hAnsi="Garamond" w:cs="Times New Roman"/>
        </w:rPr>
        <w:t xml:space="preserve"> </w:t>
      </w:r>
    </w:p>
    <w:p w:rsidR="00A46DCA" w:rsidRPr="00442C0B" w:rsidRDefault="00A46DCA" w:rsidP="00A26D04">
      <w:pPr>
        <w:rPr>
          <w:rFonts w:ascii="Garamond" w:eastAsia="Garamond" w:hAnsi="Garamond" w:cs="Times New Roman"/>
        </w:rPr>
      </w:pPr>
      <w:r>
        <w:rPr>
          <w:rFonts w:ascii="Garamond" w:eastAsia="Garamond" w:hAnsi="Garamond" w:cs="Times New Roman"/>
        </w:rPr>
        <w:lastRenderedPageBreak/>
        <w:t>Table D.4 reports t</w:t>
      </w:r>
      <w:r w:rsidRPr="00442C0B">
        <w:rPr>
          <w:rFonts w:ascii="Garamond" w:eastAsia="Garamond" w:hAnsi="Garamond" w:cs="Times New Roman"/>
        </w:rPr>
        <w:t xml:space="preserve">he effects on major economic parameters. Stronger population growth has the effect of raising real household consumption, investment in new capacity and GSP. This is accompanied by an increase in demand for labour with flow on </w:t>
      </w:r>
      <w:r>
        <w:rPr>
          <w:rFonts w:ascii="Garamond" w:eastAsia="Garamond" w:hAnsi="Garamond" w:cs="Times New Roman"/>
        </w:rPr>
        <w:t>effects to employment</w:t>
      </w:r>
      <w:r w:rsidRPr="00442C0B">
        <w:rPr>
          <w:rFonts w:ascii="Garamond" w:eastAsia="Garamond" w:hAnsi="Garamond" w:cs="Times New Roman"/>
        </w:rPr>
        <w:t>. As in the current economic cycle, a higher population is assumed to boost the supply of labour to Victoria</w:t>
      </w:r>
      <w:r>
        <w:rPr>
          <w:rFonts w:ascii="Garamond" w:eastAsia="Garamond" w:hAnsi="Garamond" w:cs="Times New Roman"/>
        </w:rPr>
        <w:t>’</w:t>
      </w:r>
      <w:r w:rsidRPr="00442C0B">
        <w:rPr>
          <w:rFonts w:ascii="Garamond" w:eastAsia="Garamond" w:hAnsi="Garamond" w:cs="Times New Roman"/>
        </w:rPr>
        <w:t>s economy, resulting in some downward pressure on wages. This, in turn, is expected to lead to lower costs of pro</w:t>
      </w:r>
      <w:r>
        <w:rPr>
          <w:rFonts w:ascii="Garamond" w:eastAsia="Garamond" w:hAnsi="Garamond" w:cs="Times New Roman"/>
        </w:rPr>
        <w:t>duction and inflation outcomes.</w:t>
      </w:r>
      <w:r w:rsidRPr="00442C0B">
        <w:rPr>
          <w:rFonts w:ascii="Garamond" w:eastAsia="Garamond" w:hAnsi="Garamond" w:cs="Times New Roman"/>
        </w:rPr>
        <w:t xml:space="preserve"> </w:t>
      </w:r>
    </w:p>
    <w:p w:rsidR="00A46DCA" w:rsidRPr="00442C0B" w:rsidRDefault="00A46DCA" w:rsidP="00A26D04">
      <w:pPr>
        <w:keepNext/>
        <w:tabs>
          <w:tab w:val="left" w:pos="1134"/>
          <w:tab w:val="right" w:pos="7710"/>
        </w:tabs>
        <w:spacing w:before="240" w:after="60"/>
        <w:ind w:left="1134" w:hanging="1134"/>
        <w:rPr>
          <w:rFonts w:ascii="Calibri" w:eastAsia="Calibri" w:hAnsi="Calibri" w:cs="Times New Roman"/>
        </w:rPr>
      </w:pPr>
      <w:r w:rsidRPr="00442C0B">
        <w:rPr>
          <w:rFonts w:ascii="Calibri" w:eastAsia="Garamond" w:hAnsi="Calibri" w:cs="Times New Roman"/>
          <w:b/>
          <w:sz w:val="20"/>
          <w:szCs w:val="20"/>
        </w:rPr>
        <w:t>Table D.4:</w:t>
      </w:r>
      <w:r w:rsidRPr="00442C0B">
        <w:rPr>
          <w:rFonts w:ascii="Calibri" w:eastAsia="Garamond" w:hAnsi="Calibri" w:cs="Times New Roman"/>
          <w:b/>
          <w:sz w:val="20"/>
          <w:szCs w:val="20"/>
        </w:rPr>
        <w:tab/>
        <w:t>Economic impact of higher population growth</w:t>
      </w:r>
      <w:r>
        <w:rPr>
          <w:rFonts w:ascii="Calibri" w:eastAsia="Garamond" w:hAnsi="Calibri" w:cs="Times New Roman"/>
          <w:b/>
          <w:sz w:val="20"/>
          <w:szCs w:val="20"/>
        </w:rPr>
        <w:t xml:space="preserve"> </w:t>
      </w:r>
      <w:r w:rsidRPr="009D5EF6">
        <w:rPr>
          <w:rFonts w:ascii="Calibri" w:eastAsia="Garamond" w:hAnsi="Calibri" w:cs="Times New Roman"/>
          <w:b/>
          <w:sz w:val="20"/>
          <w:szCs w:val="20"/>
          <w:vertAlign w:val="superscript"/>
        </w:rPr>
        <w:t>(a)</w:t>
      </w:r>
      <w:r w:rsidRPr="00442C0B">
        <w:rPr>
          <w:rFonts w:ascii="Calibri" w:eastAsia="Garamond" w:hAnsi="Calibri" w:cs="Times New Roman"/>
          <w:b/>
          <w:sz w:val="20"/>
          <w:szCs w:val="20"/>
        </w:rPr>
        <w:tab/>
        <w:t>(per cent)</w:t>
      </w:r>
      <w:bookmarkStart w:id="101" w:name="RANGE!A14:E19"/>
    </w:p>
    <w:tbl>
      <w:tblPr>
        <w:tblStyle w:val="DTFTable"/>
        <w:tblW w:w="7765" w:type="dxa"/>
        <w:tblInd w:w="45" w:type="dxa"/>
        <w:tblLayout w:type="fixed"/>
        <w:tblCellMar>
          <w:left w:w="45" w:type="dxa"/>
          <w:right w:w="45" w:type="dxa"/>
        </w:tblCellMar>
        <w:tblLook w:val="06A0" w:firstRow="1" w:lastRow="0" w:firstColumn="1" w:lastColumn="0" w:noHBand="1" w:noVBand="1"/>
      </w:tblPr>
      <w:tblGrid>
        <w:gridCol w:w="4111"/>
        <w:gridCol w:w="913"/>
        <w:gridCol w:w="914"/>
        <w:gridCol w:w="913"/>
        <w:gridCol w:w="914"/>
      </w:tblGrid>
      <w:tr w:rsidR="00A26D04" w:rsidRPr="000E014A" w:rsidTr="007A7C8C">
        <w:trPr>
          <w:cnfStyle w:val="100000000000" w:firstRow="1" w:lastRow="0" w:firstColumn="0" w:lastColumn="0" w:oddVBand="0" w:evenVBand="0" w:oddHBand="0" w:evenHBand="0" w:firstRowFirstColumn="0" w:firstRowLastColumn="0" w:lastRowFirstColumn="0" w:lastRowLastColumn="0"/>
          <w:trHeight w:val="66"/>
          <w:tblHeader/>
        </w:trPr>
        <w:tc>
          <w:tcPr>
            <w:cnfStyle w:val="001000000000" w:firstRow="0" w:lastRow="0" w:firstColumn="1" w:lastColumn="0" w:oddVBand="0" w:evenVBand="0" w:oddHBand="0" w:evenHBand="0" w:firstRowFirstColumn="0" w:firstRowLastColumn="0" w:lastRowFirstColumn="0" w:lastRowLastColumn="0"/>
            <w:tcW w:w="4111" w:type="dxa"/>
            <w:tcBorders>
              <w:top w:val="nil"/>
              <w:left w:val="nil"/>
              <w:right w:val="nil"/>
            </w:tcBorders>
            <w:shd w:val="clear" w:color="000000" w:fill="000000"/>
            <w:vAlign w:val="center"/>
            <w:hideMark/>
          </w:tcPr>
          <w:bookmarkEnd w:id="101"/>
          <w:p w:rsidR="00A26D04" w:rsidRPr="000E014A" w:rsidRDefault="00A26D04" w:rsidP="007A7C8C">
            <w:pPr>
              <w:rPr>
                <w:i w:val="0"/>
                <w:lang w:eastAsia="en-AU"/>
              </w:rPr>
            </w:pPr>
            <w:r w:rsidRPr="000E014A">
              <w:rPr>
                <w:lang w:eastAsia="en-AU"/>
              </w:rPr>
              <w:t> </w:t>
            </w:r>
          </w:p>
        </w:tc>
        <w:tc>
          <w:tcPr>
            <w:tcW w:w="913" w:type="dxa"/>
            <w:tcBorders>
              <w:top w:val="nil"/>
              <w:left w:val="nil"/>
              <w:right w:val="nil"/>
            </w:tcBorders>
            <w:shd w:val="clear" w:color="000000" w:fill="000000"/>
            <w:vAlign w:val="center"/>
            <w:hideMark/>
          </w:tcPr>
          <w:p w:rsidR="00A26D04" w:rsidRPr="000E014A" w:rsidRDefault="00A26D04" w:rsidP="00A26D04">
            <w:pPr>
              <w:keepLines w:val="0"/>
              <w:ind w:firstLineChars="100" w:firstLine="170"/>
              <w:cnfStyle w:val="100000000000" w:firstRow="1" w:lastRow="0" w:firstColumn="0" w:lastColumn="0" w:oddVBand="0" w:evenVBand="0" w:oddHBand="0" w:evenHBand="0" w:firstRowFirstColumn="0" w:firstRowLastColumn="0" w:lastRowFirstColumn="0" w:lastRowLastColumn="0"/>
              <w:rPr>
                <w:rFonts w:eastAsia="Times New Roman" w:cs="Times New Roman"/>
                <w:iCs/>
                <w:color w:val="FFFFFF"/>
                <w:szCs w:val="14"/>
                <w:lang w:eastAsia="en-AU"/>
              </w:rPr>
            </w:pPr>
            <w:r w:rsidRPr="000E014A">
              <w:rPr>
                <w:rFonts w:eastAsia="Times New Roman" w:cs="Times New Roman"/>
                <w:iCs/>
                <w:color w:val="FFFFFF"/>
                <w:szCs w:val="14"/>
                <w:lang w:eastAsia="en-AU"/>
              </w:rPr>
              <w:t xml:space="preserve">2017-18 </w:t>
            </w:r>
            <w:r>
              <w:rPr>
                <w:rFonts w:eastAsia="Times New Roman" w:cs="Times New Roman"/>
                <w:iCs/>
                <w:color w:val="FFFFFF"/>
                <w:szCs w:val="14"/>
                <w:lang w:eastAsia="en-AU"/>
              </w:rPr>
              <w:br/>
            </w:r>
            <w:r w:rsidRPr="000E014A">
              <w:rPr>
                <w:rFonts w:eastAsia="Times New Roman" w:cs="Times New Roman"/>
                <w:iCs/>
                <w:color w:val="FFFFFF"/>
                <w:szCs w:val="14"/>
                <w:lang w:eastAsia="en-AU"/>
              </w:rPr>
              <w:t>estimate</w:t>
            </w:r>
          </w:p>
        </w:tc>
        <w:tc>
          <w:tcPr>
            <w:tcW w:w="914" w:type="dxa"/>
            <w:tcBorders>
              <w:top w:val="nil"/>
              <w:left w:val="nil"/>
              <w:right w:val="nil"/>
            </w:tcBorders>
            <w:shd w:val="clear" w:color="000000" w:fill="000000"/>
            <w:vAlign w:val="center"/>
            <w:hideMark/>
          </w:tcPr>
          <w:p w:rsidR="00A26D04" w:rsidRPr="000E014A" w:rsidRDefault="00A26D04" w:rsidP="00A26D04">
            <w:pPr>
              <w:keepLines w:val="0"/>
              <w:ind w:firstLineChars="100" w:firstLine="170"/>
              <w:cnfStyle w:val="100000000000" w:firstRow="1" w:lastRow="0" w:firstColumn="0" w:lastColumn="0" w:oddVBand="0" w:evenVBand="0" w:oddHBand="0" w:evenHBand="0" w:firstRowFirstColumn="0" w:firstRowLastColumn="0" w:lastRowFirstColumn="0" w:lastRowLastColumn="0"/>
              <w:rPr>
                <w:rFonts w:eastAsia="Times New Roman" w:cs="Times New Roman"/>
                <w:iCs/>
                <w:color w:val="FFFFFF"/>
                <w:szCs w:val="14"/>
                <w:lang w:eastAsia="en-AU"/>
              </w:rPr>
            </w:pPr>
            <w:r w:rsidRPr="000E014A">
              <w:rPr>
                <w:rFonts w:eastAsia="Times New Roman" w:cs="Times New Roman"/>
                <w:iCs/>
                <w:color w:val="FFFFFF"/>
                <w:szCs w:val="14"/>
                <w:lang w:eastAsia="en-AU"/>
              </w:rPr>
              <w:t xml:space="preserve">2018-19 </w:t>
            </w:r>
            <w:r>
              <w:rPr>
                <w:rFonts w:eastAsia="Times New Roman" w:cs="Times New Roman"/>
                <w:iCs/>
                <w:color w:val="FFFFFF"/>
                <w:szCs w:val="14"/>
                <w:lang w:eastAsia="en-AU"/>
              </w:rPr>
              <w:br/>
            </w:r>
            <w:r w:rsidRPr="000E014A">
              <w:rPr>
                <w:rFonts w:eastAsia="Times New Roman" w:cs="Times New Roman"/>
                <w:iCs/>
                <w:color w:val="FFFFFF"/>
                <w:szCs w:val="14"/>
                <w:lang w:eastAsia="en-AU"/>
              </w:rPr>
              <w:t>estimate</w:t>
            </w:r>
          </w:p>
        </w:tc>
        <w:tc>
          <w:tcPr>
            <w:tcW w:w="913" w:type="dxa"/>
            <w:tcBorders>
              <w:top w:val="nil"/>
              <w:left w:val="nil"/>
              <w:right w:val="nil"/>
            </w:tcBorders>
            <w:shd w:val="clear" w:color="000000" w:fill="000000"/>
            <w:vAlign w:val="center"/>
            <w:hideMark/>
          </w:tcPr>
          <w:p w:rsidR="00A26D04" w:rsidRPr="000E014A" w:rsidRDefault="00A26D04" w:rsidP="00A26D04">
            <w:pPr>
              <w:keepLines w:val="0"/>
              <w:ind w:firstLineChars="100" w:firstLine="170"/>
              <w:cnfStyle w:val="100000000000" w:firstRow="1" w:lastRow="0" w:firstColumn="0" w:lastColumn="0" w:oddVBand="0" w:evenVBand="0" w:oddHBand="0" w:evenHBand="0" w:firstRowFirstColumn="0" w:firstRowLastColumn="0" w:lastRowFirstColumn="0" w:lastRowLastColumn="0"/>
              <w:rPr>
                <w:rFonts w:eastAsia="Times New Roman" w:cs="Times New Roman"/>
                <w:iCs/>
                <w:color w:val="FFFFFF"/>
                <w:szCs w:val="14"/>
                <w:lang w:eastAsia="en-AU"/>
              </w:rPr>
            </w:pPr>
            <w:r w:rsidRPr="000E014A">
              <w:rPr>
                <w:rFonts w:eastAsia="Times New Roman" w:cs="Times New Roman"/>
                <w:iCs/>
                <w:color w:val="FFFFFF"/>
                <w:szCs w:val="14"/>
                <w:lang w:eastAsia="en-AU"/>
              </w:rPr>
              <w:t xml:space="preserve">2019-20 </w:t>
            </w:r>
            <w:r>
              <w:rPr>
                <w:rFonts w:eastAsia="Times New Roman" w:cs="Times New Roman"/>
                <w:iCs/>
                <w:color w:val="FFFFFF"/>
                <w:szCs w:val="14"/>
                <w:lang w:eastAsia="en-AU"/>
              </w:rPr>
              <w:br/>
            </w:r>
            <w:r w:rsidRPr="000E014A">
              <w:rPr>
                <w:rFonts w:eastAsia="Times New Roman" w:cs="Times New Roman"/>
                <w:iCs/>
                <w:color w:val="FFFFFF"/>
                <w:szCs w:val="14"/>
                <w:lang w:eastAsia="en-AU"/>
              </w:rPr>
              <w:t>estimate</w:t>
            </w:r>
          </w:p>
        </w:tc>
        <w:tc>
          <w:tcPr>
            <w:tcW w:w="914" w:type="dxa"/>
            <w:tcBorders>
              <w:top w:val="nil"/>
              <w:left w:val="nil"/>
              <w:right w:val="nil"/>
            </w:tcBorders>
            <w:shd w:val="clear" w:color="000000" w:fill="000000"/>
            <w:vAlign w:val="center"/>
            <w:hideMark/>
          </w:tcPr>
          <w:p w:rsidR="00A26D04" w:rsidRPr="000E014A" w:rsidRDefault="00A26D04" w:rsidP="00A26D04">
            <w:pPr>
              <w:keepLines w:val="0"/>
              <w:ind w:firstLineChars="100" w:firstLine="170"/>
              <w:cnfStyle w:val="100000000000" w:firstRow="1" w:lastRow="0" w:firstColumn="0" w:lastColumn="0" w:oddVBand="0" w:evenVBand="0" w:oddHBand="0" w:evenHBand="0" w:firstRowFirstColumn="0" w:firstRowLastColumn="0" w:lastRowFirstColumn="0" w:lastRowLastColumn="0"/>
              <w:rPr>
                <w:rFonts w:eastAsia="Times New Roman" w:cs="Times New Roman"/>
                <w:iCs/>
                <w:color w:val="FFFFFF"/>
                <w:szCs w:val="14"/>
                <w:lang w:eastAsia="en-AU"/>
              </w:rPr>
            </w:pPr>
            <w:r w:rsidRPr="000E014A">
              <w:rPr>
                <w:rFonts w:eastAsia="Times New Roman" w:cs="Times New Roman"/>
                <w:iCs/>
                <w:color w:val="FFFFFF"/>
                <w:szCs w:val="14"/>
                <w:lang w:eastAsia="en-AU"/>
              </w:rPr>
              <w:t xml:space="preserve">2020-21 </w:t>
            </w:r>
            <w:r>
              <w:rPr>
                <w:rFonts w:eastAsia="Times New Roman" w:cs="Times New Roman"/>
                <w:iCs/>
                <w:color w:val="FFFFFF"/>
                <w:szCs w:val="14"/>
                <w:lang w:eastAsia="en-AU"/>
              </w:rPr>
              <w:br/>
            </w:r>
            <w:r w:rsidRPr="000E014A">
              <w:rPr>
                <w:rFonts w:eastAsia="Times New Roman" w:cs="Times New Roman"/>
                <w:iCs/>
                <w:color w:val="FFFFFF"/>
                <w:szCs w:val="14"/>
                <w:lang w:eastAsia="en-AU"/>
              </w:rPr>
              <w:t>estimate</w:t>
            </w:r>
          </w:p>
        </w:tc>
      </w:tr>
      <w:tr w:rsidR="00A46DCA" w:rsidRPr="000E014A" w:rsidTr="00A26D04">
        <w:tc>
          <w:tcPr>
            <w:cnfStyle w:val="001000000000" w:firstRow="0" w:lastRow="0" w:firstColumn="1" w:lastColumn="0" w:oddVBand="0" w:evenVBand="0" w:oddHBand="0" w:evenHBand="0" w:firstRowFirstColumn="0" w:firstRowLastColumn="0" w:lastRowFirstColumn="0" w:lastRowLastColumn="0"/>
            <w:tcW w:w="4111" w:type="dxa"/>
            <w:tcBorders>
              <w:top w:val="nil"/>
              <w:left w:val="nil"/>
              <w:bottom w:val="nil"/>
              <w:right w:val="nil"/>
            </w:tcBorders>
            <w:shd w:val="clear" w:color="auto" w:fill="auto"/>
            <w:vAlign w:val="center"/>
            <w:hideMark/>
          </w:tcPr>
          <w:p w:rsidR="00A46DCA" w:rsidRPr="000E014A" w:rsidRDefault="00A46DCA" w:rsidP="00A26D04">
            <w:pPr>
              <w:keepLines w:val="0"/>
              <w:ind w:left="0" w:firstLine="0"/>
              <w:rPr>
                <w:rFonts w:eastAsia="Times New Roman" w:cs="Times New Roman"/>
                <w:color w:val="000000"/>
                <w:szCs w:val="14"/>
                <w:lang w:eastAsia="en-AU"/>
              </w:rPr>
            </w:pPr>
            <w:r w:rsidRPr="000E014A">
              <w:rPr>
                <w:rFonts w:eastAsia="Times New Roman" w:cs="Times New Roman"/>
                <w:color w:val="000000"/>
                <w:szCs w:val="14"/>
                <w:lang w:eastAsia="en-AU"/>
              </w:rPr>
              <w:t>Real GSP</w:t>
            </w:r>
          </w:p>
        </w:tc>
        <w:tc>
          <w:tcPr>
            <w:tcW w:w="913" w:type="dxa"/>
            <w:tcBorders>
              <w:top w:val="nil"/>
              <w:left w:val="nil"/>
              <w:bottom w:val="nil"/>
              <w:right w:val="nil"/>
            </w:tcBorders>
            <w:shd w:val="clear" w:color="auto" w:fill="auto"/>
            <w:vAlign w:val="center"/>
            <w:hideMark/>
          </w:tcPr>
          <w:p w:rsidR="00A46DCA" w:rsidRPr="000E014A" w:rsidRDefault="00A46DCA" w:rsidP="00A26D04">
            <w:pPr>
              <w:keepLines w:val="0"/>
              <w:ind w:firstLineChars="100" w:firstLine="17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14"/>
                <w:lang w:eastAsia="en-AU"/>
              </w:rPr>
            </w:pPr>
            <w:r w:rsidRPr="000E014A">
              <w:rPr>
                <w:rFonts w:eastAsia="Times New Roman" w:cs="Times New Roman"/>
                <w:color w:val="000000"/>
                <w:szCs w:val="14"/>
                <w:lang w:eastAsia="en-AU"/>
              </w:rPr>
              <w:t>0.05</w:t>
            </w:r>
          </w:p>
        </w:tc>
        <w:tc>
          <w:tcPr>
            <w:tcW w:w="914" w:type="dxa"/>
            <w:tcBorders>
              <w:top w:val="nil"/>
              <w:left w:val="nil"/>
              <w:bottom w:val="nil"/>
              <w:right w:val="nil"/>
            </w:tcBorders>
            <w:shd w:val="clear" w:color="auto" w:fill="auto"/>
            <w:vAlign w:val="center"/>
            <w:hideMark/>
          </w:tcPr>
          <w:p w:rsidR="00A46DCA" w:rsidRPr="000E014A" w:rsidRDefault="00A46DCA" w:rsidP="00A26D04">
            <w:pPr>
              <w:keepLines w:val="0"/>
              <w:ind w:firstLineChars="100" w:firstLine="17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14"/>
                <w:lang w:eastAsia="en-AU"/>
              </w:rPr>
            </w:pPr>
            <w:r w:rsidRPr="000E014A">
              <w:rPr>
                <w:rFonts w:eastAsia="Times New Roman" w:cs="Times New Roman"/>
                <w:color w:val="000000"/>
                <w:szCs w:val="14"/>
                <w:lang w:eastAsia="en-AU"/>
              </w:rPr>
              <w:t>0.15</w:t>
            </w:r>
          </w:p>
        </w:tc>
        <w:tc>
          <w:tcPr>
            <w:tcW w:w="913" w:type="dxa"/>
            <w:tcBorders>
              <w:top w:val="nil"/>
              <w:left w:val="nil"/>
              <w:bottom w:val="nil"/>
              <w:right w:val="nil"/>
            </w:tcBorders>
            <w:shd w:val="clear" w:color="auto" w:fill="auto"/>
            <w:vAlign w:val="center"/>
            <w:hideMark/>
          </w:tcPr>
          <w:p w:rsidR="00A46DCA" w:rsidRPr="000E014A" w:rsidRDefault="00A46DCA" w:rsidP="00A26D04">
            <w:pPr>
              <w:keepLines w:val="0"/>
              <w:ind w:firstLineChars="100" w:firstLine="17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14"/>
                <w:lang w:eastAsia="en-AU"/>
              </w:rPr>
            </w:pPr>
            <w:r w:rsidRPr="000E014A">
              <w:rPr>
                <w:rFonts w:eastAsia="Times New Roman" w:cs="Times New Roman"/>
                <w:color w:val="000000"/>
                <w:szCs w:val="14"/>
                <w:lang w:eastAsia="en-AU"/>
              </w:rPr>
              <w:t>0.28</w:t>
            </w:r>
          </w:p>
        </w:tc>
        <w:tc>
          <w:tcPr>
            <w:tcW w:w="914" w:type="dxa"/>
            <w:tcBorders>
              <w:top w:val="nil"/>
              <w:left w:val="nil"/>
              <w:bottom w:val="nil"/>
              <w:right w:val="nil"/>
            </w:tcBorders>
            <w:shd w:val="clear" w:color="auto" w:fill="auto"/>
            <w:vAlign w:val="center"/>
            <w:hideMark/>
          </w:tcPr>
          <w:p w:rsidR="00A46DCA" w:rsidRPr="000E014A" w:rsidRDefault="00A46DCA" w:rsidP="00A26D04">
            <w:pPr>
              <w:keepLines w:val="0"/>
              <w:ind w:firstLineChars="100" w:firstLine="17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14"/>
                <w:lang w:eastAsia="en-AU"/>
              </w:rPr>
            </w:pPr>
            <w:r w:rsidRPr="000E014A">
              <w:rPr>
                <w:rFonts w:eastAsia="Times New Roman" w:cs="Times New Roman"/>
                <w:color w:val="000000"/>
                <w:szCs w:val="14"/>
                <w:lang w:eastAsia="en-AU"/>
              </w:rPr>
              <w:t>0.42</w:t>
            </w:r>
          </w:p>
        </w:tc>
      </w:tr>
      <w:tr w:rsidR="00A46DCA" w:rsidRPr="000E014A" w:rsidTr="00A26D04">
        <w:tc>
          <w:tcPr>
            <w:cnfStyle w:val="001000000000" w:firstRow="0" w:lastRow="0" w:firstColumn="1" w:lastColumn="0" w:oddVBand="0" w:evenVBand="0" w:oddHBand="0" w:evenHBand="0" w:firstRowFirstColumn="0" w:firstRowLastColumn="0" w:lastRowFirstColumn="0" w:lastRowLastColumn="0"/>
            <w:tcW w:w="4111" w:type="dxa"/>
            <w:tcBorders>
              <w:top w:val="nil"/>
              <w:left w:val="nil"/>
              <w:bottom w:val="nil"/>
              <w:right w:val="nil"/>
            </w:tcBorders>
            <w:shd w:val="clear" w:color="auto" w:fill="auto"/>
            <w:vAlign w:val="center"/>
            <w:hideMark/>
          </w:tcPr>
          <w:p w:rsidR="00A46DCA" w:rsidRPr="000E014A" w:rsidRDefault="00A46DCA" w:rsidP="00A26D04">
            <w:pPr>
              <w:keepLines w:val="0"/>
              <w:ind w:left="0" w:firstLine="0"/>
              <w:rPr>
                <w:rFonts w:eastAsia="Times New Roman" w:cs="Times New Roman"/>
                <w:color w:val="000000"/>
                <w:szCs w:val="14"/>
                <w:lang w:eastAsia="en-AU"/>
              </w:rPr>
            </w:pPr>
            <w:r w:rsidRPr="000E014A">
              <w:rPr>
                <w:rFonts w:eastAsia="Times New Roman" w:cs="Times New Roman"/>
                <w:color w:val="000000"/>
                <w:szCs w:val="14"/>
                <w:lang w:eastAsia="en-AU"/>
              </w:rPr>
              <w:t>Employment</w:t>
            </w:r>
          </w:p>
        </w:tc>
        <w:tc>
          <w:tcPr>
            <w:tcW w:w="913" w:type="dxa"/>
            <w:tcBorders>
              <w:top w:val="nil"/>
              <w:left w:val="nil"/>
              <w:bottom w:val="nil"/>
              <w:right w:val="nil"/>
            </w:tcBorders>
            <w:shd w:val="clear" w:color="auto" w:fill="auto"/>
            <w:vAlign w:val="center"/>
            <w:hideMark/>
          </w:tcPr>
          <w:p w:rsidR="00A46DCA" w:rsidRPr="000E014A" w:rsidRDefault="00A46DCA" w:rsidP="00A26D04">
            <w:pPr>
              <w:keepLines w:val="0"/>
              <w:ind w:firstLineChars="100" w:firstLine="17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14"/>
                <w:lang w:eastAsia="en-AU"/>
              </w:rPr>
            </w:pPr>
            <w:r w:rsidRPr="000E014A">
              <w:rPr>
                <w:rFonts w:eastAsia="Times New Roman" w:cs="Times New Roman"/>
                <w:color w:val="000000"/>
                <w:szCs w:val="14"/>
                <w:lang w:eastAsia="en-AU"/>
              </w:rPr>
              <w:t>0.08</w:t>
            </w:r>
          </w:p>
        </w:tc>
        <w:tc>
          <w:tcPr>
            <w:tcW w:w="914" w:type="dxa"/>
            <w:tcBorders>
              <w:top w:val="nil"/>
              <w:left w:val="nil"/>
              <w:bottom w:val="nil"/>
              <w:right w:val="nil"/>
            </w:tcBorders>
            <w:shd w:val="clear" w:color="auto" w:fill="auto"/>
            <w:vAlign w:val="center"/>
            <w:hideMark/>
          </w:tcPr>
          <w:p w:rsidR="00A46DCA" w:rsidRPr="000E014A" w:rsidRDefault="00A46DCA" w:rsidP="00A26D04">
            <w:pPr>
              <w:keepLines w:val="0"/>
              <w:ind w:firstLineChars="100" w:firstLine="17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14"/>
                <w:lang w:eastAsia="en-AU"/>
              </w:rPr>
            </w:pPr>
            <w:r w:rsidRPr="000E014A">
              <w:rPr>
                <w:rFonts w:eastAsia="Times New Roman" w:cs="Times New Roman"/>
                <w:color w:val="000000"/>
                <w:szCs w:val="14"/>
                <w:lang w:eastAsia="en-AU"/>
              </w:rPr>
              <w:t>0.23</w:t>
            </w:r>
          </w:p>
        </w:tc>
        <w:tc>
          <w:tcPr>
            <w:tcW w:w="913" w:type="dxa"/>
            <w:tcBorders>
              <w:top w:val="nil"/>
              <w:left w:val="nil"/>
              <w:bottom w:val="nil"/>
              <w:right w:val="nil"/>
            </w:tcBorders>
            <w:shd w:val="clear" w:color="auto" w:fill="auto"/>
            <w:vAlign w:val="center"/>
            <w:hideMark/>
          </w:tcPr>
          <w:p w:rsidR="00A46DCA" w:rsidRPr="000E014A" w:rsidRDefault="00A46DCA" w:rsidP="00A26D04">
            <w:pPr>
              <w:keepLines w:val="0"/>
              <w:ind w:firstLineChars="100" w:firstLine="17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14"/>
                <w:lang w:eastAsia="en-AU"/>
              </w:rPr>
            </w:pPr>
            <w:r w:rsidRPr="000E014A">
              <w:rPr>
                <w:rFonts w:eastAsia="Times New Roman" w:cs="Times New Roman"/>
                <w:color w:val="000000"/>
                <w:szCs w:val="14"/>
                <w:lang w:eastAsia="en-AU"/>
              </w:rPr>
              <w:t>0.41</w:t>
            </w:r>
          </w:p>
        </w:tc>
        <w:tc>
          <w:tcPr>
            <w:tcW w:w="914" w:type="dxa"/>
            <w:tcBorders>
              <w:top w:val="nil"/>
              <w:left w:val="nil"/>
              <w:bottom w:val="nil"/>
              <w:right w:val="nil"/>
            </w:tcBorders>
            <w:shd w:val="clear" w:color="auto" w:fill="auto"/>
            <w:vAlign w:val="center"/>
            <w:hideMark/>
          </w:tcPr>
          <w:p w:rsidR="00A46DCA" w:rsidRPr="000E014A" w:rsidRDefault="00A46DCA" w:rsidP="00A26D04">
            <w:pPr>
              <w:keepLines w:val="0"/>
              <w:ind w:firstLineChars="100" w:firstLine="17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14"/>
                <w:lang w:eastAsia="en-AU"/>
              </w:rPr>
            </w:pPr>
            <w:r w:rsidRPr="000E014A">
              <w:rPr>
                <w:rFonts w:eastAsia="Times New Roman" w:cs="Times New Roman"/>
                <w:color w:val="000000"/>
                <w:szCs w:val="14"/>
                <w:lang w:eastAsia="en-AU"/>
              </w:rPr>
              <w:t>0.60</w:t>
            </w:r>
          </w:p>
        </w:tc>
      </w:tr>
      <w:tr w:rsidR="00A46DCA" w:rsidRPr="000E014A" w:rsidTr="00A26D04">
        <w:tc>
          <w:tcPr>
            <w:cnfStyle w:val="001000000000" w:firstRow="0" w:lastRow="0" w:firstColumn="1" w:lastColumn="0" w:oddVBand="0" w:evenVBand="0" w:oddHBand="0" w:evenHBand="0" w:firstRowFirstColumn="0" w:firstRowLastColumn="0" w:lastRowFirstColumn="0" w:lastRowLastColumn="0"/>
            <w:tcW w:w="4111" w:type="dxa"/>
            <w:tcBorders>
              <w:top w:val="nil"/>
              <w:left w:val="nil"/>
              <w:bottom w:val="nil"/>
              <w:right w:val="nil"/>
            </w:tcBorders>
            <w:shd w:val="clear" w:color="auto" w:fill="auto"/>
            <w:vAlign w:val="center"/>
            <w:hideMark/>
          </w:tcPr>
          <w:p w:rsidR="00A46DCA" w:rsidRPr="000E014A" w:rsidRDefault="00A46DCA" w:rsidP="00A26D04">
            <w:pPr>
              <w:keepLines w:val="0"/>
              <w:ind w:left="0" w:firstLine="0"/>
              <w:rPr>
                <w:rFonts w:eastAsia="Times New Roman" w:cs="Times New Roman"/>
                <w:color w:val="000000"/>
                <w:szCs w:val="14"/>
                <w:lang w:eastAsia="en-AU"/>
              </w:rPr>
            </w:pPr>
            <w:r w:rsidRPr="000E014A">
              <w:rPr>
                <w:rFonts w:eastAsia="Times New Roman" w:cs="Times New Roman"/>
                <w:color w:val="000000"/>
                <w:szCs w:val="14"/>
                <w:lang w:eastAsia="en-AU"/>
              </w:rPr>
              <w:t>Consumer Price Index</w:t>
            </w:r>
          </w:p>
        </w:tc>
        <w:tc>
          <w:tcPr>
            <w:tcW w:w="913" w:type="dxa"/>
            <w:tcBorders>
              <w:top w:val="nil"/>
              <w:left w:val="nil"/>
              <w:bottom w:val="nil"/>
              <w:right w:val="nil"/>
            </w:tcBorders>
            <w:shd w:val="clear" w:color="auto" w:fill="auto"/>
            <w:vAlign w:val="center"/>
            <w:hideMark/>
          </w:tcPr>
          <w:p w:rsidR="00A46DCA" w:rsidRPr="000E014A" w:rsidRDefault="00A46DCA" w:rsidP="00A26D04">
            <w:pPr>
              <w:keepLines w:val="0"/>
              <w:ind w:firstLineChars="100" w:firstLine="17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14"/>
                <w:lang w:eastAsia="en-AU"/>
              </w:rPr>
            </w:pPr>
            <w:r w:rsidRPr="000E014A">
              <w:rPr>
                <w:rFonts w:eastAsia="Times New Roman" w:cs="Times New Roman"/>
                <w:color w:val="000000"/>
                <w:szCs w:val="14"/>
                <w:lang w:eastAsia="en-AU"/>
              </w:rPr>
              <w:t>(0.02)</w:t>
            </w:r>
          </w:p>
        </w:tc>
        <w:tc>
          <w:tcPr>
            <w:tcW w:w="914" w:type="dxa"/>
            <w:tcBorders>
              <w:top w:val="nil"/>
              <w:left w:val="nil"/>
              <w:bottom w:val="nil"/>
              <w:right w:val="nil"/>
            </w:tcBorders>
            <w:shd w:val="clear" w:color="auto" w:fill="auto"/>
            <w:vAlign w:val="center"/>
            <w:hideMark/>
          </w:tcPr>
          <w:p w:rsidR="00A46DCA" w:rsidRPr="000E014A" w:rsidRDefault="00A46DCA" w:rsidP="00A26D04">
            <w:pPr>
              <w:keepLines w:val="0"/>
              <w:ind w:firstLineChars="100" w:firstLine="17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14"/>
                <w:lang w:eastAsia="en-AU"/>
              </w:rPr>
            </w:pPr>
            <w:r w:rsidRPr="000E014A">
              <w:rPr>
                <w:rFonts w:eastAsia="Times New Roman" w:cs="Times New Roman"/>
                <w:color w:val="000000"/>
                <w:szCs w:val="14"/>
                <w:lang w:eastAsia="en-AU"/>
              </w:rPr>
              <w:t>(0.06)</w:t>
            </w:r>
          </w:p>
        </w:tc>
        <w:tc>
          <w:tcPr>
            <w:tcW w:w="913" w:type="dxa"/>
            <w:tcBorders>
              <w:top w:val="nil"/>
              <w:left w:val="nil"/>
              <w:bottom w:val="nil"/>
              <w:right w:val="nil"/>
            </w:tcBorders>
            <w:shd w:val="clear" w:color="auto" w:fill="auto"/>
            <w:vAlign w:val="center"/>
            <w:hideMark/>
          </w:tcPr>
          <w:p w:rsidR="00A46DCA" w:rsidRPr="000E014A" w:rsidRDefault="00A46DCA" w:rsidP="00A26D04">
            <w:pPr>
              <w:keepLines w:val="0"/>
              <w:ind w:firstLineChars="100" w:firstLine="17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14"/>
                <w:lang w:eastAsia="en-AU"/>
              </w:rPr>
            </w:pPr>
            <w:r w:rsidRPr="000E014A">
              <w:rPr>
                <w:rFonts w:eastAsia="Times New Roman" w:cs="Times New Roman"/>
                <w:color w:val="000000"/>
                <w:szCs w:val="14"/>
                <w:lang w:eastAsia="en-AU"/>
              </w:rPr>
              <w:t>(0.10)</w:t>
            </w:r>
          </w:p>
        </w:tc>
        <w:tc>
          <w:tcPr>
            <w:tcW w:w="914" w:type="dxa"/>
            <w:tcBorders>
              <w:top w:val="nil"/>
              <w:left w:val="nil"/>
              <w:bottom w:val="nil"/>
              <w:right w:val="nil"/>
            </w:tcBorders>
            <w:shd w:val="clear" w:color="auto" w:fill="auto"/>
            <w:vAlign w:val="center"/>
            <w:hideMark/>
          </w:tcPr>
          <w:p w:rsidR="00A46DCA" w:rsidRPr="000E014A" w:rsidRDefault="00A46DCA" w:rsidP="00A26D04">
            <w:pPr>
              <w:keepLines w:val="0"/>
              <w:ind w:firstLineChars="100" w:firstLine="17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14"/>
                <w:lang w:eastAsia="en-AU"/>
              </w:rPr>
            </w:pPr>
            <w:r w:rsidRPr="000E014A">
              <w:rPr>
                <w:rFonts w:eastAsia="Times New Roman" w:cs="Times New Roman"/>
                <w:color w:val="000000"/>
                <w:szCs w:val="14"/>
                <w:lang w:eastAsia="en-AU"/>
              </w:rPr>
              <w:t>(0.14)</w:t>
            </w:r>
          </w:p>
        </w:tc>
      </w:tr>
      <w:tr w:rsidR="00A46DCA" w:rsidRPr="000E014A" w:rsidTr="00A26D04">
        <w:tc>
          <w:tcPr>
            <w:cnfStyle w:val="001000000000" w:firstRow="0" w:lastRow="0" w:firstColumn="1" w:lastColumn="0" w:oddVBand="0" w:evenVBand="0" w:oddHBand="0" w:evenHBand="0" w:firstRowFirstColumn="0" w:firstRowLastColumn="0" w:lastRowFirstColumn="0" w:lastRowLastColumn="0"/>
            <w:tcW w:w="4111" w:type="dxa"/>
            <w:tcBorders>
              <w:top w:val="nil"/>
              <w:bottom w:val="single" w:sz="12" w:space="0" w:color="auto"/>
            </w:tcBorders>
            <w:shd w:val="clear" w:color="auto" w:fill="auto"/>
            <w:vAlign w:val="center"/>
            <w:hideMark/>
          </w:tcPr>
          <w:p w:rsidR="00A46DCA" w:rsidRPr="000E014A" w:rsidRDefault="00A46DCA" w:rsidP="00A26D04">
            <w:pPr>
              <w:keepLines w:val="0"/>
              <w:ind w:left="0" w:firstLine="0"/>
              <w:rPr>
                <w:rFonts w:eastAsia="Times New Roman" w:cs="Times New Roman"/>
                <w:b/>
                <w:color w:val="000000"/>
                <w:szCs w:val="14"/>
                <w:lang w:eastAsia="en-AU"/>
              </w:rPr>
            </w:pPr>
            <w:r w:rsidRPr="000E014A">
              <w:rPr>
                <w:rFonts w:eastAsia="Times New Roman" w:cs="Times New Roman"/>
                <w:color w:val="000000"/>
                <w:szCs w:val="14"/>
                <w:lang w:eastAsia="en-AU"/>
              </w:rPr>
              <w:t>Wage Price Index</w:t>
            </w:r>
          </w:p>
        </w:tc>
        <w:tc>
          <w:tcPr>
            <w:tcW w:w="913" w:type="dxa"/>
            <w:tcBorders>
              <w:top w:val="nil"/>
              <w:bottom w:val="single" w:sz="12" w:space="0" w:color="auto"/>
            </w:tcBorders>
            <w:shd w:val="clear" w:color="auto" w:fill="auto"/>
            <w:vAlign w:val="center"/>
            <w:hideMark/>
          </w:tcPr>
          <w:p w:rsidR="00A46DCA" w:rsidRPr="000E014A" w:rsidRDefault="00A46DCA" w:rsidP="00A26D04">
            <w:pPr>
              <w:keepLines w:val="0"/>
              <w:ind w:firstLineChars="100" w:firstLine="170"/>
              <w:cnfStyle w:val="000000000000" w:firstRow="0" w:lastRow="0" w:firstColumn="0" w:lastColumn="0" w:oddVBand="0" w:evenVBand="0" w:oddHBand="0" w:evenHBand="0" w:firstRowFirstColumn="0" w:firstRowLastColumn="0" w:lastRowFirstColumn="0" w:lastRowLastColumn="0"/>
              <w:rPr>
                <w:rFonts w:eastAsia="Times New Roman" w:cs="Times New Roman"/>
                <w:b/>
                <w:color w:val="000000"/>
                <w:szCs w:val="14"/>
                <w:lang w:eastAsia="en-AU"/>
              </w:rPr>
            </w:pPr>
            <w:r w:rsidRPr="000E014A">
              <w:rPr>
                <w:rFonts w:eastAsia="Times New Roman" w:cs="Times New Roman"/>
                <w:color w:val="000000"/>
                <w:szCs w:val="14"/>
                <w:lang w:eastAsia="en-AU"/>
              </w:rPr>
              <w:t>(0.09)</w:t>
            </w:r>
          </w:p>
        </w:tc>
        <w:tc>
          <w:tcPr>
            <w:tcW w:w="914" w:type="dxa"/>
            <w:tcBorders>
              <w:top w:val="nil"/>
              <w:bottom w:val="single" w:sz="12" w:space="0" w:color="auto"/>
            </w:tcBorders>
            <w:shd w:val="clear" w:color="auto" w:fill="auto"/>
            <w:vAlign w:val="center"/>
            <w:hideMark/>
          </w:tcPr>
          <w:p w:rsidR="00A46DCA" w:rsidRPr="000E014A" w:rsidRDefault="00A46DCA" w:rsidP="00A26D04">
            <w:pPr>
              <w:keepLines w:val="0"/>
              <w:ind w:firstLineChars="100" w:firstLine="170"/>
              <w:cnfStyle w:val="000000000000" w:firstRow="0" w:lastRow="0" w:firstColumn="0" w:lastColumn="0" w:oddVBand="0" w:evenVBand="0" w:oddHBand="0" w:evenHBand="0" w:firstRowFirstColumn="0" w:firstRowLastColumn="0" w:lastRowFirstColumn="0" w:lastRowLastColumn="0"/>
              <w:rPr>
                <w:rFonts w:eastAsia="Times New Roman" w:cs="Times New Roman"/>
                <w:b/>
                <w:color w:val="000000"/>
                <w:szCs w:val="14"/>
                <w:lang w:eastAsia="en-AU"/>
              </w:rPr>
            </w:pPr>
            <w:r w:rsidRPr="000E014A">
              <w:rPr>
                <w:rFonts w:eastAsia="Times New Roman" w:cs="Times New Roman"/>
                <w:color w:val="000000"/>
                <w:szCs w:val="14"/>
                <w:lang w:eastAsia="en-AU"/>
              </w:rPr>
              <w:t>(0.26)</w:t>
            </w:r>
          </w:p>
        </w:tc>
        <w:tc>
          <w:tcPr>
            <w:tcW w:w="913" w:type="dxa"/>
            <w:tcBorders>
              <w:top w:val="nil"/>
              <w:bottom w:val="single" w:sz="12" w:space="0" w:color="auto"/>
            </w:tcBorders>
            <w:shd w:val="clear" w:color="auto" w:fill="auto"/>
            <w:vAlign w:val="center"/>
            <w:hideMark/>
          </w:tcPr>
          <w:p w:rsidR="00A46DCA" w:rsidRPr="000E014A" w:rsidRDefault="00A46DCA" w:rsidP="00A26D04">
            <w:pPr>
              <w:keepLines w:val="0"/>
              <w:ind w:firstLineChars="100" w:firstLine="170"/>
              <w:cnfStyle w:val="000000000000" w:firstRow="0" w:lastRow="0" w:firstColumn="0" w:lastColumn="0" w:oddVBand="0" w:evenVBand="0" w:oddHBand="0" w:evenHBand="0" w:firstRowFirstColumn="0" w:firstRowLastColumn="0" w:lastRowFirstColumn="0" w:lastRowLastColumn="0"/>
              <w:rPr>
                <w:rFonts w:eastAsia="Times New Roman" w:cs="Times New Roman"/>
                <w:b/>
                <w:color w:val="000000"/>
                <w:szCs w:val="14"/>
                <w:lang w:eastAsia="en-AU"/>
              </w:rPr>
            </w:pPr>
            <w:r w:rsidRPr="000E014A">
              <w:rPr>
                <w:rFonts w:eastAsia="Times New Roman" w:cs="Times New Roman"/>
                <w:color w:val="000000"/>
                <w:szCs w:val="14"/>
                <w:lang w:eastAsia="en-AU"/>
              </w:rPr>
              <w:t>(0.45)</w:t>
            </w:r>
          </w:p>
        </w:tc>
        <w:tc>
          <w:tcPr>
            <w:tcW w:w="914" w:type="dxa"/>
            <w:tcBorders>
              <w:top w:val="nil"/>
              <w:bottom w:val="single" w:sz="12" w:space="0" w:color="auto"/>
            </w:tcBorders>
            <w:shd w:val="clear" w:color="auto" w:fill="auto"/>
            <w:vAlign w:val="center"/>
            <w:hideMark/>
          </w:tcPr>
          <w:p w:rsidR="00A46DCA" w:rsidRPr="000E014A" w:rsidRDefault="00A46DCA" w:rsidP="00A26D04">
            <w:pPr>
              <w:keepLines w:val="0"/>
              <w:ind w:firstLineChars="100" w:firstLine="170"/>
              <w:cnfStyle w:val="000000000000" w:firstRow="0" w:lastRow="0" w:firstColumn="0" w:lastColumn="0" w:oddVBand="0" w:evenVBand="0" w:oddHBand="0" w:evenHBand="0" w:firstRowFirstColumn="0" w:firstRowLastColumn="0" w:lastRowFirstColumn="0" w:lastRowLastColumn="0"/>
              <w:rPr>
                <w:rFonts w:eastAsia="Times New Roman" w:cs="Times New Roman"/>
                <w:b/>
                <w:color w:val="000000"/>
                <w:szCs w:val="14"/>
                <w:lang w:eastAsia="en-AU"/>
              </w:rPr>
            </w:pPr>
            <w:r w:rsidRPr="000E014A">
              <w:rPr>
                <w:rFonts w:eastAsia="Times New Roman" w:cs="Times New Roman"/>
                <w:color w:val="000000"/>
                <w:szCs w:val="14"/>
                <w:lang w:eastAsia="en-AU"/>
              </w:rPr>
              <w:t>(0.64)</w:t>
            </w:r>
          </w:p>
        </w:tc>
      </w:tr>
    </w:tbl>
    <w:p w:rsidR="00A46DCA" w:rsidRPr="00442C0B" w:rsidRDefault="00A46DCA" w:rsidP="00A26D04">
      <w:pPr>
        <w:pStyle w:val="Source"/>
      </w:pPr>
      <w:r w:rsidRPr="00442C0B">
        <w:t>Source: Centre of Policy Studies, Victoria University.</w:t>
      </w:r>
    </w:p>
    <w:p w:rsidR="00A46DCA" w:rsidRPr="009D5EF6" w:rsidRDefault="00A46DCA" w:rsidP="00A26D04">
      <w:pPr>
        <w:pStyle w:val="Note"/>
      </w:pPr>
      <w:r w:rsidRPr="009D5EF6">
        <w:t>Note:</w:t>
      </w:r>
    </w:p>
    <w:p w:rsidR="00A46DCA" w:rsidRPr="009D5EF6" w:rsidRDefault="00A46DCA" w:rsidP="00A26D04">
      <w:pPr>
        <w:pStyle w:val="Note"/>
      </w:pPr>
      <w:r w:rsidRPr="009D5EF6">
        <w:t>(a)</w:t>
      </w:r>
      <w:r w:rsidRPr="009D5EF6">
        <w:tab/>
        <w:t>Figures reported are the change in the level of each parameter relative to the baseline of no change in the economic outlook, for each year of the budget.</w:t>
      </w:r>
    </w:p>
    <w:p w:rsidR="00A46DCA" w:rsidRPr="00442C0B" w:rsidRDefault="00A46DCA" w:rsidP="00A26D04"/>
    <w:p w:rsidR="00A46DCA" w:rsidRDefault="00A46DCA" w:rsidP="00A26D04">
      <w:pPr>
        <w:rPr>
          <w:rFonts w:ascii="Garamond" w:eastAsia="Garamond" w:hAnsi="Garamond" w:cs="Times New Roman"/>
        </w:rPr>
      </w:pPr>
      <w:r w:rsidRPr="00307F6A">
        <w:rPr>
          <w:rFonts w:ascii="Garamond" w:eastAsia="Garamond" w:hAnsi="Garamond" w:cs="Times New Roman"/>
        </w:rPr>
        <w:t xml:space="preserve">Table </w:t>
      </w:r>
      <w:r>
        <w:rPr>
          <w:rFonts w:ascii="Garamond" w:eastAsia="Garamond" w:hAnsi="Garamond" w:cs="Times New Roman"/>
        </w:rPr>
        <w:t>D</w:t>
      </w:r>
      <w:r w:rsidRPr="00307F6A">
        <w:rPr>
          <w:rFonts w:ascii="Garamond" w:eastAsia="Garamond" w:hAnsi="Garamond" w:cs="Times New Roman"/>
        </w:rPr>
        <w:t xml:space="preserve">.5 summarises the </w:t>
      </w:r>
      <w:r>
        <w:rPr>
          <w:rFonts w:ascii="Garamond" w:eastAsia="Garamond" w:hAnsi="Garamond" w:cs="Times New Roman"/>
        </w:rPr>
        <w:t xml:space="preserve">estimated </w:t>
      </w:r>
      <w:r w:rsidRPr="00307F6A">
        <w:rPr>
          <w:rFonts w:ascii="Garamond" w:eastAsia="Garamond" w:hAnsi="Garamond" w:cs="Times New Roman"/>
        </w:rPr>
        <w:t>fiscal impact</w:t>
      </w:r>
      <w:r>
        <w:rPr>
          <w:rFonts w:ascii="Garamond" w:eastAsia="Garamond" w:hAnsi="Garamond" w:cs="Times New Roman"/>
        </w:rPr>
        <w:t>s of this scenario</w:t>
      </w:r>
      <w:r w:rsidRPr="00307F6A">
        <w:rPr>
          <w:rFonts w:ascii="Garamond" w:eastAsia="Garamond" w:hAnsi="Garamond" w:cs="Times New Roman"/>
        </w:rPr>
        <w:t>. With higher growth in GSP, consumption, employment and property prices</w:t>
      </w:r>
      <w:r>
        <w:rPr>
          <w:rFonts w:ascii="Garamond" w:eastAsia="Garamond" w:hAnsi="Garamond" w:cs="Times New Roman"/>
        </w:rPr>
        <w:t>,</w:t>
      </w:r>
      <w:r w:rsidRPr="00307F6A">
        <w:rPr>
          <w:rFonts w:ascii="Garamond" w:eastAsia="Garamond" w:hAnsi="Garamond" w:cs="Times New Roman"/>
        </w:rPr>
        <w:t xml:space="preserve"> income from transactions is higher over the </w:t>
      </w:r>
      <w:r>
        <w:rPr>
          <w:rFonts w:ascii="Garamond" w:eastAsia="Garamond" w:hAnsi="Garamond" w:cs="Times New Roman"/>
        </w:rPr>
        <w:t>forward estimates</w:t>
      </w:r>
      <w:r w:rsidRPr="00307F6A">
        <w:rPr>
          <w:rFonts w:ascii="Garamond" w:eastAsia="Garamond" w:hAnsi="Garamond" w:cs="Times New Roman"/>
        </w:rPr>
        <w:t xml:space="preserve">. </w:t>
      </w:r>
      <w:r w:rsidRPr="00543FA5">
        <w:rPr>
          <w:rFonts w:ascii="Garamond" w:eastAsia="Garamond" w:hAnsi="Garamond" w:cs="Times New Roman"/>
        </w:rPr>
        <w:t xml:space="preserve">This translates into higher growth in revenue from land transfer duty and payroll tax. GST revenue is also higher reflecting </w:t>
      </w:r>
      <w:r>
        <w:rPr>
          <w:rFonts w:ascii="Garamond" w:eastAsia="Garamond" w:hAnsi="Garamond" w:cs="Times New Roman"/>
        </w:rPr>
        <w:t>the</w:t>
      </w:r>
      <w:r w:rsidRPr="00543FA5">
        <w:rPr>
          <w:rFonts w:ascii="Garamond" w:eastAsia="Garamond" w:hAnsi="Garamond" w:cs="Times New Roman"/>
        </w:rPr>
        <w:t xml:space="preserve"> increase in Victoria</w:t>
      </w:r>
      <w:r>
        <w:rPr>
          <w:rFonts w:ascii="Garamond" w:eastAsia="Garamond" w:hAnsi="Garamond" w:cs="Times New Roman"/>
        </w:rPr>
        <w:t>’</w:t>
      </w:r>
      <w:r w:rsidRPr="00543FA5">
        <w:rPr>
          <w:rFonts w:ascii="Garamond" w:eastAsia="Garamond" w:hAnsi="Garamond" w:cs="Times New Roman"/>
        </w:rPr>
        <w:t>s population share.</w:t>
      </w:r>
    </w:p>
    <w:p w:rsidR="00A46DCA" w:rsidRDefault="00A46DCA" w:rsidP="00A26D04">
      <w:pPr>
        <w:rPr>
          <w:rFonts w:ascii="Garamond" w:eastAsia="Garamond" w:hAnsi="Garamond" w:cs="Times New Roman"/>
        </w:rPr>
      </w:pPr>
      <w:r w:rsidRPr="00307F6A">
        <w:rPr>
          <w:rFonts w:ascii="Garamond" w:eastAsia="Garamond" w:hAnsi="Garamond" w:cs="Times New Roman"/>
        </w:rPr>
        <w:t xml:space="preserve">The </w:t>
      </w:r>
      <w:r>
        <w:rPr>
          <w:rFonts w:ascii="Garamond" w:eastAsia="Garamond" w:hAnsi="Garamond" w:cs="Times New Roman"/>
        </w:rPr>
        <w:t xml:space="preserve">higher </w:t>
      </w:r>
      <w:r w:rsidRPr="00307F6A">
        <w:rPr>
          <w:rFonts w:ascii="Garamond" w:eastAsia="Garamond" w:hAnsi="Garamond" w:cs="Times New Roman"/>
        </w:rPr>
        <w:t xml:space="preserve">population </w:t>
      </w:r>
      <w:r>
        <w:rPr>
          <w:rFonts w:ascii="Garamond" w:eastAsia="Garamond" w:hAnsi="Garamond" w:cs="Times New Roman"/>
        </w:rPr>
        <w:t xml:space="preserve">also results in elevated demand and related expenditure on </w:t>
      </w:r>
      <w:r w:rsidRPr="00307F6A">
        <w:rPr>
          <w:rFonts w:ascii="Garamond" w:eastAsia="Garamond" w:hAnsi="Garamond" w:cs="Times New Roman"/>
        </w:rPr>
        <w:t xml:space="preserve">public services </w:t>
      </w:r>
      <w:r>
        <w:rPr>
          <w:rFonts w:ascii="Garamond" w:eastAsia="Garamond" w:hAnsi="Garamond" w:cs="Times New Roman"/>
        </w:rPr>
        <w:t>(such as on transport, health and education services)</w:t>
      </w:r>
      <w:r w:rsidRPr="00307F6A">
        <w:rPr>
          <w:rFonts w:ascii="Garamond" w:eastAsia="Garamond" w:hAnsi="Garamond" w:cs="Times New Roman"/>
        </w:rPr>
        <w:t>. However, employee entitlement</w:t>
      </w:r>
      <w:r>
        <w:rPr>
          <w:rFonts w:ascii="Garamond" w:eastAsia="Garamond" w:hAnsi="Garamond" w:cs="Times New Roman"/>
        </w:rPr>
        <w:t xml:space="preserve"> </w:t>
      </w:r>
      <w:r w:rsidRPr="00307F6A">
        <w:rPr>
          <w:rFonts w:ascii="Garamond" w:eastAsia="Garamond" w:hAnsi="Garamond" w:cs="Times New Roman"/>
        </w:rPr>
        <w:t xml:space="preserve">and superannuation expenses </w:t>
      </w:r>
      <w:r>
        <w:rPr>
          <w:rFonts w:ascii="Garamond" w:eastAsia="Garamond" w:hAnsi="Garamond" w:cs="Times New Roman"/>
        </w:rPr>
        <w:t xml:space="preserve">are reduced as </w:t>
      </w:r>
      <w:r w:rsidRPr="00307F6A">
        <w:rPr>
          <w:rFonts w:ascii="Garamond" w:eastAsia="Garamond" w:hAnsi="Garamond" w:cs="Times New Roman"/>
        </w:rPr>
        <w:t xml:space="preserve">stronger growth in labour supply relative to demand </w:t>
      </w:r>
      <w:r>
        <w:rPr>
          <w:rFonts w:ascii="Garamond" w:eastAsia="Garamond" w:hAnsi="Garamond" w:cs="Times New Roman"/>
        </w:rPr>
        <w:t xml:space="preserve">leads to </w:t>
      </w:r>
      <w:r w:rsidRPr="00307F6A">
        <w:rPr>
          <w:rFonts w:ascii="Garamond" w:eastAsia="Garamond" w:hAnsi="Garamond" w:cs="Times New Roman"/>
        </w:rPr>
        <w:t xml:space="preserve">lower wage growth and inflation. </w:t>
      </w:r>
    </w:p>
    <w:p w:rsidR="00A46DCA" w:rsidRDefault="00A46DCA" w:rsidP="00A26D04">
      <w:pPr>
        <w:rPr>
          <w:rFonts w:ascii="Garamond" w:eastAsia="Garamond" w:hAnsi="Garamond" w:cs="Times New Roman"/>
        </w:rPr>
      </w:pPr>
      <w:r>
        <w:rPr>
          <w:rFonts w:ascii="Garamond" w:eastAsia="Garamond" w:hAnsi="Garamond" w:cs="Times New Roman"/>
        </w:rPr>
        <w:t>The overall effect is for revenue growth to outpace higher government expenditure, resulting in improved fiscal balances and lower borrowings.</w:t>
      </w:r>
    </w:p>
    <w:p w:rsidR="00A46DCA" w:rsidRPr="00442C0B" w:rsidRDefault="00A46DCA" w:rsidP="00A26D04">
      <w:pPr>
        <w:keepNext/>
        <w:tabs>
          <w:tab w:val="left" w:pos="1134"/>
          <w:tab w:val="right" w:pos="7710"/>
        </w:tabs>
        <w:spacing w:before="240" w:after="60"/>
        <w:ind w:left="1134" w:hanging="1134"/>
        <w:rPr>
          <w:rFonts w:ascii="Calibri" w:eastAsia="Garamond" w:hAnsi="Calibri" w:cs="Times New Roman"/>
          <w:b/>
          <w:sz w:val="20"/>
          <w:szCs w:val="20"/>
        </w:rPr>
      </w:pPr>
      <w:r w:rsidRPr="00442C0B">
        <w:rPr>
          <w:rFonts w:ascii="Calibri" w:eastAsia="Garamond" w:hAnsi="Calibri" w:cs="Times New Roman"/>
          <w:b/>
          <w:sz w:val="20"/>
          <w:szCs w:val="20"/>
        </w:rPr>
        <w:t>Table D.5:</w:t>
      </w:r>
      <w:r w:rsidRPr="00442C0B">
        <w:rPr>
          <w:rFonts w:ascii="Calibri" w:eastAsia="Garamond" w:hAnsi="Calibri" w:cs="Times New Roman"/>
          <w:b/>
          <w:sz w:val="20"/>
          <w:szCs w:val="20"/>
        </w:rPr>
        <w:tab/>
        <w:t>Fiscal impact of higher population growth</w:t>
      </w:r>
      <w:r w:rsidRPr="00442C0B">
        <w:rPr>
          <w:rFonts w:ascii="Calibri" w:eastAsia="Garamond" w:hAnsi="Calibri" w:cs="Times New Roman"/>
          <w:b/>
          <w:sz w:val="20"/>
          <w:szCs w:val="20"/>
        </w:rPr>
        <w:tab/>
        <w:t>($ million)</w:t>
      </w:r>
      <w:bookmarkStart w:id="102" w:name="RANGE!A16:E23"/>
    </w:p>
    <w:bookmarkEnd w:id="102"/>
    <w:tbl>
      <w:tblPr>
        <w:tblStyle w:val="DTFTable"/>
        <w:tblW w:w="7765" w:type="dxa"/>
        <w:tblInd w:w="45" w:type="dxa"/>
        <w:tblLayout w:type="fixed"/>
        <w:tblCellMar>
          <w:left w:w="45" w:type="dxa"/>
          <w:right w:w="45" w:type="dxa"/>
        </w:tblCellMar>
        <w:tblLook w:val="06E0" w:firstRow="1" w:lastRow="1" w:firstColumn="1" w:lastColumn="0" w:noHBand="1" w:noVBand="1"/>
      </w:tblPr>
      <w:tblGrid>
        <w:gridCol w:w="4111"/>
        <w:gridCol w:w="913"/>
        <w:gridCol w:w="914"/>
        <w:gridCol w:w="913"/>
        <w:gridCol w:w="914"/>
      </w:tblGrid>
      <w:tr w:rsidR="00A26D04" w:rsidRPr="000E014A" w:rsidTr="007A7C8C">
        <w:trPr>
          <w:cnfStyle w:val="100000000000" w:firstRow="1" w:lastRow="0" w:firstColumn="0" w:lastColumn="0" w:oddVBand="0" w:evenVBand="0" w:oddHBand="0" w:evenHBand="0" w:firstRowFirstColumn="0" w:firstRowLastColumn="0" w:lastRowFirstColumn="0" w:lastRowLastColumn="0"/>
          <w:trHeight w:val="73"/>
          <w:tblHeader/>
        </w:trPr>
        <w:tc>
          <w:tcPr>
            <w:cnfStyle w:val="001000000000" w:firstRow="0" w:lastRow="0" w:firstColumn="1" w:lastColumn="0" w:oddVBand="0" w:evenVBand="0" w:oddHBand="0" w:evenHBand="0" w:firstRowFirstColumn="0" w:firstRowLastColumn="0" w:lastRowFirstColumn="0" w:lastRowLastColumn="0"/>
            <w:tcW w:w="4111" w:type="dxa"/>
            <w:tcBorders>
              <w:top w:val="nil"/>
              <w:left w:val="nil"/>
              <w:bottom w:val="nil"/>
              <w:right w:val="nil"/>
            </w:tcBorders>
            <w:shd w:val="clear" w:color="000000" w:fill="000000"/>
            <w:vAlign w:val="center"/>
            <w:hideMark/>
          </w:tcPr>
          <w:p w:rsidR="00A26D04" w:rsidRPr="000E014A" w:rsidRDefault="00A26D04" w:rsidP="007A7C8C">
            <w:pPr>
              <w:rPr>
                <w:i w:val="0"/>
                <w:lang w:eastAsia="en-AU"/>
              </w:rPr>
            </w:pPr>
          </w:p>
        </w:tc>
        <w:tc>
          <w:tcPr>
            <w:tcW w:w="913" w:type="dxa"/>
            <w:tcBorders>
              <w:top w:val="nil"/>
              <w:left w:val="nil"/>
              <w:bottom w:val="nil"/>
              <w:right w:val="nil"/>
            </w:tcBorders>
            <w:shd w:val="clear" w:color="000000" w:fill="000000"/>
            <w:vAlign w:val="center"/>
            <w:hideMark/>
          </w:tcPr>
          <w:p w:rsidR="00A26D04" w:rsidRPr="000E014A" w:rsidRDefault="00A26D04" w:rsidP="00A26D04">
            <w:pPr>
              <w:keepLines w:val="0"/>
              <w:ind w:firstLineChars="100" w:firstLine="170"/>
              <w:cnfStyle w:val="100000000000" w:firstRow="1" w:lastRow="0" w:firstColumn="0" w:lastColumn="0" w:oddVBand="0" w:evenVBand="0" w:oddHBand="0" w:evenHBand="0" w:firstRowFirstColumn="0" w:firstRowLastColumn="0" w:lastRowFirstColumn="0" w:lastRowLastColumn="0"/>
              <w:rPr>
                <w:rFonts w:eastAsia="Times New Roman" w:cs="Times New Roman"/>
                <w:iCs/>
                <w:color w:val="FFFFFF"/>
                <w:szCs w:val="14"/>
                <w:lang w:eastAsia="en-AU"/>
              </w:rPr>
            </w:pPr>
            <w:r w:rsidRPr="000E014A">
              <w:rPr>
                <w:rFonts w:eastAsia="Times New Roman" w:cs="Times New Roman"/>
                <w:iCs/>
                <w:color w:val="FFFFFF"/>
                <w:szCs w:val="14"/>
                <w:lang w:eastAsia="en-AU"/>
              </w:rPr>
              <w:t xml:space="preserve">2017-18 </w:t>
            </w:r>
            <w:r>
              <w:rPr>
                <w:rFonts w:eastAsia="Times New Roman" w:cs="Times New Roman"/>
                <w:iCs/>
                <w:color w:val="FFFFFF"/>
                <w:szCs w:val="14"/>
                <w:lang w:eastAsia="en-AU"/>
              </w:rPr>
              <w:br/>
            </w:r>
            <w:r w:rsidRPr="000E014A">
              <w:rPr>
                <w:rFonts w:eastAsia="Times New Roman" w:cs="Times New Roman"/>
                <w:iCs/>
                <w:color w:val="FFFFFF"/>
                <w:szCs w:val="14"/>
                <w:lang w:eastAsia="en-AU"/>
              </w:rPr>
              <w:t>estimate</w:t>
            </w:r>
          </w:p>
        </w:tc>
        <w:tc>
          <w:tcPr>
            <w:tcW w:w="914" w:type="dxa"/>
            <w:tcBorders>
              <w:top w:val="nil"/>
              <w:left w:val="nil"/>
              <w:bottom w:val="nil"/>
              <w:right w:val="nil"/>
            </w:tcBorders>
            <w:shd w:val="clear" w:color="000000" w:fill="000000"/>
            <w:vAlign w:val="center"/>
            <w:hideMark/>
          </w:tcPr>
          <w:p w:rsidR="00A26D04" w:rsidRPr="000E014A" w:rsidRDefault="00A26D04" w:rsidP="00A26D04">
            <w:pPr>
              <w:keepLines w:val="0"/>
              <w:ind w:firstLineChars="100" w:firstLine="170"/>
              <w:cnfStyle w:val="100000000000" w:firstRow="1" w:lastRow="0" w:firstColumn="0" w:lastColumn="0" w:oddVBand="0" w:evenVBand="0" w:oddHBand="0" w:evenHBand="0" w:firstRowFirstColumn="0" w:firstRowLastColumn="0" w:lastRowFirstColumn="0" w:lastRowLastColumn="0"/>
              <w:rPr>
                <w:rFonts w:eastAsia="Times New Roman" w:cs="Times New Roman"/>
                <w:iCs/>
                <w:color w:val="FFFFFF"/>
                <w:szCs w:val="14"/>
                <w:lang w:eastAsia="en-AU"/>
              </w:rPr>
            </w:pPr>
            <w:r w:rsidRPr="000E014A">
              <w:rPr>
                <w:rFonts w:eastAsia="Times New Roman" w:cs="Times New Roman"/>
                <w:iCs/>
                <w:color w:val="FFFFFF"/>
                <w:szCs w:val="14"/>
                <w:lang w:eastAsia="en-AU"/>
              </w:rPr>
              <w:t xml:space="preserve">2018-19 </w:t>
            </w:r>
            <w:r>
              <w:rPr>
                <w:rFonts w:eastAsia="Times New Roman" w:cs="Times New Roman"/>
                <w:iCs/>
                <w:color w:val="FFFFFF"/>
                <w:szCs w:val="14"/>
                <w:lang w:eastAsia="en-AU"/>
              </w:rPr>
              <w:br/>
            </w:r>
            <w:r w:rsidRPr="000E014A">
              <w:rPr>
                <w:rFonts w:eastAsia="Times New Roman" w:cs="Times New Roman"/>
                <w:iCs/>
                <w:color w:val="FFFFFF"/>
                <w:szCs w:val="14"/>
                <w:lang w:eastAsia="en-AU"/>
              </w:rPr>
              <w:t>estimate</w:t>
            </w:r>
          </w:p>
        </w:tc>
        <w:tc>
          <w:tcPr>
            <w:tcW w:w="913" w:type="dxa"/>
            <w:tcBorders>
              <w:top w:val="nil"/>
              <w:left w:val="nil"/>
              <w:bottom w:val="nil"/>
              <w:right w:val="nil"/>
            </w:tcBorders>
            <w:shd w:val="clear" w:color="000000" w:fill="000000"/>
            <w:vAlign w:val="center"/>
            <w:hideMark/>
          </w:tcPr>
          <w:p w:rsidR="00A26D04" w:rsidRPr="000E014A" w:rsidRDefault="00A26D04" w:rsidP="00A26D04">
            <w:pPr>
              <w:keepLines w:val="0"/>
              <w:ind w:firstLineChars="100" w:firstLine="170"/>
              <w:cnfStyle w:val="100000000000" w:firstRow="1" w:lastRow="0" w:firstColumn="0" w:lastColumn="0" w:oddVBand="0" w:evenVBand="0" w:oddHBand="0" w:evenHBand="0" w:firstRowFirstColumn="0" w:firstRowLastColumn="0" w:lastRowFirstColumn="0" w:lastRowLastColumn="0"/>
              <w:rPr>
                <w:rFonts w:eastAsia="Times New Roman" w:cs="Times New Roman"/>
                <w:iCs/>
                <w:color w:val="FFFFFF"/>
                <w:szCs w:val="14"/>
                <w:lang w:eastAsia="en-AU"/>
              </w:rPr>
            </w:pPr>
            <w:r w:rsidRPr="000E014A">
              <w:rPr>
                <w:rFonts w:eastAsia="Times New Roman" w:cs="Times New Roman"/>
                <w:iCs/>
                <w:color w:val="FFFFFF"/>
                <w:szCs w:val="14"/>
                <w:lang w:eastAsia="en-AU"/>
              </w:rPr>
              <w:t>2019-20</w:t>
            </w:r>
            <w:r>
              <w:rPr>
                <w:rFonts w:eastAsia="Times New Roman" w:cs="Times New Roman"/>
                <w:iCs/>
                <w:color w:val="FFFFFF"/>
                <w:szCs w:val="14"/>
                <w:lang w:eastAsia="en-AU"/>
              </w:rPr>
              <w:br/>
            </w:r>
            <w:r w:rsidRPr="000E014A">
              <w:rPr>
                <w:rFonts w:eastAsia="Times New Roman" w:cs="Times New Roman"/>
                <w:iCs/>
                <w:color w:val="FFFFFF"/>
                <w:szCs w:val="14"/>
                <w:lang w:eastAsia="en-AU"/>
              </w:rPr>
              <w:t>estimate</w:t>
            </w:r>
          </w:p>
        </w:tc>
        <w:tc>
          <w:tcPr>
            <w:tcW w:w="914" w:type="dxa"/>
            <w:tcBorders>
              <w:top w:val="nil"/>
              <w:left w:val="nil"/>
              <w:bottom w:val="nil"/>
              <w:right w:val="nil"/>
            </w:tcBorders>
            <w:shd w:val="clear" w:color="000000" w:fill="000000"/>
            <w:vAlign w:val="center"/>
            <w:hideMark/>
          </w:tcPr>
          <w:p w:rsidR="00A26D04" w:rsidRPr="000E014A" w:rsidRDefault="00A26D04" w:rsidP="00A26D04">
            <w:pPr>
              <w:keepLines w:val="0"/>
              <w:ind w:firstLineChars="100" w:firstLine="170"/>
              <w:cnfStyle w:val="100000000000" w:firstRow="1" w:lastRow="0" w:firstColumn="0" w:lastColumn="0" w:oddVBand="0" w:evenVBand="0" w:oddHBand="0" w:evenHBand="0" w:firstRowFirstColumn="0" w:firstRowLastColumn="0" w:lastRowFirstColumn="0" w:lastRowLastColumn="0"/>
              <w:rPr>
                <w:rFonts w:eastAsia="Times New Roman" w:cs="Times New Roman"/>
                <w:iCs/>
                <w:color w:val="FFFFFF"/>
                <w:szCs w:val="14"/>
                <w:lang w:eastAsia="en-AU"/>
              </w:rPr>
            </w:pPr>
            <w:r w:rsidRPr="000E014A">
              <w:rPr>
                <w:rFonts w:eastAsia="Times New Roman" w:cs="Times New Roman"/>
                <w:iCs/>
                <w:color w:val="FFFFFF"/>
                <w:szCs w:val="14"/>
                <w:lang w:eastAsia="en-AU"/>
              </w:rPr>
              <w:t xml:space="preserve">2020-21 </w:t>
            </w:r>
            <w:r>
              <w:rPr>
                <w:rFonts w:eastAsia="Times New Roman" w:cs="Times New Roman"/>
                <w:iCs/>
                <w:color w:val="FFFFFF"/>
                <w:szCs w:val="14"/>
                <w:lang w:eastAsia="en-AU"/>
              </w:rPr>
              <w:br/>
            </w:r>
            <w:r w:rsidRPr="000E014A">
              <w:rPr>
                <w:rFonts w:eastAsia="Times New Roman" w:cs="Times New Roman"/>
                <w:iCs/>
                <w:color w:val="FFFFFF"/>
                <w:szCs w:val="14"/>
                <w:lang w:eastAsia="en-AU"/>
              </w:rPr>
              <w:t>estimate</w:t>
            </w:r>
          </w:p>
        </w:tc>
      </w:tr>
      <w:tr w:rsidR="00A46DCA" w:rsidRPr="000E014A" w:rsidTr="007A7C8C">
        <w:tc>
          <w:tcPr>
            <w:cnfStyle w:val="001000000000" w:firstRow="0" w:lastRow="0" w:firstColumn="1" w:lastColumn="0" w:oddVBand="0" w:evenVBand="0" w:oddHBand="0" w:evenHBand="0" w:firstRowFirstColumn="0" w:firstRowLastColumn="0" w:lastRowFirstColumn="0" w:lastRowLastColumn="0"/>
            <w:tcW w:w="4111" w:type="dxa"/>
            <w:tcBorders>
              <w:top w:val="nil"/>
              <w:left w:val="nil"/>
              <w:bottom w:val="nil"/>
              <w:right w:val="nil"/>
            </w:tcBorders>
            <w:shd w:val="clear" w:color="auto" w:fill="auto"/>
            <w:vAlign w:val="center"/>
            <w:hideMark/>
          </w:tcPr>
          <w:p w:rsidR="00A46DCA" w:rsidRPr="000E014A" w:rsidRDefault="00A46DCA" w:rsidP="00A26D04">
            <w:pPr>
              <w:keepLines w:val="0"/>
              <w:ind w:left="0" w:firstLine="0"/>
              <w:rPr>
                <w:rFonts w:eastAsia="Times New Roman" w:cs="Times New Roman"/>
                <w:color w:val="000000"/>
                <w:szCs w:val="14"/>
                <w:lang w:eastAsia="en-AU"/>
              </w:rPr>
            </w:pPr>
            <w:r w:rsidRPr="000E014A">
              <w:rPr>
                <w:rFonts w:eastAsia="Times New Roman" w:cs="Times New Roman"/>
                <w:color w:val="000000"/>
                <w:szCs w:val="14"/>
                <w:lang w:eastAsia="en-AU"/>
              </w:rPr>
              <w:t>Income from transactions</w:t>
            </w:r>
          </w:p>
        </w:tc>
        <w:tc>
          <w:tcPr>
            <w:tcW w:w="913" w:type="dxa"/>
            <w:tcBorders>
              <w:top w:val="nil"/>
              <w:left w:val="nil"/>
              <w:bottom w:val="nil"/>
              <w:right w:val="nil"/>
            </w:tcBorders>
            <w:shd w:val="clear" w:color="auto" w:fill="auto"/>
            <w:vAlign w:val="bottom"/>
            <w:hideMark/>
          </w:tcPr>
          <w:p w:rsidR="00A46DCA" w:rsidRPr="001D4E6F" w:rsidRDefault="00A46DCA">
            <w:pPr>
              <w:cnfStyle w:val="000000000000" w:firstRow="0" w:lastRow="0" w:firstColumn="0" w:lastColumn="0" w:oddVBand="0" w:evenVBand="0" w:oddHBand="0" w:evenHBand="0" w:firstRowFirstColumn="0" w:firstRowLastColumn="0" w:lastRowFirstColumn="0" w:lastRowLastColumn="0"/>
              <w:rPr>
                <w:rFonts w:ascii="Calibri" w:hAnsi="Calibri"/>
                <w:szCs w:val="17"/>
              </w:rPr>
            </w:pPr>
            <w:r w:rsidRPr="001D4E6F">
              <w:rPr>
                <w:rFonts w:ascii="Calibri" w:hAnsi="Calibri"/>
                <w:szCs w:val="17"/>
              </w:rPr>
              <w:t>36.0</w:t>
            </w:r>
          </w:p>
        </w:tc>
        <w:tc>
          <w:tcPr>
            <w:tcW w:w="914" w:type="dxa"/>
            <w:tcBorders>
              <w:top w:val="nil"/>
              <w:left w:val="nil"/>
              <w:bottom w:val="nil"/>
              <w:right w:val="nil"/>
            </w:tcBorders>
            <w:shd w:val="clear" w:color="auto" w:fill="auto"/>
            <w:vAlign w:val="bottom"/>
            <w:hideMark/>
          </w:tcPr>
          <w:p w:rsidR="00A46DCA" w:rsidRPr="001D4E6F" w:rsidRDefault="00A46DCA">
            <w:pPr>
              <w:cnfStyle w:val="000000000000" w:firstRow="0" w:lastRow="0" w:firstColumn="0" w:lastColumn="0" w:oddVBand="0" w:evenVBand="0" w:oddHBand="0" w:evenHBand="0" w:firstRowFirstColumn="0" w:firstRowLastColumn="0" w:lastRowFirstColumn="0" w:lastRowLastColumn="0"/>
              <w:rPr>
                <w:rFonts w:ascii="Calibri" w:hAnsi="Calibri"/>
                <w:szCs w:val="17"/>
              </w:rPr>
            </w:pPr>
            <w:r w:rsidRPr="001D4E6F">
              <w:rPr>
                <w:rFonts w:ascii="Calibri" w:hAnsi="Calibri"/>
                <w:szCs w:val="17"/>
              </w:rPr>
              <w:t>91.8</w:t>
            </w:r>
          </w:p>
        </w:tc>
        <w:tc>
          <w:tcPr>
            <w:tcW w:w="913" w:type="dxa"/>
            <w:tcBorders>
              <w:top w:val="nil"/>
              <w:left w:val="nil"/>
              <w:bottom w:val="nil"/>
              <w:right w:val="nil"/>
            </w:tcBorders>
            <w:shd w:val="clear" w:color="auto" w:fill="auto"/>
            <w:vAlign w:val="bottom"/>
            <w:hideMark/>
          </w:tcPr>
          <w:p w:rsidR="00A46DCA" w:rsidRPr="001D4E6F" w:rsidRDefault="00A46DCA">
            <w:pPr>
              <w:cnfStyle w:val="000000000000" w:firstRow="0" w:lastRow="0" w:firstColumn="0" w:lastColumn="0" w:oddVBand="0" w:evenVBand="0" w:oddHBand="0" w:evenHBand="0" w:firstRowFirstColumn="0" w:firstRowLastColumn="0" w:lastRowFirstColumn="0" w:lastRowLastColumn="0"/>
              <w:rPr>
                <w:rFonts w:ascii="Calibri" w:hAnsi="Calibri"/>
                <w:szCs w:val="17"/>
              </w:rPr>
            </w:pPr>
            <w:r w:rsidRPr="001D4E6F">
              <w:rPr>
                <w:rFonts w:ascii="Calibri" w:hAnsi="Calibri"/>
                <w:szCs w:val="17"/>
              </w:rPr>
              <w:t>205.9</w:t>
            </w:r>
          </w:p>
        </w:tc>
        <w:tc>
          <w:tcPr>
            <w:tcW w:w="914" w:type="dxa"/>
            <w:tcBorders>
              <w:top w:val="nil"/>
              <w:left w:val="nil"/>
              <w:bottom w:val="nil"/>
              <w:right w:val="nil"/>
            </w:tcBorders>
            <w:shd w:val="clear" w:color="auto" w:fill="auto"/>
            <w:vAlign w:val="bottom"/>
            <w:hideMark/>
          </w:tcPr>
          <w:p w:rsidR="00A46DCA" w:rsidRPr="001D4E6F" w:rsidRDefault="00A46DCA">
            <w:pPr>
              <w:cnfStyle w:val="000000000000" w:firstRow="0" w:lastRow="0" w:firstColumn="0" w:lastColumn="0" w:oddVBand="0" w:evenVBand="0" w:oddHBand="0" w:evenHBand="0" w:firstRowFirstColumn="0" w:firstRowLastColumn="0" w:lastRowFirstColumn="0" w:lastRowLastColumn="0"/>
              <w:rPr>
                <w:rFonts w:ascii="Calibri" w:hAnsi="Calibri"/>
                <w:szCs w:val="17"/>
              </w:rPr>
            </w:pPr>
            <w:r w:rsidRPr="001D4E6F">
              <w:rPr>
                <w:rFonts w:ascii="Calibri" w:hAnsi="Calibri"/>
                <w:szCs w:val="17"/>
              </w:rPr>
              <w:t>354.8</w:t>
            </w:r>
          </w:p>
        </w:tc>
      </w:tr>
      <w:tr w:rsidR="00A46DCA" w:rsidRPr="000E014A" w:rsidTr="00A26D04">
        <w:tc>
          <w:tcPr>
            <w:cnfStyle w:val="001000000000" w:firstRow="0" w:lastRow="0" w:firstColumn="1" w:lastColumn="0" w:oddVBand="0" w:evenVBand="0" w:oddHBand="0" w:evenHBand="0" w:firstRowFirstColumn="0" w:firstRowLastColumn="0" w:lastRowFirstColumn="0" w:lastRowLastColumn="0"/>
            <w:tcW w:w="4111" w:type="dxa"/>
            <w:tcBorders>
              <w:top w:val="nil"/>
              <w:left w:val="nil"/>
              <w:bottom w:val="nil"/>
              <w:right w:val="nil"/>
            </w:tcBorders>
            <w:shd w:val="clear" w:color="auto" w:fill="auto"/>
            <w:vAlign w:val="center"/>
            <w:hideMark/>
          </w:tcPr>
          <w:p w:rsidR="00A46DCA" w:rsidRPr="000E014A" w:rsidRDefault="00A46DCA" w:rsidP="00A26D04">
            <w:pPr>
              <w:keepLines w:val="0"/>
              <w:ind w:left="0" w:firstLine="0"/>
              <w:rPr>
                <w:rFonts w:eastAsia="Times New Roman" w:cs="Times New Roman"/>
                <w:color w:val="000000"/>
                <w:szCs w:val="14"/>
                <w:lang w:eastAsia="en-AU"/>
              </w:rPr>
            </w:pPr>
            <w:r w:rsidRPr="000E014A">
              <w:rPr>
                <w:rFonts w:eastAsia="Times New Roman" w:cs="Times New Roman"/>
                <w:color w:val="000000"/>
                <w:szCs w:val="14"/>
                <w:lang w:eastAsia="en-AU"/>
              </w:rPr>
              <w:t>Expenses from transactions</w:t>
            </w:r>
          </w:p>
        </w:tc>
        <w:tc>
          <w:tcPr>
            <w:tcW w:w="913" w:type="dxa"/>
            <w:tcBorders>
              <w:top w:val="nil"/>
              <w:left w:val="nil"/>
              <w:bottom w:val="nil"/>
              <w:right w:val="nil"/>
            </w:tcBorders>
            <w:shd w:val="clear" w:color="auto" w:fill="auto"/>
            <w:vAlign w:val="bottom"/>
            <w:hideMark/>
          </w:tcPr>
          <w:p w:rsidR="00A46DCA" w:rsidRPr="001D4E6F" w:rsidRDefault="00A46DCA">
            <w:pPr>
              <w:cnfStyle w:val="000000000000" w:firstRow="0" w:lastRow="0" w:firstColumn="0" w:lastColumn="0" w:oddVBand="0" w:evenVBand="0" w:oddHBand="0" w:evenHBand="0" w:firstRowFirstColumn="0" w:firstRowLastColumn="0" w:lastRowFirstColumn="0" w:lastRowLastColumn="0"/>
              <w:rPr>
                <w:rFonts w:ascii="Calibri" w:hAnsi="Calibri"/>
                <w:szCs w:val="17"/>
              </w:rPr>
            </w:pPr>
            <w:r w:rsidRPr="001D4E6F">
              <w:rPr>
                <w:rFonts w:ascii="Calibri" w:hAnsi="Calibri"/>
                <w:szCs w:val="17"/>
              </w:rPr>
              <w:t>25.4</w:t>
            </w:r>
          </w:p>
        </w:tc>
        <w:tc>
          <w:tcPr>
            <w:tcW w:w="914" w:type="dxa"/>
            <w:tcBorders>
              <w:top w:val="nil"/>
              <w:left w:val="nil"/>
              <w:bottom w:val="nil"/>
              <w:right w:val="nil"/>
            </w:tcBorders>
            <w:shd w:val="clear" w:color="auto" w:fill="auto"/>
            <w:vAlign w:val="bottom"/>
            <w:hideMark/>
          </w:tcPr>
          <w:p w:rsidR="00A46DCA" w:rsidRPr="001D4E6F" w:rsidRDefault="00A46DCA">
            <w:pPr>
              <w:cnfStyle w:val="000000000000" w:firstRow="0" w:lastRow="0" w:firstColumn="0" w:lastColumn="0" w:oddVBand="0" w:evenVBand="0" w:oddHBand="0" w:evenHBand="0" w:firstRowFirstColumn="0" w:firstRowLastColumn="0" w:lastRowFirstColumn="0" w:lastRowLastColumn="0"/>
              <w:rPr>
                <w:rFonts w:ascii="Calibri" w:hAnsi="Calibri"/>
                <w:szCs w:val="17"/>
              </w:rPr>
            </w:pPr>
            <w:r w:rsidRPr="001D4E6F">
              <w:rPr>
                <w:rFonts w:ascii="Calibri" w:hAnsi="Calibri"/>
                <w:szCs w:val="17"/>
              </w:rPr>
              <w:t>53.1</w:t>
            </w:r>
          </w:p>
        </w:tc>
        <w:tc>
          <w:tcPr>
            <w:tcW w:w="913" w:type="dxa"/>
            <w:tcBorders>
              <w:top w:val="nil"/>
              <w:left w:val="nil"/>
              <w:bottom w:val="nil"/>
              <w:right w:val="nil"/>
            </w:tcBorders>
            <w:shd w:val="clear" w:color="auto" w:fill="auto"/>
            <w:vAlign w:val="bottom"/>
            <w:hideMark/>
          </w:tcPr>
          <w:p w:rsidR="00A46DCA" w:rsidRPr="001D4E6F" w:rsidRDefault="00A46DCA">
            <w:pPr>
              <w:cnfStyle w:val="000000000000" w:firstRow="0" w:lastRow="0" w:firstColumn="0" w:lastColumn="0" w:oddVBand="0" w:evenVBand="0" w:oddHBand="0" w:evenHBand="0" w:firstRowFirstColumn="0" w:firstRowLastColumn="0" w:lastRowFirstColumn="0" w:lastRowLastColumn="0"/>
              <w:rPr>
                <w:rFonts w:ascii="Calibri" w:hAnsi="Calibri"/>
                <w:szCs w:val="17"/>
              </w:rPr>
            </w:pPr>
            <w:r w:rsidRPr="001D4E6F">
              <w:rPr>
                <w:rFonts w:ascii="Calibri" w:hAnsi="Calibri"/>
                <w:szCs w:val="17"/>
              </w:rPr>
              <w:t>71.0</w:t>
            </w:r>
          </w:p>
        </w:tc>
        <w:tc>
          <w:tcPr>
            <w:tcW w:w="914" w:type="dxa"/>
            <w:tcBorders>
              <w:top w:val="nil"/>
              <w:left w:val="nil"/>
              <w:bottom w:val="nil"/>
              <w:right w:val="nil"/>
            </w:tcBorders>
            <w:shd w:val="clear" w:color="auto" w:fill="auto"/>
            <w:vAlign w:val="bottom"/>
            <w:hideMark/>
          </w:tcPr>
          <w:p w:rsidR="00A46DCA" w:rsidRPr="001D4E6F" w:rsidRDefault="00A46DCA">
            <w:pPr>
              <w:cnfStyle w:val="000000000000" w:firstRow="0" w:lastRow="0" w:firstColumn="0" w:lastColumn="0" w:oddVBand="0" w:evenVBand="0" w:oddHBand="0" w:evenHBand="0" w:firstRowFirstColumn="0" w:firstRowLastColumn="0" w:lastRowFirstColumn="0" w:lastRowLastColumn="0"/>
              <w:rPr>
                <w:rFonts w:ascii="Calibri" w:hAnsi="Calibri"/>
                <w:szCs w:val="17"/>
              </w:rPr>
            </w:pPr>
            <w:r w:rsidRPr="001D4E6F">
              <w:rPr>
                <w:rFonts w:ascii="Calibri" w:hAnsi="Calibri"/>
                <w:szCs w:val="17"/>
              </w:rPr>
              <w:t>115.1</w:t>
            </w:r>
          </w:p>
        </w:tc>
      </w:tr>
      <w:tr w:rsidR="00A46DCA" w:rsidRPr="000E014A" w:rsidTr="00A26D04">
        <w:tc>
          <w:tcPr>
            <w:cnfStyle w:val="001000000000" w:firstRow="0" w:lastRow="0" w:firstColumn="1" w:lastColumn="0" w:oddVBand="0" w:evenVBand="0" w:oddHBand="0" w:evenHBand="0" w:firstRowFirstColumn="0" w:firstRowLastColumn="0" w:lastRowFirstColumn="0" w:lastRowLastColumn="0"/>
            <w:tcW w:w="4111" w:type="dxa"/>
            <w:tcBorders>
              <w:top w:val="single" w:sz="4" w:space="0" w:color="auto"/>
              <w:left w:val="nil"/>
              <w:bottom w:val="single" w:sz="4" w:space="0" w:color="auto"/>
              <w:right w:val="nil"/>
            </w:tcBorders>
            <w:shd w:val="clear" w:color="auto" w:fill="auto"/>
            <w:vAlign w:val="center"/>
            <w:hideMark/>
          </w:tcPr>
          <w:p w:rsidR="00A46DCA" w:rsidRPr="000E014A" w:rsidRDefault="00A46DCA" w:rsidP="00A26D04">
            <w:pPr>
              <w:keepLines w:val="0"/>
              <w:ind w:left="0" w:firstLine="0"/>
              <w:rPr>
                <w:rFonts w:eastAsia="Times New Roman" w:cs="Times New Roman"/>
                <w:b/>
                <w:bCs/>
                <w:color w:val="000000"/>
                <w:szCs w:val="14"/>
                <w:lang w:eastAsia="en-AU"/>
              </w:rPr>
            </w:pPr>
            <w:r w:rsidRPr="000E014A">
              <w:rPr>
                <w:rFonts w:eastAsia="Times New Roman" w:cs="Times New Roman"/>
                <w:b/>
                <w:bCs/>
                <w:color w:val="000000"/>
                <w:szCs w:val="14"/>
                <w:lang w:eastAsia="en-AU"/>
              </w:rPr>
              <w:t>Net result from transactions</w:t>
            </w:r>
          </w:p>
        </w:tc>
        <w:tc>
          <w:tcPr>
            <w:tcW w:w="913" w:type="dxa"/>
            <w:tcBorders>
              <w:top w:val="single" w:sz="4" w:space="0" w:color="auto"/>
              <w:left w:val="nil"/>
              <w:bottom w:val="single" w:sz="4" w:space="0" w:color="auto"/>
              <w:right w:val="nil"/>
            </w:tcBorders>
            <w:shd w:val="clear" w:color="auto" w:fill="auto"/>
            <w:vAlign w:val="bottom"/>
            <w:hideMark/>
          </w:tcPr>
          <w:p w:rsidR="00A46DCA" w:rsidRPr="001D4E6F" w:rsidRDefault="00A46DCA">
            <w:pPr>
              <w:cnfStyle w:val="000000000000" w:firstRow="0" w:lastRow="0" w:firstColumn="0" w:lastColumn="0" w:oddVBand="0" w:evenVBand="0" w:oddHBand="0" w:evenHBand="0" w:firstRowFirstColumn="0" w:firstRowLastColumn="0" w:lastRowFirstColumn="0" w:lastRowLastColumn="0"/>
              <w:rPr>
                <w:rFonts w:ascii="Calibri" w:hAnsi="Calibri"/>
                <w:b/>
                <w:bCs/>
                <w:szCs w:val="17"/>
              </w:rPr>
            </w:pPr>
            <w:r w:rsidRPr="001D4E6F">
              <w:rPr>
                <w:rFonts w:ascii="Calibri" w:hAnsi="Calibri"/>
                <w:b/>
                <w:bCs/>
                <w:szCs w:val="17"/>
              </w:rPr>
              <w:t>10.6</w:t>
            </w:r>
          </w:p>
        </w:tc>
        <w:tc>
          <w:tcPr>
            <w:tcW w:w="914" w:type="dxa"/>
            <w:tcBorders>
              <w:top w:val="single" w:sz="4" w:space="0" w:color="auto"/>
              <w:left w:val="nil"/>
              <w:bottom w:val="single" w:sz="4" w:space="0" w:color="auto"/>
              <w:right w:val="nil"/>
            </w:tcBorders>
            <w:shd w:val="clear" w:color="auto" w:fill="auto"/>
            <w:vAlign w:val="bottom"/>
            <w:hideMark/>
          </w:tcPr>
          <w:p w:rsidR="00A46DCA" w:rsidRPr="001D4E6F" w:rsidRDefault="00A46DCA">
            <w:pPr>
              <w:cnfStyle w:val="000000000000" w:firstRow="0" w:lastRow="0" w:firstColumn="0" w:lastColumn="0" w:oddVBand="0" w:evenVBand="0" w:oddHBand="0" w:evenHBand="0" w:firstRowFirstColumn="0" w:firstRowLastColumn="0" w:lastRowFirstColumn="0" w:lastRowLastColumn="0"/>
              <w:rPr>
                <w:rFonts w:ascii="Calibri" w:hAnsi="Calibri"/>
                <w:b/>
                <w:bCs/>
                <w:szCs w:val="17"/>
              </w:rPr>
            </w:pPr>
            <w:r w:rsidRPr="001D4E6F">
              <w:rPr>
                <w:rFonts w:ascii="Calibri" w:hAnsi="Calibri"/>
                <w:b/>
                <w:bCs/>
                <w:szCs w:val="17"/>
              </w:rPr>
              <w:t>38.7</w:t>
            </w:r>
          </w:p>
        </w:tc>
        <w:tc>
          <w:tcPr>
            <w:tcW w:w="913" w:type="dxa"/>
            <w:tcBorders>
              <w:top w:val="single" w:sz="4" w:space="0" w:color="auto"/>
              <w:left w:val="nil"/>
              <w:bottom w:val="single" w:sz="4" w:space="0" w:color="auto"/>
              <w:right w:val="nil"/>
            </w:tcBorders>
            <w:shd w:val="clear" w:color="auto" w:fill="auto"/>
            <w:vAlign w:val="bottom"/>
            <w:hideMark/>
          </w:tcPr>
          <w:p w:rsidR="00A46DCA" w:rsidRPr="001D4E6F" w:rsidRDefault="00A46DCA">
            <w:pPr>
              <w:cnfStyle w:val="000000000000" w:firstRow="0" w:lastRow="0" w:firstColumn="0" w:lastColumn="0" w:oddVBand="0" w:evenVBand="0" w:oddHBand="0" w:evenHBand="0" w:firstRowFirstColumn="0" w:firstRowLastColumn="0" w:lastRowFirstColumn="0" w:lastRowLastColumn="0"/>
              <w:rPr>
                <w:rFonts w:ascii="Calibri" w:hAnsi="Calibri"/>
                <w:b/>
                <w:bCs/>
                <w:szCs w:val="17"/>
              </w:rPr>
            </w:pPr>
            <w:r w:rsidRPr="001D4E6F">
              <w:rPr>
                <w:rFonts w:ascii="Calibri" w:hAnsi="Calibri"/>
                <w:b/>
                <w:bCs/>
                <w:szCs w:val="17"/>
              </w:rPr>
              <w:t>134.9</w:t>
            </w:r>
          </w:p>
        </w:tc>
        <w:tc>
          <w:tcPr>
            <w:tcW w:w="914" w:type="dxa"/>
            <w:tcBorders>
              <w:top w:val="single" w:sz="4" w:space="0" w:color="auto"/>
              <w:left w:val="nil"/>
              <w:bottom w:val="single" w:sz="4" w:space="0" w:color="auto"/>
              <w:right w:val="nil"/>
            </w:tcBorders>
            <w:shd w:val="clear" w:color="auto" w:fill="auto"/>
            <w:vAlign w:val="bottom"/>
            <w:hideMark/>
          </w:tcPr>
          <w:p w:rsidR="00A46DCA" w:rsidRPr="001D4E6F" w:rsidRDefault="00A46DCA">
            <w:pPr>
              <w:cnfStyle w:val="000000000000" w:firstRow="0" w:lastRow="0" w:firstColumn="0" w:lastColumn="0" w:oddVBand="0" w:evenVBand="0" w:oddHBand="0" w:evenHBand="0" w:firstRowFirstColumn="0" w:firstRowLastColumn="0" w:lastRowFirstColumn="0" w:lastRowLastColumn="0"/>
              <w:rPr>
                <w:rFonts w:ascii="Calibri" w:hAnsi="Calibri"/>
                <w:b/>
                <w:bCs/>
                <w:szCs w:val="17"/>
              </w:rPr>
            </w:pPr>
            <w:r w:rsidRPr="001D4E6F">
              <w:rPr>
                <w:rFonts w:ascii="Calibri" w:hAnsi="Calibri"/>
                <w:b/>
                <w:bCs/>
                <w:szCs w:val="17"/>
              </w:rPr>
              <w:t>239.7</w:t>
            </w:r>
          </w:p>
        </w:tc>
      </w:tr>
      <w:tr w:rsidR="00A46DCA" w:rsidRPr="000E014A" w:rsidTr="00A26D04">
        <w:tc>
          <w:tcPr>
            <w:cnfStyle w:val="001000000000" w:firstRow="0" w:lastRow="0" w:firstColumn="1" w:lastColumn="0" w:oddVBand="0" w:evenVBand="0" w:oddHBand="0" w:evenHBand="0" w:firstRowFirstColumn="0" w:firstRowLastColumn="0" w:lastRowFirstColumn="0" w:lastRowLastColumn="0"/>
            <w:tcW w:w="4111" w:type="dxa"/>
            <w:tcBorders>
              <w:top w:val="nil"/>
              <w:left w:val="nil"/>
              <w:bottom w:val="nil"/>
              <w:right w:val="nil"/>
            </w:tcBorders>
            <w:shd w:val="clear" w:color="auto" w:fill="auto"/>
            <w:vAlign w:val="center"/>
            <w:hideMark/>
          </w:tcPr>
          <w:p w:rsidR="00A46DCA" w:rsidRPr="000E014A" w:rsidRDefault="00A46DCA" w:rsidP="00A26D04">
            <w:pPr>
              <w:keepLines w:val="0"/>
              <w:ind w:left="0" w:firstLine="0"/>
              <w:rPr>
                <w:rFonts w:eastAsia="Times New Roman" w:cs="Times New Roman"/>
                <w:color w:val="000000"/>
                <w:szCs w:val="14"/>
                <w:lang w:eastAsia="en-AU"/>
              </w:rPr>
            </w:pPr>
            <w:r w:rsidRPr="000E014A">
              <w:rPr>
                <w:rFonts w:eastAsia="Times New Roman" w:cs="Times New Roman"/>
                <w:color w:val="000000"/>
                <w:szCs w:val="14"/>
                <w:lang w:eastAsia="en-AU"/>
              </w:rPr>
              <w:t>Other economic flows</w:t>
            </w:r>
          </w:p>
        </w:tc>
        <w:tc>
          <w:tcPr>
            <w:tcW w:w="913" w:type="dxa"/>
            <w:tcBorders>
              <w:top w:val="nil"/>
              <w:left w:val="nil"/>
              <w:bottom w:val="nil"/>
              <w:right w:val="nil"/>
            </w:tcBorders>
            <w:shd w:val="clear" w:color="auto" w:fill="auto"/>
            <w:vAlign w:val="bottom"/>
            <w:hideMark/>
          </w:tcPr>
          <w:p w:rsidR="00A46DCA" w:rsidRPr="001D4E6F" w:rsidRDefault="00A46DCA">
            <w:pPr>
              <w:cnfStyle w:val="000000000000" w:firstRow="0" w:lastRow="0" w:firstColumn="0" w:lastColumn="0" w:oddVBand="0" w:evenVBand="0" w:oddHBand="0" w:evenHBand="0" w:firstRowFirstColumn="0" w:firstRowLastColumn="0" w:lastRowFirstColumn="0" w:lastRowLastColumn="0"/>
              <w:rPr>
                <w:rFonts w:ascii="Calibri" w:hAnsi="Calibri"/>
                <w:szCs w:val="17"/>
              </w:rPr>
            </w:pPr>
            <w:r w:rsidRPr="001D4E6F">
              <w:rPr>
                <w:rFonts w:ascii="Calibri" w:hAnsi="Calibri"/>
                <w:szCs w:val="17"/>
              </w:rPr>
              <w:t>0.0</w:t>
            </w:r>
          </w:p>
        </w:tc>
        <w:tc>
          <w:tcPr>
            <w:tcW w:w="914" w:type="dxa"/>
            <w:tcBorders>
              <w:top w:val="nil"/>
              <w:left w:val="nil"/>
              <w:bottom w:val="nil"/>
              <w:right w:val="nil"/>
            </w:tcBorders>
            <w:shd w:val="clear" w:color="auto" w:fill="auto"/>
            <w:vAlign w:val="bottom"/>
            <w:hideMark/>
          </w:tcPr>
          <w:p w:rsidR="00A46DCA" w:rsidRPr="001D4E6F" w:rsidRDefault="00A46DCA">
            <w:pPr>
              <w:cnfStyle w:val="000000000000" w:firstRow="0" w:lastRow="0" w:firstColumn="0" w:lastColumn="0" w:oddVBand="0" w:evenVBand="0" w:oddHBand="0" w:evenHBand="0" w:firstRowFirstColumn="0" w:firstRowLastColumn="0" w:lastRowFirstColumn="0" w:lastRowLastColumn="0"/>
              <w:rPr>
                <w:rFonts w:ascii="Calibri" w:hAnsi="Calibri"/>
                <w:szCs w:val="17"/>
              </w:rPr>
            </w:pPr>
            <w:r w:rsidRPr="001D4E6F">
              <w:rPr>
                <w:rFonts w:ascii="Calibri" w:hAnsi="Calibri"/>
                <w:szCs w:val="17"/>
              </w:rPr>
              <w:t>0.1</w:t>
            </w:r>
          </w:p>
        </w:tc>
        <w:tc>
          <w:tcPr>
            <w:tcW w:w="913" w:type="dxa"/>
            <w:tcBorders>
              <w:top w:val="nil"/>
              <w:left w:val="nil"/>
              <w:bottom w:val="nil"/>
              <w:right w:val="nil"/>
            </w:tcBorders>
            <w:shd w:val="clear" w:color="auto" w:fill="auto"/>
            <w:vAlign w:val="bottom"/>
            <w:hideMark/>
          </w:tcPr>
          <w:p w:rsidR="00A46DCA" w:rsidRPr="001D4E6F" w:rsidRDefault="00A46DCA">
            <w:pPr>
              <w:cnfStyle w:val="000000000000" w:firstRow="0" w:lastRow="0" w:firstColumn="0" w:lastColumn="0" w:oddVBand="0" w:evenVBand="0" w:oddHBand="0" w:evenHBand="0" w:firstRowFirstColumn="0" w:firstRowLastColumn="0" w:lastRowFirstColumn="0" w:lastRowLastColumn="0"/>
              <w:rPr>
                <w:rFonts w:ascii="Calibri" w:hAnsi="Calibri"/>
                <w:szCs w:val="17"/>
              </w:rPr>
            </w:pPr>
            <w:r w:rsidRPr="001D4E6F">
              <w:rPr>
                <w:rFonts w:ascii="Calibri" w:hAnsi="Calibri"/>
                <w:szCs w:val="17"/>
              </w:rPr>
              <w:t>0.2</w:t>
            </w:r>
          </w:p>
        </w:tc>
        <w:tc>
          <w:tcPr>
            <w:tcW w:w="914" w:type="dxa"/>
            <w:tcBorders>
              <w:top w:val="nil"/>
              <w:left w:val="nil"/>
              <w:bottom w:val="nil"/>
              <w:right w:val="nil"/>
            </w:tcBorders>
            <w:shd w:val="clear" w:color="auto" w:fill="auto"/>
            <w:vAlign w:val="bottom"/>
            <w:hideMark/>
          </w:tcPr>
          <w:p w:rsidR="00A46DCA" w:rsidRPr="001D4E6F" w:rsidRDefault="00A46DCA">
            <w:pPr>
              <w:cnfStyle w:val="000000000000" w:firstRow="0" w:lastRow="0" w:firstColumn="0" w:lastColumn="0" w:oddVBand="0" w:evenVBand="0" w:oddHBand="0" w:evenHBand="0" w:firstRowFirstColumn="0" w:firstRowLastColumn="0" w:lastRowFirstColumn="0" w:lastRowLastColumn="0"/>
              <w:rPr>
                <w:rFonts w:ascii="Calibri" w:hAnsi="Calibri"/>
                <w:szCs w:val="17"/>
              </w:rPr>
            </w:pPr>
            <w:r w:rsidRPr="001D4E6F">
              <w:rPr>
                <w:rFonts w:ascii="Calibri" w:hAnsi="Calibri"/>
                <w:szCs w:val="17"/>
              </w:rPr>
              <w:t>0.4</w:t>
            </w:r>
          </w:p>
        </w:tc>
      </w:tr>
      <w:tr w:rsidR="00A46DCA" w:rsidRPr="000E014A" w:rsidTr="00A26D04">
        <w:tc>
          <w:tcPr>
            <w:cnfStyle w:val="001000000000" w:firstRow="0" w:lastRow="0" w:firstColumn="1" w:lastColumn="0" w:oddVBand="0" w:evenVBand="0" w:oddHBand="0" w:evenHBand="0" w:firstRowFirstColumn="0" w:firstRowLastColumn="0" w:lastRowFirstColumn="0" w:lastRowLastColumn="0"/>
            <w:tcW w:w="4111" w:type="dxa"/>
            <w:tcBorders>
              <w:top w:val="single" w:sz="4" w:space="0" w:color="auto"/>
              <w:left w:val="nil"/>
              <w:bottom w:val="single" w:sz="4" w:space="0" w:color="auto"/>
              <w:right w:val="nil"/>
            </w:tcBorders>
            <w:shd w:val="clear" w:color="auto" w:fill="auto"/>
            <w:vAlign w:val="center"/>
            <w:hideMark/>
          </w:tcPr>
          <w:p w:rsidR="00A46DCA" w:rsidRPr="000E014A" w:rsidRDefault="00A46DCA" w:rsidP="00A26D04">
            <w:pPr>
              <w:keepLines w:val="0"/>
              <w:ind w:left="0" w:firstLine="0"/>
              <w:rPr>
                <w:rFonts w:eastAsia="Times New Roman" w:cs="Times New Roman"/>
                <w:b/>
                <w:bCs/>
                <w:color w:val="000000"/>
                <w:szCs w:val="14"/>
                <w:lang w:eastAsia="en-AU"/>
              </w:rPr>
            </w:pPr>
            <w:r w:rsidRPr="000E014A">
              <w:rPr>
                <w:rFonts w:eastAsia="Times New Roman" w:cs="Times New Roman"/>
                <w:b/>
                <w:bCs/>
                <w:color w:val="000000"/>
                <w:szCs w:val="14"/>
                <w:lang w:eastAsia="en-AU"/>
              </w:rPr>
              <w:t>Net result</w:t>
            </w:r>
          </w:p>
        </w:tc>
        <w:tc>
          <w:tcPr>
            <w:tcW w:w="913" w:type="dxa"/>
            <w:tcBorders>
              <w:top w:val="single" w:sz="4" w:space="0" w:color="auto"/>
              <w:left w:val="nil"/>
              <w:bottom w:val="single" w:sz="4" w:space="0" w:color="auto"/>
              <w:right w:val="nil"/>
            </w:tcBorders>
            <w:shd w:val="clear" w:color="auto" w:fill="auto"/>
            <w:vAlign w:val="bottom"/>
            <w:hideMark/>
          </w:tcPr>
          <w:p w:rsidR="00A46DCA" w:rsidRPr="001D4E6F" w:rsidRDefault="00A46DCA">
            <w:pPr>
              <w:cnfStyle w:val="000000000000" w:firstRow="0" w:lastRow="0" w:firstColumn="0" w:lastColumn="0" w:oddVBand="0" w:evenVBand="0" w:oddHBand="0" w:evenHBand="0" w:firstRowFirstColumn="0" w:firstRowLastColumn="0" w:lastRowFirstColumn="0" w:lastRowLastColumn="0"/>
              <w:rPr>
                <w:rFonts w:ascii="Calibri" w:hAnsi="Calibri"/>
                <w:b/>
                <w:bCs/>
                <w:szCs w:val="17"/>
              </w:rPr>
            </w:pPr>
            <w:r w:rsidRPr="001D4E6F">
              <w:rPr>
                <w:rFonts w:ascii="Calibri" w:hAnsi="Calibri"/>
                <w:b/>
                <w:bCs/>
                <w:szCs w:val="17"/>
              </w:rPr>
              <w:t>10.7</w:t>
            </w:r>
          </w:p>
        </w:tc>
        <w:tc>
          <w:tcPr>
            <w:tcW w:w="914" w:type="dxa"/>
            <w:tcBorders>
              <w:top w:val="single" w:sz="4" w:space="0" w:color="auto"/>
              <w:left w:val="nil"/>
              <w:bottom w:val="single" w:sz="4" w:space="0" w:color="auto"/>
              <w:right w:val="nil"/>
            </w:tcBorders>
            <w:shd w:val="clear" w:color="auto" w:fill="auto"/>
            <w:vAlign w:val="bottom"/>
            <w:hideMark/>
          </w:tcPr>
          <w:p w:rsidR="00A46DCA" w:rsidRPr="001D4E6F" w:rsidRDefault="00A46DCA">
            <w:pPr>
              <w:cnfStyle w:val="000000000000" w:firstRow="0" w:lastRow="0" w:firstColumn="0" w:lastColumn="0" w:oddVBand="0" w:evenVBand="0" w:oddHBand="0" w:evenHBand="0" w:firstRowFirstColumn="0" w:firstRowLastColumn="0" w:lastRowFirstColumn="0" w:lastRowLastColumn="0"/>
              <w:rPr>
                <w:rFonts w:ascii="Calibri" w:hAnsi="Calibri"/>
                <w:b/>
                <w:bCs/>
                <w:szCs w:val="17"/>
              </w:rPr>
            </w:pPr>
            <w:r w:rsidRPr="001D4E6F">
              <w:rPr>
                <w:rFonts w:ascii="Calibri" w:hAnsi="Calibri"/>
                <w:b/>
                <w:bCs/>
                <w:szCs w:val="17"/>
              </w:rPr>
              <w:t>38.8</w:t>
            </w:r>
          </w:p>
        </w:tc>
        <w:tc>
          <w:tcPr>
            <w:tcW w:w="913" w:type="dxa"/>
            <w:tcBorders>
              <w:top w:val="single" w:sz="4" w:space="0" w:color="auto"/>
              <w:left w:val="nil"/>
              <w:bottom w:val="single" w:sz="4" w:space="0" w:color="auto"/>
              <w:right w:val="nil"/>
            </w:tcBorders>
            <w:shd w:val="clear" w:color="auto" w:fill="auto"/>
            <w:vAlign w:val="bottom"/>
            <w:hideMark/>
          </w:tcPr>
          <w:p w:rsidR="00A46DCA" w:rsidRPr="001D4E6F" w:rsidRDefault="00A46DCA">
            <w:pPr>
              <w:cnfStyle w:val="000000000000" w:firstRow="0" w:lastRow="0" w:firstColumn="0" w:lastColumn="0" w:oddVBand="0" w:evenVBand="0" w:oddHBand="0" w:evenHBand="0" w:firstRowFirstColumn="0" w:firstRowLastColumn="0" w:lastRowFirstColumn="0" w:lastRowLastColumn="0"/>
              <w:rPr>
                <w:rFonts w:ascii="Calibri" w:hAnsi="Calibri"/>
                <w:b/>
                <w:bCs/>
                <w:szCs w:val="17"/>
              </w:rPr>
            </w:pPr>
            <w:r w:rsidRPr="001D4E6F">
              <w:rPr>
                <w:rFonts w:ascii="Calibri" w:hAnsi="Calibri"/>
                <w:b/>
                <w:bCs/>
                <w:szCs w:val="17"/>
              </w:rPr>
              <w:t>135.1</w:t>
            </w:r>
          </w:p>
        </w:tc>
        <w:tc>
          <w:tcPr>
            <w:tcW w:w="914" w:type="dxa"/>
            <w:tcBorders>
              <w:top w:val="single" w:sz="4" w:space="0" w:color="auto"/>
              <w:left w:val="nil"/>
              <w:bottom w:val="single" w:sz="4" w:space="0" w:color="auto"/>
              <w:right w:val="nil"/>
            </w:tcBorders>
            <w:shd w:val="clear" w:color="auto" w:fill="auto"/>
            <w:vAlign w:val="bottom"/>
            <w:hideMark/>
          </w:tcPr>
          <w:p w:rsidR="00A46DCA" w:rsidRPr="001D4E6F" w:rsidRDefault="00A46DCA">
            <w:pPr>
              <w:cnfStyle w:val="000000000000" w:firstRow="0" w:lastRow="0" w:firstColumn="0" w:lastColumn="0" w:oddVBand="0" w:evenVBand="0" w:oddHBand="0" w:evenHBand="0" w:firstRowFirstColumn="0" w:firstRowLastColumn="0" w:lastRowFirstColumn="0" w:lastRowLastColumn="0"/>
              <w:rPr>
                <w:rFonts w:ascii="Calibri" w:hAnsi="Calibri"/>
                <w:b/>
                <w:bCs/>
                <w:szCs w:val="17"/>
              </w:rPr>
            </w:pPr>
            <w:r w:rsidRPr="001D4E6F">
              <w:rPr>
                <w:rFonts w:ascii="Calibri" w:hAnsi="Calibri"/>
                <w:b/>
                <w:bCs/>
                <w:szCs w:val="17"/>
              </w:rPr>
              <w:t>240.1</w:t>
            </w:r>
          </w:p>
        </w:tc>
      </w:tr>
      <w:tr w:rsidR="00A46DCA" w:rsidRPr="000E014A" w:rsidTr="00A26D04">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11" w:type="dxa"/>
            <w:tcBorders>
              <w:top w:val="single" w:sz="4" w:space="0" w:color="auto"/>
              <w:bottom w:val="single" w:sz="12" w:space="0" w:color="auto"/>
            </w:tcBorders>
            <w:shd w:val="clear" w:color="auto" w:fill="auto"/>
            <w:vAlign w:val="center"/>
            <w:hideMark/>
          </w:tcPr>
          <w:p w:rsidR="00A46DCA" w:rsidRPr="000E014A" w:rsidRDefault="00A46DCA" w:rsidP="00A26D04">
            <w:pPr>
              <w:keepLines w:val="0"/>
              <w:ind w:left="0" w:firstLine="0"/>
              <w:rPr>
                <w:rFonts w:eastAsia="Times New Roman" w:cs="Times New Roman"/>
                <w:b w:val="0"/>
                <w:bCs/>
                <w:color w:val="000000"/>
                <w:szCs w:val="14"/>
                <w:lang w:eastAsia="en-AU"/>
              </w:rPr>
            </w:pPr>
            <w:r w:rsidRPr="000E014A">
              <w:rPr>
                <w:rFonts w:eastAsia="Times New Roman" w:cs="Times New Roman"/>
                <w:bCs/>
                <w:color w:val="000000"/>
                <w:szCs w:val="14"/>
                <w:lang w:eastAsia="en-AU"/>
              </w:rPr>
              <w:t>Net debt (cumulative)</w:t>
            </w:r>
          </w:p>
        </w:tc>
        <w:tc>
          <w:tcPr>
            <w:tcW w:w="913" w:type="dxa"/>
            <w:tcBorders>
              <w:top w:val="single" w:sz="4" w:space="0" w:color="auto"/>
              <w:bottom w:val="single" w:sz="12" w:space="0" w:color="auto"/>
            </w:tcBorders>
            <w:shd w:val="clear" w:color="auto" w:fill="auto"/>
            <w:vAlign w:val="bottom"/>
            <w:hideMark/>
          </w:tcPr>
          <w:p w:rsidR="00A46DCA" w:rsidRPr="001D4E6F" w:rsidRDefault="00A46DCA">
            <w:pPr>
              <w:cnfStyle w:val="010000000000" w:firstRow="0" w:lastRow="1" w:firstColumn="0" w:lastColumn="0" w:oddVBand="0" w:evenVBand="0" w:oddHBand="0" w:evenHBand="0" w:firstRowFirstColumn="0" w:firstRowLastColumn="0" w:lastRowFirstColumn="0" w:lastRowLastColumn="0"/>
              <w:rPr>
                <w:rFonts w:ascii="Calibri" w:hAnsi="Calibri"/>
                <w:bCs/>
                <w:szCs w:val="17"/>
              </w:rPr>
            </w:pPr>
            <w:r w:rsidRPr="001D4E6F">
              <w:rPr>
                <w:rFonts w:ascii="Calibri" w:hAnsi="Calibri"/>
                <w:bCs/>
                <w:szCs w:val="17"/>
              </w:rPr>
              <w:t>(11.2)</w:t>
            </w:r>
          </w:p>
        </w:tc>
        <w:tc>
          <w:tcPr>
            <w:tcW w:w="914" w:type="dxa"/>
            <w:tcBorders>
              <w:top w:val="single" w:sz="4" w:space="0" w:color="auto"/>
              <w:bottom w:val="single" w:sz="12" w:space="0" w:color="auto"/>
            </w:tcBorders>
            <w:shd w:val="clear" w:color="auto" w:fill="auto"/>
            <w:vAlign w:val="bottom"/>
            <w:hideMark/>
          </w:tcPr>
          <w:p w:rsidR="00A46DCA" w:rsidRPr="001D4E6F" w:rsidRDefault="00A46DCA">
            <w:pPr>
              <w:cnfStyle w:val="010000000000" w:firstRow="0" w:lastRow="1" w:firstColumn="0" w:lastColumn="0" w:oddVBand="0" w:evenVBand="0" w:oddHBand="0" w:evenHBand="0" w:firstRowFirstColumn="0" w:firstRowLastColumn="0" w:lastRowFirstColumn="0" w:lastRowLastColumn="0"/>
              <w:rPr>
                <w:rFonts w:ascii="Calibri" w:hAnsi="Calibri"/>
                <w:bCs/>
                <w:szCs w:val="17"/>
              </w:rPr>
            </w:pPr>
            <w:r w:rsidRPr="001D4E6F">
              <w:rPr>
                <w:rFonts w:ascii="Calibri" w:hAnsi="Calibri"/>
                <w:bCs/>
                <w:szCs w:val="17"/>
              </w:rPr>
              <w:t>(51.7)</w:t>
            </w:r>
          </w:p>
        </w:tc>
        <w:tc>
          <w:tcPr>
            <w:tcW w:w="913" w:type="dxa"/>
            <w:tcBorders>
              <w:top w:val="single" w:sz="4" w:space="0" w:color="auto"/>
              <w:bottom w:val="single" w:sz="12" w:space="0" w:color="auto"/>
            </w:tcBorders>
            <w:shd w:val="clear" w:color="auto" w:fill="auto"/>
            <w:vAlign w:val="bottom"/>
            <w:hideMark/>
          </w:tcPr>
          <w:p w:rsidR="00A46DCA" w:rsidRPr="001D4E6F" w:rsidRDefault="00A46DCA">
            <w:pPr>
              <w:cnfStyle w:val="010000000000" w:firstRow="0" w:lastRow="1" w:firstColumn="0" w:lastColumn="0" w:oddVBand="0" w:evenVBand="0" w:oddHBand="0" w:evenHBand="0" w:firstRowFirstColumn="0" w:firstRowLastColumn="0" w:lastRowFirstColumn="0" w:lastRowLastColumn="0"/>
              <w:rPr>
                <w:rFonts w:ascii="Calibri" w:hAnsi="Calibri"/>
                <w:bCs/>
                <w:szCs w:val="17"/>
              </w:rPr>
            </w:pPr>
            <w:r w:rsidRPr="001D4E6F">
              <w:rPr>
                <w:rFonts w:ascii="Calibri" w:hAnsi="Calibri"/>
                <w:bCs/>
                <w:szCs w:val="17"/>
              </w:rPr>
              <w:t>(191.3)</w:t>
            </w:r>
          </w:p>
        </w:tc>
        <w:tc>
          <w:tcPr>
            <w:tcW w:w="914" w:type="dxa"/>
            <w:tcBorders>
              <w:top w:val="single" w:sz="4" w:space="0" w:color="auto"/>
              <w:bottom w:val="single" w:sz="12" w:space="0" w:color="auto"/>
            </w:tcBorders>
            <w:shd w:val="clear" w:color="auto" w:fill="auto"/>
            <w:vAlign w:val="bottom"/>
            <w:hideMark/>
          </w:tcPr>
          <w:p w:rsidR="00A46DCA" w:rsidRPr="001D4E6F" w:rsidRDefault="00A46DCA">
            <w:pPr>
              <w:cnfStyle w:val="010000000000" w:firstRow="0" w:lastRow="1" w:firstColumn="0" w:lastColumn="0" w:oddVBand="0" w:evenVBand="0" w:oddHBand="0" w:evenHBand="0" w:firstRowFirstColumn="0" w:firstRowLastColumn="0" w:lastRowFirstColumn="0" w:lastRowLastColumn="0"/>
              <w:rPr>
                <w:rFonts w:ascii="Calibri" w:hAnsi="Calibri"/>
                <w:bCs/>
                <w:szCs w:val="17"/>
              </w:rPr>
            </w:pPr>
            <w:r w:rsidRPr="001D4E6F">
              <w:rPr>
                <w:rFonts w:ascii="Calibri" w:hAnsi="Calibri"/>
                <w:bCs/>
                <w:szCs w:val="17"/>
              </w:rPr>
              <w:t>(440.2)</w:t>
            </w:r>
          </w:p>
        </w:tc>
      </w:tr>
    </w:tbl>
    <w:p w:rsidR="00A46DCA" w:rsidRPr="00442C0B" w:rsidRDefault="00A46DCA" w:rsidP="00A26D04">
      <w:pPr>
        <w:pStyle w:val="Source"/>
      </w:pPr>
      <w:r w:rsidRPr="00442C0B">
        <w:t xml:space="preserve">Source: Department of Treasury and Finance </w:t>
      </w:r>
    </w:p>
    <w:p w:rsidR="00A46DCA" w:rsidRPr="00442C0B" w:rsidRDefault="00A46DCA" w:rsidP="00A26D04">
      <w:pPr>
        <w:rPr>
          <w:rFonts w:ascii="Garamond" w:eastAsia="Garamond" w:hAnsi="Garamond" w:cs="Times New Roman"/>
        </w:rPr>
      </w:pPr>
    </w:p>
    <w:p w:rsidR="00A46DCA" w:rsidRPr="00442C0B" w:rsidRDefault="00A46DCA" w:rsidP="00A26D04">
      <w:pPr>
        <w:pStyle w:val="Heading20"/>
        <w:rPr>
          <w:rFonts w:eastAsia="Times New Roman"/>
        </w:rPr>
      </w:pPr>
      <w:r>
        <w:rPr>
          <w:rFonts w:eastAsia="Times New Roman"/>
        </w:rPr>
        <w:lastRenderedPageBreak/>
        <w:t>Impact of higher</w:t>
      </w:r>
      <w:r w:rsidRPr="00442C0B">
        <w:rPr>
          <w:rFonts w:eastAsia="Times New Roman"/>
        </w:rPr>
        <w:t xml:space="preserve"> population </w:t>
      </w:r>
      <w:r>
        <w:rPr>
          <w:rFonts w:eastAsia="Times New Roman"/>
        </w:rPr>
        <w:t xml:space="preserve">growth </w:t>
      </w:r>
      <w:r w:rsidRPr="00442C0B">
        <w:rPr>
          <w:rFonts w:eastAsia="Times New Roman"/>
        </w:rPr>
        <w:t xml:space="preserve">and </w:t>
      </w:r>
      <w:r>
        <w:rPr>
          <w:rFonts w:eastAsia="Times New Roman"/>
        </w:rPr>
        <w:t xml:space="preserve">an increase in the </w:t>
      </w:r>
      <w:r w:rsidRPr="00442C0B">
        <w:rPr>
          <w:rFonts w:eastAsia="Times New Roman"/>
        </w:rPr>
        <w:t xml:space="preserve">participation rate </w:t>
      </w:r>
    </w:p>
    <w:p w:rsidR="00A46DCA" w:rsidRPr="00442C0B" w:rsidRDefault="00A46DCA" w:rsidP="00A26D04">
      <w:pPr>
        <w:rPr>
          <w:rFonts w:ascii="Garamond" w:eastAsia="Garamond" w:hAnsi="Garamond" w:cs="Times New Roman"/>
        </w:rPr>
      </w:pPr>
      <w:r w:rsidRPr="00442C0B">
        <w:rPr>
          <w:rFonts w:ascii="Garamond" w:eastAsia="Garamond" w:hAnsi="Garamond" w:cs="Times New Roman"/>
        </w:rPr>
        <w:t>As well as a strong rate of population growth, Victoria has also experienced high rates of labour force participation. An upside risk to the budget is for labour force participation to be even higher over the forecast horizon. Under</w:t>
      </w:r>
      <w:r>
        <w:rPr>
          <w:rFonts w:ascii="Garamond" w:eastAsia="Garamond" w:hAnsi="Garamond" w:cs="Times New Roman"/>
        </w:rPr>
        <w:t xml:space="preserve"> </w:t>
      </w:r>
      <w:r w:rsidRPr="00442C0B">
        <w:rPr>
          <w:rFonts w:ascii="Garamond" w:eastAsia="Garamond" w:hAnsi="Garamond" w:cs="Times New Roman"/>
        </w:rPr>
        <w:t>this scenario, both high population growth and a high labour force participation rate are assumed</w:t>
      </w:r>
      <w:r>
        <w:rPr>
          <w:rFonts w:ascii="Garamond" w:eastAsia="Garamond" w:hAnsi="Garamond" w:cs="Times New Roman"/>
        </w:rPr>
        <w:t>.</w:t>
      </w:r>
      <w:r w:rsidRPr="00442C0B">
        <w:rPr>
          <w:rFonts w:ascii="Garamond" w:eastAsia="Garamond" w:hAnsi="Garamond" w:cs="Times New Roman"/>
          <w:vertAlign w:val="superscript"/>
        </w:rPr>
        <w:footnoteReference w:id="6"/>
      </w:r>
      <w:r w:rsidRPr="00442C0B">
        <w:rPr>
          <w:rFonts w:ascii="Garamond" w:eastAsia="Garamond" w:hAnsi="Garamond" w:cs="Times New Roman"/>
        </w:rPr>
        <w:t xml:space="preserve"> </w:t>
      </w:r>
    </w:p>
    <w:p w:rsidR="00A46DCA" w:rsidRPr="00442C0B" w:rsidRDefault="00A46DCA" w:rsidP="00A26D04">
      <w:pPr>
        <w:ind w:right="-86"/>
      </w:pPr>
      <w:r>
        <w:t>Table D.6 presents t</w:t>
      </w:r>
      <w:r w:rsidRPr="00442C0B">
        <w:t>he overall economic effects. The results are similar to those in the high population growth only scenario. However, the magnitudes of the impacts are more pronounced in this scenario. In particular, employment growth effects are larger than in the high population growth only scenario, reflecting a greater increase in the size of the workforce. Higher labour force participation has the effect of lowering wage pressures. This stimulates firms</w:t>
      </w:r>
      <w:r>
        <w:t>’</w:t>
      </w:r>
      <w:r w:rsidRPr="00442C0B">
        <w:t xml:space="preserve"> demand for labour on average, and capital also becomes more productive. Overall, there is a larger pick up in private investment, and a more pronounced rise in consumption growth. Together these underpin a larger acceleration in GSP.</w:t>
      </w:r>
    </w:p>
    <w:p w:rsidR="00A46DCA" w:rsidRPr="00442C0B" w:rsidRDefault="00A46DCA" w:rsidP="00A26D04">
      <w:pPr>
        <w:keepNext/>
        <w:tabs>
          <w:tab w:val="left" w:pos="1134"/>
          <w:tab w:val="right" w:pos="7710"/>
        </w:tabs>
        <w:spacing w:before="240" w:after="60"/>
        <w:ind w:left="1134" w:hanging="1134"/>
        <w:rPr>
          <w:rFonts w:ascii="Calibri" w:eastAsia="Garamond" w:hAnsi="Calibri" w:cs="Times New Roman"/>
          <w:i/>
          <w:spacing w:val="-2"/>
          <w:sz w:val="14"/>
        </w:rPr>
      </w:pPr>
      <w:r w:rsidRPr="00442C0B">
        <w:rPr>
          <w:rFonts w:ascii="Calibri" w:eastAsia="Garamond" w:hAnsi="Calibri" w:cs="Times New Roman"/>
          <w:b/>
          <w:sz w:val="20"/>
          <w:szCs w:val="20"/>
        </w:rPr>
        <w:t>Table D.6:</w:t>
      </w:r>
      <w:r w:rsidRPr="00442C0B">
        <w:rPr>
          <w:rFonts w:ascii="Calibri" w:eastAsia="Garamond" w:hAnsi="Calibri" w:cs="Times New Roman"/>
          <w:b/>
          <w:sz w:val="20"/>
          <w:szCs w:val="20"/>
        </w:rPr>
        <w:tab/>
        <w:t>Economic impact of higher population and participation rate</w:t>
      </w:r>
      <w:r>
        <w:rPr>
          <w:rFonts w:ascii="Calibri" w:eastAsia="Garamond" w:hAnsi="Calibri" w:cs="Times New Roman"/>
          <w:b/>
          <w:sz w:val="20"/>
          <w:szCs w:val="20"/>
        </w:rPr>
        <w:t xml:space="preserve"> </w:t>
      </w:r>
      <w:r w:rsidRPr="009D5EF6">
        <w:rPr>
          <w:rFonts w:ascii="Calibri" w:eastAsia="Garamond" w:hAnsi="Calibri" w:cs="Times New Roman"/>
          <w:b/>
          <w:sz w:val="20"/>
          <w:szCs w:val="20"/>
          <w:vertAlign w:val="superscript"/>
        </w:rPr>
        <w:t>(a)</w:t>
      </w:r>
      <w:r w:rsidRPr="00442C0B">
        <w:rPr>
          <w:rFonts w:ascii="Calibri" w:eastAsia="Garamond" w:hAnsi="Calibri" w:cs="Times New Roman"/>
          <w:b/>
          <w:sz w:val="20"/>
          <w:szCs w:val="20"/>
        </w:rPr>
        <w:tab/>
        <w:t>(per cent)</w:t>
      </w:r>
    </w:p>
    <w:tbl>
      <w:tblPr>
        <w:tblStyle w:val="DTFTable"/>
        <w:tblW w:w="7767" w:type="dxa"/>
        <w:tblInd w:w="45" w:type="dxa"/>
        <w:tblLayout w:type="fixed"/>
        <w:tblCellMar>
          <w:left w:w="45" w:type="dxa"/>
          <w:right w:w="45" w:type="dxa"/>
        </w:tblCellMar>
        <w:tblLook w:val="06A0" w:firstRow="1" w:lastRow="0" w:firstColumn="1" w:lastColumn="0" w:noHBand="1" w:noVBand="1"/>
      </w:tblPr>
      <w:tblGrid>
        <w:gridCol w:w="4111"/>
        <w:gridCol w:w="914"/>
        <w:gridCol w:w="914"/>
        <w:gridCol w:w="914"/>
        <w:gridCol w:w="914"/>
      </w:tblGrid>
      <w:tr w:rsidR="00A26D04" w:rsidRPr="004D4939" w:rsidTr="007A7C8C">
        <w:trPr>
          <w:cnfStyle w:val="100000000000" w:firstRow="1" w:lastRow="0" w:firstColumn="0" w:lastColumn="0" w:oddVBand="0" w:evenVBand="0" w:oddHBand="0" w:evenHBand="0" w:firstRowFirstColumn="0" w:firstRowLastColumn="0" w:lastRowFirstColumn="0" w:lastRowLastColumn="0"/>
          <w:trHeight w:val="66"/>
          <w:tblHeader/>
        </w:trPr>
        <w:tc>
          <w:tcPr>
            <w:cnfStyle w:val="001000000000" w:firstRow="0" w:lastRow="0" w:firstColumn="1" w:lastColumn="0" w:oddVBand="0" w:evenVBand="0" w:oddHBand="0" w:evenHBand="0" w:firstRowFirstColumn="0" w:firstRowLastColumn="0" w:lastRowFirstColumn="0" w:lastRowLastColumn="0"/>
            <w:tcW w:w="4111" w:type="dxa"/>
            <w:tcBorders>
              <w:top w:val="nil"/>
              <w:left w:val="nil"/>
              <w:right w:val="nil"/>
            </w:tcBorders>
            <w:shd w:val="clear" w:color="000000" w:fill="000000"/>
            <w:vAlign w:val="center"/>
            <w:hideMark/>
          </w:tcPr>
          <w:p w:rsidR="00A26D04" w:rsidRPr="004D4939" w:rsidRDefault="00A26D04" w:rsidP="007A7C8C">
            <w:pPr>
              <w:rPr>
                <w:i w:val="0"/>
                <w:lang w:eastAsia="en-AU"/>
              </w:rPr>
            </w:pPr>
            <w:r w:rsidRPr="004D4939">
              <w:rPr>
                <w:lang w:eastAsia="en-AU"/>
              </w:rPr>
              <w:t> </w:t>
            </w:r>
          </w:p>
        </w:tc>
        <w:tc>
          <w:tcPr>
            <w:tcW w:w="914" w:type="dxa"/>
            <w:tcBorders>
              <w:top w:val="nil"/>
              <w:left w:val="nil"/>
              <w:right w:val="nil"/>
            </w:tcBorders>
            <w:shd w:val="clear" w:color="000000" w:fill="000000"/>
            <w:vAlign w:val="center"/>
            <w:hideMark/>
          </w:tcPr>
          <w:p w:rsidR="00A26D04" w:rsidRPr="004D4939" w:rsidRDefault="00A26D04" w:rsidP="00A26D04">
            <w:pPr>
              <w:keepLines w:val="0"/>
              <w:ind w:firstLineChars="100" w:firstLine="170"/>
              <w:cnfStyle w:val="100000000000" w:firstRow="1" w:lastRow="0" w:firstColumn="0" w:lastColumn="0" w:oddVBand="0" w:evenVBand="0" w:oddHBand="0" w:evenHBand="0" w:firstRowFirstColumn="0" w:firstRowLastColumn="0" w:lastRowFirstColumn="0" w:lastRowLastColumn="0"/>
              <w:rPr>
                <w:rFonts w:eastAsia="Times New Roman" w:cs="Times New Roman"/>
                <w:iCs/>
                <w:color w:val="FFFFFF"/>
                <w:szCs w:val="14"/>
                <w:lang w:eastAsia="en-AU"/>
              </w:rPr>
            </w:pPr>
            <w:r w:rsidRPr="004D4939">
              <w:rPr>
                <w:rFonts w:eastAsia="Times New Roman" w:cs="Times New Roman"/>
                <w:iCs/>
                <w:color w:val="FFFFFF"/>
                <w:szCs w:val="14"/>
                <w:lang w:eastAsia="en-AU"/>
              </w:rPr>
              <w:t xml:space="preserve">2017-18 </w:t>
            </w:r>
            <w:r>
              <w:rPr>
                <w:rFonts w:eastAsia="Times New Roman" w:cs="Times New Roman"/>
                <w:iCs/>
                <w:color w:val="FFFFFF"/>
                <w:szCs w:val="14"/>
                <w:lang w:eastAsia="en-AU"/>
              </w:rPr>
              <w:br/>
            </w:r>
            <w:r w:rsidRPr="004D4939">
              <w:rPr>
                <w:rFonts w:eastAsia="Times New Roman" w:cs="Times New Roman"/>
                <w:iCs/>
                <w:color w:val="FFFFFF"/>
                <w:szCs w:val="14"/>
                <w:lang w:eastAsia="en-AU"/>
              </w:rPr>
              <w:t>estimate</w:t>
            </w:r>
          </w:p>
        </w:tc>
        <w:tc>
          <w:tcPr>
            <w:tcW w:w="914" w:type="dxa"/>
            <w:tcBorders>
              <w:top w:val="nil"/>
              <w:left w:val="nil"/>
              <w:right w:val="nil"/>
            </w:tcBorders>
            <w:shd w:val="clear" w:color="000000" w:fill="000000"/>
            <w:vAlign w:val="center"/>
            <w:hideMark/>
          </w:tcPr>
          <w:p w:rsidR="00A26D04" w:rsidRPr="004D4939" w:rsidRDefault="00A26D04" w:rsidP="00A26D04">
            <w:pPr>
              <w:keepLines w:val="0"/>
              <w:cnfStyle w:val="100000000000" w:firstRow="1" w:lastRow="0" w:firstColumn="0" w:lastColumn="0" w:oddVBand="0" w:evenVBand="0" w:oddHBand="0" w:evenHBand="0" w:firstRowFirstColumn="0" w:firstRowLastColumn="0" w:lastRowFirstColumn="0" w:lastRowLastColumn="0"/>
              <w:rPr>
                <w:rFonts w:eastAsia="Times New Roman" w:cs="Times New Roman"/>
                <w:iCs/>
                <w:color w:val="FFFFFF"/>
                <w:szCs w:val="14"/>
                <w:lang w:eastAsia="en-AU"/>
              </w:rPr>
            </w:pPr>
            <w:r w:rsidRPr="004D4939">
              <w:rPr>
                <w:rFonts w:eastAsia="Times New Roman" w:cs="Times New Roman"/>
                <w:iCs/>
                <w:color w:val="FFFFFF"/>
                <w:szCs w:val="14"/>
                <w:lang w:eastAsia="en-AU"/>
              </w:rPr>
              <w:t xml:space="preserve">2018-19 </w:t>
            </w:r>
            <w:r>
              <w:rPr>
                <w:rFonts w:eastAsia="Times New Roman" w:cs="Times New Roman"/>
                <w:iCs/>
                <w:color w:val="FFFFFF"/>
                <w:szCs w:val="14"/>
                <w:lang w:eastAsia="en-AU"/>
              </w:rPr>
              <w:br/>
            </w:r>
            <w:r w:rsidRPr="004D4939">
              <w:rPr>
                <w:rFonts w:eastAsia="Times New Roman" w:cs="Times New Roman"/>
                <w:iCs/>
                <w:color w:val="FFFFFF"/>
                <w:szCs w:val="14"/>
                <w:lang w:eastAsia="en-AU"/>
              </w:rPr>
              <w:t>estimate</w:t>
            </w:r>
          </w:p>
        </w:tc>
        <w:tc>
          <w:tcPr>
            <w:tcW w:w="914" w:type="dxa"/>
            <w:tcBorders>
              <w:top w:val="nil"/>
              <w:left w:val="nil"/>
              <w:right w:val="nil"/>
            </w:tcBorders>
            <w:shd w:val="clear" w:color="000000" w:fill="000000"/>
            <w:vAlign w:val="center"/>
            <w:hideMark/>
          </w:tcPr>
          <w:p w:rsidR="00A26D04" w:rsidRPr="004D4939" w:rsidRDefault="00A26D04" w:rsidP="00A26D04">
            <w:pPr>
              <w:keepLines w:val="0"/>
              <w:ind w:firstLineChars="100" w:firstLine="170"/>
              <w:cnfStyle w:val="100000000000" w:firstRow="1" w:lastRow="0" w:firstColumn="0" w:lastColumn="0" w:oddVBand="0" w:evenVBand="0" w:oddHBand="0" w:evenHBand="0" w:firstRowFirstColumn="0" w:firstRowLastColumn="0" w:lastRowFirstColumn="0" w:lastRowLastColumn="0"/>
              <w:rPr>
                <w:rFonts w:eastAsia="Times New Roman" w:cs="Times New Roman"/>
                <w:iCs/>
                <w:color w:val="FFFFFF"/>
                <w:szCs w:val="14"/>
                <w:lang w:eastAsia="en-AU"/>
              </w:rPr>
            </w:pPr>
            <w:r w:rsidRPr="004D4939">
              <w:rPr>
                <w:rFonts w:eastAsia="Times New Roman" w:cs="Times New Roman"/>
                <w:iCs/>
                <w:color w:val="FFFFFF"/>
                <w:szCs w:val="14"/>
                <w:lang w:eastAsia="en-AU"/>
              </w:rPr>
              <w:t xml:space="preserve">2019-20 </w:t>
            </w:r>
            <w:r>
              <w:rPr>
                <w:rFonts w:eastAsia="Times New Roman" w:cs="Times New Roman"/>
                <w:iCs/>
                <w:color w:val="FFFFFF"/>
                <w:szCs w:val="14"/>
                <w:lang w:eastAsia="en-AU"/>
              </w:rPr>
              <w:br/>
            </w:r>
            <w:r w:rsidRPr="004D4939">
              <w:rPr>
                <w:rFonts w:eastAsia="Times New Roman" w:cs="Times New Roman"/>
                <w:iCs/>
                <w:color w:val="FFFFFF"/>
                <w:szCs w:val="14"/>
                <w:lang w:eastAsia="en-AU"/>
              </w:rPr>
              <w:t>estimate</w:t>
            </w:r>
          </w:p>
        </w:tc>
        <w:tc>
          <w:tcPr>
            <w:tcW w:w="914" w:type="dxa"/>
            <w:tcBorders>
              <w:top w:val="nil"/>
              <w:left w:val="nil"/>
              <w:right w:val="nil"/>
            </w:tcBorders>
            <w:shd w:val="clear" w:color="000000" w:fill="000000"/>
            <w:vAlign w:val="center"/>
            <w:hideMark/>
          </w:tcPr>
          <w:p w:rsidR="00A26D04" w:rsidRPr="004D4939" w:rsidRDefault="00A26D04" w:rsidP="00A26D04">
            <w:pPr>
              <w:keepLines w:val="0"/>
              <w:ind w:firstLineChars="100" w:firstLine="170"/>
              <w:cnfStyle w:val="100000000000" w:firstRow="1" w:lastRow="0" w:firstColumn="0" w:lastColumn="0" w:oddVBand="0" w:evenVBand="0" w:oddHBand="0" w:evenHBand="0" w:firstRowFirstColumn="0" w:firstRowLastColumn="0" w:lastRowFirstColumn="0" w:lastRowLastColumn="0"/>
              <w:rPr>
                <w:rFonts w:eastAsia="Times New Roman" w:cs="Times New Roman"/>
                <w:iCs/>
                <w:color w:val="FFFFFF"/>
                <w:szCs w:val="14"/>
                <w:lang w:eastAsia="en-AU"/>
              </w:rPr>
            </w:pPr>
            <w:r w:rsidRPr="004D4939">
              <w:rPr>
                <w:rFonts w:eastAsia="Times New Roman" w:cs="Times New Roman"/>
                <w:iCs/>
                <w:color w:val="FFFFFF"/>
                <w:szCs w:val="14"/>
                <w:lang w:eastAsia="en-AU"/>
              </w:rPr>
              <w:t xml:space="preserve">2020-21 </w:t>
            </w:r>
            <w:r>
              <w:rPr>
                <w:rFonts w:eastAsia="Times New Roman" w:cs="Times New Roman"/>
                <w:iCs/>
                <w:color w:val="FFFFFF"/>
                <w:szCs w:val="14"/>
                <w:lang w:eastAsia="en-AU"/>
              </w:rPr>
              <w:br/>
            </w:r>
            <w:r w:rsidRPr="004D4939">
              <w:rPr>
                <w:rFonts w:eastAsia="Times New Roman" w:cs="Times New Roman"/>
                <w:iCs/>
                <w:color w:val="FFFFFF"/>
                <w:szCs w:val="14"/>
                <w:lang w:eastAsia="en-AU"/>
              </w:rPr>
              <w:t>estimate</w:t>
            </w:r>
          </w:p>
        </w:tc>
      </w:tr>
      <w:tr w:rsidR="00A46DCA" w:rsidRPr="004D4939" w:rsidTr="00A26D04">
        <w:tc>
          <w:tcPr>
            <w:cnfStyle w:val="001000000000" w:firstRow="0" w:lastRow="0" w:firstColumn="1" w:lastColumn="0" w:oddVBand="0" w:evenVBand="0" w:oddHBand="0" w:evenHBand="0" w:firstRowFirstColumn="0" w:firstRowLastColumn="0" w:lastRowFirstColumn="0" w:lastRowLastColumn="0"/>
            <w:tcW w:w="4111" w:type="dxa"/>
            <w:tcBorders>
              <w:top w:val="nil"/>
              <w:left w:val="nil"/>
              <w:bottom w:val="nil"/>
              <w:right w:val="nil"/>
            </w:tcBorders>
            <w:shd w:val="clear" w:color="auto" w:fill="auto"/>
            <w:vAlign w:val="center"/>
            <w:hideMark/>
          </w:tcPr>
          <w:p w:rsidR="00A46DCA" w:rsidRPr="004D4939" w:rsidRDefault="00A46DCA" w:rsidP="00A26D04">
            <w:pPr>
              <w:keepLines w:val="0"/>
              <w:ind w:left="0" w:firstLine="0"/>
              <w:rPr>
                <w:rFonts w:eastAsia="Times New Roman" w:cs="Times New Roman"/>
                <w:color w:val="000000"/>
                <w:szCs w:val="14"/>
                <w:lang w:eastAsia="en-AU"/>
              </w:rPr>
            </w:pPr>
            <w:r w:rsidRPr="004D4939">
              <w:rPr>
                <w:rFonts w:eastAsia="Times New Roman" w:cs="Times New Roman"/>
                <w:color w:val="000000"/>
                <w:szCs w:val="14"/>
                <w:lang w:eastAsia="en-AU"/>
              </w:rPr>
              <w:t>Real GSP</w:t>
            </w:r>
          </w:p>
        </w:tc>
        <w:tc>
          <w:tcPr>
            <w:tcW w:w="914" w:type="dxa"/>
            <w:tcBorders>
              <w:top w:val="nil"/>
              <w:left w:val="nil"/>
              <w:bottom w:val="nil"/>
              <w:right w:val="nil"/>
            </w:tcBorders>
            <w:shd w:val="clear" w:color="auto" w:fill="auto"/>
            <w:vAlign w:val="center"/>
            <w:hideMark/>
          </w:tcPr>
          <w:p w:rsidR="00A46DCA" w:rsidRPr="004D4939" w:rsidRDefault="00A46DCA" w:rsidP="00A26D04">
            <w:pPr>
              <w:keepLines w:val="0"/>
              <w:ind w:firstLineChars="100" w:firstLine="17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14"/>
                <w:lang w:eastAsia="en-AU"/>
              </w:rPr>
            </w:pPr>
            <w:r w:rsidRPr="004D4939">
              <w:rPr>
                <w:rFonts w:eastAsia="Times New Roman" w:cs="Times New Roman"/>
                <w:color w:val="000000"/>
                <w:szCs w:val="14"/>
                <w:lang w:eastAsia="en-AU"/>
              </w:rPr>
              <w:t>0.13</w:t>
            </w:r>
          </w:p>
        </w:tc>
        <w:tc>
          <w:tcPr>
            <w:tcW w:w="914" w:type="dxa"/>
            <w:tcBorders>
              <w:top w:val="nil"/>
              <w:left w:val="nil"/>
              <w:bottom w:val="nil"/>
              <w:right w:val="nil"/>
            </w:tcBorders>
            <w:shd w:val="clear" w:color="auto" w:fill="auto"/>
            <w:vAlign w:val="center"/>
            <w:hideMark/>
          </w:tcPr>
          <w:p w:rsidR="00A46DCA" w:rsidRPr="004D4939" w:rsidRDefault="00A46DCA" w:rsidP="00A26D04">
            <w:pPr>
              <w:keepLines w:val="0"/>
              <w:ind w:firstLineChars="100" w:firstLine="17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14"/>
                <w:lang w:eastAsia="en-AU"/>
              </w:rPr>
            </w:pPr>
            <w:r w:rsidRPr="004D4939">
              <w:rPr>
                <w:rFonts w:eastAsia="Times New Roman" w:cs="Times New Roman"/>
                <w:color w:val="000000"/>
                <w:szCs w:val="14"/>
                <w:lang w:eastAsia="en-AU"/>
              </w:rPr>
              <w:t>0.43</w:t>
            </w:r>
          </w:p>
        </w:tc>
        <w:tc>
          <w:tcPr>
            <w:tcW w:w="914" w:type="dxa"/>
            <w:tcBorders>
              <w:top w:val="nil"/>
              <w:left w:val="nil"/>
              <w:bottom w:val="nil"/>
              <w:right w:val="nil"/>
            </w:tcBorders>
            <w:shd w:val="clear" w:color="auto" w:fill="auto"/>
            <w:vAlign w:val="center"/>
            <w:hideMark/>
          </w:tcPr>
          <w:p w:rsidR="00A46DCA" w:rsidRPr="004D4939" w:rsidRDefault="00A46DCA" w:rsidP="00A26D04">
            <w:pPr>
              <w:keepLines w:val="0"/>
              <w:ind w:firstLineChars="100" w:firstLine="17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14"/>
                <w:lang w:eastAsia="en-AU"/>
              </w:rPr>
            </w:pPr>
            <w:r w:rsidRPr="004D4939">
              <w:rPr>
                <w:rFonts w:eastAsia="Times New Roman" w:cs="Times New Roman"/>
                <w:color w:val="000000"/>
                <w:szCs w:val="14"/>
                <w:lang w:eastAsia="en-AU"/>
              </w:rPr>
              <w:t>0.87</w:t>
            </w:r>
          </w:p>
        </w:tc>
        <w:tc>
          <w:tcPr>
            <w:tcW w:w="914" w:type="dxa"/>
            <w:tcBorders>
              <w:top w:val="nil"/>
              <w:left w:val="nil"/>
              <w:bottom w:val="nil"/>
              <w:right w:val="nil"/>
            </w:tcBorders>
            <w:shd w:val="clear" w:color="auto" w:fill="auto"/>
            <w:vAlign w:val="center"/>
            <w:hideMark/>
          </w:tcPr>
          <w:p w:rsidR="00A46DCA" w:rsidRPr="004D4939" w:rsidRDefault="00A46DCA" w:rsidP="00A26D04">
            <w:pPr>
              <w:keepLines w:val="0"/>
              <w:ind w:firstLineChars="100" w:firstLine="17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14"/>
                <w:lang w:eastAsia="en-AU"/>
              </w:rPr>
            </w:pPr>
            <w:r w:rsidRPr="004D4939">
              <w:rPr>
                <w:rFonts w:eastAsia="Times New Roman" w:cs="Times New Roman"/>
                <w:color w:val="000000"/>
                <w:szCs w:val="14"/>
                <w:lang w:eastAsia="en-AU"/>
              </w:rPr>
              <w:t>1.39</w:t>
            </w:r>
          </w:p>
        </w:tc>
      </w:tr>
      <w:tr w:rsidR="00A46DCA" w:rsidRPr="004D4939" w:rsidTr="00A26D04">
        <w:tc>
          <w:tcPr>
            <w:cnfStyle w:val="001000000000" w:firstRow="0" w:lastRow="0" w:firstColumn="1" w:lastColumn="0" w:oddVBand="0" w:evenVBand="0" w:oddHBand="0" w:evenHBand="0" w:firstRowFirstColumn="0" w:firstRowLastColumn="0" w:lastRowFirstColumn="0" w:lastRowLastColumn="0"/>
            <w:tcW w:w="4111" w:type="dxa"/>
            <w:tcBorders>
              <w:top w:val="nil"/>
              <w:left w:val="nil"/>
              <w:bottom w:val="nil"/>
              <w:right w:val="nil"/>
            </w:tcBorders>
            <w:shd w:val="clear" w:color="auto" w:fill="auto"/>
            <w:vAlign w:val="center"/>
            <w:hideMark/>
          </w:tcPr>
          <w:p w:rsidR="00A46DCA" w:rsidRPr="004D4939" w:rsidRDefault="00A46DCA" w:rsidP="00A26D04">
            <w:pPr>
              <w:keepLines w:val="0"/>
              <w:ind w:left="0" w:firstLine="0"/>
              <w:rPr>
                <w:rFonts w:eastAsia="Times New Roman" w:cs="Times New Roman"/>
                <w:color w:val="000000"/>
                <w:szCs w:val="14"/>
                <w:lang w:eastAsia="en-AU"/>
              </w:rPr>
            </w:pPr>
            <w:r w:rsidRPr="004D4939">
              <w:rPr>
                <w:rFonts w:eastAsia="Times New Roman" w:cs="Times New Roman"/>
                <w:color w:val="000000"/>
                <w:szCs w:val="14"/>
                <w:lang w:eastAsia="en-AU"/>
              </w:rPr>
              <w:t>Employment</w:t>
            </w:r>
          </w:p>
        </w:tc>
        <w:tc>
          <w:tcPr>
            <w:tcW w:w="914" w:type="dxa"/>
            <w:tcBorders>
              <w:top w:val="nil"/>
              <w:left w:val="nil"/>
              <w:bottom w:val="nil"/>
              <w:right w:val="nil"/>
            </w:tcBorders>
            <w:shd w:val="clear" w:color="auto" w:fill="auto"/>
            <w:vAlign w:val="center"/>
            <w:hideMark/>
          </w:tcPr>
          <w:p w:rsidR="00A46DCA" w:rsidRPr="004D4939" w:rsidRDefault="00A46DCA" w:rsidP="00A26D04">
            <w:pPr>
              <w:keepLines w:val="0"/>
              <w:ind w:firstLineChars="100" w:firstLine="17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14"/>
                <w:lang w:eastAsia="en-AU"/>
              </w:rPr>
            </w:pPr>
            <w:r w:rsidRPr="004D4939">
              <w:rPr>
                <w:rFonts w:eastAsia="Times New Roman" w:cs="Times New Roman"/>
                <w:color w:val="000000"/>
                <w:szCs w:val="14"/>
                <w:lang w:eastAsia="en-AU"/>
              </w:rPr>
              <w:t>0.20</w:t>
            </w:r>
          </w:p>
        </w:tc>
        <w:tc>
          <w:tcPr>
            <w:tcW w:w="914" w:type="dxa"/>
            <w:tcBorders>
              <w:top w:val="nil"/>
              <w:left w:val="nil"/>
              <w:bottom w:val="nil"/>
              <w:right w:val="nil"/>
            </w:tcBorders>
            <w:shd w:val="clear" w:color="auto" w:fill="auto"/>
            <w:vAlign w:val="center"/>
            <w:hideMark/>
          </w:tcPr>
          <w:p w:rsidR="00A46DCA" w:rsidRPr="004D4939" w:rsidRDefault="00A46DCA" w:rsidP="00A26D04">
            <w:pPr>
              <w:keepLines w:val="0"/>
              <w:ind w:firstLineChars="100" w:firstLine="17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14"/>
                <w:lang w:eastAsia="en-AU"/>
              </w:rPr>
            </w:pPr>
            <w:r w:rsidRPr="004D4939">
              <w:rPr>
                <w:rFonts w:eastAsia="Times New Roman" w:cs="Times New Roman"/>
                <w:color w:val="000000"/>
                <w:szCs w:val="14"/>
                <w:lang w:eastAsia="en-AU"/>
              </w:rPr>
              <w:t>0.65</w:t>
            </w:r>
          </w:p>
        </w:tc>
        <w:tc>
          <w:tcPr>
            <w:tcW w:w="914" w:type="dxa"/>
            <w:tcBorders>
              <w:top w:val="nil"/>
              <w:left w:val="nil"/>
              <w:bottom w:val="nil"/>
              <w:right w:val="nil"/>
            </w:tcBorders>
            <w:shd w:val="clear" w:color="auto" w:fill="auto"/>
            <w:vAlign w:val="center"/>
            <w:hideMark/>
          </w:tcPr>
          <w:p w:rsidR="00A46DCA" w:rsidRPr="004D4939" w:rsidRDefault="00A46DCA" w:rsidP="00A26D04">
            <w:pPr>
              <w:keepLines w:val="0"/>
              <w:ind w:firstLineChars="100" w:firstLine="17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14"/>
                <w:lang w:eastAsia="en-AU"/>
              </w:rPr>
            </w:pPr>
            <w:r w:rsidRPr="004D4939">
              <w:rPr>
                <w:rFonts w:eastAsia="Times New Roman" w:cs="Times New Roman"/>
                <w:color w:val="000000"/>
                <w:szCs w:val="14"/>
                <w:lang w:eastAsia="en-AU"/>
              </w:rPr>
              <w:t>1.30</w:t>
            </w:r>
          </w:p>
        </w:tc>
        <w:tc>
          <w:tcPr>
            <w:tcW w:w="914" w:type="dxa"/>
            <w:tcBorders>
              <w:top w:val="nil"/>
              <w:left w:val="nil"/>
              <w:bottom w:val="nil"/>
              <w:right w:val="nil"/>
            </w:tcBorders>
            <w:shd w:val="clear" w:color="auto" w:fill="auto"/>
            <w:vAlign w:val="center"/>
            <w:hideMark/>
          </w:tcPr>
          <w:p w:rsidR="00A46DCA" w:rsidRPr="004D4939" w:rsidRDefault="00A46DCA" w:rsidP="00A26D04">
            <w:pPr>
              <w:keepLines w:val="0"/>
              <w:ind w:firstLineChars="100" w:firstLine="17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14"/>
                <w:lang w:eastAsia="en-AU"/>
              </w:rPr>
            </w:pPr>
            <w:r w:rsidRPr="004D4939">
              <w:rPr>
                <w:rFonts w:eastAsia="Times New Roman" w:cs="Times New Roman"/>
                <w:color w:val="000000"/>
                <w:szCs w:val="14"/>
                <w:lang w:eastAsia="en-AU"/>
              </w:rPr>
              <w:t>2.02</w:t>
            </w:r>
          </w:p>
        </w:tc>
      </w:tr>
      <w:tr w:rsidR="00A46DCA" w:rsidRPr="004D4939" w:rsidTr="00A26D04">
        <w:tc>
          <w:tcPr>
            <w:cnfStyle w:val="001000000000" w:firstRow="0" w:lastRow="0" w:firstColumn="1" w:lastColumn="0" w:oddVBand="0" w:evenVBand="0" w:oddHBand="0" w:evenHBand="0" w:firstRowFirstColumn="0" w:firstRowLastColumn="0" w:lastRowFirstColumn="0" w:lastRowLastColumn="0"/>
            <w:tcW w:w="4111" w:type="dxa"/>
            <w:tcBorders>
              <w:top w:val="nil"/>
              <w:left w:val="nil"/>
              <w:bottom w:val="nil"/>
              <w:right w:val="nil"/>
            </w:tcBorders>
            <w:shd w:val="clear" w:color="auto" w:fill="auto"/>
            <w:vAlign w:val="center"/>
            <w:hideMark/>
          </w:tcPr>
          <w:p w:rsidR="00A46DCA" w:rsidRPr="004D4939" w:rsidRDefault="00A46DCA" w:rsidP="00A26D04">
            <w:pPr>
              <w:keepLines w:val="0"/>
              <w:ind w:left="0" w:firstLine="0"/>
              <w:rPr>
                <w:rFonts w:eastAsia="Times New Roman" w:cs="Times New Roman"/>
                <w:color w:val="000000"/>
                <w:szCs w:val="14"/>
                <w:lang w:eastAsia="en-AU"/>
              </w:rPr>
            </w:pPr>
            <w:r w:rsidRPr="004D4939">
              <w:rPr>
                <w:rFonts w:eastAsia="Times New Roman" w:cs="Times New Roman"/>
                <w:color w:val="000000"/>
                <w:szCs w:val="14"/>
                <w:lang w:eastAsia="en-AU"/>
              </w:rPr>
              <w:t>Consumer Price Index</w:t>
            </w:r>
          </w:p>
        </w:tc>
        <w:tc>
          <w:tcPr>
            <w:tcW w:w="914" w:type="dxa"/>
            <w:tcBorders>
              <w:top w:val="nil"/>
              <w:left w:val="nil"/>
              <w:bottom w:val="nil"/>
              <w:right w:val="nil"/>
            </w:tcBorders>
            <w:shd w:val="clear" w:color="auto" w:fill="auto"/>
            <w:vAlign w:val="center"/>
            <w:hideMark/>
          </w:tcPr>
          <w:p w:rsidR="00A46DCA" w:rsidRPr="004D4939" w:rsidRDefault="00A46DCA" w:rsidP="00A26D04">
            <w:pPr>
              <w:keepLines w:val="0"/>
              <w:ind w:firstLineChars="100" w:firstLine="17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14"/>
                <w:lang w:eastAsia="en-AU"/>
              </w:rPr>
            </w:pPr>
            <w:r w:rsidRPr="004D4939">
              <w:rPr>
                <w:rFonts w:eastAsia="Times New Roman" w:cs="Times New Roman"/>
                <w:color w:val="000000"/>
                <w:szCs w:val="14"/>
                <w:lang w:eastAsia="en-AU"/>
              </w:rPr>
              <w:t>(0.05)</w:t>
            </w:r>
          </w:p>
        </w:tc>
        <w:tc>
          <w:tcPr>
            <w:tcW w:w="914" w:type="dxa"/>
            <w:tcBorders>
              <w:top w:val="nil"/>
              <w:left w:val="nil"/>
              <w:bottom w:val="nil"/>
              <w:right w:val="nil"/>
            </w:tcBorders>
            <w:shd w:val="clear" w:color="auto" w:fill="auto"/>
            <w:vAlign w:val="center"/>
            <w:hideMark/>
          </w:tcPr>
          <w:p w:rsidR="00A46DCA" w:rsidRPr="004D4939" w:rsidRDefault="00A46DCA" w:rsidP="00A26D04">
            <w:pPr>
              <w:keepLines w:val="0"/>
              <w:ind w:firstLineChars="100" w:firstLine="17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14"/>
                <w:lang w:eastAsia="en-AU"/>
              </w:rPr>
            </w:pPr>
            <w:r w:rsidRPr="004D4939">
              <w:rPr>
                <w:rFonts w:eastAsia="Times New Roman" w:cs="Times New Roman"/>
                <w:color w:val="000000"/>
                <w:szCs w:val="14"/>
                <w:lang w:eastAsia="en-AU"/>
              </w:rPr>
              <w:t>(0.16)</w:t>
            </w:r>
          </w:p>
        </w:tc>
        <w:tc>
          <w:tcPr>
            <w:tcW w:w="914" w:type="dxa"/>
            <w:tcBorders>
              <w:top w:val="nil"/>
              <w:left w:val="nil"/>
              <w:bottom w:val="nil"/>
              <w:right w:val="nil"/>
            </w:tcBorders>
            <w:shd w:val="clear" w:color="auto" w:fill="auto"/>
            <w:vAlign w:val="center"/>
            <w:hideMark/>
          </w:tcPr>
          <w:p w:rsidR="00A46DCA" w:rsidRPr="004D4939" w:rsidRDefault="00A46DCA" w:rsidP="00A26D04">
            <w:pPr>
              <w:keepLines w:val="0"/>
              <w:ind w:firstLineChars="100" w:firstLine="17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14"/>
                <w:lang w:eastAsia="en-AU"/>
              </w:rPr>
            </w:pPr>
            <w:r w:rsidRPr="004D4939">
              <w:rPr>
                <w:rFonts w:eastAsia="Times New Roman" w:cs="Times New Roman"/>
                <w:color w:val="000000"/>
                <w:szCs w:val="14"/>
                <w:lang w:eastAsia="en-AU"/>
              </w:rPr>
              <w:t>(0.31)</w:t>
            </w:r>
          </w:p>
        </w:tc>
        <w:tc>
          <w:tcPr>
            <w:tcW w:w="914" w:type="dxa"/>
            <w:tcBorders>
              <w:top w:val="nil"/>
              <w:left w:val="nil"/>
              <w:bottom w:val="nil"/>
              <w:right w:val="nil"/>
            </w:tcBorders>
            <w:shd w:val="clear" w:color="auto" w:fill="auto"/>
            <w:vAlign w:val="center"/>
            <w:hideMark/>
          </w:tcPr>
          <w:p w:rsidR="00A46DCA" w:rsidRPr="004D4939" w:rsidRDefault="00A46DCA" w:rsidP="00A26D04">
            <w:pPr>
              <w:keepLines w:val="0"/>
              <w:ind w:firstLineChars="100" w:firstLine="17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14"/>
                <w:lang w:eastAsia="en-AU"/>
              </w:rPr>
            </w:pPr>
            <w:r w:rsidRPr="004D4939">
              <w:rPr>
                <w:rFonts w:eastAsia="Times New Roman" w:cs="Times New Roman"/>
                <w:color w:val="000000"/>
                <w:szCs w:val="14"/>
                <w:lang w:eastAsia="en-AU"/>
              </w:rPr>
              <w:t>(0.48)</w:t>
            </w:r>
          </w:p>
        </w:tc>
      </w:tr>
      <w:tr w:rsidR="00A46DCA" w:rsidRPr="004D4939" w:rsidTr="00A26D04">
        <w:tc>
          <w:tcPr>
            <w:cnfStyle w:val="001000000000" w:firstRow="0" w:lastRow="0" w:firstColumn="1" w:lastColumn="0" w:oddVBand="0" w:evenVBand="0" w:oddHBand="0" w:evenHBand="0" w:firstRowFirstColumn="0" w:firstRowLastColumn="0" w:lastRowFirstColumn="0" w:lastRowLastColumn="0"/>
            <w:tcW w:w="4111" w:type="dxa"/>
            <w:tcBorders>
              <w:top w:val="nil"/>
              <w:bottom w:val="single" w:sz="12" w:space="0" w:color="auto"/>
            </w:tcBorders>
            <w:shd w:val="clear" w:color="auto" w:fill="auto"/>
            <w:vAlign w:val="center"/>
            <w:hideMark/>
          </w:tcPr>
          <w:p w:rsidR="00A46DCA" w:rsidRPr="004D4939" w:rsidRDefault="00A46DCA" w:rsidP="00A26D04">
            <w:pPr>
              <w:keepLines w:val="0"/>
              <w:ind w:left="0" w:firstLine="0"/>
              <w:rPr>
                <w:rFonts w:eastAsia="Times New Roman" w:cs="Times New Roman"/>
                <w:color w:val="000000"/>
                <w:szCs w:val="14"/>
                <w:lang w:eastAsia="en-AU"/>
              </w:rPr>
            </w:pPr>
            <w:r w:rsidRPr="004D4939">
              <w:rPr>
                <w:rFonts w:eastAsia="Times New Roman" w:cs="Times New Roman"/>
                <w:color w:val="000000"/>
                <w:szCs w:val="14"/>
                <w:lang w:eastAsia="en-AU"/>
              </w:rPr>
              <w:t>Wage Price Index</w:t>
            </w:r>
          </w:p>
        </w:tc>
        <w:tc>
          <w:tcPr>
            <w:tcW w:w="914" w:type="dxa"/>
            <w:tcBorders>
              <w:top w:val="nil"/>
              <w:bottom w:val="single" w:sz="12" w:space="0" w:color="auto"/>
            </w:tcBorders>
            <w:shd w:val="clear" w:color="auto" w:fill="auto"/>
            <w:vAlign w:val="center"/>
            <w:hideMark/>
          </w:tcPr>
          <w:p w:rsidR="00A46DCA" w:rsidRPr="004D4939" w:rsidRDefault="00A46DCA" w:rsidP="00A26D04">
            <w:pPr>
              <w:keepLines w:val="0"/>
              <w:ind w:firstLineChars="100" w:firstLine="17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14"/>
                <w:lang w:eastAsia="en-AU"/>
              </w:rPr>
            </w:pPr>
            <w:r w:rsidRPr="004D4939">
              <w:rPr>
                <w:rFonts w:eastAsia="Times New Roman" w:cs="Times New Roman"/>
                <w:color w:val="000000"/>
                <w:szCs w:val="14"/>
                <w:lang w:eastAsia="en-AU"/>
              </w:rPr>
              <w:t>(0.24)</w:t>
            </w:r>
          </w:p>
        </w:tc>
        <w:tc>
          <w:tcPr>
            <w:tcW w:w="914" w:type="dxa"/>
            <w:tcBorders>
              <w:top w:val="nil"/>
              <w:bottom w:val="single" w:sz="12" w:space="0" w:color="auto"/>
            </w:tcBorders>
            <w:shd w:val="clear" w:color="auto" w:fill="auto"/>
            <w:vAlign w:val="center"/>
            <w:hideMark/>
          </w:tcPr>
          <w:p w:rsidR="00A46DCA" w:rsidRPr="004D4939" w:rsidRDefault="00A46DCA" w:rsidP="00A26D04">
            <w:pPr>
              <w:keepLines w:val="0"/>
              <w:ind w:firstLineChars="100" w:firstLine="17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14"/>
                <w:lang w:eastAsia="en-AU"/>
              </w:rPr>
            </w:pPr>
            <w:r w:rsidRPr="004D4939">
              <w:rPr>
                <w:rFonts w:eastAsia="Times New Roman" w:cs="Times New Roman"/>
                <w:color w:val="000000"/>
                <w:szCs w:val="14"/>
                <w:lang w:eastAsia="en-AU"/>
              </w:rPr>
              <w:t>(0.75)</w:t>
            </w:r>
          </w:p>
        </w:tc>
        <w:tc>
          <w:tcPr>
            <w:tcW w:w="914" w:type="dxa"/>
            <w:tcBorders>
              <w:top w:val="nil"/>
              <w:bottom w:val="single" w:sz="12" w:space="0" w:color="auto"/>
            </w:tcBorders>
            <w:shd w:val="clear" w:color="auto" w:fill="auto"/>
            <w:vAlign w:val="center"/>
            <w:hideMark/>
          </w:tcPr>
          <w:p w:rsidR="00A46DCA" w:rsidRPr="004D4939" w:rsidRDefault="00A46DCA" w:rsidP="00A26D04">
            <w:pPr>
              <w:keepLines w:val="0"/>
              <w:ind w:firstLineChars="100" w:firstLine="17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14"/>
                <w:lang w:eastAsia="en-AU"/>
              </w:rPr>
            </w:pPr>
            <w:r w:rsidRPr="004D4939">
              <w:rPr>
                <w:rFonts w:eastAsia="Times New Roman" w:cs="Times New Roman"/>
                <w:color w:val="000000"/>
                <w:szCs w:val="14"/>
                <w:lang w:eastAsia="en-AU"/>
              </w:rPr>
              <w:t>(1.43)</w:t>
            </w:r>
          </w:p>
        </w:tc>
        <w:tc>
          <w:tcPr>
            <w:tcW w:w="914" w:type="dxa"/>
            <w:tcBorders>
              <w:top w:val="nil"/>
              <w:bottom w:val="single" w:sz="12" w:space="0" w:color="auto"/>
            </w:tcBorders>
            <w:shd w:val="clear" w:color="auto" w:fill="auto"/>
            <w:vAlign w:val="center"/>
            <w:hideMark/>
          </w:tcPr>
          <w:p w:rsidR="00A46DCA" w:rsidRPr="004D4939" w:rsidRDefault="00A46DCA" w:rsidP="00A26D04">
            <w:pPr>
              <w:keepLines w:val="0"/>
              <w:ind w:firstLineChars="100" w:firstLine="17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14"/>
                <w:lang w:eastAsia="en-AU"/>
              </w:rPr>
            </w:pPr>
            <w:r w:rsidRPr="004D4939">
              <w:rPr>
                <w:rFonts w:eastAsia="Times New Roman" w:cs="Times New Roman"/>
                <w:color w:val="000000"/>
                <w:szCs w:val="14"/>
                <w:lang w:eastAsia="en-AU"/>
              </w:rPr>
              <w:t>(2.16)</w:t>
            </w:r>
          </w:p>
        </w:tc>
      </w:tr>
    </w:tbl>
    <w:p w:rsidR="00A46DCA" w:rsidRPr="00442C0B" w:rsidRDefault="00A46DCA" w:rsidP="00A26D04">
      <w:pPr>
        <w:pStyle w:val="Source"/>
      </w:pPr>
      <w:r w:rsidRPr="00442C0B">
        <w:t>Source: Centre of Policy Studies, Victoria University.</w:t>
      </w:r>
    </w:p>
    <w:p w:rsidR="00A46DCA" w:rsidRPr="009D5EF6" w:rsidRDefault="00A46DCA" w:rsidP="00A26D04">
      <w:pPr>
        <w:pStyle w:val="Note"/>
      </w:pPr>
      <w:r w:rsidRPr="009D5EF6">
        <w:t>Note:</w:t>
      </w:r>
    </w:p>
    <w:p w:rsidR="00A46DCA" w:rsidRPr="009D5EF6" w:rsidRDefault="00A46DCA" w:rsidP="00A26D04">
      <w:pPr>
        <w:pStyle w:val="Note"/>
      </w:pPr>
      <w:r w:rsidRPr="009D5EF6">
        <w:t>(a)</w:t>
      </w:r>
      <w:r w:rsidRPr="009D5EF6">
        <w:tab/>
        <w:t>Figures reported are the change in the level of each parameter relative to the baseline of no change in the economic outlook, for each year of the budget.</w:t>
      </w:r>
    </w:p>
    <w:p w:rsidR="00A46DCA" w:rsidRPr="00442C0B" w:rsidRDefault="00A46DCA" w:rsidP="00A26D04">
      <w:pPr>
        <w:rPr>
          <w:rFonts w:ascii="Garamond" w:eastAsia="Garamond" w:hAnsi="Garamond" w:cs="Times New Roman"/>
        </w:rPr>
      </w:pPr>
    </w:p>
    <w:p w:rsidR="00A46DCA" w:rsidRPr="00442C0B" w:rsidRDefault="00A46DCA" w:rsidP="00A26D04">
      <w:pPr>
        <w:rPr>
          <w:rFonts w:ascii="Garamond" w:eastAsia="Garamond" w:hAnsi="Garamond" w:cs="Times New Roman"/>
        </w:rPr>
      </w:pPr>
      <w:r w:rsidRPr="00442C0B">
        <w:rPr>
          <w:rFonts w:ascii="Garamond" w:eastAsia="Garamond" w:hAnsi="Garamond" w:cs="Times New Roman"/>
        </w:rPr>
        <w:t>Table D.7 summarises the projected fiscal impacts of higher population and labour force participation. Similar to the high population growth only scenario, land transfer duty and GST revenue increases. The higher</w:t>
      </w:r>
      <w:r>
        <w:rPr>
          <w:rFonts w:ascii="Garamond" w:eastAsia="Garamond" w:hAnsi="Garamond" w:cs="Times New Roman"/>
        </w:rPr>
        <w:t xml:space="preserve"> </w:t>
      </w:r>
      <w:r w:rsidRPr="00442C0B">
        <w:rPr>
          <w:rFonts w:ascii="Garamond" w:eastAsia="Garamond" w:hAnsi="Garamond" w:cs="Times New Roman"/>
        </w:rPr>
        <w:t xml:space="preserve">land transfer duty reflects higher housing demand. The effect on employment is even more pronounced as a result of more people entering the labour force than in the population only scenario. Revenue from payroll tax consequently rises at a higher rate than under the high population growth only scenario. Income tax equivalents (ITEs) in Victoria also rise, reflecting additional revenue from </w:t>
      </w:r>
      <w:proofErr w:type="spellStart"/>
      <w:r w:rsidRPr="00442C0B">
        <w:rPr>
          <w:rFonts w:ascii="Garamond" w:eastAsia="Garamond" w:hAnsi="Garamond" w:cs="Times New Roman"/>
        </w:rPr>
        <w:t>WorkSafe</w:t>
      </w:r>
      <w:proofErr w:type="spellEnd"/>
      <w:r w:rsidRPr="00442C0B">
        <w:rPr>
          <w:rFonts w:ascii="Garamond" w:eastAsia="Garamond" w:hAnsi="Garamond" w:cs="Times New Roman"/>
        </w:rPr>
        <w:t xml:space="preserve"> Victoria in line with stronger employment growth.</w:t>
      </w:r>
    </w:p>
    <w:p w:rsidR="00A46DCA" w:rsidRPr="00442C0B" w:rsidRDefault="00A46DCA" w:rsidP="00A26D04">
      <w:pPr>
        <w:rPr>
          <w:rFonts w:ascii="Garamond" w:eastAsia="Garamond" w:hAnsi="Garamond" w:cs="Times New Roman"/>
        </w:rPr>
      </w:pPr>
      <w:r w:rsidRPr="00442C0B">
        <w:rPr>
          <w:rFonts w:ascii="Garamond" w:eastAsia="Garamond" w:hAnsi="Garamond" w:cs="Times New Roman"/>
        </w:rPr>
        <w:t xml:space="preserve">Weaker growth in wages and lower inflation outcomes help to mitigate rising expenses associated with additional demand for public services. They also lower superannuation expenses, other operating expenses, and borrowing costs over the forward estimates. Finally, higher population growth generates more revenue from grants (excluding GST revenue), although this is partly offset by the effects of lower inflation. </w:t>
      </w:r>
    </w:p>
    <w:p w:rsidR="00A46DCA" w:rsidRPr="00442C0B" w:rsidRDefault="00A46DCA" w:rsidP="00A26D04">
      <w:pPr>
        <w:rPr>
          <w:rFonts w:ascii="Garamond" w:eastAsia="Garamond" w:hAnsi="Garamond" w:cs="Times New Roman"/>
        </w:rPr>
      </w:pPr>
      <w:r w:rsidRPr="00442C0B">
        <w:rPr>
          <w:rFonts w:ascii="Garamond" w:eastAsia="Garamond" w:hAnsi="Garamond" w:cs="Times New Roman"/>
        </w:rPr>
        <w:t xml:space="preserve">Overall, the larger increase in revenue relative to expenses </w:t>
      </w:r>
      <w:r>
        <w:rPr>
          <w:rFonts w:ascii="Garamond" w:eastAsia="Garamond" w:hAnsi="Garamond" w:cs="Times New Roman"/>
        </w:rPr>
        <w:t>in the forward years</w:t>
      </w:r>
      <w:r w:rsidRPr="00442C0B">
        <w:rPr>
          <w:rFonts w:ascii="Garamond" w:eastAsia="Garamond" w:hAnsi="Garamond" w:cs="Times New Roman"/>
        </w:rPr>
        <w:t xml:space="preserve"> improves fiscal balances and reduce</w:t>
      </w:r>
      <w:r>
        <w:rPr>
          <w:rFonts w:ascii="Garamond" w:eastAsia="Garamond" w:hAnsi="Garamond" w:cs="Times New Roman"/>
        </w:rPr>
        <w:t>s</w:t>
      </w:r>
      <w:r w:rsidRPr="00442C0B">
        <w:rPr>
          <w:rFonts w:ascii="Garamond" w:eastAsia="Garamond" w:hAnsi="Garamond" w:cs="Times New Roman"/>
        </w:rPr>
        <w:t xml:space="preserve"> net debt. </w:t>
      </w:r>
    </w:p>
    <w:p w:rsidR="00A46DCA" w:rsidRPr="00442C0B" w:rsidRDefault="00A46DCA" w:rsidP="00A26D04">
      <w:pPr>
        <w:keepNext/>
        <w:tabs>
          <w:tab w:val="left" w:pos="1134"/>
          <w:tab w:val="right" w:pos="7710"/>
        </w:tabs>
        <w:spacing w:before="240" w:after="60"/>
        <w:ind w:left="1134" w:hanging="1134"/>
        <w:rPr>
          <w:rFonts w:ascii="Calibri" w:eastAsia="Garamond" w:hAnsi="Calibri" w:cs="Times New Roman"/>
          <w:b/>
          <w:sz w:val="20"/>
          <w:szCs w:val="20"/>
        </w:rPr>
      </w:pPr>
      <w:r w:rsidRPr="00442C0B">
        <w:rPr>
          <w:rFonts w:ascii="Calibri" w:eastAsia="Garamond" w:hAnsi="Calibri" w:cs="Times New Roman"/>
          <w:b/>
          <w:sz w:val="20"/>
          <w:szCs w:val="20"/>
        </w:rPr>
        <w:lastRenderedPageBreak/>
        <w:t>Table D.7:</w:t>
      </w:r>
      <w:r w:rsidRPr="00442C0B">
        <w:rPr>
          <w:rFonts w:ascii="Calibri" w:eastAsia="Garamond" w:hAnsi="Calibri" w:cs="Times New Roman"/>
          <w:b/>
          <w:sz w:val="20"/>
          <w:szCs w:val="20"/>
        </w:rPr>
        <w:tab/>
        <w:t>Fiscal impact of higher population and participation rate</w:t>
      </w:r>
      <w:r w:rsidRPr="00442C0B">
        <w:rPr>
          <w:rFonts w:ascii="Calibri" w:eastAsia="Garamond" w:hAnsi="Calibri" w:cs="Times New Roman"/>
          <w:b/>
          <w:sz w:val="20"/>
          <w:szCs w:val="20"/>
        </w:rPr>
        <w:tab/>
        <w:t>($ million)</w:t>
      </w:r>
      <w:bookmarkStart w:id="103" w:name="RANGE!A29:E36"/>
    </w:p>
    <w:tbl>
      <w:tblPr>
        <w:tblStyle w:val="DTFTable"/>
        <w:tblW w:w="7765" w:type="dxa"/>
        <w:tblInd w:w="45" w:type="dxa"/>
        <w:tblLayout w:type="fixed"/>
        <w:tblCellMar>
          <w:left w:w="45" w:type="dxa"/>
          <w:right w:w="45" w:type="dxa"/>
        </w:tblCellMar>
        <w:tblLook w:val="06E0" w:firstRow="1" w:lastRow="1" w:firstColumn="1" w:lastColumn="0" w:noHBand="1" w:noVBand="1"/>
      </w:tblPr>
      <w:tblGrid>
        <w:gridCol w:w="3969"/>
        <w:gridCol w:w="949"/>
        <w:gridCol w:w="949"/>
        <w:gridCol w:w="949"/>
        <w:gridCol w:w="949"/>
      </w:tblGrid>
      <w:tr w:rsidR="00A26D04" w:rsidRPr="009372C1" w:rsidTr="007A7C8C">
        <w:trPr>
          <w:cnfStyle w:val="100000000000" w:firstRow="1" w:lastRow="0" w:firstColumn="0" w:lastColumn="0" w:oddVBand="0" w:evenVBand="0" w:oddHBand="0" w:evenHBand="0" w:firstRowFirstColumn="0" w:firstRowLastColumn="0" w:lastRowFirstColumn="0" w:lastRowLastColumn="0"/>
          <w:trHeight w:val="197"/>
          <w:tblHeader/>
        </w:trPr>
        <w:tc>
          <w:tcPr>
            <w:cnfStyle w:val="001000000000" w:firstRow="0" w:lastRow="0" w:firstColumn="1" w:lastColumn="0" w:oddVBand="0" w:evenVBand="0" w:oddHBand="0" w:evenHBand="0" w:firstRowFirstColumn="0" w:firstRowLastColumn="0" w:lastRowFirstColumn="0" w:lastRowLastColumn="0"/>
            <w:tcW w:w="3969" w:type="dxa"/>
            <w:tcBorders>
              <w:top w:val="nil"/>
              <w:left w:val="nil"/>
              <w:bottom w:val="nil"/>
              <w:right w:val="nil"/>
            </w:tcBorders>
            <w:shd w:val="clear" w:color="000000" w:fill="000000"/>
            <w:vAlign w:val="center"/>
            <w:hideMark/>
          </w:tcPr>
          <w:bookmarkEnd w:id="103"/>
          <w:p w:rsidR="00A26D04" w:rsidRPr="009372C1" w:rsidRDefault="00A26D04" w:rsidP="007A7C8C">
            <w:pPr>
              <w:rPr>
                <w:i w:val="0"/>
                <w:lang w:eastAsia="en-AU"/>
              </w:rPr>
            </w:pPr>
            <w:r w:rsidRPr="009372C1">
              <w:rPr>
                <w:lang w:eastAsia="en-AU"/>
              </w:rPr>
              <w:t xml:space="preserve">  </w:t>
            </w:r>
          </w:p>
        </w:tc>
        <w:tc>
          <w:tcPr>
            <w:tcW w:w="949" w:type="dxa"/>
            <w:tcBorders>
              <w:top w:val="nil"/>
              <w:left w:val="nil"/>
              <w:bottom w:val="nil"/>
              <w:right w:val="nil"/>
            </w:tcBorders>
            <w:shd w:val="clear" w:color="000000" w:fill="000000"/>
            <w:vAlign w:val="center"/>
            <w:hideMark/>
          </w:tcPr>
          <w:p w:rsidR="00A26D04" w:rsidRPr="009372C1" w:rsidRDefault="00A26D04" w:rsidP="00A26D04">
            <w:pPr>
              <w:cnfStyle w:val="100000000000" w:firstRow="1" w:lastRow="0" w:firstColumn="0" w:lastColumn="0" w:oddVBand="0" w:evenVBand="0" w:oddHBand="0" w:evenHBand="0" w:firstRowFirstColumn="0" w:firstRowLastColumn="0" w:lastRowFirstColumn="0" w:lastRowLastColumn="0"/>
              <w:rPr>
                <w:color w:val="FFFFFF"/>
                <w:lang w:eastAsia="en-AU"/>
              </w:rPr>
            </w:pPr>
            <w:r w:rsidRPr="009372C1">
              <w:rPr>
                <w:color w:val="FFFFFF"/>
                <w:lang w:eastAsia="en-AU"/>
              </w:rPr>
              <w:t xml:space="preserve">2017-18 </w:t>
            </w:r>
            <w:r>
              <w:rPr>
                <w:color w:val="FFFFFF"/>
                <w:lang w:eastAsia="en-AU"/>
              </w:rPr>
              <w:br/>
            </w:r>
            <w:r w:rsidRPr="009372C1">
              <w:rPr>
                <w:color w:val="FFFFFF"/>
                <w:lang w:eastAsia="en-AU"/>
              </w:rPr>
              <w:t>estimate</w:t>
            </w:r>
          </w:p>
        </w:tc>
        <w:tc>
          <w:tcPr>
            <w:tcW w:w="949" w:type="dxa"/>
            <w:tcBorders>
              <w:top w:val="nil"/>
              <w:left w:val="nil"/>
              <w:bottom w:val="nil"/>
              <w:right w:val="nil"/>
            </w:tcBorders>
            <w:shd w:val="clear" w:color="000000" w:fill="000000"/>
            <w:vAlign w:val="center"/>
            <w:hideMark/>
          </w:tcPr>
          <w:p w:rsidR="00A26D04" w:rsidRPr="009372C1" w:rsidRDefault="00A26D04" w:rsidP="00A26D04">
            <w:pPr>
              <w:cnfStyle w:val="100000000000" w:firstRow="1" w:lastRow="0" w:firstColumn="0" w:lastColumn="0" w:oddVBand="0" w:evenVBand="0" w:oddHBand="0" w:evenHBand="0" w:firstRowFirstColumn="0" w:firstRowLastColumn="0" w:lastRowFirstColumn="0" w:lastRowLastColumn="0"/>
              <w:rPr>
                <w:color w:val="FFFFFF"/>
                <w:lang w:eastAsia="en-AU"/>
              </w:rPr>
            </w:pPr>
            <w:r w:rsidRPr="009372C1">
              <w:rPr>
                <w:color w:val="FFFFFF"/>
                <w:lang w:eastAsia="en-AU"/>
              </w:rPr>
              <w:t xml:space="preserve">2018-19 </w:t>
            </w:r>
            <w:r>
              <w:rPr>
                <w:color w:val="FFFFFF"/>
                <w:lang w:eastAsia="en-AU"/>
              </w:rPr>
              <w:br/>
            </w:r>
            <w:r w:rsidRPr="009372C1">
              <w:rPr>
                <w:color w:val="FFFFFF"/>
                <w:lang w:eastAsia="en-AU"/>
              </w:rPr>
              <w:t>estimate</w:t>
            </w:r>
          </w:p>
        </w:tc>
        <w:tc>
          <w:tcPr>
            <w:tcW w:w="949" w:type="dxa"/>
            <w:tcBorders>
              <w:top w:val="nil"/>
              <w:left w:val="nil"/>
              <w:bottom w:val="nil"/>
              <w:right w:val="nil"/>
            </w:tcBorders>
            <w:shd w:val="clear" w:color="000000" w:fill="000000"/>
            <w:vAlign w:val="center"/>
            <w:hideMark/>
          </w:tcPr>
          <w:p w:rsidR="00A26D04" w:rsidRPr="009372C1" w:rsidRDefault="00A26D04" w:rsidP="00A26D04">
            <w:pPr>
              <w:cnfStyle w:val="100000000000" w:firstRow="1" w:lastRow="0" w:firstColumn="0" w:lastColumn="0" w:oddVBand="0" w:evenVBand="0" w:oddHBand="0" w:evenHBand="0" w:firstRowFirstColumn="0" w:firstRowLastColumn="0" w:lastRowFirstColumn="0" w:lastRowLastColumn="0"/>
              <w:rPr>
                <w:color w:val="FFFFFF"/>
                <w:lang w:eastAsia="en-AU"/>
              </w:rPr>
            </w:pPr>
            <w:r w:rsidRPr="009372C1">
              <w:rPr>
                <w:color w:val="FFFFFF"/>
                <w:lang w:eastAsia="en-AU"/>
              </w:rPr>
              <w:t>2019-20</w:t>
            </w:r>
            <w:r>
              <w:rPr>
                <w:color w:val="FFFFFF"/>
                <w:lang w:eastAsia="en-AU"/>
              </w:rPr>
              <w:br/>
            </w:r>
            <w:r w:rsidRPr="009372C1">
              <w:rPr>
                <w:color w:val="FFFFFF"/>
                <w:lang w:eastAsia="en-AU"/>
              </w:rPr>
              <w:t>estimate</w:t>
            </w:r>
          </w:p>
        </w:tc>
        <w:tc>
          <w:tcPr>
            <w:tcW w:w="949" w:type="dxa"/>
            <w:tcBorders>
              <w:top w:val="nil"/>
              <w:left w:val="nil"/>
              <w:bottom w:val="nil"/>
              <w:right w:val="nil"/>
            </w:tcBorders>
            <w:shd w:val="clear" w:color="000000" w:fill="000000"/>
            <w:vAlign w:val="center"/>
            <w:hideMark/>
          </w:tcPr>
          <w:p w:rsidR="00A26D04" w:rsidRPr="009372C1" w:rsidRDefault="00A26D04" w:rsidP="00A26D04">
            <w:pPr>
              <w:cnfStyle w:val="100000000000" w:firstRow="1" w:lastRow="0" w:firstColumn="0" w:lastColumn="0" w:oddVBand="0" w:evenVBand="0" w:oddHBand="0" w:evenHBand="0" w:firstRowFirstColumn="0" w:firstRowLastColumn="0" w:lastRowFirstColumn="0" w:lastRowLastColumn="0"/>
              <w:rPr>
                <w:color w:val="FFFFFF"/>
                <w:lang w:eastAsia="en-AU"/>
              </w:rPr>
            </w:pPr>
            <w:r w:rsidRPr="009372C1">
              <w:rPr>
                <w:color w:val="FFFFFF"/>
                <w:lang w:eastAsia="en-AU"/>
              </w:rPr>
              <w:t xml:space="preserve">2020-21 </w:t>
            </w:r>
            <w:r>
              <w:rPr>
                <w:color w:val="FFFFFF"/>
                <w:lang w:eastAsia="en-AU"/>
              </w:rPr>
              <w:br/>
            </w:r>
            <w:r w:rsidRPr="009372C1">
              <w:rPr>
                <w:color w:val="FFFFFF"/>
                <w:lang w:eastAsia="en-AU"/>
              </w:rPr>
              <w:t>estimate</w:t>
            </w:r>
          </w:p>
        </w:tc>
      </w:tr>
      <w:tr w:rsidR="00A46DCA" w:rsidRPr="009372C1" w:rsidTr="007A7C8C">
        <w:tc>
          <w:tcPr>
            <w:cnfStyle w:val="001000000000" w:firstRow="0" w:lastRow="0" w:firstColumn="1" w:lastColumn="0" w:oddVBand="0" w:evenVBand="0" w:oddHBand="0" w:evenHBand="0" w:firstRowFirstColumn="0" w:firstRowLastColumn="0" w:lastRowFirstColumn="0" w:lastRowLastColumn="0"/>
            <w:tcW w:w="3969" w:type="dxa"/>
            <w:tcBorders>
              <w:top w:val="nil"/>
              <w:left w:val="nil"/>
              <w:bottom w:val="nil"/>
              <w:right w:val="nil"/>
            </w:tcBorders>
            <w:shd w:val="clear" w:color="auto" w:fill="auto"/>
            <w:vAlign w:val="center"/>
            <w:hideMark/>
          </w:tcPr>
          <w:p w:rsidR="00A46DCA" w:rsidRPr="009372C1" w:rsidRDefault="00A46DCA" w:rsidP="00A26D04">
            <w:pPr>
              <w:keepLines w:val="0"/>
              <w:ind w:left="0" w:firstLine="0"/>
              <w:rPr>
                <w:rFonts w:eastAsia="Times New Roman" w:cs="Times New Roman"/>
                <w:color w:val="000000"/>
                <w:szCs w:val="14"/>
                <w:lang w:eastAsia="en-AU"/>
              </w:rPr>
            </w:pPr>
            <w:r w:rsidRPr="009372C1">
              <w:rPr>
                <w:rFonts w:eastAsia="Times New Roman" w:cs="Times New Roman"/>
                <w:color w:val="000000"/>
                <w:szCs w:val="14"/>
                <w:lang w:eastAsia="en-AU"/>
              </w:rPr>
              <w:t>Income from transactions</w:t>
            </w:r>
          </w:p>
        </w:tc>
        <w:tc>
          <w:tcPr>
            <w:tcW w:w="949" w:type="dxa"/>
            <w:tcBorders>
              <w:top w:val="nil"/>
              <w:left w:val="nil"/>
              <w:bottom w:val="nil"/>
              <w:right w:val="nil"/>
            </w:tcBorders>
            <w:shd w:val="clear" w:color="auto" w:fill="auto"/>
            <w:vAlign w:val="bottom"/>
            <w:hideMark/>
          </w:tcPr>
          <w:p w:rsidR="00A46DCA" w:rsidRPr="009372C1" w:rsidRDefault="00A46DCA" w:rsidP="00A26D04">
            <w:pPr>
              <w:cnfStyle w:val="000000000000" w:firstRow="0" w:lastRow="0" w:firstColumn="0" w:lastColumn="0" w:oddVBand="0" w:evenVBand="0" w:oddHBand="0" w:evenHBand="0" w:firstRowFirstColumn="0" w:firstRowLastColumn="0" w:lastRowFirstColumn="0" w:lastRowLastColumn="0"/>
              <w:rPr>
                <w:szCs w:val="17"/>
              </w:rPr>
            </w:pPr>
            <w:r w:rsidRPr="009372C1">
              <w:rPr>
                <w:szCs w:val="17"/>
              </w:rPr>
              <w:t>41.7</w:t>
            </w:r>
          </w:p>
        </w:tc>
        <w:tc>
          <w:tcPr>
            <w:tcW w:w="949" w:type="dxa"/>
            <w:tcBorders>
              <w:top w:val="nil"/>
              <w:left w:val="nil"/>
              <w:bottom w:val="nil"/>
              <w:right w:val="nil"/>
            </w:tcBorders>
            <w:shd w:val="clear" w:color="auto" w:fill="auto"/>
            <w:vAlign w:val="bottom"/>
            <w:hideMark/>
          </w:tcPr>
          <w:p w:rsidR="00A46DCA" w:rsidRPr="009372C1" w:rsidRDefault="00A46DCA" w:rsidP="00A26D04">
            <w:pPr>
              <w:cnfStyle w:val="000000000000" w:firstRow="0" w:lastRow="0" w:firstColumn="0" w:lastColumn="0" w:oddVBand="0" w:evenVBand="0" w:oddHBand="0" w:evenHBand="0" w:firstRowFirstColumn="0" w:firstRowLastColumn="0" w:lastRowFirstColumn="0" w:lastRowLastColumn="0"/>
              <w:rPr>
                <w:szCs w:val="17"/>
              </w:rPr>
            </w:pPr>
            <w:r w:rsidRPr="009372C1">
              <w:rPr>
                <w:szCs w:val="17"/>
              </w:rPr>
              <w:t>94.3</w:t>
            </w:r>
          </w:p>
        </w:tc>
        <w:tc>
          <w:tcPr>
            <w:tcW w:w="949" w:type="dxa"/>
            <w:tcBorders>
              <w:top w:val="nil"/>
              <w:left w:val="nil"/>
              <w:bottom w:val="nil"/>
              <w:right w:val="nil"/>
            </w:tcBorders>
            <w:shd w:val="clear" w:color="auto" w:fill="auto"/>
            <w:vAlign w:val="bottom"/>
            <w:hideMark/>
          </w:tcPr>
          <w:p w:rsidR="00A46DCA" w:rsidRPr="009372C1" w:rsidRDefault="00A46DCA" w:rsidP="00A26D04">
            <w:pPr>
              <w:cnfStyle w:val="000000000000" w:firstRow="0" w:lastRow="0" w:firstColumn="0" w:lastColumn="0" w:oddVBand="0" w:evenVBand="0" w:oddHBand="0" w:evenHBand="0" w:firstRowFirstColumn="0" w:firstRowLastColumn="0" w:lastRowFirstColumn="0" w:lastRowLastColumn="0"/>
              <w:rPr>
                <w:szCs w:val="17"/>
              </w:rPr>
            </w:pPr>
            <w:r w:rsidRPr="009372C1">
              <w:rPr>
                <w:szCs w:val="17"/>
              </w:rPr>
              <w:t>204.3</w:t>
            </w:r>
          </w:p>
        </w:tc>
        <w:tc>
          <w:tcPr>
            <w:tcW w:w="949" w:type="dxa"/>
            <w:tcBorders>
              <w:top w:val="nil"/>
              <w:left w:val="nil"/>
              <w:bottom w:val="nil"/>
              <w:right w:val="nil"/>
            </w:tcBorders>
            <w:shd w:val="clear" w:color="auto" w:fill="auto"/>
            <w:vAlign w:val="bottom"/>
            <w:hideMark/>
          </w:tcPr>
          <w:p w:rsidR="00A46DCA" w:rsidRPr="009372C1" w:rsidRDefault="00A46DCA" w:rsidP="00A26D04">
            <w:pPr>
              <w:cnfStyle w:val="000000000000" w:firstRow="0" w:lastRow="0" w:firstColumn="0" w:lastColumn="0" w:oddVBand="0" w:evenVBand="0" w:oddHBand="0" w:evenHBand="0" w:firstRowFirstColumn="0" w:firstRowLastColumn="0" w:lastRowFirstColumn="0" w:lastRowLastColumn="0"/>
              <w:rPr>
                <w:szCs w:val="17"/>
              </w:rPr>
            </w:pPr>
            <w:r w:rsidRPr="009372C1">
              <w:rPr>
                <w:szCs w:val="17"/>
              </w:rPr>
              <w:t>356.0</w:t>
            </w:r>
          </w:p>
        </w:tc>
      </w:tr>
      <w:tr w:rsidR="00A46DCA" w:rsidRPr="009372C1" w:rsidTr="00A26D04">
        <w:tc>
          <w:tcPr>
            <w:cnfStyle w:val="001000000000" w:firstRow="0" w:lastRow="0" w:firstColumn="1" w:lastColumn="0" w:oddVBand="0" w:evenVBand="0" w:oddHBand="0" w:evenHBand="0" w:firstRowFirstColumn="0" w:firstRowLastColumn="0" w:lastRowFirstColumn="0" w:lastRowLastColumn="0"/>
            <w:tcW w:w="3969" w:type="dxa"/>
            <w:tcBorders>
              <w:top w:val="nil"/>
              <w:left w:val="nil"/>
              <w:bottom w:val="nil"/>
              <w:right w:val="nil"/>
            </w:tcBorders>
            <w:shd w:val="clear" w:color="auto" w:fill="auto"/>
            <w:vAlign w:val="center"/>
            <w:hideMark/>
          </w:tcPr>
          <w:p w:rsidR="00A46DCA" w:rsidRPr="009372C1" w:rsidRDefault="00A46DCA" w:rsidP="00A26D04">
            <w:pPr>
              <w:keepLines w:val="0"/>
              <w:ind w:left="0" w:firstLine="0"/>
              <w:rPr>
                <w:rFonts w:eastAsia="Times New Roman" w:cs="Times New Roman"/>
                <w:color w:val="000000"/>
                <w:szCs w:val="14"/>
                <w:lang w:eastAsia="en-AU"/>
              </w:rPr>
            </w:pPr>
            <w:r w:rsidRPr="009372C1">
              <w:rPr>
                <w:rFonts w:eastAsia="Times New Roman" w:cs="Times New Roman"/>
                <w:color w:val="000000"/>
                <w:szCs w:val="14"/>
                <w:lang w:eastAsia="en-AU"/>
              </w:rPr>
              <w:t>Expenses from transactions</w:t>
            </w:r>
          </w:p>
        </w:tc>
        <w:tc>
          <w:tcPr>
            <w:tcW w:w="949" w:type="dxa"/>
            <w:tcBorders>
              <w:top w:val="nil"/>
              <w:left w:val="nil"/>
              <w:bottom w:val="nil"/>
              <w:right w:val="nil"/>
            </w:tcBorders>
            <w:shd w:val="clear" w:color="auto" w:fill="auto"/>
            <w:vAlign w:val="bottom"/>
            <w:hideMark/>
          </w:tcPr>
          <w:p w:rsidR="00A46DCA" w:rsidRPr="009372C1" w:rsidRDefault="00A46DCA" w:rsidP="00A26D04">
            <w:pPr>
              <w:cnfStyle w:val="000000000000" w:firstRow="0" w:lastRow="0" w:firstColumn="0" w:lastColumn="0" w:oddVBand="0" w:evenVBand="0" w:oddHBand="0" w:evenHBand="0" w:firstRowFirstColumn="0" w:firstRowLastColumn="0" w:lastRowFirstColumn="0" w:lastRowLastColumn="0"/>
              <w:rPr>
                <w:szCs w:val="17"/>
              </w:rPr>
            </w:pPr>
            <w:r w:rsidRPr="009372C1">
              <w:rPr>
                <w:szCs w:val="17"/>
              </w:rPr>
              <w:t>43.9</w:t>
            </w:r>
          </w:p>
        </w:tc>
        <w:tc>
          <w:tcPr>
            <w:tcW w:w="949" w:type="dxa"/>
            <w:tcBorders>
              <w:top w:val="nil"/>
              <w:left w:val="nil"/>
              <w:bottom w:val="nil"/>
              <w:right w:val="nil"/>
            </w:tcBorders>
            <w:shd w:val="clear" w:color="auto" w:fill="auto"/>
            <w:vAlign w:val="bottom"/>
            <w:hideMark/>
          </w:tcPr>
          <w:p w:rsidR="00A46DCA" w:rsidRPr="009372C1" w:rsidRDefault="00A46DCA" w:rsidP="00A26D04">
            <w:pPr>
              <w:cnfStyle w:val="000000000000" w:firstRow="0" w:lastRow="0" w:firstColumn="0" w:lastColumn="0" w:oddVBand="0" w:evenVBand="0" w:oddHBand="0" w:evenHBand="0" w:firstRowFirstColumn="0" w:firstRowLastColumn="0" w:lastRowFirstColumn="0" w:lastRowLastColumn="0"/>
              <w:rPr>
                <w:szCs w:val="17"/>
              </w:rPr>
            </w:pPr>
            <w:r w:rsidRPr="009372C1">
              <w:rPr>
                <w:szCs w:val="17"/>
              </w:rPr>
              <w:t>65.1</w:t>
            </w:r>
          </w:p>
        </w:tc>
        <w:tc>
          <w:tcPr>
            <w:tcW w:w="949" w:type="dxa"/>
            <w:tcBorders>
              <w:top w:val="nil"/>
              <w:left w:val="nil"/>
              <w:bottom w:val="nil"/>
              <w:right w:val="nil"/>
            </w:tcBorders>
            <w:shd w:val="clear" w:color="auto" w:fill="auto"/>
            <w:vAlign w:val="bottom"/>
            <w:hideMark/>
          </w:tcPr>
          <w:p w:rsidR="00A46DCA" w:rsidRPr="009372C1" w:rsidRDefault="00A46DCA" w:rsidP="00A26D04">
            <w:pPr>
              <w:cnfStyle w:val="000000000000" w:firstRow="0" w:lastRow="0" w:firstColumn="0" w:lastColumn="0" w:oddVBand="0" w:evenVBand="0" w:oddHBand="0" w:evenHBand="0" w:firstRowFirstColumn="0" w:firstRowLastColumn="0" w:lastRowFirstColumn="0" w:lastRowLastColumn="0"/>
              <w:rPr>
                <w:szCs w:val="17"/>
              </w:rPr>
            </w:pPr>
            <w:r w:rsidRPr="009372C1">
              <w:rPr>
                <w:szCs w:val="17"/>
              </w:rPr>
              <w:t>11.1</w:t>
            </w:r>
          </w:p>
        </w:tc>
        <w:tc>
          <w:tcPr>
            <w:tcW w:w="949" w:type="dxa"/>
            <w:tcBorders>
              <w:top w:val="nil"/>
              <w:left w:val="nil"/>
              <w:bottom w:val="nil"/>
              <w:right w:val="nil"/>
            </w:tcBorders>
            <w:shd w:val="clear" w:color="auto" w:fill="auto"/>
            <w:vAlign w:val="bottom"/>
            <w:hideMark/>
          </w:tcPr>
          <w:p w:rsidR="00A46DCA" w:rsidRPr="009372C1" w:rsidRDefault="00A46DCA" w:rsidP="00A26D04">
            <w:pPr>
              <w:cnfStyle w:val="000000000000" w:firstRow="0" w:lastRow="0" w:firstColumn="0" w:lastColumn="0" w:oddVBand="0" w:evenVBand="0" w:oddHBand="0" w:evenHBand="0" w:firstRowFirstColumn="0" w:firstRowLastColumn="0" w:lastRowFirstColumn="0" w:lastRowLastColumn="0"/>
              <w:rPr>
                <w:szCs w:val="17"/>
              </w:rPr>
            </w:pPr>
            <w:r w:rsidRPr="009372C1">
              <w:rPr>
                <w:szCs w:val="17"/>
              </w:rPr>
              <w:t>(15.8)</w:t>
            </w:r>
          </w:p>
        </w:tc>
      </w:tr>
      <w:tr w:rsidR="00A46DCA" w:rsidRPr="009372C1" w:rsidTr="00A26D04">
        <w:tc>
          <w:tcPr>
            <w:cnfStyle w:val="001000000000" w:firstRow="0" w:lastRow="0" w:firstColumn="1" w:lastColumn="0" w:oddVBand="0" w:evenVBand="0" w:oddHBand="0" w:evenHBand="0" w:firstRowFirstColumn="0" w:firstRowLastColumn="0" w:lastRowFirstColumn="0" w:lastRowLastColumn="0"/>
            <w:tcW w:w="3969" w:type="dxa"/>
            <w:tcBorders>
              <w:top w:val="nil"/>
              <w:left w:val="nil"/>
              <w:bottom w:val="single" w:sz="6" w:space="0" w:color="auto"/>
              <w:right w:val="nil"/>
            </w:tcBorders>
            <w:shd w:val="clear" w:color="auto" w:fill="auto"/>
            <w:vAlign w:val="center"/>
            <w:hideMark/>
          </w:tcPr>
          <w:p w:rsidR="00A46DCA" w:rsidRPr="009372C1" w:rsidRDefault="00A46DCA" w:rsidP="00A26D04">
            <w:pPr>
              <w:keepLines w:val="0"/>
              <w:ind w:left="0" w:firstLine="0"/>
              <w:rPr>
                <w:rFonts w:eastAsia="Times New Roman" w:cs="Times New Roman"/>
                <w:b/>
                <w:bCs/>
                <w:color w:val="000000"/>
                <w:szCs w:val="14"/>
                <w:lang w:eastAsia="en-AU"/>
              </w:rPr>
            </w:pPr>
            <w:r w:rsidRPr="009372C1">
              <w:rPr>
                <w:rFonts w:eastAsia="Times New Roman" w:cs="Times New Roman"/>
                <w:b/>
                <w:bCs/>
                <w:color w:val="000000"/>
                <w:szCs w:val="14"/>
                <w:lang w:eastAsia="en-AU"/>
              </w:rPr>
              <w:t>Net result from transactions</w:t>
            </w:r>
          </w:p>
        </w:tc>
        <w:tc>
          <w:tcPr>
            <w:tcW w:w="949" w:type="dxa"/>
            <w:tcBorders>
              <w:top w:val="nil"/>
              <w:left w:val="nil"/>
              <w:bottom w:val="single" w:sz="6" w:space="0" w:color="auto"/>
              <w:right w:val="nil"/>
            </w:tcBorders>
            <w:shd w:val="clear" w:color="auto" w:fill="auto"/>
            <w:vAlign w:val="bottom"/>
            <w:hideMark/>
          </w:tcPr>
          <w:p w:rsidR="00A46DCA" w:rsidRPr="009372C1" w:rsidRDefault="00A46DCA" w:rsidP="00A26D04">
            <w:pPr>
              <w:cnfStyle w:val="000000000000" w:firstRow="0" w:lastRow="0" w:firstColumn="0" w:lastColumn="0" w:oddVBand="0" w:evenVBand="0" w:oddHBand="0" w:evenHBand="0" w:firstRowFirstColumn="0" w:firstRowLastColumn="0" w:lastRowFirstColumn="0" w:lastRowLastColumn="0"/>
              <w:rPr>
                <w:b/>
                <w:bCs/>
                <w:szCs w:val="17"/>
              </w:rPr>
            </w:pPr>
            <w:r w:rsidRPr="009372C1">
              <w:rPr>
                <w:b/>
                <w:bCs/>
                <w:szCs w:val="17"/>
              </w:rPr>
              <w:t>(2.2)</w:t>
            </w:r>
          </w:p>
        </w:tc>
        <w:tc>
          <w:tcPr>
            <w:tcW w:w="949" w:type="dxa"/>
            <w:tcBorders>
              <w:top w:val="nil"/>
              <w:left w:val="nil"/>
              <w:bottom w:val="single" w:sz="6" w:space="0" w:color="auto"/>
              <w:right w:val="nil"/>
            </w:tcBorders>
            <w:shd w:val="clear" w:color="auto" w:fill="auto"/>
            <w:vAlign w:val="bottom"/>
            <w:hideMark/>
          </w:tcPr>
          <w:p w:rsidR="00A46DCA" w:rsidRPr="009372C1" w:rsidRDefault="00A46DCA" w:rsidP="00A26D04">
            <w:pPr>
              <w:cnfStyle w:val="000000000000" w:firstRow="0" w:lastRow="0" w:firstColumn="0" w:lastColumn="0" w:oddVBand="0" w:evenVBand="0" w:oddHBand="0" w:evenHBand="0" w:firstRowFirstColumn="0" w:firstRowLastColumn="0" w:lastRowFirstColumn="0" w:lastRowLastColumn="0"/>
              <w:rPr>
                <w:b/>
                <w:bCs/>
                <w:szCs w:val="17"/>
              </w:rPr>
            </w:pPr>
            <w:r w:rsidRPr="009372C1">
              <w:rPr>
                <w:b/>
                <w:bCs/>
                <w:szCs w:val="17"/>
              </w:rPr>
              <w:t>29.2</w:t>
            </w:r>
          </w:p>
        </w:tc>
        <w:tc>
          <w:tcPr>
            <w:tcW w:w="949" w:type="dxa"/>
            <w:tcBorders>
              <w:top w:val="nil"/>
              <w:left w:val="nil"/>
              <w:bottom w:val="single" w:sz="6" w:space="0" w:color="auto"/>
              <w:right w:val="nil"/>
            </w:tcBorders>
            <w:shd w:val="clear" w:color="auto" w:fill="auto"/>
            <w:vAlign w:val="bottom"/>
            <w:hideMark/>
          </w:tcPr>
          <w:p w:rsidR="00A46DCA" w:rsidRPr="009372C1" w:rsidRDefault="00A46DCA" w:rsidP="00A26D04">
            <w:pPr>
              <w:cnfStyle w:val="000000000000" w:firstRow="0" w:lastRow="0" w:firstColumn="0" w:lastColumn="0" w:oddVBand="0" w:evenVBand="0" w:oddHBand="0" w:evenHBand="0" w:firstRowFirstColumn="0" w:firstRowLastColumn="0" w:lastRowFirstColumn="0" w:lastRowLastColumn="0"/>
              <w:rPr>
                <w:b/>
                <w:bCs/>
                <w:szCs w:val="17"/>
              </w:rPr>
            </w:pPr>
            <w:r w:rsidRPr="009372C1">
              <w:rPr>
                <w:b/>
                <w:bCs/>
                <w:szCs w:val="17"/>
              </w:rPr>
              <w:t>193.2</w:t>
            </w:r>
          </w:p>
        </w:tc>
        <w:tc>
          <w:tcPr>
            <w:tcW w:w="949" w:type="dxa"/>
            <w:tcBorders>
              <w:top w:val="nil"/>
              <w:left w:val="nil"/>
              <w:bottom w:val="single" w:sz="6" w:space="0" w:color="auto"/>
              <w:right w:val="nil"/>
            </w:tcBorders>
            <w:shd w:val="clear" w:color="auto" w:fill="auto"/>
            <w:vAlign w:val="bottom"/>
            <w:hideMark/>
          </w:tcPr>
          <w:p w:rsidR="00A46DCA" w:rsidRPr="009372C1" w:rsidRDefault="00A46DCA" w:rsidP="00A26D04">
            <w:pPr>
              <w:cnfStyle w:val="000000000000" w:firstRow="0" w:lastRow="0" w:firstColumn="0" w:lastColumn="0" w:oddVBand="0" w:evenVBand="0" w:oddHBand="0" w:evenHBand="0" w:firstRowFirstColumn="0" w:firstRowLastColumn="0" w:lastRowFirstColumn="0" w:lastRowLastColumn="0"/>
              <w:rPr>
                <w:b/>
                <w:bCs/>
                <w:szCs w:val="17"/>
              </w:rPr>
            </w:pPr>
            <w:r w:rsidRPr="009372C1">
              <w:rPr>
                <w:b/>
                <w:bCs/>
                <w:szCs w:val="17"/>
              </w:rPr>
              <w:t>371.8</w:t>
            </w:r>
          </w:p>
        </w:tc>
      </w:tr>
      <w:tr w:rsidR="00A46DCA" w:rsidRPr="009372C1" w:rsidTr="00A26D04">
        <w:tc>
          <w:tcPr>
            <w:cnfStyle w:val="001000000000" w:firstRow="0" w:lastRow="0" w:firstColumn="1" w:lastColumn="0" w:oddVBand="0" w:evenVBand="0" w:oddHBand="0" w:evenHBand="0" w:firstRowFirstColumn="0" w:firstRowLastColumn="0" w:lastRowFirstColumn="0" w:lastRowLastColumn="0"/>
            <w:tcW w:w="3969" w:type="dxa"/>
            <w:tcBorders>
              <w:top w:val="single" w:sz="6" w:space="0" w:color="auto"/>
              <w:left w:val="nil"/>
              <w:bottom w:val="single" w:sz="6" w:space="0" w:color="auto"/>
              <w:right w:val="nil"/>
            </w:tcBorders>
            <w:shd w:val="clear" w:color="auto" w:fill="auto"/>
            <w:vAlign w:val="center"/>
            <w:hideMark/>
          </w:tcPr>
          <w:p w:rsidR="00A46DCA" w:rsidRPr="009372C1" w:rsidRDefault="00A46DCA" w:rsidP="00A26D04">
            <w:pPr>
              <w:keepLines w:val="0"/>
              <w:ind w:left="0" w:firstLine="0"/>
              <w:rPr>
                <w:rFonts w:eastAsia="Times New Roman" w:cs="Times New Roman"/>
                <w:color w:val="000000"/>
                <w:szCs w:val="14"/>
                <w:lang w:eastAsia="en-AU"/>
              </w:rPr>
            </w:pPr>
            <w:r w:rsidRPr="009372C1">
              <w:rPr>
                <w:rFonts w:eastAsia="Times New Roman" w:cs="Times New Roman"/>
                <w:color w:val="000000"/>
                <w:szCs w:val="14"/>
                <w:lang w:eastAsia="en-AU"/>
              </w:rPr>
              <w:t>Other economic flows</w:t>
            </w:r>
          </w:p>
        </w:tc>
        <w:tc>
          <w:tcPr>
            <w:tcW w:w="949" w:type="dxa"/>
            <w:tcBorders>
              <w:top w:val="single" w:sz="6" w:space="0" w:color="auto"/>
              <w:left w:val="nil"/>
              <w:bottom w:val="single" w:sz="6" w:space="0" w:color="auto"/>
              <w:right w:val="nil"/>
            </w:tcBorders>
            <w:shd w:val="clear" w:color="auto" w:fill="auto"/>
            <w:vAlign w:val="bottom"/>
            <w:hideMark/>
          </w:tcPr>
          <w:p w:rsidR="00A46DCA" w:rsidRPr="009372C1" w:rsidRDefault="00A46DCA" w:rsidP="00A26D04">
            <w:pPr>
              <w:cnfStyle w:val="000000000000" w:firstRow="0" w:lastRow="0" w:firstColumn="0" w:lastColumn="0" w:oddVBand="0" w:evenVBand="0" w:oddHBand="0" w:evenHBand="0" w:firstRowFirstColumn="0" w:firstRowLastColumn="0" w:lastRowFirstColumn="0" w:lastRowLastColumn="0"/>
              <w:rPr>
                <w:szCs w:val="17"/>
              </w:rPr>
            </w:pPr>
            <w:r w:rsidRPr="009372C1">
              <w:rPr>
                <w:szCs w:val="17"/>
              </w:rPr>
              <w:t>0.1</w:t>
            </w:r>
          </w:p>
        </w:tc>
        <w:tc>
          <w:tcPr>
            <w:tcW w:w="949" w:type="dxa"/>
            <w:tcBorders>
              <w:top w:val="single" w:sz="6" w:space="0" w:color="auto"/>
              <w:left w:val="nil"/>
              <w:bottom w:val="single" w:sz="6" w:space="0" w:color="auto"/>
              <w:right w:val="nil"/>
            </w:tcBorders>
            <w:shd w:val="clear" w:color="auto" w:fill="auto"/>
            <w:vAlign w:val="bottom"/>
            <w:hideMark/>
          </w:tcPr>
          <w:p w:rsidR="00A46DCA" w:rsidRPr="009372C1" w:rsidRDefault="00A46DCA" w:rsidP="00A26D04">
            <w:pPr>
              <w:cnfStyle w:val="000000000000" w:firstRow="0" w:lastRow="0" w:firstColumn="0" w:lastColumn="0" w:oddVBand="0" w:evenVBand="0" w:oddHBand="0" w:evenHBand="0" w:firstRowFirstColumn="0" w:firstRowLastColumn="0" w:lastRowFirstColumn="0" w:lastRowLastColumn="0"/>
              <w:rPr>
                <w:szCs w:val="17"/>
              </w:rPr>
            </w:pPr>
            <w:r w:rsidRPr="009372C1">
              <w:rPr>
                <w:szCs w:val="17"/>
              </w:rPr>
              <w:t>0.2</w:t>
            </w:r>
          </w:p>
        </w:tc>
        <w:tc>
          <w:tcPr>
            <w:tcW w:w="949" w:type="dxa"/>
            <w:tcBorders>
              <w:top w:val="single" w:sz="6" w:space="0" w:color="auto"/>
              <w:left w:val="nil"/>
              <w:bottom w:val="single" w:sz="6" w:space="0" w:color="auto"/>
              <w:right w:val="nil"/>
            </w:tcBorders>
            <w:shd w:val="clear" w:color="auto" w:fill="auto"/>
            <w:vAlign w:val="bottom"/>
            <w:hideMark/>
          </w:tcPr>
          <w:p w:rsidR="00A46DCA" w:rsidRPr="009372C1" w:rsidRDefault="00A46DCA" w:rsidP="00A26D04">
            <w:pPr>
              <w:cnfStyle w:val="000000000000" w:firstRow="0" w:lastRow="0" w:firstColumn="0" w:lastColumn="0" w:oddVBand="0" w:evenVBand="0" w:oddHBand="0" w:evenHBand="0" w:firstRowFirstColumn="0" w:firstRowLastColumn="0" w:lastRowFirstColumn="0" w:lastRowLastColumn="0"/>
              <w:rPr>
                <w:szCs w:val="17"/>
              </w:rPr>
            </w:pPr>
            <w:r w:rsidRPr="009372C1">
              <w:rPr>
                <w:szCs w:val="17"/>
              </w:rPr>
              <w:t>0.6</w:t>
            </w:r>
          </w:p>
        </w:tc>
        <w:tc>
          <w:tcPr>
            <w:tcW w:w="949" w:type="dxa"/>
            <w:tcBorders>
              <w:top w:val="single" w:sz="6" w:space="0" w:color="auto"/>
              <w:left w:val="nil"/>
              <w:bottom w:val="single" w:sz="6" w:space="0" w:color="auto"/>
              <w:right w:val="nil"/>
            </w:tcBorders>
            <w:shd w:val="clear" w:color="auto" w:fill="auto"/>
            <w:vAlign w:val="bottom"/>
            <w:hideMark/>
          </w:tcPr>
          <w:p w:rsidR="00A46DCA" w:rsidRPr="009372C1" w:rsidRDefault="00A46DCA" w:rsidP="00A26D04">
            <w:pPr>
              <w:cnfStyle w:val="000000000000" w:firstRow="0" w:lastRow="0" w:firstColumn="0" w:lastColumn="0" w:oddVBand="0" w:evenVBand="0" w:oddHBand="0" w:evenHBand="0" w:firstRowFirstColumn="0" w:firstRowLastColumn="0" w:lastRowFirstColumn="0" w:lastRowLastColumn="0"/>
              <w:rPr>
                <w:szCs w:val="17"/>
              </w:rPr>
            </w:pPr>
            <w:r w:rsidRPr="009372C1">
              <w:rPr>
                <w:szCs w:val="17"/>
              </w:rPr>
              <w:t>1.3</w:t>
            </w:r>
          </w:p>
        </w:tc>
      </w:tr>
      <w:tr w:rsidR="00A46DCA" w:rsidRPr="009372C1" w:rsidTr="00A26D04">
        <w:tc>
          <w:tcPr>
            <w:cnfStyle w:val="001000000000" w:firstRow="0" w:lastRow="0" w:firstColumn="1" w:lastColumn="0" w:oddVBand="0" w:evenVBand="0" w:oddHBand="0" w:evenHBand="0" w:firstRowFirstColumn="0" w:firstRowLastColumn="0" w:lastRowFirstColumn="0" w:lastRowLastColumn="0"/>
            <w:tcW w:w="3969" w:type="dxa"/>
            <w:tcBorders>
              <w:top w:val="single" w:sz="6" w:space="0" w:color="auto"/>
              <w:left w:val="nil"/>
              <w:bottom w:val="single" w:sz="6" w:space="0" w:color="auto"/>
              <w:right w:val="nil"/>
            </w:tcBorders>
            <w:shd w:val="clear" w:color="auto" w:fill="auto"/>
            <w:vAlign w:val="center"/>
            <w:hideMark/>
          </w:tcPr>
          <w:p w:rsidR="00A46DCA" w:rsidRPr="009372C1" w:rsidRDefault="00A46DCA" w:rsidP="00A26D04">
            <w:pPr>
              <w:keepLines w:val="0"/>
              <w:ind w:left="0" w:firstLine="0"/>
              <w:rPr>
                <w:rFonts w:eastAsia="Times New Roman" w:cs="Times New Roman"/>
                <w:b/>
                <w:bCs/>
                <w:color w:val="000000"/>
                <w:szCs w:val="14"/>
                <w:lang w:eastAsia="en-AU"/>
              </w:rPr>
            </w:pPr>
            <w:r w:rsidRPr="009372C1">
              <w:rPr>
                <w:rFonts w:eastAsia="Times New Roman" w:cs="Times New Roman"/>
                <w:b/>
                <w:bCs/>
                <w:color w:val="000000"/>
                <w:szCs w:val="14"/>
                <w:lang w:eastAsia="en-AU"/>
              </w:rPr>
              <w:t>Net result</w:t>
            </w:r>
          </w:p>
        </w:tc>
        <w:tc>
          <w:tcPr>
            <w:tcW w:w="949" w:type="dxa"/>
            <w:tcBorders>
              <w:top w:val="single" w:sz="6" w:space="0" w:color="auto"/>
              <w:left w:val="nil"/>
              <w:bottom w:val="single" w:sz="6" w:space="0" w:color="auto"/>
              <w:right w:val="nil"/>
            </w:tcBorders>
            <w:shd w:val="clear" w:color="auto" w:fill="auto"/>
            <w:vAlign w:val="bottom"/>
            <w:hideMark/>
          </w:tcPr>
          <w:p w:rsidR="00A46DCA" w:rsidRPr="009372C1" w:rsidRDefault="00A46DCA" w:rsidP="00A26D04">
            <w:pPr>
              <w:cnfStyle w:val="000000000000" w:firstRow="0" w:lastRow="0" w:firstColumn="0" w:lastColumn="0" w:oddVBand="0" w:evenVBand="0" w:oddHBand="0" w:evenHBand="0" w:firstRowFirstColumn="0" w:firstRowLastColumn="0" w:lastRowFirstColumn="0" w:lastRowLastColumn="0"/>
              <w:rPr>
                <w:b/>
                <w:bCs/>
                <w:szCs w:val="17"/>
              </w:rPr>
            </w:pPr>
            <w:r w:rsidRPr="009372C1">
              <w:rPr>
                <w:b/>
                <w:bCs/>
                <w:szCs w:val="17"/>
              </w:rPr>
              <w:t>(2.1)</w:t>
            </w:r>
          </w:p>
        </w:tc>
        <w:tc>
          <w:tcPr>
            <w:tcW w:w="949" w:type="dxa"/>
            <w:tcBorders>
              <w:top w:val="single" w:sz="6" w:space="0" w:color="auto"/>
              <w:left w:val="nil"/>
              <w:bottom w:val="single" w:sz="6" w:space="0" w:color="auto"/>
              <w:right w:val="nil"/>
            </w:tcBorders>
            <w:shd w:val="clear" w:color="auto" w:fill="auto"/>
            <w:vAlign w:val="bottom"/>
            <w:hideMark/>
          </w:tcPr>
          <w:p w:rsidR="00A46DCA" w:rsidRPr="009372C1" w:rsidRDefault="00A46DCA" w:rsidP="00A26D04">
            <w:pPr>
              <w:cnfStyle w:val="000000000000" w:firstRow="0" w:lastRow="0" w:firstColumn="0" w:lastColumn="0" w:oddVBand="0" w:evenVBand="0" w:oddHBand="0" w:evenHBand="0" w:firstRowFirstColumn="0" w:firstRowLastColumn="0" w:lastRowFirstColumn="0" w:lastRowLastColumn="0"/>
              <w:rPr>
                <w:b/>
                <w:bCs/>
                <w:szCs w:val="17"/>
              </w:rPr>
            </w:pPr>
            <w:r w:rsidRPr="009372C1">
              <w:rPr>
                <w:b/>
                <w:bCs/>
                <w:szCs w:val="17"/>
              </w:rPr>
              <w:t>29.4</w:t>
            </w:r>
          </w:p>
        </w:tc>
        <w:tc>
          <w:tcPr>
            <w:tcW w:w="949" w:type="dxa"/>
            <w:tcBorders>
              <w:top w:val="single" w:sz="6" w:space="0" w:color="auto"/>
              <w:left w:val="nil"/>
              <w:bottom w:val="single" w:sz="6" w:space="0" w:color="auto"/>
              <w:right w:val="nil"/>
            </w:tcBorders>
            <w:shd w:val="clear" w:color="auto" w:fill="auto"/>
            <w:vAlign w:val="bottom"/>
            <w:hideMark/>
          </w:tcPr>
          <w:p w:rsidR="00A46DCA" w:rsidRPr="009372C1" w:rsidRDefault="00A46DCA" w:rsidP="00A26D04">
            <w:pPr>
              <w:cnfStyle w:val="000000000000" w:firstRow="0" w:lastRow="0" w:firstColumn="0" w:lastColumn="0" w:oddVBand="0" w:evenVBand="0" w:oddHBand="0" w:evenHBand="0" w:firstRowFirstColumn="0" w:firstRowLastColumn="0" w:lastRowFirstColumn="0" w:lastRowLastColumn="0"/>
              <w:rPr>
                <w:b/>
                <w:bCs/>
                <w:szCs w:val="17"/>
              </w:rPr>
            </w:pPr>
            <w:r w:rsidRPr="009372C1">
              <w:rPr>
                <w:b/>
                <w:bCs/>
                <w:szCs w:val="17"/>
              </w:rPr>
              <w:t>193.8</w:t>
            </w:r>
          </w:p>
        </w:tc>
        <w:tc>
          <w:tcPr>
            <w:tcW w:w="949" w:type="dxa"/>
            <w:tcBorders>
              <w:top w:val="single" w:sz="6" w:space="0" w:color="auto"/>
              <w:left w:val="nil"/>
              <w:bottom w:val="single" w:sz="6" w:space="0" w:color="auto"/>
              <w:right w:val="nil"/>
            </w:tcBorders>
            <w:shd w:val="clear" w:color="auto" w:fill="auto"/>
            <w:vAlign w:val="bottom"/>
            <w:hideMark/>
          </w:tcPr>
          <w:p w:rsidR="00A46DCA" w:rsidRPr="009372C1" w:rsidRDefault="00A46DCA" w:rsidP="00A26D04">
            <w:pPr>
              <w:cnfStyle w:val="000000000000" w:firstRow="0" w:lastRow="0" w:firstColumn="0" w:lastColumn="0" w:oddVBand="0" w:evenVBand="0" w:oddHBand="0" w:evenHBand="0" w:firstRowFirstColumn="0" w:firstRowLastColumn="0" w:lastRowFirstColumn="0" w:lastRowLastColumn="0"/>
              <w:rPr>
                <w:b/>
                <w:bCs/>
                <w:szCs w:val="17"/>
              </w:rPr>
            </w:pPr>
            <w:r w:rsidRPr="009372C1">
              <w:rPr>
                <w:b/>
                <w:bCs/>
                <w:szCs w:val="17"/>
              </w:rPr>
              <w:t>373.0</w:t>
            </w:r>
          </w:p>
        </w:tc>
      </w:tr>
      <w:tr w:rsidR="00A46DCA" w:rsidRPr="009372C1" w:rsidTr="00A26D04">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9" w:type="dxa"/>
            <w:tcBorders>
              <w:top w:val="single" w:sz="6" w:space="0" w:color="auto"/>
              <w:bottom w:val="single" w:sz="12" w:space="0" w:color="auto"/>
            </w:tcBorders>
            <w:shd w:val="clear" w:color="auto" w:fill="auto"/>
            <w:vAlign w:val="center"/>
            <w:hideMark/>
          </w:tcPr>
          <w:p w:rsidR="00A46DCA" w:rsidRPr="009372C1" w:rsidRDefault="00A46DCA" w:rsidP="00A26D04">
            <w:pPr>
              <w:rPr>
                <w:b w:val="0"/>
                <w:lang w:eastAsia="en-AU"/>
              </w:rPr>
            </w:pPr>
            <w:r w:rsidRPr="009372C1">
              <w:rPr>
                <w:lang w:eastAsia="en-AU"/>
              </w:rPr>
              <w:t>Net debt (cumulative)</w:t>
            </w:r>
          </w:p>
        </w:tc>
        <w:tc>
          <w:tcPr>
            <w:tcW w:w="949" w:type="dxa"/>
            <w:tcBorders>
              <w:top w:val="single" w:sz="6" w:space="0" w:color="auto"/>
              <w:bottom w:val="single" w:sz="12" w:space="0" w:color="auto"/>
            </w:tcBorders>
            <w:shd w:val="clear" w:color="auto" w:fill="auto"/>
            <w:vAlign w:val="bottom"/>
            <w:hideMark/>
          </w:tcPr>
          <w:p w:rsidR="00A46DCA" w:rsidRPr="009372C1" w:rsidRDefault="00A46DCA" w:rsidP="00A26D04">
            <w:pPr>
              <w:cnfStyle w:val="010000000000" w:firstRow="0" w:lastRow="1" w:firstColumn="0" w:lastColumn="0" w:oddVBand="0" w:evenVBand="0" w:oddHBand="0" w:evenHBand="0" w:firstRowFirstColumn="0" w:firstRowLastColumn="0" w:lastRowFirstColumn="0" w:lastRowLastColumn="0"/>
              <w:rPr>
                <w:szCs w:val="17"/>
              </w:rPr>
            </w:pPr>
            <w:r w:rsidRPr="009372C1">
              <w:rPr>
                <w:szCs w:val="17"/>
              </w:rPr>
              <w:t>1.5</w:t>
            </w:r>
          </w:p>
        </w:tc>
        <w:tc>
          <w:tcPr>
            <w:tcW w:w="949" w:type="dxa"/>
            <w:tcBorders>
              <w:top w:val="single" w:sz="6" w:space="0" w:color="auto"/>
              <w:bottom w:val="single" w:sz="12" w:space="0" w:color="auto"/>
            </w:tcBorders>
            <w:shd w:val="clear" w:color="auto" w:fill="auto"/>
            <w:vAlign w:val="bottom"/>
            <w:hideMark/>
          </w:tcPr>
          <w:p w:rsidR="00A46DCA" w:rsidRPr="009372C1" w:rsidRDefault="00A46DCA" w:rsidP="00A26D04">
            <w:pPr>
              <w:cnfStyle w:val="010000000000" w:firstRow="0" w:lastRow="1" w:firstColumn="0" w:lastColumn="0" w:oddVBand="0" w:evenVBand="0" w:oddHBand="0" w:evenHBand="0" w:firstRowFirstColumn="0" w:firstRowLastColumn="0" w:lastRowFirstColumn="0" w:lastRowLastColumn="0"/>
              <w:rPr>
                <w:szCs w:val="17"/>
              </w:rPr>
            </w:pPr>
            <w:r w:rsidRPr="009372C1">
              <w:rPr>
                <w:szCs w:val="17"/>
              </w:rPr>
              <w:t>(28.8)</w:t>
            </w:r>
          </w:p>
        </w:tc>
        <w:tc>
          <w:tcPr>
            <w:tcW w:w="949" w:type="dxa"/>
            <w:tcBorders>
              <w:top w:val="single" w:sz="6" w:space="0" w:color="auto"/>
              <w:bottom w:val="single" w:sz="12" w:space="0" w:color="auto"/>
            </w:tcBorders>
            <w:shd w:val="clear" w:color="auto" w:fill="auto"/>
            <w:vAlign w:val="bottom"/>
            <w:hideMark/>
          </w:tcPr>
          <w:p w:rsidR="00A46DCA" w:rsidRPr="009372C1" w:rsidRDefault="00A46DCA" w:rsidP="00A26D04">
            <w:pPr>
              <w:cnfStyle w:val="010000000000" w:firstRow="0" w:lastRow="1" w:firstColumn="0" w:lastColumn="0" w:oddVBand="0" w:evenVBand="0" w:oddHBand="0" w:evenHBand="0" w:firstRowFirstColumn="0" w:firstRowLastColumn="0" w:lastRowFirstColumn="0" w:lastRowLastColumn="0"/>
              <w:rPr>
                <w:szCs w:val="17"/>
              </w:rPr>
            </w:pPr>
            <w:r w:rsidRPr="009372C1">
              <w:rPr>
                <w:szCs w:val="17"/>
              </w:rPr>
              <w:t>(226.5)</w:t>
            </w:r>
          </w:p>
        </w:tc>
        <w:tc>
          <w:tcPr>
            <w:tcW w:w="949" w:type="dxa"/>
            <w:tcBorders>
              <w:top w:val="single" w:sz="6" w:space="0" w:color="auto"/>
              <w:bottom w:val="single" w:sz="12" w:space="0" w:color="auto"/>
            </w:tcBorders>
            <w:shd w:val="clear" w:color="auto" w:fill="auto"/>
            <w:vAlign w:val="bottom"/>
            <w:hideMark/>
          </w:tcPr>
          <w:p w:rsidR="00A46DCA" w:rsidRPr="009372C1" w:rsidRDefault="00A46DCA" w:rsidP="00A26D04">
            <w:pPr>
              <w:cnfStyle w:val="010000000000" w:firstRow="0" w:lastRow="1" w:firstColumn="0" w:lastColumn="0" w:oddVBand="0" w:evenVBand="0" w:oddHBand="0" w:evenHBand="0" w:firstRowFirstColumn="0" w:firstRowLastColumn="0" w:lastRowFirstColumn="0" w:lastRowLastColumn="0"/>
              <w:rPr>
                <w:szCs w:val="17"/>
              </w:rPr>
            </w:pPr>
            <w:r w:rsidRPr="009372C1">
              <w:rPr>
                <w:szCs w:val="17"/>
              </w:rPr>
              <w:t>(607.6)</w:t>
            </w:r>
          </w:p>
        </w:tc>
      </w:tr>
    </w:tbl>
    <w:p w:rsidR="00A46DCA" w:rsidRPr="00442C0B" w:rsidRDefault="00A46DCA" w:rsidP="00A26D04">
      <w:pPr>
        <w:spacing w:before="20"/>
        <w:rPr>
          <w:rFonts w:ascii="Calibri" w:eastAsia="Garamond" w:hAnsi="Calibri" w:cs="Times New Roman"/>
          <w:i/>
          <w:spacing w:val="-2"/>
          <w:sz w:val="14"/>
        </w:rPr>
      </w:pPr>
      <w:r w:rsidRPr="00442C0B">
        <w:rPr>
          <w:rFonts w:ascii="Calibri" w:eastAsia="Garamond" w:hAnsi="Calibri" w:cs="Times New Roman"/>
          <w:i/>
          <w:spacing w:val="-2"/>
          <w:sz w:val="14"/>
        </w:rPr>
        <w:t xml:space="preserve">Source: Department of Treasury and Finance </w:t>
      </w:r>
    </w:p>
    <w:p w:rsidR="00A46DCA" w:rsidRDefault="00A46DCA" w:rsidP="00A26D04">
      <w:pPr>
        <w:sectPr w:rsidR="00A46DCA" w:rsidSect="00A26D04">
          <w:footerReference w:type="even" r:id="rId100"/>
          <w:footerReference w:type="default" r:id="rId101"/>
          <w:type w:val="continuous"/>
          <w:pgSz w:w="9979" w:h="14175" w:code="9"/>
          <w:pgMar w:top="850" w:right="1134" w:bottom="850" w:left="1134" w:header="624" w:footer="567" w:gutter="0"/>
          <w:cols w:sep="1" w:space="567"/>
          <w:docGrid w:linePitch="360"/>
        </w:sectPr>
      </w:pPr>
    </w:p>
    <w:p w:rsidR="00A46DCA" w:rsidRDefault="00A46DCA" w:rsidP="00480C94">
      <w:pPr>
        <w:sectPr w:rsidR="00A46DCA" w:rsidSect="00A26D04">
          <w:footerReference w:type="even" r:id="rId102"/>
          <w:footerReference w:type="default" r:id="rId103"/>
          <w:type w:val="continuous"/>
          <w:pgSz w:w="9979" w:h="14175" w:code="9"/>
          <w:pgMar w:top="851" w:right="1134" w:bottom="851" w:left="1134" w:header="624" w:footer="567" w:gutter="0"/>
          <w:cols w:sep="1" w:space="567"/>
          <w:docGrid w:linePitch="360"/>
        </w:sectPr>
      </w:pPr>
    </w:p>
    <w:p w:rsidR="00A46DCA" w:rsidRDefault="00A46DCA" w:rsidP="00526B73">
      <w:pPr>
        <w:pStyle w:val="Chapterheading"/>
      </w:pPr>
      <w:bookmarkStart w:id="104" w:name="_Toc500435602"/>
      <w:r>
        <w:lastRenderedPageBreak/>
        <w:t xml:space="preserve">Appendix E – Requirements of The </w:t>
      </w:r>
      <w:r w:rsidRPr="00B604A9">
        <w:rPr>
          <w:i/>
        </w:rPr>
        <w:t>Financial Management Act 1994</w:t>
      </w:r>
      <w:bookmarkEnd w:id="104"/>
    </w:p>
    <w:p w:rsidR="00A46DCA" w:rsidRDefault="00A46DCA" w:rsidP="00A26D04">
      <w:r>
        <w:t xml:space="preserve">The </w:t>
      </w:r>
      <w:r w:rsidRPr="00B604A9">
        <w:rPr>
          <w:i/>
        </w:rPr>
        <w:t>Financial Management Act 1994</w:t>
      </w:r>
      <w:r>
        <w:t xml:space="preserve"> (the Act) requires the Minister to prepare a budget update for tabling in Parliament each financial year. The provisions of the Act have been complied with in the </w:t>
      </w:r>
      <w:r w:rsidRPr="00B604A9">
        <w:rPr>
          <w:i/>
        </w:rPr>
        <w:t>2017</w:t>
      </w:r>
      <w:r w:rsidRPr="00B604A9">
        <w:rPr>
          <w:i/>
        </w:rPr>
        <w:noBreakHyphen/>
        <w:t>18 Budget Update</w:t>
      </w:r>
      <w:r>
        <w:t>.</w:t>
      </w:r>
    </w:p>
    <w:p w:rsidR="00A46DCA" w:rsidRDefault="00A46DCA" w:rsidP="00A26D04">
      <w:r>
        <w:t>Table E.1 details the statements required to be included in this document under the provisions of the Act together with appropriate chapter references.</w:t>
      </w:r>
    </w:p>
    <w:p w:rsidR="00A46DCA" w:rsidRPr="00B604A9" w:rsidRDefault="00A46DCA" w:rsidP="00A26D04">
      <w:pPr>
        <w:pStyle w:val="TableHeading"/>
      </w:pPr>
      <w:r>
        <w:t>Table E.1:</w:t>
      </w:r>
      <w:r>
        <w:tab/>
        <w:t xml:space="preserve">Statements required by the </w:t>
      </w:r>
      <w:r w:rsidRPr="00B604A9">
        <w:rPr>
          <w:i/>
        </w:rPr>
        <w:t>Financial Management Act 1994</w:t>
      </w:r>
      <w:r>
        <w:t xml:space="preserve"> and location in the </w:t>
      </w:r>
      <w:r w:rsidRPr="00B604A9">
        <w:rPr>
          <w:i/>
        </w:rPr>
        <w:t>2017</w:t>
      </w:r>
      <w:r>
        <w:rPr>
          <w:i/>
        </w:rPr>
        <w:t>-</w:t>
      </w:r>
      <w:r w:rsidRPr="00B604A9">
        <w:rPr>
          <w:i/>
        </w:rPr>
        <w:t>18 Budget Update</w:t>
      </w:r>
    </w:p>
    <w:tbl>
      <w:tblPr>
        <w:tblStyle w:val="DTFTextTable"/>
        <w:tblW w:w="0" w:type="auto"/>
        <w:tblLook w:val="06A0" w:firstRow="1" w:lastRow="0" w:firstColumn="1" w:lastColumn="0" w:noHBand="1" w:noVBand="1"/>
      </w:tblPr>
      <w:tblGrid>
        <w:gridCol w:w="3896"/>
        <w:gridCol w:w="3893"/>
      </w:tblGrid>
      <w:tr w:rsidR="00A46DCA" w:rsidRPr="00642A0E" w:rsidTr="00A26D0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6" w:type="dxa"/>
          </w:tcPr>
          <w:p w:rsidR="00A46DCA" w:rsidRPr="00642A0E" w:rsidRDefault="00A46DCA" w:rsidP="00A26D04">
            <w:r w:rsidRPr="00642A0E">
              <w:t xml:space="preserve">Relevant section of the Act and </w:t>
            </w:r>
            <w:r w:rsidRPr="00642A0E">
              <w:br/>
              <w:t>corresponding requirement</w:t>
            </w:r>
          </w:p>
        </w:tc>
        <w:tc>
          <w:tcPr>
            <w:tcW w:w="3893" w:type="dxa"/>
          </w:tcPr>
          <w:p w:rsidR="00A46DCA" w:rsidRPr="00642A0E" w:rsidRDefault="00A46DCA" w:rsidP="00A26D04">
            <w:pPr>
              <w:cnfStyle w:val="100000000000" w:firstRow="1" w:lastRow="0" w:firstColumn="0" w:lastColumn="0" w:oddVBand="0" w:evenVBand="0" w:oddHBand="0" w:evenHBand="0" w:firstRowFirstColumn="0" w:firstRowLastColumn="0" w:lastRowFirstColumn="0" w:lastRowLastColumn="0"/>
            </w:pPr>
            <w:r w:rsidRPr="00642A0E">
              <w:t>Location</w:t>
            </w:r>
          </w:p>
        </w:tc>
      </w:tr>
      <w:tr w:rsidR="00A46DCA" w:rsidRPr="00B604A9" w:rsidTr="00A26D04">
        <w:tc>
          <w:tcPr>
            <w:cnfStyle w:val="001000000000" w:firstRow="0" w:lastRow="0" w:firstColumn="1" w:lastColumn="0" w:oddVBand="0" w:evenVBand="0" w:oddHBand="0" w:evenHBand="0" w:firstRowFirstColumn="0" w:firstRowLastColumn="0" w:lastRowFirstColumn="0" w:lastRowLastColumn="0"/>
            <w:tcW w:w="3896" w:type="dxa"/>
          </w:tcPr>
          <w:p w:rsidR="00A46DCA" w:rsidRPr="00B604A9" w:rsidRDefault="00A46DCA" w:rsidP="00A26D04">
            <w:pPr>
              <w:spacing w:before="60" w:after="60"/>
              <w:ind w:left="0" w:firstLine="0"/>
              <w:rPr>
                <w:b/>
              </w:rPr>
            </w:pPr>
            <w:r w:rsidRPr="00B604A9">
              <w:rPr>
                <w:b/>
              </w:rPr>
              <w:t>Sections 23 E</w:t>
            </w:r>
            <w:r w:rsidRPr="00B604A9">
              <w:rPr>
                <w:b/>
              </w:rPr>
              <w:noBreakHyphen/>
              <w:t>G</w:t>
            </w:r>
          </w:p>
        </w:tc>
        <w:tc>
          <w:tcPr>
            <w:tcW w:w="3893" w:type="dxa"/>
          </w:tcPr>
          <w:p w:rsidR="00A46DCA" w:rsidRPr="00B604A9" w:rsidRDefault="00A46DCA" w:rsidP="00A26D04">
            <w:pPr>
              <w:spacing w:before="60" w:after="60"/>
              <w:cnfStyle w:val="000000000000" w:firstRow="0" w:lastRow="0" w:firstColumn="0" w:lastColumn="0" w:oddVBand="0" w:evenVBand="0" w:oddHBand="0" w:evenHBand="0" w:firstRowFirstColumn="0" w:firstRowLastColumn="0" w:lastRowFirstColumn="0" w:lastRowLastColumn="0"/>
              <w:rPr>
                <w:b/>
              </w:rPr>
            </w:pPr>
          </w:p>
        </w:tc>
      </w:tr>
      <w:tr w:rsidR="00A46DCA" w:rsidRPr="00642A0E" w:rsidTr="00A26D04">
        <w:tc>
          <w:tcPr>
            <w:cnfStyle w:val="001000000000" w:firstRow="0" w:lastRow="0" w:firstColumn="1" w:lastColumn="0" w:oddVBand="0" w:evenVBand="0" w:oddHBand="0" w:evenHBand="0" w:firstRowFirstColumn="0" w:firstRowLastColumn="0" w:lastRowFirstColumn="0" w:lastRowLastColumn="0"/>
            <w:tcW w:w="3896" w:type="dxa"/>
          </w:tcPr>
          <w:p w:rsidR="00A46DCA" w:rsidRPr="00642A0E" w:rsidRDefault="00A46DCA" w:rsidP="00A26D04">
            <w:pPr>
              <w:spacing w:before="0" w:after="0"/>
              <w:ind w:left="0" w:firstLine="0"/>
            </w:pPr>
            <w:r w:rsidRPr="00642A0E">
              <w:t>Statement of financial policy objectives and strategies for the year.</w:t>
            </w:r>
          </w:p>
        </w:tc>
        <w:tc>
          <w:tcPr>
            <w:tcW w:w="3893" w:type="dxa"/>
          </w:tcPr>
          <w:p w:rsidR="00A46DCA" w:rsidRPr="00642A0E" w:rsidRDefault="00A46DCA" w:rsidP="00A26D04">
            <w:pPr>
              <w:spacing w:before="0" w:after="0"/>
              <w:cnfStyle w:val="000000000000" w:firstRow="0" w:lastRow="0" w:firstColumn="0" w:lastColumn="0" w:oddVBand="0" w:evenVBand="0" w:oddHBand="0" w:evenHBand="0" w:firstRowFirstColumn="0" w:firstRowLastColumn="0" w:lastRowFirstColumn="0" w:lastRowLastColumn="0"/>
            </w:pPr>
            <w:r w:rsidRPr="00642A0E">
              <w:t xml:space="preserve">Chapter 1 </w:t>
            </w:r>
            <w:r w:rsidRPr="00B604A9">
              <w:rPr>
                <w:i/>
              </w:rPr>
              <w:t>Economic and fiscal overview</w:t>
            </w:r>
          </w:p>
        </w:tc>
      </w:tr>
      <w:tr w:rsidR="00A46DCA" w:rsidRPr="00642A0E" w:rsidTr="00A26D04">
        <w:tc>
          <w:tcPr>
            <w:cnfStyle w:val="001000000000" w:firstRow="0" w:lastRow="0" w:firstColumn="1" w:lastColumn="0" w:oddVBand="0" w:evenVBand="0" w:oddHBand="0" w:evenHBand="0" w:firstRowFirstColumn="0" w:firstRowLastColumn="0" w:lastRowFirstColumn="0" w:lastRowLastColumn="0"/>
            <w:tcW w:w="3896" w:type="dxa"/>
          </w:tcPr>
          <w:p w:rsidR="00A46DCA" w:rsidRPr="00642A0E" w:rsidRDefault="00A46DCA" w:rsidP="00A26D04">
            <w:pPr>
              <w:spacing w:before="60" w:after="60"/>
              <w:ind w:left="0" w:firstLine="0"/>
              <w:rPr>
                <w:b/>
              </w:rPr>
            </w:pPr>
            <w:r w:rsidRPr="00642A0E">
              <w:rPr>
                <w:b/>
              </w:rPr>
              <w:t>Sections 23 H</w:t>
            </w:r>
            <w:r w:rsidRPr="00642A0E">
              <w:rPr>
                <w:b/>
              </w:rPr>
              <w:noBreakHyphen/>
              <w:t>N</w:t>
            </w:r>
          </w:p>
        </w:tc>
        <w:tc>
          <w:tcPr>
            <w:tcW w:w="3893" w:type="dxa"/>
          </w:tcPr>
          <w:p w:rsidR="00A46DCA" w:rsidRPr="00642A0E" w:rsidRDefault="00A46DCA" w:rsidP="00A26D04">
            <w:pPr>
              <w:spacing w:before="60" w:after="60"/>
              <w:cnfStyle w:val="000000000000" w:firstRow="0" w:lastRow="0" w:firstColumn="0" w:lastColumn="0" w:oddVBand="0" w:evenVBand="0" w:oddHBand="0" w:evenHBand="0" w:firstRowFirstColumn="0" w:firstRowLastColumn="0" w:lastRowFirstColumn="0" w:lastRowLastColumn="0"/>
            </w:pPr>
          </w:p>
        </w:tc>
      </w:tr>
      <w:tr w:rsidR="00A46DCA" w:rsidRPr="00642A0E" w:rsidTr="00A26D04">
        <w:tc>
          <w:tcPr>
            <w:cnfStyle w:val="001000000000" w:firstRow="0" w:lastRow="0" w:firstColumn="1" w:lastColumn="0" w:oddVBand="0" w:evenVBand="0" w:oddHBand="0" w:evenHBand="0" w:firstRowFirstColumn="0" w:firstRowLastColumn="0" w:lastRowFirstColumn="0" w:lastRowLastColumn="0"/>
            <w:tcW w:w="3896" w:type="dxa"/>
          </w:tcPr>
          <w:p w:rsidR="00A46DCA" w:rsidRPr="00642A0E" w:rsidRDefault="00A46DCA" w:rsidP="00A26D04">
            <w:pPr>
              <w:spacing w:before="0" w:after="0"/>
              <w:ind w:left="0" w:firstLine="0"/>
            </w:pPr>
            <w:r w:rsidRPr="00642A0E">
              <w:t>Estimated financial statements for the year comprising:</w:t>
            </w:r>
          </w:p>
          <w:p w:rsidR="00A46DCA" w:rsidRPr="00B604A9" w:rsidRDefault="00A46DCA" w:rsidP="00A26D04">
            <w:pPr>
              <w:pStyle w:val="ListBullet"/>
              <w:spacing w:before="0" w:after="0"/>
            </w:pPr>
            <w:r w:rsidRPr="00B604A9">
              <w:t>an estimated statement of financial performance for the year;</w:t>
            </w:r>
          </w:p>
          <w:p w:rsidR="00A46DCA" w:rsidRPr="00B604A9" w:rsidRDefault="00A46DCA" w:rsidP="00A26D04">
            <w:pPr>
              <w:pStyle w:val="ListBullet"/>
              <w:spacing w:before="0" w:after="0"/>
            </w:pPr>
            <w:r w:rsidRPr="00B604A9">
              <w:t>an estimated statement of financial position at the end of the year;</w:t>
            </w:r>
          </w:p>
          <w:p w:rsidR="00A46DCA" w:rsidRPr="00B604A9" w:rsidRDefault="00A46DCA" w:rsidP="00A26D04">
            <w:pPr>
              <w:pStyle w:val="ListBullet"/>
              <w:spacing w:before="0" w:after="0"/>
            </w:pPr>
            <w:r w:rsidRPr="00B604A9">
              <w:t xml:space="preserve">an estimated statement of cash flows for the year; </w:t>
            </w:r>
          </w:p>
          <w:p w:rsidR="00A46DCA" w:rsidRPr="00642A0E" w:rsidRDefault="00A46DCA" w:rsidP="00A26D04">
            <w:pPr>
              <w:pStyle w:val="ListBullet"/>
              <w:spacing w:before="0" w:after="0"/>
            </w:pPr>
            <w:r w:rsidRPr="00B604A9">
              <w:t>a statement of the accounting policies on which these statements are based and explanatory notes; and</w:t>
            </w:r>
          </w:p>
        </w:tc>
        <w:tc>
          <w:tcPr>
            <w:tcW w:w="3893" w:type="dxa"/>
          </w:tcPr>
          <w:p w:rsidR="00A46DCA" w:rsidRDefault="00A46DCA" w:rsidP="00A26D04">
            <w:pPr>
              <w:spacing w:before="0" w:after="0"/>
              <w:cnfStyle w:val="000000000000" w:firstRow="0" w:lastRow="0" w:firstColumn="0" w:lastColumn="0" w:oddVBand="0" w:evenVBand="0" w:oddHBand="0" w:evenHBand="0" w:firstRowFirstColumn="0" w:firstRowLastColumn="0" w:lastRowFirstColumn="0" w:lastRowLastColumn="0"/>
              <w:rPr>
                <w:i/>
              </w:rPr>
            </w:pPr>
            <w:r w:rsidRPr="00642A0E">
              <w:t xml:space="preserve">Chapter 4 </w:t>
            </w:r>
            <w:r w:rsidRPr="00B604A9">
              <w:rPr>
                <w:i/>
              </w:rPr>
              <w:t>Estimated financial statements and notes</w:t>
            </w:r>
          </w:p>
          <w:p w:rsidR="00A46DCA" w:rsidRPr="00B604A9" w:rsidRDefault="00A46DCA" w:rsidP="00A26D04">
            <w:pPr>
              <w:cnfStyle w:val="000000000000" w:firstRow="0" w:lastRow="0" w:firstColumn="0" w:lastColumn="0" w:oddVBand="0" w:evenVBand="0" w:oddHBand="0" w:evenHBand="0" w:firstRowFirstColumn="0" w:firstRowLastColumn="0" w:lastRowFirstColumn="0" w:lastRowLastColumn="0"/>
            </w:pPr>
            <w:r w:rsidRPr="00B604A9">
              <w:t>(estimated consolidated comprehensive operating statement; estimated consolidated balance sheet; estimated consolidated cash flow statement; and estimated consolidated statement of changes in equity provided as per AASB 1049)</w:t>
            </w:r>
          </w:p>
        </w:tc>
      </w:tr>
      <w:tr w:rsidR="00A46DCA" w:rsidRPr="00642A0E" w:rsidTr="00A26D04">
        <w:tc>
          <w:tcPr>
            <w:cnfStyle w:val="001000000000" w:firstRow="0" w:lastRow="0" w:firstColumn="1" w:lastColumn="0" w:oddVBand="0" w:evenVBand="0" w:oddHBand="0" w:evenHBand="0" w:firstRowFirstColumn="0" w:firstRowLastColumn="0" w:lastRowFirstColumn="0" w:lastRowLastColumn="0"/>
            <w:tcW w:w="3896" w:type="dxa"/>
          </w:tcPr>
          <w:p w:rsidR="00A46DCA" w:rsidRPr="00642A0E" w:rsidRDefault="00A46DCA" w:rsidP="00A26D04">
            <w:pPr>
              <w:pStyle w:val="ListBullet"/>
              <w:spacing w:before="0" w:after="0"/>
            </w:pPr>
            <w:r w:rsidRPr="00642A0E">
              <w:t xml:space="preserve">government decisions and other circumstances that may have a material effect on the estimated financial statements. </w:t>
            </w:r>
          </w:p>
        </w:tc>
        <w:tc>
          <w:tcPr>
            <w:tcW w:w="3893" w:type="dxa"/>
          </w:tcPr>
          <w:p w:rsidR="00A46DCA" w:rsidRPr="00642A0E" w:rsidRDefault="00A46DCA" w:rsidP="00A26D04">
            <w:pPr>
              <w:spacing w:before="0" w:after="0"/>
              <w:cnfStyle w:val="000000000000" w:firstRow="0" w:lastRow="0" w:firstColumn="0" w:lastColumn="0" w:oddVBand="0" w:evenVBand="0" w:oddHBand="0" w:evenHBand="0" w:firstRowFirstColumn="0" w:firstRowLastColumn="0" w:lastRowFirstColumn="0" w:lastRowLastColumn="0"/>
            </w:pPr>
            <w:r w:rsidRPr="00642A0E">
              <w:t xml:space="preserve">Appendix A </w:t>
            </w:r>
            <w:r w:rsidRPr="00B604A9">
              <w:rPr>
                <w:i/>
              </w:rPr>
              <w:t>Specific policy initiatives affecting the budget position</w:t>
            </w:r>
          </w:p>
        </w:tc>
      </w:tr>
    </w:tbl>
    <w:p w:rsidR="00A46DCA" w:rsidRDefault="00A46DCA" w:rsidP="00526B73"/>
    <w:p w:rsidR="00A46DCA" w:rsidRDefault="00A46DCA" w:rsidP="00A26D04">
      <w:pPr>
        <w:pStyle w:val="Heading10"/>
        <w:rPr>
          <w:sz w:val="20"/>
          <w:szCs w:val="20"/>
        </w:rPr>
      </w:pPr>
      <w:r>
        <w:br w:type="page"/>
      </w:r>
    </w:p>
    <w:p w:rsidR="00A46DCA" w:rsidRDefault="00A46DCA" w:rsidP="00A26D04">
      <w:pPr>
        <w:pStyle w:val="TableHeading"/>
      </w:pPr>
      <w:r w:rsidRPr="00B604A9">
        <w:lastRenderedPageBreak/>
        <w:t>Table E.1:</w:t>
      </w:r>
      <w:r w:rsidRPr="00B604A9">
        <w:tab/>
        <w:t xml:space="preserve">Statements required by the </w:t>
      </w:r>
      <w:r w:rsidRPr="00B604A9">
        <w:rPr>
          <w:i/>
        </w:rPr>
        <w:t>Financial Management Act 1994</w:t>
      </w:r>
      <w:r w:rsidRPr="00B604A9">
        <w:t xml:space="preserve"> and location in the </w:t>
      </w:r>
      <w:r w:rsidRPr="00B604A9">
        <w:rPr>
          <w:i/>
        </w:rPr>
        <w:t>2017</w:t>
      </w:r>
      <w:r>
        <w:rPr>
          <w:i/>
        </w:rPr>
        <w:t>-</w:t>
      </w:r>
      <w:r w:rsidRPr="00B604A9">
        <w:rPr>
          <w:i/>
        </w:rPr>
        <w:t>18 Budget Update</w:t>
      </w:r>
      <w:r w:rsidRPr="00B604A9">
        <w:t xml:space="preserve"> </w:t>
      </w:r>
      <w:r w:rsidRPr="00BD6A33">
        <w:rPr>
          <w:i/>
        </w:rPr>
        <w:t>(continued)</w:t>
      </w:r>
    </w:p>
    <w:tbl>
      <w:tblPr>
        <w:tblStyle w:val="DTFTextTable"/>
        <w:tblW w:w="0" w:type="auto"/>
        <w:tblLook w:val="06A0" w:firstRow="1" w:lastRow="0" w:firstColumn="1" w:lastColumn="0" w:noHBand="1" w:noVBand="1"/>
      </w:tblPr>
      <w:tblGrid>
        <w:gridCol w:w="3900"/>
        <w:gridCol w:w="3897"/>
      </w:tblGrid>
      <w:tr w:rsidR="00A46DCA" w:rsidRPr="00642A0E" w:rsidTr="00A26D0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8" w:type="dxa"/>
          </w:tcPr>
          <w:p w:rsidR="00A46DCA" w:rsidRPr="00642A0E" w:rsidRDefault="00A46DCA" w:rsidP="00A26D04">
            <w:pPr>
              <w:ind w:left="0" w:firstLine="0"/>
              <w:rPr>
                <w:i w:val="0"/>
              </w:rPr>
            </w:pPr>
            <w:r w:rsidRPr="00642A0E">
              <w:t xml:space="preserve">Relevant section of the Act and </w:t>
            </w:r>
            <w:r w:rsidRPr="00642A0E">
              <w:br/>
              <w:t>corresponding requirement</w:t>
            </w:r>
          </w:p>
        </w:tc>
        <w:tc>
          <w:tcPr>
            <w:tcW w:w="3926" w:type="dxa"/>
          </w:tcPr>
          <w:p w:rsidR="00A46DCA" w:rsidRPr="00642A0E" w:rsidRDefault="00A46DCA" w:rsidP="00A26D04">
            <w:pPr>
              <w:cnfStyle w:val="100000000000" w:firstRow="1" w:lastRow="0" w:firstColumn="0" w:lastColumn="0" w:oddVBand="0" w:evenVBand="0" w:oddHBand="0" w:evenHBand="0" w:firstRowFirstColumn="0" w:firstRowLastColumn="0" w:lastRowFirstColumn="0" w:lastRowLastColumn="0"/>
              <w:rPr>
                <w:i w:val="0"/>
              </w:rPr>
            </w:pPr>
            <w:r w:rsidRPr="00642A0E">
              <w:t>Location</w:t>
            </w:r>
          </w:p>
        </w:tc>
      </w:tr>
      <w:tr w:rsidR="00A46DCA" w:rsidRPr="00642A0E" w:rsidTr="00A26D04">
        <w:tc>
          <w:tcPr>
            <w:cnfStyle w:val="001000000000" w:firstRow="0" w:lastRow="0" w:firstColumn="1" w:lastColumn="0" w:oddVBand="0" w:evenVBand="0" w:oddHBand="0" w:evenHBand="0" w:firstRowFirstColumn="0" w:firstRowLastColumn="0" w:lastRowFirstColumn="0" w:lastRowLastColumn="0"/>
            <w:tcW w:w="3928" w:type="dxa"/>
          </w:tcPr>
          <w:p w:rsidR="00A46DCA" w:rsidRPr="00642A0E" w:rsidRDefault="00A46DCA" w:rsidP="00A26D04">
            <w:pPr>
              <w:spacing w:before="0" w:after="0"/>
              <w:ind w:left="0" w:firstLine="0"/>
            </w:pPr>
            <w:r w:rsidRPr="00642A0E">
              <w:t>Accompanying statement to estimated financial statements which:</w:t>
            </w:r>
          </w:p>
        </w:tc>
        <w:tc>
          <w:tcPr>
            <w:tcW w:w="3926" w:type="dxa"/>
          </w:tcPr>
          <w:p w:rsidR="00A46DCA" w:rsidRPr="00642A0E" w:rsidRDefault="00A46DCA" w:rsidP="00A26D04">
            <w:pPr>
              <w:spacing w:before="0" w:after="0"/>
              <w:cnfStyle w:val="000000000000" w:firstRow="0" w:lastRow="0" w:firstColumn="0" w:lastColumn="0" w:oddVBand="0" w:evenVBand="0" w:oddHBand="0" w:evenHBand="0" w:firstRowFirstColumn="0" w:firstRowLastColumn="0" w:lastRowFirstColumn="0" w:lastRowLastColumn="0"/>
            </w:pPr>
          </w:p>
        </w:tc>
      </w:tr>
      <w:tr w:rsidR="00A46DCA" w:rsidRPr="00642A0E" w:rsidTr="00A26D04">
        <w:tc>
          <w:tcPr>
            <w:cnfStyle w:val="001000000000" w:firstRow="0" w:lastRow="0" w:firstColumn="1" w:lastColumn="0" w:oddVBand="0" w:evenVBand="0" w:oddHBand="0" w:evenHBand="0" w:firstRowFirstColumn="0" w:firstRowLastColumn="0" w:lastRowFirstColumn="0" w:lastRowLastColumn="0"/>
            <w:tcW w:w="3928" w:type="dxa"/>
          </w:tcPr>
          <w:p w:rsidR="00A46DCA" w:rsidRPr="00642A0E" w:rsidRDefault="00A46DCA" w:rsidP="00A26D04">
            <w:pPr>
              <w:pStyle w:val="ListBullet"/>
              <w:spacing w:before="0" w:after="0"/>
            </w:pPr>
            <w:r w:rsidRPr="00642A0E">
              <w:t>outlines the material economic assumptions used in preparation of the estimated financial statements;</w:t>
            </w:r>
          </w:p>
        </w:tc>
        <w:tc>
          <w:tcPr>
            <w:tcW w:w="3926" w:type="dxa"/>
          </w:tcPr>
          <w:p w:rsidR="00A46DCA" w:rsidRPr="00642A0E" w:rsidRDefault="00A46DCA" w:rsidP="00A26D04">
            <w:pPr>
              <w:spacing w:before="0" w:after="0"/>
              <w:cnfStyle w:val="000000000000" w:firstRow="0" w:lastRow="0" w:firstColumn="0" w:lastColumn="0" w:oddVBand="0" w:evenVBand="0" w:oddHBand="0" w:evenHBand="0" w:firstRowFirstColumn="0" w:firstRowLastColumn="0" w:lastRowFirstColumn="0" w:lastRowLastColumn="0"/>
            </w:pPr>
            <w:r w:rsidRPr="00642A0E">
              <w:t xml:space="preserve">Chapter 2 </w:t>
            </w:r>
            <w:r w:rsidRPr="00B604A9">
              <w:rPr>
                <w:i/>
              </w:rPr>
              <w:t>Economic context</w:t>
            </w:r>
            <w:r w:rsidRPr="00642A0E">
              <w:t xml:space="preserve"> and Chapter 4 </w:t>
            </w:r>
            <w:r w:rsidRPr="00B604A9">
              <w:rPr>
                <w:i/>
              </w:rPr>
              <w:t xml:space="preserve">Estimated </w:t>
            </w:r>
            <w:r>
              <w:rPr>
                <w:i/>
              </w:rPr>
              <w:t>F</w:t>
            </w:r>
            <w:r w:rsidRPr="00B604A9">
              <w:rPr>
                <w:i/>
              </w:rPr>
              <w:t xml:space="preserve">inancial </w:t>
            </w:r>
            <w:r>
              <w:rPr>
                <w:i/>
              </w:rPr>
              <w:t>S</w:t>
            </w:r>
            <w:r w:rsidRPr="00B604A9">
              <w:rPr>
                <w:i/>
              </w:rPr>
              <w:t>tatements and notes</w:t>
            </w:r>
          </w:p>
        </w:tc>
      </w:tr>
      <w:tr w:rsidR="00A46DCA" w:rsidRPr="00642A0E" w:rsidTr="00A26D04">
        <w:tc>
          <w:tcPr>
            <w:cnfStyle w:val="001000000000" w:firstRow="0" w:lastRow="0" w:firstColumn="1" w:lastColumn="0" w:oddVBand="0" w:evenVBand="0" w:oddHBand="0" w:evenHBand="0" w:firstRowFirstColumn="0" w:firstRowLastColumn="0" w:lastRowFirstColumn="0" w:lastRowLastColumn="0"/>
            <w:tcW w:w="3928" w:type="dxa"/>
          </w:tcPr>
          <w:p w:rsidR="00A46DCA" w:rsidRPr="00642A0E" w:rsidRDefault="00A46DCA" w:rsidP="00A26D04">
            <w:pPr>
              <w:pStyle w:val="ListBullet"/>
              <w:spacing w:before="0" w:after="0"/>
            </w:pPr>
            <w:r w:rsidRPr="00642A0E">
              <w:t>discusses the sensitivity of the estimated financial statements to changes in these assumptions;</w:t>
            </w:r>
          </w:p>
        </w:tc>
        <w:tc>
          <w:tcPr>
            <w:tcW w:w="3926" w:type="dxa"/>
          </w:tcPr>
          <w:p w:rsidR="00A46DCA" w:rsidRPr="00642A0E" w:rsidRDefault="00A46DCA" w:rsidP="00A26D04">
            <w:pPr>
              <w:spacing w:before="0" w:after="0"/>
              <w:cnfStyle w:val="000000000000" w:firstRow="0" w:lastRow="0" w:firstColumn="0" w:lastColumn="0" w:oddVBand="0" w:evenVBand="0" w:oddHBand="0" w:evenHBand="0" w:firstRowFirstColumn="0" w:firstRowLastColumn="0" w:lastRowFirstColumn="0" w:lastRowLastColumn="0"/>
            </w:pPr>
            <w:r w:rsidRPr="00642A0E">
              <w:t xml:space="preserve">Appendix D </w:t>
            </w:r>
            <w:r w:rsidRPr="00B604A9">
              <w:rPr>
                <w:i/>
              </w:rPr>
              <w:t>Sensitivity analysis</w:t>
            </w:r>
          </w:p>
        </w:tc>
      </w:tr>
      <w:tr w:rsidR="00A46DCA" w:rsidRPr="00642A0E" w:rsidTr="00A26D04">
        <w:tc>
          <w:tcPr>
            <w:cnfStyle w:val="001000000000" w:firstRow="0" w:lastRow="0" w:firstColumn="1" w:lastColumn="0" w:oddVBand="0" w:evenVBand="0" w:oddHBand="0" w:evenHBand="0" w:firstRowFirstColumn="0" w:firstRowLastColumn="0" w:lastRowFirstColumn="0" w:lastRowLastColumn="0"/>
            <w:tcW w:w="3928" w:type="dxa"/>
          </w:tcPr>
          <w:p w:rsidR="00A46DCA" w:rsidRPr="00642A0E" w:rsidRDefault="00A46DCA" w:rsidP="00A26D04">
            <w:pPr>
              <w:pStyle w:val="ListBullet"/>
              <w:spacing w:before="0" w:after="0"/>
            </w:pPr>
            <w:r w:rsidRPr="00642A0E">
              <w:t>provides an overview of estimated tax expenditures for the financial years covered by the estimated financial statements; and</w:t>
            </w:r>
          </w:p>
        </w:tc>
        <w:tc>
          <w:tcPr>
            <w:tcW w:w="3926" w:type="dxa"/>
          </w:tcPr>
          <w:p w:rsidR="00A46DCA" w:rsidRPr="00642A0E" w:rsidRDefault="00A46DCA" w:rsidP="00A26D04">
            <w:pPr>
              <w:spacing w:before="0" w:after="0"/>
              <w:cnfStyle w:val="000000000000" w:firstRow="0" w:lastRow="0" w:firstColumn="0" w:lastColumn="0" w:oddVBand="0" w:evenVBand="0" w:oddHBand="0" w:evenHBand="0" w:firstRowFirstColumn="0" w:firstRowLastColumn="0" w:lastRowFirstColumn="0" w:lastRowLastColumn="0"/>
            </w:pPr>
            <w:r w:rsidRPr="00642A0E">
              <w:t xml:space="preserve">Appendix C </w:t>
            </w:r>
            <w:r w:rsidRPr="00B604A9">
              <w:rPr>
                <w:i/>
              </w:rPr>
              <w:t>Tax expenditures and concessions</w:t>
            </w:r>
          </w:p>
        </w:tc>
      </w:tr>
      <w:tr w:rsidR="00A46DCA" w:rsidRPr="00642A0E" w:rsidTr="00A26D04">
        <w:tc>
          <w:tcPr>
            <w:cnfStyle w:val="001000000000" w:firstRow="0" w:lastRow="0" w:firstColumn="1" w:lastColumn="0" w:oddVBand="0" w:evenVBand="0" w:oddHBand="0" w:evenHBand="0" w:firstRowFirstColumn="0" w:firstRowLastColumn="0" w:lastRowFirstColumn="0" w:lastRowLastColumn="0"/>
            <w:tcW w:w="3928" w:type="dxa"/>
          </w:tcPr>
          <w:p w:rsidR="00A46DCA" w:rsidRPr="00642A0E" w:rsidRDefault="00A46DCA" w:rsidP="00A26D04">
            <w:pPr>
              <w:pStyle w:val="ListBullet"/>
              <w:spacing w:before="0" w:after="0"/>
            </w:pPr>
            <w:r w:rsidRPr="00642A0E">
              <w:t xml:space="preserve">provides a </w:t>
            </w:r>
            <w:r>
              <w:t>statement of the risks that may </w:t>
            </w:r>
            <w:r w:rsidRPr="00642A0E">
              <w:t>have a material effect on the estimated financial statements.</w:t>
            </w:r>
          </w:p>
        </w:tc>
        <w:tc>
          <w:tcPr>
            <w:tcW w:w="3926" w:type="dxa"/>
          </w:tcPr>
          <w:p w:rsidR="00A46DCA" w:rsidRPr="00642A0E" w:rsidRDefault="00A46DCA" w:rsidP="00A26D04">
            <w:pPr>
              <w:cnfStyle w:val="000000000000" w:firstRow="0" w:lastRow="0" w:firstColumn="0" w:lastColumn="0" w:oddVBand="0" w:evenVBand="0" w:oddHBand="0" w:evenHBand="0" w:firstRowFirstColumn="0" w:firstRowLastColumn="0" w:lastRowFirstColumn="0" w:lastRowLastColumn="0"/>
            </w:pPr>
            <w:r w:rsidRPr="00642A0E">
              <w:t xml:space="preserve">Chapter 2 </w:t>
            </w:r>
            <w:r w:rsidRPr="00B604A9">
              <w:rPr>
                <w:i/>
              </w:rPr>
              <w:t>Economic context</w:t>
            </w:r>
            <w:r w:rsidRPr="00B604A9">
              <w:t xml:space="preserve">; Chapter 3 </w:t>
            </w:r>
            <w:r w:rsidRPr="00B604A9">
              <w:rPr>
                <w:i/>
              </w:rPr>
              <w:t>Budget position and outlook</w:t>
            </w:r>
            <w:r w:rsidRPr="00B604A9">
              <w:t xml:space="preserve">; and </w:t>
            </w:r>
            <w:r w:rsidRPr="00642A0E">
              <w:t xml:space="preserve">Chapter 6 </w:t>
            </w:r>
            <w:r w:rsidRPr="00B604A9">
              <w:rPr>
                <w:i/>
              </w:rPr>
              <w:t>Contingent assets and contingent liabilities</w:t>
            </w:r>
          </w:p>
        </w:tc>
      </w:tr>
    </w:tbl>
    <w:p w:rsidR="00A46DCA" w:rsidRDefault="00A46DCA" w:rsidP="00A26D04"/>
    <w:p w:rsidR="00A46DCA" w:rsidRDefault="00A46DCA" w:rsidP="00A26D04">
      <w:pPr>
        <w:sectPr w:rsidR="00A46DCA" w:rsidSect="00A26D04">
          <w:headerReference w:type="even" r:id="rId104"/>
          <w:headerReference w:type="default" r:id="rId105"/>
          <w:footerReference w:type="even" r:id="rId106"/>
          <w:footerReference w:type="default" r:id="rId107"/>
          <w:headerReference w:type="first" r:id="rId108"/>
          <w:footerReference w:type="first" r:id="rId109"/>
          <w:type w:val="continuous"/>
          <w:pgSz w:w="9979" w:h="14175" w:code="9"/>
          <w:pgMar w:top="850" w:right="1134" w:bottom="850" w:left="1134" w:header="624" w:footer="567" w:gutter="0"/>
          <w:cols w:sep="1" w:space="567"/>
          <w:docGrid w:linePitch="360"/>
        </w:sectPr>
      </w:pPr>
    </w:p>
    <w:p w:rsidR="00A46DCA" w:rsidRDefault="00A46DCA" w:rsidP="00480C94">
      <w:pPr>
        <w:sectPr w:rsidR="00A46DCA" w:rsidSect="00A26D04">
          <w:headerReference w:type="even" r:id="rId110"/>
          <w:headerReference w:type="default" r:id="rId111"/>
          <w:footerReference w:type="even" r:id="rId112"/>
          <w:footerReference w:type="default" r:id="rId113"/>
          <w:headerReference w:type="first" r:id="rId114"/>
          <w:footerReference w:type="first" r:id="rId115"/>
          <w:type w:val="continuous"/>
          <w:pgSz w:w="9979" w:h="14175" w:code="9"/>
          <w:pgMar w:top="851" w:right="1134" w:bottom="851" w:left="1134" w:header="624" w:footer="567" w:gutter="0"/>
          <w:cols w:sep="1" w:space="567"/>
          <w:docGrid w:linePitch="360"/>
        </w:sectPr>
      </w:pPr>
    </w:p>
    <w:p w:rsidR="00A46DCA" w:rsidRDefault="00A46DCA" w:rsidP="000C43CD">
      <w:pPr>
        <w:pStyle w:val="Chapterheading"/>
      </w:pPr>
      <w:bookmarkStart w:id="105" w:name="_Toc500435603"/>
      <w:r>
        <w:lastRenderedPageBreak/>
        <w:t>Style conventions</w:t>
      </w:r>
      <w:bookmarkEnd w:id="105"/>
    </w:p>
    <w:p w:rsidR="00A46DCA" w:rsidRDefault="00A46DCA" w:rsidP="00A26D04">
      <w:r>
        <w:t>Figures in the tables and in the text have been rounded. Discrepancies in tables between totals and sums of components reflect rounding. Percentage variations in all tables are based on the underlying unrounded amounts.</w:t>
      </w:r>
    </w:p>
    <w:p w:rsidR="00A46DCA" w:rsidRDefault="00A46DCA" w:rsidP="00A26D04">
      <w:r>
        <w:t>The notation used in the tables and charts is as follows:</w:t>
      </w:r>
    </w:p>
    <w:p w:rsidR="00A46DCA" w:rsidRDefault="00A46DCA" w:rsidP="00A26D04">
      <w:pPr>
        <w:tabs>
          <w:tab w:val="left" w:pos="2552"/>
        </w:tabs>
        <w:ind w:left="851"/>
      </w:pPr>
      <w:proofErr w:type="spellStart"/>
      <w:r>
        <w:t>n.a</w:t>
      </w:r>
      <w:proofErr w:type="spellEnd"/>
      <w:r>
        <w:t>.</w:t>
      </w:r>
      <w:r>
        <w:tab/>
        <w:t>not available or not applicable</w:t>
      </w:r>
    </w:p>
    <w:p w:rsidR="00A46DCA" w:rsidRDefault="00A46DCA" w:rsidP="00A26D04">
      <w:pPr>
        <w:tabs>
          <w:tab w:val="left" w:pos="2552"/>
        </w:tabs>
        <w:ind w:left="851"/>
      </w:pPr>
      <w:r>
        <w:t>1 billion</w:t>
      </w:r>
      <w:r>
        <w:tab/>
        <w:t>1 000 million</w:t>
      </w:r>
    </w:p>
    <w:p w:rsidR="00A46DCA" w:rsidRDefault="00A46DCA" w:rsidP="00A26D04">
      <w:pPr>
        <w:tabs>
          <w:tab w:val="left" w:pos="2552"/>
        </w:tabs>
        <w:ind w:left="851"/>
      </w:pPr>
      <w:r>
        <w:t>1 basis point</w:t>
      </w:r>
      <w:r>
        <w:tab/>
        <w:t>0.01 per cent</w:t>
      </w:r>
    </w:p>
    <w:p w:rsidR="00A46DCA" w:rsidRDefault="00A46DCA" w:rsidP="00A26D04">
      <w:pPr>
        <w:tabs>
          <w:tab w:val="left" w:pos="2552"/>
        </w:tabs>
        <w:ind w:left="851"/>
      </w:pPr>
      <w:r>
        <w:t>..</w:t>
      </w:r>
      <w:r>
        <w:tab/>
        <w:t>zero, or rounded to zero</w:t>
      </w:r>
    </w:p>
    <w:p w:rsidR="00A46DCA" w:rsidRDefault="00A46DCA" w:rsidP="00A26D04">
      <w:pPr>
        <w:tabs>
          <w:tab w:val="left" w:pos="2552"/>
        </w:tabs>
        <w:ind w:left="851"/>
      </w:pPr>
      <w:r>
        <w:t xml:space="preserve">(x </w:t>
      </w:r>
      <w:proofErr w:type="spellStart"/>
      <w:r>
        <w:t>xxx.x</w:t>
      </w:r>
      <w:proofErr w:type="spellEnd"/>
      <w:r>
        <w:t>)</w:t>
      </w:r>
      <w:r>
        <w:tab/>
        <w:t>negative amount</w:t>
      </w:r>
    </w:p>
    <w:p w:rsidR="00A46DCA" w:rsidRDefault="00A46DCA" w:rsidP="00A26D04">
      <w:pPr>
        <w:tabs>
          <w:tab w:val="left" w:pos="2552"/>
        </w:tabs>
        <w:ind w:left="851"/>
      </w:pPr>
      <w:r>
        <w:t>x xxx.0</w:t>
      </w:r>
      <w:r>
        <w:tab/>
        <w:t>rounded amount</w:t>
      </w:r>
    </w:p>
    <w:p w:rsidR="00A46DCA" w:rsidRDefault="00A46DCA" w:rsidP="00A26D04">
      <w:pPr>
        <w:tabs>
          <w:tab w:val="left" w:pos="2552"/>
        </w:tabs>
        <w:ind w:left="851"/>
      </w:pPr>
      <w:r>
        <w:t>201x</w:t>
      </w:r>
      <w:r>
        <w:tab/>
        <w:t>financial year</w:t>
      </w:r>
    </w:p>
    <w:p w:rsidR="00A46DCA" w:rsidRDefault="00A46DCA" w:rsidP="00A26D04">
      <w:pPr>
        <w:tabs>
          <w:tab w:val="left" w:pos="2552"/>
        </w:tabs>
        <w:ind w:left="851"/>
      </w:pPr>
    </w:p>
    <w:p w:rsidR="00A46DCA" w:rsidRDefault="00A46DCA" w:rsidP="00A26D04">
      <w:r>
        <w:t xml:space="preserve">Please refer to the </w:t>
      </w:r>
      <w:r w:rsidRPr="00062216">
        <w:rPr>
          <w:b/>
        </w:rPr>
        <w:t>Treasury and Finance glossary for budget and financial reports</w:t>
      </w:r>
      <w:r>
        <w:t xml:space="preserve"> at dtf.vic.gov.au for additional terms and references.</w:t>
      </w:r>
    </w:p>
    <w:p w:rsidR="00A46DCA" w:rsidRDefault="00A46DCA" w:rsidP="00A26D04"/>
    <w:p w:rsidR="00A46DCA" w:rsidRDefault="00A46DCA" w:rsidP="004419CD">
      <w:pPr>
        <w:sectPr w:rsidR="00A46DCA" w:rsidSect="00A26D04">
          <w:headerReference w:type="even" r:id="rId116"/>
          <w:headerReference w:type="default" r:id="rId117"/>
          <w:footerReference w:type="even" r:id="rId118"/>
          <w:footerReference w:type="default" r:id="rId119"/>
          <w:headerReference w:type="first" r:id="rId120"/>
          <w:footerReference w:type="first" r:id="rId121"/>
          <w:type w:val="continuous"/>
          <w:pgSz w:w="9979" w:h="14175" w:code="9"/>
          <w:pgMar w:top="850" w:right="1134" w:bottom="850" w:left="1134" w:header="624" w:footer="567" w:gutter="0"/>
          <w:cols w:sep="1" w:space="567"/>
          <w:docGrid w:linePitch="360"/>
        </w:sectPr>
      </w:pPr>
    </w:p>
    <w:p w:rsidR="00A46DCA" w:rsidRPr="008416B3" w:rsidRDefault="00A46DCA" w:rsidP="00CC4482"/>
    <w:sectPr w:rsidR="00A46DCA" w:rsidRPr="008416B3" w:rsidSect="00A26D04">
      <w:headerReference w:type="even" r:id="rId122"/>
      <w:headerReference w:type="default" r:id="rId123"/>
      <w:footerReference w:type="even" r:id="rId124"/>
      <w:footerReference w:type="default" r:id="rId125"/>
      <w:headerReference w:type="first" r:id="rId126"/>
      <w:footerReference w:type="first" r:id="rId127"/>
      <w:type w:val="continuous"/>
      <w:pgSz w:w="9979" w:h="14175" w:code="9"/>
      <w:pgMar w:top="851" w:right="1134" w:bottom="851" w:left="1134" w:header="624" w:footer="567" w:gutter="0"/>
      <w:cols w:sep="1" w:space="56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06A4" w:rsidRDefault="004906A4" w:rsidP="00A46DCA">
      <w:pPr>
        <w:spacing w:before="0"/>
      </w:pPr>
      <w:r>
        <w:separator/>
      </w:r>
    </w:p>
  </w:endnote>
  <w:endnote w:type="continuationSeparator" w:id="0">
    <w:p w:rsidR="004906A4" w:rsidRDefault="004906A4" w:rsidP="00A46DCA">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Helv">
    <w:altName w:val="Arial"/>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FC3" w:rsidRPr="00715FC3" w:rsidRDefault="00715FC3" w:rsidP="00715FC3">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6A4" w:rsidRPr="00D90086" w:rsidRDefault="004906A4" w:rsidP="00F241F4">
    <w:pPr>
      <w:pStyle w:val="Footereven"/>
      <w:tabs>
        <w:tab w:val="clear" w:pos="9639"/>
      </w:tabs>
    </w:pPr>
    <w:r w:rsidRPr="00D90086">
      <w:rPr>
        <w:rStyle w:val="PageNumber"/>
        <w:rFonts w:asciiTheme="majorHAnsi" w:hAnsiTheme="majorHAnsi"/>
      </w:rPr>
      <w:fldChar w:fldCharType="begin"/>
    </w:r>
    <w:r w:rsidRPr="00D90086">
      <w:rPr>
        <w:rStyle w:val="PageNumber"/>
        <w:rFonts w:asciiTheme="majorHAnsi" w:hAnsiTheme="majorHAnsi"/>
      </w:rPr>
      <w:instrText xml:space="preserve"> PAGE </w:instrText>
    </w:r>
    <w:r w:rsidRPr="00D90086">
      <w:rPr>
        <w:rStyle w:val="PageNumber"/>
        <w:rFonts w:asciiTheme="majorHAnsi" w:hAnsiTheme="majorHAnsi"/>
      </w:rPr>
      <w:fldChar w:fldCharType="separate"/>
    </w:r>
    <w:r w:rsidR="00715FC3">
      <w:rPr>
        <w:rStyle w:val="PageNumber"/>
        <w:rFonts w:asciiTheme="majorHAnsi" w:hAnsiTheme="majorHAnsi"/>
        <w:noProof/>
      </w:rPr>
      <w:t>4</w:t>
    </w:r>
    <w:r w:rsidRPr="00D90086">
      <w:rPr>
        <w:rStyle w:val="PageNumber"/>
        <w:rFonts w:asciiTheme="majorHAnsi" w:hAnsiTheme="majorHAnsi"/>
      </w:rPr>
      <w:fldChar w:fldCharType="end"/>
    </w:r>
    <w:r w:rsidRPr="00D90086">
      <w:tab/>
    </w:r>
    <w:r>
      <w:t>Chapter 1</w:t>
    </w:r>
    <w:r w:rsidRPr="00D90086">
      <w:tab/>
    </w:r>
    <w:r>
      <w:rPr>
        <w:rStyle w:val="PageNumber"/>
        <w:rFonts w:asciiTheme="majorHAnsi" w:hAnsiTheme="majorHAnsi"/>
      </w:rPr>
      <w:t>2017-18 Budget Update</w:t>
    </w:r>
    <w:r w:rsidRPr="00D90086">
      <w:t xml:space="preserve"> </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6A4" w:rsidRPr="00BA26F2" w:rsidRDefault="004906A4" w:rsidP="00287535">
    <w:pPr>
      <w:pStyle w:val="Footerodd"/>
      <w:tabs>
        <w:tab w:val="clear" w:pos="9639"/>
      </w:tabs>
    </w:pPr>
    <w:r>
      <w:rPr>
        <w:rStyle w:val="PageNumber"/>
        <w:rFonts w:asciiTheme="majorHAnsi" w:hAnsiTheme="majorHAnsi"/>
      </w:rPr>
      <w:t>2017-18 Budget Update</w:t>
    </w:r>
    <w:r w:rsidRPr="00BA26F2">
      <w:tab/>
    </w:r>
    <w:r>
      <w:t>Chapter 1</w:t>
    </w:r>
    <w:r w:rsidRPr="00BA26F2">
      <w:tab/>
    </w:r>
    <w:r w:rsidRPr="00BA26F2">
      <w:rPr>
        <w:rStyle w:val="PageNumber"/>
        <w:rFonts w:asciiTheme="majorHAnsi" w:hAnsiTheme="majorHAnsi"/>
      </w:rPr>
      <w:fldChar w:fldCharType="begin"/>
    </w:r>
    <w:r w:rsidRPr="00BA26F2">
      <w:rPr>
        <w:rStyle w:val="PageNumber"/>
        <w:rFonts w:asciiTheme="majorHAnsi" w:hAnsiTheme="majorHAnsi"/>
      </w:rPr>
      <w:instrText xml:space="preserve"> PAGE </w:instrText>
    </w:r>
    <w:r w:rsidRPr="00BA26F2">
      <w:rPr>
        <w:rStyle w:val="PageNumber"/>
        <w:rFonts w:asciiTheme="majorHAnsi" w:hAnsiTheme="majorHAnsi"/>
      </w:rPr>
      <w:fldChar w:fldCharType="separate"/>
    </w:r>
    <w:r>
      <w:rPr>
        <w:rStyle w:val="PageNumber"/>
        <w:rFonts w:asciiTheme="majorHAnsi" w:hAnsiTheme="majorHAnsi"/>
        <w:noProof/>
      </w:rPr>
      <w:t>3</w:t>
    </w:r>
    <w:r w:rsidRPr="00BA26F2">
      <w:rPr>
        <w:rStyle w:val="PageNumber"/>
        <w:rFonts w:asciiTheme="majorHAnsi" w:hAnsiTheme="majorHAnsi"/>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6A4" w:rsidRDefault="004906A4">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6A4" w:rsidRPr="00A46DCA" w:rsidRDefault="004906A4" w:rsidP="00A46DCA">
    <w:pPr>
      <w:pStyle w:val="Footereven"/>
    </w:pPr>
    <w:r w:rsidRPr="00A46DCA">
      <w:rPr>
        <w:rStyle w:val="PageNumber"/>
        <w:rFonts w:asciiTheme="majorHAnsi" w:hAnsiTheme="majorHAnsi"/>
      </w:rPr>
      <w:fldChar w:fldCharType="begin"/>
    </w:r>
    <w:r w:rsidRPr="00A46DCA">
      <w:rPr>
        <w:rStyle w:val="PageNumber"/>
        <w:rFonts w:asciiTheme="majorHAnsi" w:hAnsiTheme="majorHAnsi"/>
      </w:rPr>
      <w:instrText xml:space="preserve"> PAGE </w:instrText>
    </w:r>
    <w:r w:rsidRPr="00A46DCA">
      <w:rPr>
        <w:rStyle w:val="PageNumber"/>
        <w:rFonts w:asciiTheme="majorHAnsi" w:hAnsiTheme="majorHAnsi"/>
      </w:rPr>
      <w:fldChar w:fldCharType="separate"/>
    </w:r>
    <w:r w:rsidR="00715FC3">
      <w:rPr>
        <w:rStyle w:val="PageNumber"/>
        <w:rFonts w:asciiTheme="majorHAnsi" w:hAnsiTheme="majorHAnsi"/>
        <w:noProof/>
      </w:rPr>
      <w:t>10</w:t>
    </w:r>
    <w:r w:rsidRPr="00A46DCA">
      <w:rPr>
        <w:rStyle w:val="PageNumber"/>
        <w:rFonts w:asciiTheme="majorHAnsi" w:hAnsiTheme="majorHAnsi"/>
      </w:rPr>
      <w:fldChar w:fldCharType="end"/>
    </w:r>
    <w:r w:rsidRPr="00A46DCA">
      <w:tab/>
      <w:t>Chapter 2</w:t>
    </w:r>
    <w:r w:rsidRPr="00A46DCA">
      <w:tab/>
    </w:r>
    <w:r w:rsidRPr="00A46DCA">
      <w:rPr>
        <w:rStyle w:val="PageNumber"/>
        <w:rFonts w:asciiTheme="majorHAnsi" w:hAnsiTheme="majorHAnsi"/>
      </w:rPr>
      <w:t>2017-18 Budget Update</w:t>
    </w:r>
    <w:r w:rsidRPr="00A46DCA">
      <w:t xml:space="preserve"> </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6A4" w:rsidRPr="00A46DCA" w:rsidRDefault="004906A4" w:rsidP="00A46DCA">
    <w:pPr>
      <w:pStyle w:val="Footerodd"/>
    </w:pPr>
    <w:r w:rsidRPr="00A46DCA">
      <w:rPr>
        <w:rStyle w:val="PageNumber"/>
        <w:rFonts w:asciiTheme="majorHAnsi" w:hAnsiTheme="majorHAnsi"/>
      </w:rPr>
      <w:t>2017-18 Budget Update</w:t>
    </w:r>
    <w:r w:rsidRPr="00A46DCA">
      <w:tab/>
      <w:t>Chapter 2</w:t>
    </w:r>
    <w:r w:rsidRPr="00A46DCA">
      <w:tab/>
    </w:r>
    <w:r w:rsidRPr="00A46DCA">
      <w:rPr>
        <w:rStyle w:val="PageNumber"/>
        <w:rFonts w:asciiTheme="majorHAnsi" w:hAnsiTheme="majorHAnsi"/>
      </w:rPr>
      <w:fldChar w:fldCharType="begin"/>
    </w:r>
    <w:r w:rsidRPr="00A46DCA">
      <w:rPr>
        <w:rStyle w:val="PageNumber"/>
        <w:rFonts w:asciiTheme="majorHAnsi" w:hAnsiTheme="majorHAnsi"/>
      </w:rPr>
      <w:instrText xml:space="preserve"> PAGE </w:instrText>
    </w:r>
    <w:r w:rsidRPr="00A46DCA">
      <w:rPr>
        <w:rStyle w:val="PageNumber"/>
        <w:rFonts w:asciiTheme="majorHAnsi" w:hAnsiTheme="majorHAnsi"/>
      </w:rPr>
      <w:fldChar w:fldCharType="separate"/>
    </w:r>
    <w:r w:rsidR="00715FC3">
      <w:rPr>
        <w:rStyle w:val="PageNumber"/>
        <w:rFonts w:asciiTheme="majorHAnsi" w:hAnsiTheme="majorHAnsi"/>
        <w:noProof/>
      </w:rPr>
      <w:t>11</w:t>
    </w:r>
    <w:r w:rsidRPr="00A46DCA">
      <w:rPr>
        <w:rStyle w:val="PageNumber"/>
        <w:rFonts w:asciiTheme="majorHAnsi" w:hAnsiTheme="majorHAnsi"/>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6A4" w:rsidRDefault="004906A4">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6A4" w:rsidRPr="00480C94" w:rsidRDefault="004906A4" w:rsidP="00480C94">
    <w:pPr>
      <w:pStyle w:val="Footereven"/>
    </w:pPr>
    <w:r w:rsidRPr="00480C94">
      <w:rPr>
        <w:rStyle w:val="PageNumber"/>
        <w:rFonts w:asciiTheme="majorHAnsi" w:hAnsiTheme="majorHAnsi"/>
      </w:rPr>
      <w:fldChar w:fldCharType="begin"/>
    </w:r>
    <w:r w:rsidRPr="00480C94">
      <w:rPr>
        <w:rStyle w:val="PageNumber"/>
        <w:rFonts w:asciiTheme="majorHAnsi" w:hAnsiTheme="majorHAnsi"/>
      </w:rPr>
      <w:instrText xml:space="preserve"> PAGE </w:instrText>
    </w:r>
    <w:r w:rsidRPr="00480C94">
      <w:rPr>
        <w:rStyle w:val="PageNumber"/>
        <w:rFonts w:asciiTheme="majorHAnsi" w:hAnsiTheme="majorHAnsi"/>
      </w:rPr>
      <w:fldChar w:fldCharType="separate"/>
    </w:r>
    <w:r w:rsidR="00715FC3">
      <w:rPr>
        <w:rStyle w:val="PageNumber"/>
        <w:rFonts w:asciiTheme="majorHAnsi" w:hAnsiTheme="majorHAnsi"/>
        <w:noProof/>
      </w:rPr>
      <w:t>12</w:t>
    </w:r>
    <w:r w:rsidRPr="00480C94">
      <w:rPr>
        <w:rStyle w:val="PageNumber"/>
        <w:rFonts w:asciiTheme="majorHAnsi" w:hAnsiTheme="majorHAnsi"/>
      </w:rPr>
      <w:fldChar w:fldCharType="end"/>
    </w:r>
    <w:r w:rsidRPr="00480C94">
      <w:tab/>
      <w:t>Chapter 2</w:t>
    </w:r>
    <w:r w:rsidRPr="00480C94">
      <w:tab/>
    </w:r>
    <w:r w:rsidRPr="00480C94">
      <w:rPr>
        <w:rStyle w:val="PageNumber"/>
        <w:rFonts w:asciiTheme="majorHAnsi" w:hAnsiTheme="majorHAnsi"/>
      </w:rPr>
      <w:t>2017-18 Budget Update</w:t>
    </w:r>
    <w:r w:rsidRPr="00480C94">
      <w:t xml:space="preserve"> </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6A4" w:rsidRPr="00480C94" w:rsidRDefault="004906A4" w:rsidP="00480C94">
    <w:pPr>
      <w:pStyle w:val="Footerodd"/>
    </w:pPr>
    <w:r w:rsidRPr="00480C94">
      <w:rPr>
        <w:rStyle w:val="PageNumber"/>
        <w:rFonts w:asciiTheme="majorHAnsi" w:hAnsiTheme="majorHAnsi"/>
      </w:rPr>
      <w:t>2017-18 Budget Update</w:t>
    </w:r>
    <w:r w:rsidRPr="00480C94">
      <w:tab/>
      <w:t>Chapter 2</w:t>
    </w:r>
    <w:r w:rsidRPr="00480C94">
      <w:tab/>
    </w:r>
    <w:r w:rsidRPr="00480C94">
      <w:rPr>
        <w:rStyle w:val="PageNumber"/>
        <w:rFonts w:asciiTheme="majorHAnsi" w:hAnsiTheme="majorHAnsi"/>
      </w:rPr>
      <w:fldChar w:fldCharType="begin"/>
    </w:r>
    <w:r w:rsidRPr="00480C94">
      <w:rPr>
        <w:rStyle w:val="PageNumber"/>
        <w:rFonts w:asciiTheme="majorHAnsi" w:hAnsiTheme="majorHAnsi"/>
      </w:rPr>
      <w:instrText xml:space="preserve"> PAGE </w:instrText>
    </w:r>
    <w:r w:rsidRPr="00480C94">
      <w:rPr>
        <w:rStyle w:val="PageNumber"/>
        <w:rFonts w:asciiTheme="majorHAnsi" w:hAnsiTheme="majorHAnsi"/>
      </w:rPr>
      <w:fldChar w:fldCharType="separate"/>
    </w:r>
    <w:r>
      <w:rPr>
        <w:rStyle w:val="PageNumber"/>
        <w:rFonts w:asciiTheme="majorHAnsi" w:hAnsiTheme="majorHAnsi"/>
        <w:noProof/>
      </w:rPr>
      <w:t>11</w:t>
    </w:r>
    <w:r w:rsidRPr="00480C94">
      <w:rPr>
        <w:rStyle w:val="PageNumber"/>
        <w:rFonts w:asciiTheme="majorHAnsi" w:hAnsiTheme="majorHAnsi"/>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6A4" w:rsidRPr="00480C94" w:rsidRDefault="004906A4" w:rsidP="00480C94">
    <w:pPr>
      <w:pStyle w:val="Footereven"/>
    </w:pPr>
    <w:r w:rsidRPr="00480C94">
      <w:rPr>
        <w:rStyle w:val="PageNumber"/>
        <w:rFonts w:asciiTheme="majorHAnsi" w:hAnsiTheme="majorHAnsi"/>
      </w:rPr>
      <w:fldChar w:fldCharType="begin"/>
    </w:r>
    <w:r w:rsidRPr="00480C94">
      <w:rPr>
        <w:rStyle w:val="PageNumber"/>
        <w:rFonts w:asciiTheme="majorHAnsi" w:hAnsiTheme="majorHAnsi"/>
      </w:rPr>
      <w:instrText xml:space="preserve"> PAGE </w:instrText>
    </w:r>
    <w:r w:rsidRPr="00480C94">
      <w:rPr>
        <w:rStyle w:val="PageNumber"/>
        <w:rFonts w:asciiTheme="majorHAnsi" w:hAnsiTheme="majorHAnsi"/>
      </w:rPr>
      <w:fldChar w:fldCharType="separate"/>
    </w:r>
    <w:r w:rsidR="00715FC3">
      <w:rPr>
        <w:rStyle w:val="PageNumber"/>
        <w:rFonts w:asciiTheme="majorHAnsi" w:hAnsiTheme="majorHAnsi"/>
        <w:noProof/>
      </w:rPr>
      <w:t>14</w:t>
    </w:r>
    <w:r w:rsidRPr="00480C94">
      <w:rPr>
        <w:rStyle w:val="PageNumber"/>
        <w:rFonts w:asciiTheme="majorHAnsi" w:hAnsiTheme="majorHAnsi"/>
      </w:rPr>
      <w:fldChar w:fldCharType="end"/>
    </w:r>
    <w:r w:rsidRPr="00480C94">
      <w:tab/>
      <w:t>Chapter 3</w:t>
    </w:r>
    <w:r w:rsidRPr="00480C94">
      <w:tab/>
    </w:r>
    <w:r w:rsidRPr="00480C94">
      <w:rPr>
        <w:rStyle w:val="PageNumber"/>
        <w:rFonts w:asciiTheme="majorHAnsi" w:hAnsiTheme="majorHAnsi"/>
      </w:rPr>
      <w:t>2017-18 Budget Update</w:t>
    </w:r>
    <w:r w:rsidRPr="00480C94">
      <w:t xml:space="preserve"> </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6A4" w:rsidRPr="00480C94" w:rsidRDefault="004906A4" w:rsidP="00480C94">
    <w:pPr>
      <w:pStyle w:val="Footerodd"/>
    </w:pPr>
    <w:r w:rsidRPr="00480C94">
      <w:rPr>
        <w:rStyle w:val="PageNumber"/>
        <w:rFonts w:asciiTheme="majorHAnsi" w:hAnsiTheme="majorHAnsi"/>
      </w:rPr>
      <w:t>2017-18 Budget Update</w:t>
    </w:r>
    <w:r w:rsidRPr="00480C94">
      <w:tab/>
      <w:t>Chapter 3</w:t>
    </w:r>
    <w:r w:rsidRPr="00480C94">
      <w:tab/>
    </w:r>
    <w:r w:rsidRPr="00480C94">
      <w:rPr>
        <w:rStyle w:val="PageNumber"/>
        <w:rFonts w:asciiTheme="majorHAnsi" w:hAnsiTheme="majorHAnsi"/>
      </w:rPr>
      <w:fldChar w:fldCharType="begin"/>
    </w:r>
    <w:r w:rsidRPr="00480C94">
      <w:rPr>
        <w:rStyle w:val="PageNumber"/>
        <w:rFonts w:asciiTheme="majorHAnsi" w:hAnsiTheme="majorHAnsi"/>
      </w:rPr>
      <w:instrText xml:space="preserve"> PAGE </w:instrText>
    </w:r>
    <w:r w:rsidRPr="00480C94">
      <w:rPr>
        <w:rStyle w:val="PageNumber"/>
        <w:rFonts w:asciiTheme="majorHAnsi" w:hAnsiTheme="majorHAnsi"/>
      </w:rPr>
      <w:fldChar w:fldCharType="separate"/>
    </w:r>
    <w:r w:rsidR="00715FC3">
      <w:rPr>
        <w:rStyle w:val="PageNumber"/>
        <w:rFonts w:asciiTheme="majorHAnsi" w:hAnsiTheme="majorHAnsi"/>
        <w:noProof/>
      </w:rPr>
      <w:t>13</w:t>
    </w:r>
    <w:r w:rsidRPr="00480C94">
      <w:rPr>
        <w:rStyle w:val="PageNumber"/>
        <w:rFonts w:asciiTheme="majorHAnsi" w:hAnsiTheme="majorHAnsi"/>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6A4" w:rsidRPr="00D90086" w:rsidRDefault="004906A4" w:rsidP="00287535">
    <w:pPr>
      <w:pStyle w:val="Footereven"/>
      <w:tabs>
        <w:tab w:val="clear" w:pos="9639"/>
        <w:tab w:val="center" w:pos="2976"/>
      </w:tabs>
    </w:pPr>
    <w:r w:rsidRPr="00D90086">
      <w:rPr>
        <w:rStyle w:val="PageNumber"/>
        <w:rFonts w:asciiTheme="majorHAnsi" w:hAnsiTheme="majorHAnsi"/>
      </w:rPr>
      <w:fldChar w:fldCharType="begin"/>
    </w:r>
    <w:r w:rsidRPr="00D90086">
      <w:rPr>
        <w:rStyle w:val="PageNumber"/>
        <w:rFonts w:asciiTheme="majorHAnsi" w:hAnsiTheme="majorHAnsi"/>
      </w:rPr>
      <w:instrText xml:space="preserve"> PAGE </w:instrText>
    </w:r>
    <w:r w:rsidRPr="00D90086">
      <w:rPr>
        <w:rStyle w:val="PageNumber"/>
        <w:rFonts w:asciiTheme="majorHAnsi" w:hAnsiTheme="majorHAnsi"/>
      </w:rPr>
      <w:fldChar w:fldCharType="separate"/>
    </w:r>
    <w:r w:rsidR="00715FC3">
      <w:rPr>
        <w:rStyle w:val="PageNumber"/>
        <w:rFonts w:asciiTheme="majorHAnsi" w:hAnsiTheme="majorHAnsi"/>
        <w:noProof/>
      </w:rPr>
      <w:t>ii</w:t>
    </w:r>
    <w:r w:rsidRPr="00D90086">
      <w:rPr>
        <w:rStyle w:val="PageNumber"/>
        <w:rFonts w:asciiTheme="majorHAnsi" w:hAnsiTheme="majorHAnsi"/>
      </w:rPr>
      <w:fldChar w:fldCharType="end"/>
    </w:r>
    <w:r w:rsidRPr="00D90086">
      <w:t xml:space="preserve"> </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6A4" w:rsidRDefault="004906A4" w:rsidP="00A26D04">
    <w:pPr>
      <w:jc w:val="center"/>
      <w:rPr>
        <w:rFonts w:ascii="Arial" w:hAnsi="Arial" w:cs="Arial"/>
        <w:b/>
        <w:color w:val="FF0000"/>
        <w:sz w:val="29"/>
      </w:rPr>
    </w:pPr>
    <w:bookmarkStart w:id="20" w:name="aliashProtectiveMarkings1FooterFirstPage"/>
  </w:p>
  <w:bookmarkEnd w:id="20"/>
  <w:p w:rsidR="004906A4" w:rsidRDefault="004906A4"/>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6A4" w:rsidRPr="008D3FDA" w:rsidRDefault="004906A4" w:rsidP="008D3FDA">
    <w:pPr>
      <w:pStyle w:val="Footereven"/>
    </w:pPr>
    <w:r w:rsidRPr="008D3FDA">
      <w:rPr>
        <w:rStyle w:val="PageNumber"/>
        <w:rFonts w:asciiTheme="majorHAnsi" w:hAnsiTheme="majorHAnsi"/>
      </w:rPr>
      <w:fldChar w:fldCharType="begin"/>
    </w:r>
    <w:r w:rsidRPr="008D3FDA">
      <w:rPr>
        <w:rStyle w:val="PageNumber"/>
        <w:rFonts w:asciiTheme="majorHAnsi" w:hAnsiTheme="majorHAnsi"/>
      </w:rPr>
      <w:instrText xml:space="preserve"> PAGE </w:instrText>
    </w:r>
    <w:r w:rsidRPr="008D3FDA">
      <w:rPr>
        <w:rStyle w:val="PageNumber"/>
        <w:rFonts w:asciiTheme="majorHAnsi" w:hAnsiTheme="majorHAnsi"/>
      </w:rPr>
      <w:fldChar w:fldCharType="separate"/>
    </w:r>
    <w:r w:rsidR="00715FC3">
      <w:rPr>
        <w:rStyle w:val="PageNumber"/>
        <w:rFonts w:asciiTheme="majorHAnsi" w:hAnsiTheme="majorHAnsi"/>
        <w:noProof/>
      </w:rPr>
      <w:t>66</w:t>
    </w:r>
    <w:r w:rsidRPr="008D3FDA">
      <w:rPr>
        <w:rStyle w:val="PageNumber"/>
        <w:rFonts w:asciiTheme="majorHAnsi" w:hAnsiTheme="majorHAnsi"/>
      </w:rPr>
      <w:fldChar w:fldCharType="end"/>
    </w:r>
    <w:r w:rsidRPr="008D3FDA">
      <w:tab/>
      <w:t>Chapter 4</w:t>
    </w:r>
    <w:r w:rsidRPr="008D3FDA">
      <w:tab/>
    </w:r>
    <w:r w:rsidRPr="008D3FDA">
      <w:rPr>
        <w:rStyle w:val="PageNumber"/>
        <w:rFonts w:asciiTheme="majorHAnsi" w:hAnsiTheme="majorHAnsi"/>
      </w:rPr>
      <w:t>2017-18 Budget Update</w:t>
    </w:r>
    <w:r w:rsidRPr="008D3FDA">
      <w:t xml:space="preserve"> </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6A4" w:rsidRPr="008D3FDA" w:rsidRDefault="004906A4" w:rsidP="008D3FDA">
    <w:pPr>
      <w:pStyle w:val="Footerodd"/>
    </w:pPr>
    <w:r w:rsidRPr="008D3FDA">
      <w:rPr>
        <w:rStyle w:val="PageNumber"/>
        <w:rFonts w:asciiTheme="majorHAnsi" w:hAnsiTheme="majorHAnsi"/>
      </w:rPr>
      <w:t>2017-18 Budget Update</w:t>
    </w:r>
    <w:r w:rsidRPr="008D3FDA">
      <w:tab/>
      <w:t>Chapter 4</w:t>
    </w:r>
    <w:r w:rsidRPr="008D3FDA">
      <w:tab/>
    </w:r>
    <w:r w:rsidRPr="008D3FDA">
      <w:rPr>
        <w:rStyle w:val="PageNumber"/>
        <w:rFonts w:asciiTheme="majorHAnsi" w:hAnsiTheme="majorHAnsi"/>
      </w:rPr>
      <w:fldChar w:fldCharType="begin"/>
    </w:r>
    <w:r w:rsidRPr="008D3FDA">
      <w:rPr>
        <w:rStyle w:val="PageNumber"/>
        <w:rFonts w:asciiTheme="majorHAnsi" w:hAnsiTheme="majorHAnsi"/>
      </w:rPr>
      <w:instrText xml:space="preserve"> PAGE </w:instrText>
    </w:r>
    <w:r w:rsidRPr="008D3FDA">
      <w:rPr>
        <w:rStyle w:val="PageNumber"/>
        <w:rFonts w:asciiTheme="majorHAnsi" w:hAnsiTheme="majorHAnsi"/>
      </w:rPr>
      <w:fldChar w:fldCharType="separate"/>
    </w:r>
    <w:r w:rsidR="00715FC3">
      <w:rPr>
        <w:rStyle w:val="PageNumber"/>
        <w:rFonts w:asciiTheme="majorHAnsi" w:hAnsiTheme="majorHAnsi"/>
        <w:noProof/>
      </w:rPr>
      <w:t>63</w:t>
    </w:r>
    <w:r w:rsidRPr="008D3FDA">
      <w:rPr>
        <w:rStyle w:val="PageNumber"/>
        <w:rFonts w:asciiTheme="majorHAnsi" w:hAnsiTheme="majorHAnsi"/>
      </w:rP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6A4" w:rsidRDefault="004906A4">
    <w:pPr>
      <w:pStyle w:val="Footer"/>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6A4" w:rsidRPr="00480C94" w:rsidRDefault="004906A4" w:rsidP="00480C94">
    <w:pPr>
      <w:pStyle w:val="Footereven"/>
    </w:pPr>
    <w:r w:rsidRPr="00480C94">
      <w:rPr>
        <w:rStyle w:val="PageNumber"/>
        <w:rFonts w:asciiTheme="majorHAnsi" w:hAnsiTheme="majorHAnsi"/>
      </w:rPr>
      <w:fldChar w:fldCharType="begin"/>
    </w:r>
    <w:r w:rsidRPr="00480C94">
      <w:rPr>
        <w:rStyle w:val="PageNumber"/>
        <w:rFonts w:asciiTheme="majorHAnsi" w:hAnsiTheme="majorHAnsi"/>
      </w:rPr>
      <w:instrText xml:space="preserve"> PAGE </w:instrText>
    </w:r>
    <w:r w:rsidRPr="00480C94">
      <w:rPr>
        <w:rStyle w:val="PageNumber"/>
        <w:rFonts w:asciiTheme="majorHAnsi" w:hAnsiTheme="majorHAnsi"/>
      </w:rPr>
      <w:fldChar w:fldCharType="separate"/>
    </w:r>
    <w:r w:rsidR="00715FC3">
      <w:rPr>
        <w:rStyle w:val="PageNumber"/>
        <w:rFonts w:asciiTheme="majorHAnsi" w:hAnsiTheme="majorHAnsi"/>
        <w:noProof/>
      </w:rPr>
      <w:t>70</w:t>
    </w:r>
    <w:r w:rsidRPr="00480C94">
      <w:rPr>
        <w:rStyle w:val="PageNumber"/>
        <w:rFonts w:asciiTheme="majorHAnsi" w:hAnsiTheme="majorHAnsi"/>
      </w:rPr>
      <w:fldChar w:fldCharType="end"/>
    </w:r>
    <w:r w:rsidRPr="00480C94">
      <w:tab/>
      <w:t>Chapter 4</w:t>
    </w:r>
    <w:r w:rsidRPr="00480C94">
      <w:tab/>
    </w:r>
    <w:r w:rsidRPr="00480C94">
      <w:rPr>
        <w:rStyle w:val="PageNumber"/>
        <w:rFonts w:asciiTheme="majorHAnsi" w:hAnsiTheme="majorHAnsi"/>
      </w:rPr>
      <w:t>2017-18 Budget Update</w:t>
    </w:r>
    <w:r w:rsidRPr="00480C94">
      <w:t xml:space="preserve"> </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6A4" w:rsidRPr="00480C94" w:rsidRDefault="004906A4" w:rsidP="00480C94">
    <w:pPr>
      <w:pStyle w:val="Footerodd"/>
    </w:pPr>
    <w:r w:rsidRPr="00480C94">
      <w:rPr>
        <w:rStyle w:val="PageNumber"/>
        <w:rFonts w:asciiTheme="majorHAnsi" w:hAnsiTheme="majorHAnsi"/>
      </w:rPr>
      <w:t>2017-18 Budget Update</w:t>
    </w:r>
    <w:r w:rsidRPr="00480C94">
      <w:tab/>
      <w:t>Chapter 4</w:t>
    </w:r>
    <w:r w:rsidRPr="00480C94">
      <w:tab/>
    </w:r>
    <w:r w:rsidRPr="00480C94">
      <w:rPr>
        <w:rStyle w:val="PageNumber"/>
        <w:rFonts w:asciiTheme="majorHAnsi" w:hAnsiTheme="majorHAnsi"/>
      </w:rPr>
      <w:fldChar w:fldCharType="begin"/>
    </w:r>
    <w:r w:rsidRPr="00480C94">
      <w:rPr>
        <w:rStyle w:val="PageNumber"/>
        <w:rFonts w:asciiTheme="majorHAnsi" w:hAnsiTheme="majorHAnsi"/>
      </w:rPr>
      <w:instrText xml:space="preserve"> PAGE </w:instrText>
    </w:r>
    <w:r w:rsidRPr="00480C94">
      <w:rPr>
        <w:rStyle w:val="PageNumber"/>
        <w:rFonts w:asciiTheme="majorHAnsi" w:hAnsiTheme="majorHAnsi"/>
      </w:rPr>
      <w:fldChar w:fldCharType="separate"/>
    </w:r>
    <w:r>
      <w:rPr>
        <w:rStyle w:val="PageNumber"/>
        <w:rFonts w:asciiTheme="majorHAnsi" w:hAnsiTheme="majorHAnsi"/>
        <w:noProof/>
      </w:rPr>
      <w:t>71</w:t>
    </w:r>
    <w:r w:rsidRPr="00480C94">
      <w:rPr>
        <w:rStyle w:val="PageNumber"/>
        <w:rFonts w:asciiTheme="majorHAnsi" w:hAnsiTheme="majorHAnsi"/>
      </w:rPr>
      <w:fldChar w:fldCharType="end"/>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6A4" w:rsidRDefault="004906A4">
    <w:pPr>
      <w:pStyle w:val="Footer"/>
    </w:pP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6A4" w:rsidRPr="008D3FDA" w:rsidRDefault="004906A4" w:rsidP="008D3FDA">
    <w:pPr>
      <w:pStyle w:val="Footereven"/>
    </w:pPr>
    <w:r w:rsidRPr="008D3FDA">
      <w:rPr>
        <w:rStyle w:val="PageNumber"/>
        <w:rFonts w:asciiTheme="majorHAnsi" w:hAnsiTheme="majorHAnsi"/>
      </w:rPr>
      <w:fldChar w:fldCharType="begin"/>
    </w:r>
    <w:r w:rsidRPr="008D3FDA">
      <w:rPr>
        <w:rStyle w:val="PageNumber"/>
        <w:rFonts w:asciiTheme="majorHAnsi" w:hAnsiTheme="majorHAnsi"/>
      </w:rPr>
      <w:instrText xml:space="preserve"> PAGE </w:instrText>
    </w:r>
    <w:r w:rsidRPr="008D3FDA">
      <w:rPr>
        <w:rStyle w:val="PageNumber"/>
        <w:rFonts w:asciiTheme="majorHAnsi" w:hAnsiTheme="majorHAnsi"/>
      </w:rPr>
      <w:fldChar w:fldCharType="separate"/>
    </w:r>
    <w:r w:rsidR="00715FC3">
      <w:rPr>
        <w:rStyle w:val="PageNumber"/>
        <w:rFonts w:asciiTheme="majorHAnsi" w:hAnsiTheme="majorHAnsi"/>
        <w:noProof/>
      </w:rPr>
      <w:t>98</w:t>
    </w:r>
    <w:r w:rsidRPr="008D3FDA">
      <w:rPr>
        <w:rStyle w:val="PageNumber"/>
        <w:rFonts w:asciiTheme="majorHAnsi" w:hAnsiTheme="majorHAnsi"/>
      </w:rPr>
      <w:fldChar w:fldCharType="end"/>
    </w:r>
    <w:r w:rsidRPr="008D3FDA">
      <w:tab/>
      <w:t>Chapter 5</w:t>
    </w:r>
    <w:r w:rsidRPr="008D3FDA">
      <w:tab/>
    </w:r>
    <w:r w:rsidRPr="008D3FDA">
      <w:rPr>
        <w:rStyle w:val="PageNumber"/>
        <w:rFonts w:asciiTheme="majorHAnsi" w:hAnsiTheme="majorHAnsi"/>
      </w:rPr>
      <w:t>2017-18 Budget Update</w:t>
    </w:r>
    <w:r w:rsidRPr="008D3FDA">
      <w:t xml:space="preserve"> </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6A4" w:rsidRPr="008D3FDA" w:rsidRDefault="004906A4" w:rsidP="008D3FDA">
    <w:pPr>
      <w:pStyle w:val="Footerodd"/>
    </w:pPr>
    <w:r w:rsidRPr="008D3FDA">
      <w:rPr>
        <w:rStyle w:val="PageNumber"/>
        <w:rFonts w:asciiTheme="majorHAnsi" w:hAnsiTheme="majorHAnsi"/>
      </w:rPr>
      <w:t>2017-18 Budget Update</w:t>
    </w:r>
    <w:r w:rsidRPr="008D3FDA">
      <w:tab/>
      <w:t>Chapter 5</w:t>
    </w:r>
    <w:r w:rsidRPr="008D3FDA">
      <w:tab/>
    </w:r>
    <w:r w:rsidRPr="008D3FDA">
      <w:rPr>
        <w:rStyle w:val="PageNumber"/>
        <w:rFonts w:asciiTheme="majorHAnsi" w:hAnsiTheme="majorHAnsi"/>
      </w:rPr>
      <w:fldChar w:fldCharType="begin"/>
    </w:r>
    <w:r w:rsidRPr="008D3FDA">
      <w:rPr>
        <w:rStyle w:val="PageNumber"/>
        <w:rFonts w:asciiTheme="majorHAnsi" w:hAnsiTheme="majorHAnsi"/>
      </w:rPr>
      <w:instrText xml:space="preserve"> PAGE </w:instrText>
    </w:r>
    <w:r w:rsidRPr="008D3FDA">
      <w:rPr>
        <w:rStyle w:val="PageNumber"/>
        <w:rFonts w:asciiTheme="majorHAnsi" w:hAnsiTheme="majorHAnsi"/>
      </w:rPr>
      <w:fldChar w:fldCharType="separate"/>
    </w:r>
    <w:r w:rsidR="00715FC3">
      <w:rPr>
        <w:rStyle w:val="PageNumber"/>
        <w:rFonts w:asciiTheme="majorHAnsi" w:hAnsiTheme="majorHAnsi"/>
        <w:noProof/>
      </w:rPr>
      <w:t>97</w:t>
    </w:r>
    <w:r w:rsidRPr="008D3FDA">
      <w:rPr>
        <w:rStyle w:val="PageNumber"/>
        <w:rFonts w:asciiTheme="majorHAnsi" w:hAnsiTheme="majorHAnsi"/>
      </w:rPr>
      <w:fldChar w:fldCharType="end"/>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6A4" w:rsidRPr="00480C94" w:rsidRDefault="004906A4" w:rsidP="00480C94">
    <w:pPr>
      <w:pStyle w:val="Footereven"/>
    </w:pPr>
    <w:r w:rsidRPr="00480C94">
      <w:rPr>
        <w:rStyle w:val="PageNumber"/>
        <w:rFonts w:asciiTheme="majorHAnsi" w:hAnsiTheme="majorHAnsi"/>
      </w:rPr>
      <w:fldChar w:fldCharType="begin"/>
    </w:r>
    <w:r w:rsidRPr="00480C94">
      <w:rPr>
        <w:rStyle w:val="PageNumber"/>
        <w:rFonts w:asciiTheme="majorHAnsi" w:hAnsiTheme="majorHAnsi"/>
      </w:rPr>
      <w:instrText xml:space="preserve"> PAGE </w:instrText>
    </w:r>
    <w:r w:rsidRPr="00480C94">
      <w:rPr>
        <w:rStyle w:val="PageNumber"/>
        <w:rFonts w:asciiTheme="majorHAnsi" w:hAnsiTheme="majorHAnsi"/>
      </w:rPr>
      <w:fldChar w:fldCharType="separate"/>
    </w:r>
    <w:r>
      <w:rPr>
        <w:rStyle w:val="PageNumber"/>
        <w:rFonts w:asciiTheme="majorHAnsi" w:hAnsiTheme="majorHAnsi"/>
      </w:rPr>
      <w:t>96</w:t>
    </w:r>
    <w:r w:rsidRPr="00480C94">
      <w:rPr>
        <w:rStyle w:val="PageNumber"/>
        <w:rFonts w:asciiTheme="majorHAnsi" w:hAnsiTheme="majorHAnsi"/>
      </w:rPr>
      <w:fldChar w:fldCharType="end"/>
    </w:r>
    <w:r w:rsidRPr="00480C94">
      <w:tab/>
      <w:t>Chapter 5</w:t>
    </w:r>
    <w:r w:rsidRPr="00480C94">
      <w:tab/>
    </w:r>
    <w:r w:rsidRPr="00480C94">
      <w:rPr>
        <w:rStyle w:val="PageNumber"/>
        <w:rFonts w:asciiTheme="majorHAnsi" w:hAnsiTheme="majorHAnsi"/>
      </w:rPr>
      <w:t>2017-18 Budget Update</w:t>
    </w:r>
    <w:r w:rsidRPr="00480C94">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6A4" w:rsidRDefault="004906A4" w:rsidP="00E65437">
    <w:pPr>
      <w:pStyle w:val="Footereven"/>
      <w:tabs>
        <w:tab w:val="clear" w:pos="9639"/>
      </w:tabs>
    </w:pPr>
    <w:r>
      <w:rPr>
        <w:rStyle w:val="PageNumber"/>
        <w:rFonts w:asciiTheme="majorHAnsi" w:hAnsiTheme="majorHAnsi"/>
      </w:rPr>
      <w:tab/>
    </w:r>
    <w:r>
      <w:rPr>
        <w:rStyle w:val="PageNumber"/>
        <w:rFonts w:asciiTheme="majorHAnsi" w:hAnsiTheme="majorHAnsi"/>
      </w:rPr>
      <w:tab/>
    </w:r>
    <w:r w:rsidRPr="00D90086">
      <w:rPr>
        <w:rStyle w:val="PageNumber"/>
        <w:rFonts w:asciiTheme="majorHAnsi" w:hAnsiTheme="majorHAnsi"/>
      </w:rPr>
      <w:fldChar w:fldCharType="begin"/>
    </w:r>
    <w:r w:rsidRPr="00D90086">
      <w:rPr>
        <w:rStyle w:val="PageNumber"/>
        <w:rFonts w:asciiTheme="majorHAnsi" w:hAnsiTheme="majorHAnsi"/>
      </w:rPr>
      <w:instrText xml:space="preserve"> PAGE </w:instrText>
    </w:r>
    <w:r w:rsidRPr="00D90086">
      <w:rPr>
        <w:rStyle w:val="PageNumber"/>
        <w:rFonts w:asciiTheme="majorHAnsi" w:hAnsiTheme="majorHAnsi"/>
      </w:rPr>
      <w:fldChar w:fldCharType="separate"/>
    </w:r>
    <w:r w:rsidR="00715FC3">
      <w:rPr>
        <w:rStyle w:val="PageNumber"/>
        <w:rFonts w:asciiTheme="majorHAnsi" w:hAnsiTheme="majorHAnsi"/>
        <w:noProof/>
      </w:rPr>
      <w:t>i</w:t>
    </w:r>
    <w:r w:rsidRPr="00D90086">
      <w:rPr>
        <w:rStyle w:val="PageNumber"/>
        <w:rFonts w:asciiTheme="majorHAnsi" w:hAnsiTheme="majorHAnsi"/>
      </w:rPr>
      <w:fldChar w:fldCharType="end"/>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6A4" w:rsidRPr="00480C94" w:rsidRDefault="004906A4" w:rsidP="00480C94">
    <w:pPr>
      <w:pStyle w:val="Footerodd"/>
    </w:pPr>
    <w:r w:rsidRPr="00480C94">
      <w:rPr>
        <w:rStyle w:val="PageNumber"/>
        <w:rFonts w:asciiTheme="majorHAnsi" w:hAnsiTheme="majorHAnsi"/>
      </w:rPr>
      <w:t>2017-18 Budget Update</w:t>
    </w:r>
    <w:r w:rsidRPr="00480C94">
      <w:tab/>
      <w:t>Chapter 5</w:t>
    </w:r>
    <w:r w:rsidRPr="00480C94">
      <w:tab/>
    </w:r>
    <w:r w:rsidRPr="00480C94">
      <w:rPr>
        <w:rStyle w:val="PageNumber"/>
        <w:rFonts w:asciiTheme="majorHAnsi" w:hAnsiTheme="majorHAnsi"/>
      </w:rPr>
      <w:fldChar w:fldCharType="begin"/>
    </w:r>
    <w:r w:rsidRPr="00480C94">
      <w:rPr>
        <w:rStyle w:val="PageNumber"/>
        <w:rFonts w:asciiTheme="majorHAnsi" w:hAnsiTheme="majorHAnsi"/>
      </w:rPr>
      <w:instrText xml:space="preserve"> PAGE </w:instrText>
    </w:r>
    <w:r w:rsidRPr="00480C94">
      <w:rPr>
        <w:rStyle w:val="PageNumber"/>
        <w:rFonts w:asciiTheme="majorHAnsi" w:hAnsiTheme="majorHAnsi"/>
      </w:rPr>
      <w:fldChar w:fldCharType="separate"/>
    </w:r>
    <w:r>
      <w:rPr>
        <w:rStyle w:val="PageNumber"/>
        <w:rFonts w:asciiTheme="majorHAnsi" w:hAnsiTheme="majorHAnsi"/>
        <w:noProof/>
      </w:rPr>
      <w:t>97</w:t>
    </w:r>
    <w:r w:rsidRPr="00480C94">
      <w:rPr>
        <w:rStyle w:val="PageNumber"/>
        <w:rFonts w:asciiTheme="majorHAnsi" w:hAnsiTheme="majorHAnsi"/>
      </w:rPr>
      <w:fldChar w:fldCharType="end"/>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6A4" w:rsidRPr="008D3FDA" w:rsidRDefault="004906A4" w:rsidP="008D3FDA">
    <w:pPr>
      <w:pStyle w:val="Footereven"/>
    </w:pPr>
    <w:r w:rsidRPr="008D3FDA">
      <w:rPr>
        <w:rStyle w:val="PageNumber"/>
        <w:rFonts w:asciiTheme="majorHAnsi" w:hAnsiTheme="majorHAnsi"/>
      </w:rPr>
      <w:fldChar w:fldCharType="begin"/>
    </w:r>
    <w:r w:rsidRPr="008D3FDA">
      <w:rPr>
        <w:rStyle w:val="PageNumber"/>
        <w:rFonts w:asciiTheme="majorHAnsi" w:hAnsiTheme="majorHAnsi"/>
      </w:rPr>
      <w:instrText xml:space="preserve"> PAGE </w:instrText>
    </w:r>
    <w:r w:rsidRPr="008D3FDA">
      <w:rPr>
        <w:rStyle w:val="PageNumber"/>
        <w:rFonts w:asciiTheme="majorHAnsi" w:hAnsiTheme="majorHAnsi"/>
      </w:rPr>
      <w:fldChar w:fldCharType="separate"/>
    </w:r>
    <w:r w:rsidR="00715FC3">
      <w:rPr>
        <w:rStyle w:val="PageNumber"/>
        <w:rFonts w:asciiTheme="majorHAnsi" w:hAnsiTheme="majorHAnsi"/>
        <w:noProof/>
      </w:rPr>
      <w:t>104</w:t>
    </w:r>
    <w:r w:rsidRPr="008D3FDA">
      <w:rPr>
        <w:rStyle w:val="PageNumber"/>
        <w:rFonts w:asciiTheme="majorHAnsi" w:hAnsiTheme="majorHAnsi"/>
      </w:rPr>
      <w:fldChar w:fldCharType="end"/>
    </w:r>
    <w:r w:rsidRPr="008D3FDA">
      <w:tab/>
      <w:t>Chapter 6</w:t>
    </w:r>
    <w:r w:rsidRPr="008D3FDA">
      <w:tab/>
    </w:r>
    <w:r w:rsidRPr="008D3FDA">
      <w:rPr>
        <w:rStyle w:val="PageNumber"/>
        <w:rFonts w:asciiTheme="majorHAnsi" w:hAnsiTheme="majorHAnsi"/>
      </w:rPr>
      <w:t>2017-18 Budget Update</w:t>
    </w:r>
    <w:r w:rsidRPr="008D3FDA">
      <w:t xml:space="preserve"> </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6A4" w:rsidRPr="008D3FDA" w:rsidRDefault="004906A4" w:rsidP="00F241F4">
    <w:pPr>
      <w:pStyle w:val="Footerodd"/>
    </w:pPr>
    <w:r w:rsidRPr="008D3FDA">
      <w:rPr>
        <w:rStyle w:val="PageNumber"/>
        <w:rFonts w:asciiTheme="majorHAnsi" w:hAnsiTheme="majorHAnsi"/>
      </w:rPr>
      <w:t>2017-18 Budget Update</w:t>
    </w:r>
    <w:r w:rsidRPr="008D3FDA">
      <w:tab/>
      <w:t>Chapter 6</w:t>
    </w:r>
    <w:r w:rsidRPr="008D3FDA">
      <w:tab/>
    </w:r>
    <w:r w:rsidRPr="008D3FDA">
      <w:rPr>
        <w:rStyle w:val="PageNumber"/>
        <w:rFonts w:asciiTheme="majorHAnsi" w:hAnsiTheme="majorHAnsi"/>
      </w:rPr>
      <w:fldChar w:fldCharType="begin"/>
    </w:r>
    <w:r w:rsidRPr="008D3FDA">
      <w:rPr>
        <w:rStyle w:val="PageNumber"/>
        <w:rFonts w:asciiTheme="majorHAnsi" w:hAnsiTheme="majorHAnsi"/>
      </w:rPr>
      <w:instrText xml:space="preserve"> PAGE </w:instrText>
    </w:r>
    <w:r w:rsidRPr="008D3FDA">
      <w:rPr>
        <w:rStyle w:val="PageNumber"/>
        <w:rFonts w:asciiTheme="majorHAnsi" w:hAnsiTheme="majorHAnsi"/>
      </w:rPr>
      <w:fldChar w:fldCharType="separate"/>
    </w:r>
    <w:r w:rsidR="00715FC3">
      <w:rPr>
        <w:rStyle w:val="PageNumber"/>
        <w:rFonts w:asciiTheme="majorHAnsi" w:hAnsiTheme="majorHAnsi"/>
        <w:noProof/>
      </w:rPr>
      <w:t>105</w:t>
    </w:r>
    <w:r w:rsidRPr="008D3FDA">
      <w:rPr>
        <w:rStyle w:val="PageNumber"/>
        <w:rFonts w:asciiTheme="majorHAnsi" w:hAnsiTheme="majorHAnsi"/>
      </w:rP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6A4" w:rsidRDefault="004906A4"/>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6A4" w:rsidRPr="00480C94" w:rsidRDefault="004906A4" w:rsidP="00F241F4">
    <w:pPr>
      <w:pStyle w:val="Footereven"/>
    </w:pPr>
    <w:r w:rsidRPr="00480C94">
      <w:rPr>
        <w:rStyle w:val="PageNumber"/>
        <w:rFonts w:asciiTheme="majorHAnsi" w:hAnsiTheme="majorHAnsi"/>
      </w:rPr>
      <w:fldChar w:fldCharType="begin"/>
    </w:r>
    <w:r w:rsidRPr="00480C94">
      <w:rPr>
        <w:rStyle w:val="PageNumber"/>
        <w:rFonts w:asciiTheme="majorHAnsi" w:hAnsiTheme="majorHAnsi"/>
      </w:rPr>
      <w:instrText xml:space="preserve"> PAGE </w:instrText>
    </w:r>
    <w:r w:rsidRPr="00480C94">
      <w:rPr>
        <w:rStyle w:val="PageNumber"/>
        <w:rFonts w:asciiTheme="majorHAnsi" w:hAnsiTheme="majorHAnsi"/>
      </w:rPr>
      <w:fldChar w:fldCharType="separate"/>
    </w:r>
    <w:r w:rsidR="00715FC3">
      <w:rPr>
        <w:rStyle w:val="PageNumber"/>
        <w:rFonts w:asciiTheme="majorHAnsi" w:hAnsiTheme="majorHAnsi"/>
        <w:noProof/>
      </w:rPr>
      <w:t>106</w:t>
    </w:r>
    <w:r w:rsidRPr="00480C94">
      <w:rPr>
        <w:rStyle w:val="PageNumber"/>
        <w:rFonts w:asciiTheme="majorHAnsi" w:hAnsiTheme="majorHAnsi"/>
      </w:rPr>
      <w:fldChar w:fldCharType="end"/>
    </w:r>
    <w:r w:rsidRPr="00480C94">
      <w:tab/>
      <w:t>Chapter 6</w:t>
    </w:r>
    <w:r w:rsidRPr="00480C94">
      <w:tab/>
    </w:r>
    <w:r w:rsidRPr="00480C94">
      <w:rPr>
        <w:rStyle w:val="PageNumber"/>
        <w:rFonts w:asciiTheme="majorHAnsi" w:hAnsiTheme="majorHAnsi"/>
      </w:rPr>
      <w:t>2017-18 Budget Update</w:t>
    </w:r>
    <w:r w:rsidRPr="00480C94">
      <w:t xml:space="preserve"> </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6A4" w:rsidRPr="00480C94" w:rsidRDefault="004906A4" w:rsidP="00480C94">
    <w:pPr>
      <w:pStyle w:val="Footerodd"/>
    </w:pPr>
    <w:r w:rsidRPr="00480C94">
      <w:rPr>
        <w:rStyle w:val="PageNumber"/>
        <w:rFonts w:asciiTheme="majorHAnsi" w:hAnsiTheme="majorHAnsi"/>
      </w:rPr>
      <w:t>2017-18 Budget Update</w:t>
    </w:r>
    <w:r w:rsidRPr="00480C94">
      <w:tab/>
      <w:t>Chapter 6</w:t>
    </w:r>
    <w:r w:rsidRPr="00480C94">
      <w:tab/>
    </w:r>
    <w:r w:rsidRPr="00480C94">
      <w:rPr>
        <w:rStyle w:val="PageNumber"/>
        <w:rFonts w:asciiTheme="majorHAnsi" w:hAnsiTheme="majorHAnsi"/>
      </w:rPr>
      <w:fldChar w:fldCharType="begin"/>
    </w:r>
    <w:r w:rsidRPr="00480C94">
      <w:rPr>
        <w:rStyle w:val="PageNumber"/>
        <w:rFonts w:asciiTheme="majorHAnsi" w:hAnsiTheme="majorHAnsi"/>
      </w:rPr>
      <w:instrText xml:space="preserve"> PAGE </w:instrText>
    </w:r>
    <w:r w:rsidRPr="00480C94">
      <w:rPr>
        <w:rStyle w:val="PageNumber"/>
        <w:rFonts w:asciiTheme="majorHAnsi" w:hAnsiTheme="majorHAnsi"/>
      </w:rPr>
      <w:fldChar w:fldCharType="separate"/>
    </w:r>
    <w:r w:rsidR="006A017C">
      <w:rPr>
        <w:rStyle w:val="PageNumber"/>
        <w:rFonts w:asciiTheme="majorHAnsi" w:hAnsiTheme="majorHAnsi"/>
        <w:noProof/>
      </w:rPr>
      <w:t>107</w:t>
    </w:r>
    <w:r w:rsidRPr="00480C94">
      <w:rPr>
        <w:rStyle w:val="PageNumber"/>
        <w:rFonts w:asciiTheme="majorHAnsi" w:hAnsiTheme="majorHAnsi"/>
      </w:rPr>
      <w:fldChar w:fldCharType="end"/>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6A4" w:rsidRDefault="004906A4"/>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6A4" w:rsidRPr="00D90086" w:rsidRDefault="004906A4" w:rsidP="00F241F4">
    <w:pPr>
      <w:pStyle w:val="Footereven"/>
      <w:tabs>
        <w:tab w:val="clear" w:pos="9639"/>
      </w:tabs>
    </w:pPr>
    <w:r w:rsidRPr="00D90086">
      <w:rPr>
        <w:rStyle w:val="PageNumber"/>
        <w:rFonts w:asciiTheme="majorHAnsi" w:hAnsiTheme="majorHAnsi"/>
      </w:rPr>
      <w:fldChar w:fldCharType="begin"/>
    </w:r>
    <w:r w:rsidRPr="00D90086">
      <w:rPr>
        <w:rStyle w:val="PageNumber"/>
        <w:rFonts w:asciiTheme="majorHAnsi" w:hAnsiTheme="majorHAnsi"/>
      </w:rPr>
      <w:instrText xml:space="preserve"> PAGE </w:instrText>
    </w:r>
    <w:r w:rsidRPr="00D90086">
      <w:rPr>
        <w:rStyle w:val="PageNumber"/>
        <w:rFonts w:asciiTheme="majorHAnsi" w:hAnsiTheme="majorHAnsi"/>
      </w:rPr>
      <w:fldChar w:fldCharType="separate"/>
    </w:r>
    <w:r w:rsidR="00715FC3">
      <w:rPr>
        <w:rStyle w:val="PageNumber"/>
        <w:rFonts w:asciiTheme="majorHAnsi" w:hAnsiTheme="majorHAnsi"/>
        <w:noProof/>
      </w:rPr>
      <w:t>128</w:t>
    </w:r>
    <w:r w:rsidRPr="00D90086">
      <w:rPr>
        <w:rStyle w:val="PageNumber"/>
        <w:rFonts w:asciiTheme="majorHAnsi" w:hAnsiTheme="majorHAnsi"/>
      </w:rPr>
      <w:fldChar w:fldCharType="end"/>
    </w:r>
    <w:r w:rsidRPr="00D90086">
      <w:tab/>
    </w:r>
    <w:r>
      <w:t>Appendix A</w:t>
    </w:r>
    <w:r w:rsidRPr="00D90086">
      <w:tab/>
    </w:r>
    <w:r>
      <w:rPr>
        <w:rStyle w:val="PageNumber"/>
        <w:rFonts w:asciiTheme="majorHAnsi" w:hAnsiTheme="majorHAnsi"/>
      </w:rPr>
      <w:t>2017-18 Budget Update</w:t>
    </w:r>
    <w:r w:rsidRPr="00D90086">
      <w:t xml:space="preserve"> </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6A4" w:rsidRPr="00BA26F2" w:rsidRDefault="004906A4" w:rsidP="00F241F4">
    <w:pPr>
      <w:pStyle w:val="Footerodd"/>
      <w:tabs>
        <w:tab w:val="clear" w:pos="9639"/>
      </w:tabs>
    </w:pPr>
    <w:r>
      <w:rPr>
        <w:rStyle w:val="PageNumber"/>
        <w:rFonts w:asciiTheme="majorHAnsi" w:hAnsiTheme="majorHAnsi"/>
      </w:rPr>
      <w:t>2017-18 Budget Update</w:t>
    </w:r>
    <w:r w:rsidRPr="00BA26F2">
      <w:tab/>
    </w:r>
    <w:r>
      <w:t>Appendix A</w:t>
    </w:r>
    <w:r w:rsidRPr="00BA26F2">
      <w:tab/>
    </w:r>
    <w:r w:rsidRPr="00BA26F2">
      <w:rPr>
        <w:rStyle w:val="PageNumber"/>
        <w:rFonts w:asciiTheme="majorHAnsi" w:hAnsiTheme="majorHAnsi"/>
      </w:rPr>
      <w:fldChar w:fldCharType="begin"/>
    </w:r>
    <w:r w:rsidRPr="00BA26F2">
      <w:rPr>
        <w:rStyle w:val="PageNumber"/>
        <w:rFonts w:asciiTheme="majorHAnsi" w:hAnsiTheme="majorHAnsi"/>
      </w:rPr>
      <w:instrText xml:space="preserve"> PAGE </w:instrText>
    </w:r>
    <w:r w:rsidRPr="00BA26F2">
      <w:rPr>
        <w:rStyle w:val="PageNumber"/>
        <w:rFonts w:asciiTheme="majorHAnsi" w:hAnsiTheme="majorHAnsi"/>
      </w:rPr>
      <w:fldChar w:fldCharType="separate"/>
    </w:r>
    <w:r w:rsidR="00715FC3">
      <w:rPr>
        <w:rStyle w:val="PageNumber"/>
        <w:rFonts w:asciiTheme="majorHAnsi" w:hAnsiTheme="majorHAnsi"/>
        <w:noProof/>
      </w:rPr>
      <w:t>127</w:t>
    </w:r>
    <w:r w:rsidRPr="00BA26F2">
      <w:rPr>
        <w:rStyle w:val="PageNumber"/>
        <w:rFonts w:asciiTheme="majorHAnsi" w:hAnsiTheme="majorHAnsi"/>
      </w:rPr>
      <w:fldChar w:fldCharType="end"/>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6A4" w:rsidRPr="00D90086" w:rsidRDefault="004906A4" w:rsidP="00A26D04">
    <w:pPr>
      <w:pStyle w:val="Footereven"/>
      <w:tabs>
        <w:tab w:val="clear" w:pos="9639"/>
        <w:tab w:val="center" w:pos="2976"/>
      </w:tabs>
    </w:pPr>
    <w:r w:rsidRPr="00D90086">
      <w:rPr>
        <w:rStyle w:val="PageNumber"/>
        <w:rFonts w:asciiTheme="majorHAnsi" w:hAnsiTheme="majorHAnsi"/>
      </w:rPr>
      <w:fldChar w:fldCharType="begin"/>
    </w:r>
    <w:r w:rsidRPr="00D90086">
      <w:rPr>
        <w:rStyle w:val="PageNumber"/>
        <w:rFonts w:asciiTheme="majorHAnsi" w:hAnsiTheme="majorHAnsi"/>
      </w:rPr>
      <w:instrText xml:space="preserve"> PAGE </w:instrText>
    </w:r>
    <w:r w:rsidRPr="00D90086">
      <w:rPr>
        <w:rStyle w:val="PageNumber"/>
        <w:rFonts w:asciiTheme="majorHAnsi" w:hAnsiTheme="majorHAnsi"/>
      </w:rPr>
      <w:fldChar w:fldCharType="separate"/>
    </w:r>
    <w:r w:rsidR="006A017C">
      <w:rPr>
        <w:rStyle w:val="PageNumber"/>
        <w:rFonts w:asciiTheme="majorHAnsi" w:hAnsiTheme="majorHAnsi"/>
        <w:noProof/>
      </w:rPr>
      <w:t>130</w:t>
    </w:r>
    <w:r w:rsidRPr="00D90086">
      <w:rPr>
        <w:rStyle w:val="PageNumber"/>
        <w:rFonts w:asciiTheme="majorHAnsi" w:hAnsiTheme="majorHAnsi"/>
      </w:rPr>
      <w:fldChar w:fldCharType="end"/>
    </w:r>
    <w:r w:rsidRPr="00D90086">
      <w:tab/>
    </w:r>
    <w:r>
      <w:t>Appendix B</w:t>
    </w:r>
    <w:r w:rsidRPr="00D90086">
      <w:tab/>
    </w:r>
    <w:r>
      <w:rPr>
        <w:rStyle w:val="PageNumber"/>
        <w:rFonts w:asciiTheme="majorHAnsi" w:hAnsiTheme="majorHAnsi"/>
      </w:rPr>
      <w:t>2017-18 Budget Update</w:t>
    </w:r>
    <w:r w:rsidRPr="00D90086">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6A4" w:rsidRPr="00D90086" w:rsidRDefault="004906A4" w:rsidP="00A26D04">
    <w:pPr>
      <w:pStyle w:val="Footereven"/>
      <w:tabs>
        <w:tab w:val="clear" w:pos="9639"/>
        <w:tab w:val="center" w:pos="2976"/>
      </w:tabs>
    </w:pPr>
    <w:r w:rsidRPr="00D90086">
      <w:rPr>
        <w:rStyle w:val="PageNumber"/>
        <w:rFonts w:asciiTheme="majorHAnsi" w:hAnsiTheme="majorHAnsi"/>
      </w:rPr>
      <w:fldChar w:fldCharType="begin"/>
    </w:r>
    <w:r w:rsidRPr="00D90086">
      <w:rPr>
        <w:rStyle w:val="PageNumber"/>
        <w:rFonts w:asciiTheme="majorHAnsi" w:hAnsiTheme="majorHAnsi"/>
      </w:rPr>
      <w:instrText xml:space="preserve"> PAGE </w:instrText>
    </w:r>
    <w:r w:rsidRPr="00D90086">
      <w:rPr>
        <w:rStyle w:val="PageNumber"/>
        <w:rFonts w:asciiTheme="majorHAnsi" w:hAnsiTheme="majorHAnsi"/>
      </w:rPr>
      <w:fldChar w:fldCharType="separate"/>
    </w:r>
    <w:r>
      <w:rPr>
        <w:rStyle w:val="PageNumber"/>
        <w:rFonts w:asciiTheme="majorHAnsi" w:hAnsiTheme="majorHAnsi"/>
        <w:noProof/>
      </w:rPr>
      <w:t>4</w:t>
    </w:r>
    <w:r w:rsidRPr="00D90086">
      <w:rPr>
        <w:rStyle w:val="PageNumber"/>
        <w:rFonts w:asciiTheme="majorHAnsi" w:hAnsiTheme="majorHAnsi"/>
      </w:rPr>
      <w:fldChar w:fldCharType="end"/>
    </w:r>
    <w:r w:rsidRPr="00D90086">
      <w:tab/>
    </w:r>
    <w:r>
      <w:t>Style conventions</w:t>
    </w:r>
    <w:r w:rsidRPr="00D90086">
      <w:tab/>
    </w:r>
    <w:r>
      <w:rPr>
        <w:rStyle w:val="PageNumber"/>
        <w:rFonts w:asciiTheme="majorHAnsi" w:hAnsiTheme="majorHAnsi"/>
      </w:rPr>
      <w:t>2017-18 Budget Update</w:t>
    </w:r>
    <w:r w:rsidRPr="00D90086">
      <w:t xml:space="preserve"> </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6A4" w:rsidRPr="00BA26F2" w:rsidRDefault="004906A4" w:rsidP="00A26D04">
    <w:pPr>
      <w:pStyle w:val="Footerodd"/>
      <w:tabs>
        <w:tab w:val="clear" w:pos="9639"/>
      </w:tabs>
    </w:pPr>
    <w:r>
      <w:rPr>
        <w:rStyle w:val="PageNumber"/>
        <w:rFonts w:asciiTheme="majorHAnsi" w:hAnsiTheme="majorHAnsi"/>
      </w:rPr>
      <w:t>2017-18 Budget Update</w:t>
    </w:r>
    <w:r w:rsidRPr="00BA26F2">
      <w:tab/>
    </w:r>
    <w:r>
      <w:t>Appendix B</w:t>
    </w:r>
    <w:r w:rsidRPr="00BA26F2">
      <w:tab/>
    </w:r>
    <w:r w:rsidRPr="00BA26F2">
      <w:rPr>
        <w:rStyle w:val="PageNumber"/>
        <w:rFonts w:asciiTheme="majorHAnsi" w:hAnsiTheme="majorHAnsi"/>
      </w:rPr>
      <w:fldChar w:fldCharType="begin"/>
    </w:r>
    <w:r w:rsidRPr="00BA26F2">
      <w:rPr>
        <w:rStyle w:val="PageNumber"/>
        <w:rFonts w:asciiTheme="majorHAnsi" w:hAnsiTheme="majorHAnsi"/>
      </w:rPr>
      <w:instrText xml:space="preserve"> PAGE </w:instrText>
    </w:r>
    <w:r w:rsidRPr="00BA26F2">
      <w:rPr>
        <w:rStyle w:val="PageNumber"/>
        <w:rFonts w:asciiTheme="majorHAnsi" w:hAnsiTheme="majorHAnsi"/>
      </w:rPr>
      <w:fldChar w:fldCharType="separate"/>
    </w:r>
    <w:r w:rsidR="00715FC3">
      <w:rPr>
        <w:rStyle w:val="PageNumber"/>
        <w:rFonts w:asciiTheme="majorHAnsi" w:hAnsiTheme="majorHAnsi"/>
        <w:noProof/>
      </w:rPr>
      <w:t>129</w:t>
    </w:r>
    <w:r w:rsidRPr="00BA26F2">
      <w:rPr>
        <w:rStyle w:val="PageNumber"/>
        <w:rFonts w:asciiTheme="majorHAnsi" w:hAnsiTheme="majorHAnsi"/>
      </w:rPr>
      <w:fldChar w:fldCharType="end"/>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6A4" w:rsidRDefault="004906A4">
    <w:pPr>
      <w:pStyle w:val="Footer"/>
    </w:pP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6A4" w:rsidRPr="00D90086" w:rsidRDefault="004906A4" w:rsidP="00F241F4">
    <w:pPr>
      <w:pStyle w:val="Footereven"/>
      <w:tabs>
        <w:tab w:val="clear" w:pos="9639"/>
      </w:tabs>
    </w:pPr>
    <w:r w:rsidRPr="00D90086">
      <w:rPr>
        <w:rStyle w:val="PageNumber"/>
        <w:rFonts w:asciiTheme="majorHAnsi" w:hAnsiTheme="majorHAnsi"/>
      </w:rPr>
      <w:fldChar w:fldCharType="begin"/>
    </w:r>
    <w:r w:rsidRPr="00D90086">
      <w:rPr>
        <w:rStyle w:val="PageNumber"/>
        <w:rFonts w:asciiTheme="majorHAnsi" w:hAnsiTheme="majorHAnsi"/>
      </w:rPr>
      <w:instrText xml:space="preserve"> PAGE </w:instrText>
    </w:r>
    <w:r w:rsidRPr="00D90086">
      <w:rPr>
        <w:rStyle w:val="PageNumber"/>
        <w:rFonts w:asciiTheme="majorHAnsi" w:hAnsiTheme="majorHAnsi"/>
      </w:rPr>
      <w:fldChar w:fldCharType="separate"/>
    </w:r>
    <w:r w:rsidR="00715FC3">
      <w:rPr>
        <w:rStyle w:val="PageNumber"/>
        <w:rFonts w:asciiTheme="majorHAnsi" w:hAnsiTheme="majorHAnsi"/>
        <w:noProof/>
      </w:rPr>
      <w:t>130</w:t>
    </w:r>
    <w:r w:rsidRPr="00D90086">
      <w:rPr>
        <w:rStyle w:val="PageNumber"/>
        <w:rFonts w:asciiTheme="majorHAnsi" w:hAnsiTheme="majorHAnsi"/>
      </w:rPr>
      <w:fldChar w:fldCharType="end"/>
    </w:r>
    <w:r w:rsidRPr="00D90086">
      <w:tab/>
    </w:r>
    <w:r>
      <w:t>Appendix B</w:t>
    </w:r>
    <w:r w:rsidRPr="00D90086">
      <w:tab/>
    </w:r>
    <w:r>
      <w:rPr>
        <w:rStyle w:val="PageNumber"/>
        <w:rFonts w:asciiTheme="majorHAnsi" w:hAnsiTheme="majorHAnsi"/>
      </w:rPr>
      <w:t>2017-18 Budget Update</w:t>
    </w:r>
    <w:r w:rsidRPr="00D90086">
      <w:t xml:space="preserve"> </w: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6A4" w:rsidRPr="00BA26F2" w:rsidRDefault="004906A4" w:rsidP="00A26D04">
    <w:pPr>
      <w:pStyle w:val="Footerodd"/>
      <w:tabs>
        <w:tab w:val="clear" w:pos="9639"/>
      </w:tabs>
    </w:pPr>
    <w:r>
      <w:rPr>
        <w:rStyle w:val="PageNumber"/>
        <w:rFonts w:asciiTheme="majorHAnsi" w:hAnsiTheme="majorHAnsi"/>
      </w:rPr>
      <w:t>2017-18 Budget Update</w:t>
    </w:r>
    <w:r w:rsidRPr="00BA26F2">
      <w:tab/>
    </w:r>
    <w:r>
      <w:t>Appendix B</w:t>
    </w:r>
    <w:r w:rsidRPr="00BA26F2">
      <w:tab/>
    </w:r>
    <w:r w:rsidRPr="00BA26F2">
      <w:rPr>
        <w:rStyle w:val="PageNumber"/>
        <w:rFonts w:asciiTheme="majorHAnsi" w:hAnsiTheme="majorHAnsi"/>
      </w:rPr>
      <w:fldChar w:fldCharType="begin"/>
    </w:r>
    <w:r w:rsidRPr="00BA26F2">
      <w:rPr>
        <w:rStyle w:val="PageNumber"/>
        <w:rFonts w:asciiTheme="majorHAnsi" w:hAnsiTheme="majorHAnsi"/>
      </w:rPr>
      <w:instrText xml:space="preserve"> PAGE </w:instrText>
    </w:r>
    <w:r w:rsidRPr="00BA26F2">
      <w:rPr>
        <w:rStyle w:val="PageNumber"/>
        <w:rFonts w:asciiTheme="majorHAnsi" w:hAnsiTheme="majorHAnsi"/>
      </w:rPr>
      <w:fldChar w:fldCharType="separate"/>
    </w:r>
    <w:r w:rsidR="006A017C">
      <w:rPr>
        <w:rStyle w:val="PageNumber"/>
        <w:rFonts w:asciiTheme="majorHAnsi" w:hAnsiTheme="majorHAnsi"/>
        <w:noProof/>
      </w:rPr>
      <w:t>131</w:t>
    </w:r>
    <w:r w:rsidRPr="00BA26F2">
      <w:rPr>
        <w:rStyle w:val="PageNumber"/>
        <w:rFonts w:asciiTheme="majorHAnsi" w:hAnsiTheme="majorHAnsi"/>
      </w:rPr>
      <w:fldChar w:fldCharType="end"/>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6A4" w:rsidRDefault="004906A4">
    <w:pPr>
      <w:pStyle w:val="Footer"/>
    </w:pP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6A4" w:rsidRPr="00D90086" w:rsidRDefault="004906A4" w:rsidP="00F241F4">
    <w:pPr>
      <w:pStyle w:val="Footereven"/>
      <w:tabs>
        <w:tab w:val="clear" w:pos="9639"/>
      </w:tabs>
    </w:pPr>
    <w:r w:rsidRPr="00D90086">
      <w:rPr>
        <w:rStyle w:val="PageNumber"/>
        <w:rFonts w:asciiTheme="majorHAnsi" w:hAnsiTheme="majorHAnsi"/>
      </w:rPr>
      <w:fldChar w:fldCharType="begin"/>
    </w:r>
    <w:r w:rsidRPr="00D90086">
      <w:rPr>
        <w:rStyle w:val="PageNumber"/>
        <w:rFonts w:asciiTheme="majorHAnsi" w:hAnsiTheme="majorHAnsi"/>
      </w:rPr>
      <w:instrText xml:space="preserve"> PAGE </w:instrText>
    </w:r>
    <w:r w:rsidRPr="00D90086">
      <w:rPr>
        <w:rStyle w:val="PageNumber"/>
        <w:rFonts w:asciiTheme="majorHAnsi" w:hAnsiTheme="majorHAnsi"/>
      </w:rPr>
      <w:fldChar w:fldCharType="separate"/>
    </w:r>
    <w:r w:rsidR="00715FC3">
      <w:rPr>
        <w:rStyle w:val="PageNumber"/>
        <w:rFonts w:asciiTheme="majorHAnsi" w:hAnsiTheme="majorHAnsi"/>
        <w:noProof/>
      </w:rPr>
      <w:t>132</w:t>
    </w:r>
    <w:r w:rsidRPr="00D90086">
      <w:rPr>
        <w:rStyle w:val="PageNumber"/>
        <w:rFonts w:asciiTheme="majorHAnsi" w:hAnsiTheme="majorHAnsi"/>
      </w:rPr>
      <w:fldChar w:fldCharType="end"/>
    </w:r>
    <w:r w:rsidRPr="00D90086">
      <w:tab/>
    </w:r>
    <w:r>
      <w:t>Appendix C</w:t>
    </w:r>
    <w:r w:rsidRPr="00D90086">
      <w:tab/>
    </w:r>
    <w:r>
      <w:rPr>
        <w:rStyle w:val="PageNumber"/>
        <w:rFonts w:asciiTheme="majorHAnsi" w:hAnsiTheme="majorHAnsi"/>
      </w:rPr>
      <w:t>2017-18 Budget Update</w:t>
    </w:r>
    <w:r w:rsidRPr="00D90086">
      <w:t xml:space="preserve"> </w: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6A4" w:rsidRPr="00BA26F2" w:rsidRDefault="004906A4" w:rsidP="00A26D04">
    <w:pPr>
      <w:pStyle w:val="Footerodd"/>
      <w:tabs>
        <w:tab w:val="clear" w:pos="9639"/>
      </w:tabs>
    </w:pPr>
    <w:r>
      <w:rPr>
        <w:rStyle w:val="PageNumber"/>
        <w:rFonts w:asciiTheme="majorHAnsi" w:hAnsiTheme="majorHAnsi"/>
      </w:rPr>
      <w:t>2017-18 Budget Update</w:t>
    </w:r>
    <w:r w:rsidRPr="00BA26F2">
      <w:tab/>
    </w:r>
    <w:r>
      <w:t>Appendix C</w:t>
    </w:r>
    <w:r w:rsidRPr="00BA26F2">
      <w:tab/>
    </w:r>
    <w:r w:rsidRPr="00BA26F2">
      <w:rPr>
        <w:rStyle w:val="PageNumber"/>
        <w:rFonts w:asciiTheme="majorHAnsi" w:hAnsiTheme="majorHAnsi"/>
      </w:rPr>
      <w:fldChar w:fldCharType="begin"/>
    </w:r>
    <w:r w:rsidRPr="00BA26F2">
      <w:rPr>
        <w:rStyle w:val="PageNumber"/>
        <w:rFonts w:asciiTheme="majorHAnsi" w:hAnsiTheme="majorHAnsi"/>
      </w:rPr>
      <w:instrText xml:space="preserve"> PAGE </w:instrText>
    </w:r>
    <w:r w:rsidRPr="00BA26F2">
      <w:rPr>
        <w:rStyle w:val="PageNumber"/>
        <w:rFonts w:asciiTheme="majorHAnsi" w:hAnsiTheme="majorHAnsi"/>
      </w:rPr>
      <w:fldChar w:fldCharType="separate"/>
    </w:r>
    <w:r w:rsidR="00715FC3">
      <w:rPr>
        <w:rStyle w:val="PageNumber"/>
        <w:rFonts w:asciiTheme="majorHAnsi" w:hAnsiTheme="majorHAnsi"/>
        <w:noProof/>
      </w:rPr>
      <w:t>133</w:t>
    </w:r>
    <w:r w:rsidRPr="00BA26F2">
      <w:rPr>
        <w:rStyle w:val="PageNumber"/>
        <w:rFonts w:asciiTheme="majorHAnsi" w:hAnsiTheme="majorHAnsi"/>
      </w:rPr>
      <w:fldChar w:fldCharType="end"/>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6A4" w:rsidRDefault="004906A4">
    <w:pPr>
      <w:pStyle w:val="Footer"/>
    </w:pP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6A4" w:rsidRPr="00D90086" w:rsidRDefault="004906A4" w:rsidP="00F241F4">
    <w:pPr>
      <w:pStyle w:val="Footereven"/>
      <w:tabs>
        <w:tab w:val="clear" w:pos="9639"/>
      </w:tabs>
    </w:pPr>
    <w:r w:rsidRPr="00D90086">
      <w:rPr>
        <w:rStyle w:val="PageNumber"/>
        <w:rFonts w:asciiTheme="majorHAnsi" w:hAnsiTheme="majorHAnsi"/>
      </w:rPr>
      <w:fldChar w:fldCharType="begin"/>
    </w:r>
    <w:r w:rsidRPr="00D90086">
      <w:rPr>
        <w:rStyle w:val="PageNumber"/>
        <w:rFonts w:asciiTheme="majorHAnsi" w:hAnsiTheme="majorHAnsi"/>
      </w:rPr>
      <w:instrText xml:space="preserve"> PAGE </w:instrText>
    </w:r>
    <w:r w:rsidRPr="00D90086">
      <w:rPr>
        <w:rStyle w:val="PageNumber"/>
        <w:rFonts w:asciiTheme="majorHAnsi" w:hAnsiTheme="majorHAnsi"/>
      </w:rPr>
      <w:fldChar w:fldCharType="separate"/>
    </w:r>
    <w:r w:rsidR="00715FC3">
      <w:rPr>
        <w:rStyle w:val="PageNumber"/>
        <w:rFonts w:asciiTheme="majorHAnsi" w:hAnsiTheme="majorHAnsi"/>
        <w:noProof/>
      </w:rPr>
      <w:t>134</w:t>
    </w:r>
    <w:r w:rsidRPr="00D90086">
      <w:rPr>
        <w:rStyle w:val="PageNumber"/>
        <w:rFonts w:asciiTheme="majorHAnsi" w:hAnsiTheme="majorHAnsi"/>
      </w:rPr>
      <w:fldChar w:fldCharType="end"/>
    </w:r>
    <w:r w:rsidRPr="00D90086">
      <w:tab/>
    </w:r>
    <w:r>
      <w:t>Appendix C</w:t>
    </w:r>
    <w:r w:rsidRPr="00D90086">
      <w:tab/>
    </w:r>
    <w:r>
      <w:rPr>
        <w:rStyle w:val="PageNumber"/>
        <w:rFonts w:asciiTheme="majorHAnsi" w:hAnsiTheme="majorHAnsi"/>
      </w:rPr>
      <w:t>2017-18 Budget Update</w:t>
    </w:r>
    <w:r w:rsidRPr="00D90086">
      <w:t xml:space="preserve"> </w: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6A4" w:rsidRPr="00BA26F2" w:rsidRDefault="004906A4" w:rsidP="00A26D04">
    <w:pPr>
      <w:pStyle w:val="Footerodd"/>
      <w:tabs>
        <w:tab w:val="clear" w:pos="9639"/>
      </w:tabs>
    </w:pPr>
    <w:r>
      <w:rPr>
        <w:rStyle w:val="PageNumber"/>
        <w:rFonts w:asciiTheme="majorHAnsi" w:hAnsiTheme="majorHAnsi"/>
      </w:rPr>
      <w:t>2017-18 Budget Update</w:t>
    </w:r>
    <w:r w:rsidRPr="00BA26F2">
      <w:tab/>
    </w:r>
    <w:r>
      <w:t>Appendix C</w:t>
    </w:r>
    <w:r w:rsidRPr="00BA26F2">
      <w:tab/>
    </w:r>
    <w:r w:rsidRPr="00BA26F2">
      <w:rPr>
        <w:rStyle w:val="PageNumber"/>
        <w:rFonts w:asciiTheme="majorHAnsi" w:hAnsiTheme="majorHAnsi"/>
      </w:rPr>
      <w:fldChar w:fldCharType="begin"/>
    </w:r>
    <w:r w:rsidRPr="00BA26F2">
      <w:rPr>
        <w:rStyle w:val="PageNumber"/>
        <w:rFonts w:asciiTheme="majorHAnsi" w:hAnsiTheme="majorHAnsi"/>
      </w:rPr>
      <w:instrText xml:space="preserve"> PAGE </w:instrText>
    </w:r>
    <w:r w:rsidRPr="00BA26F2">
      <w:rPr>
        <w:rStyle w:val="PageNumber"/>
        <w:rFonts w:asciiTheme="majorHAnsi" w:hAnsiTheme="majorHAnsi"/>
      </w:rPr>
      <w:fldChar w:fldCharType="separate"/>
    </w:r>
    <w:r w:rsidR="006A017C">
      <w:rPr>
        <w:rStyle w:val="PageNumber"/>
        <w:rFonts w:asciiTheme="majorHAnsi" w:hAnsiTheme="majorHAnsi"/>
        <w:noProof/>
      </w:rPr>
      <w:t>135</w:t>
    </w:r>
    <w:r w:rsidRPr="00BA26F2">
      <w:rPr>
        <w:rStyle w:val="PageNumber"/>
        <w:rFonts w:asciiTheme="majorHAnsi" w:hAnsiTheme="majorHAnsi"/>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6A4" w:rsidRPr="00BA26F2" w:rsidRDefault="004906A4" w:rsidP="00A26D04">
    <w:pPr>
      <w:pStyle w:val="Footerodd"/>
      <w:tabs>
        <w:tab w:val="clear" w:pos="9639"/>
      </w:tabs>
    </w:pPr>
    <w:r>
      <w:rPr>
        <w:rStyle w:val="PageNumber"/>
        <w:rFonts w:asciiTheme="majorHAnsi" w:hAnsiTheme="majorHAnsi"/>
      </w:rPr>
      <w:t>2017-18 Budget Update</w:t>
    </w:r>
    <w:r w:rsidRPr="00BA26F2">
      <w:tab/>
    </w:r>
    <w:r>
      <w:t>Style conventions</w:t>
    </w:r>
    <w:r w:rsidRPr="00BA26F2">
      <w:tab/>
    </w:r>
    <w:r w:rsidRPr="00BA26F2">
      <w:rPr>
        <w:rStyle w:val="PageNumber"/>
        <w:rFonts w:asciiTheme="majorHAnsi" w:hAnsiTheme="majorHAnsi"/>
      </w:rPr>
      <w:fldChar w:fldCharType="begin"/>
    </w:r>
    <w:r w:rsidRPr="00BA26F2">
      <w:rPr>
        <w:rStyle w:val="PageNumber"/>
        <w:rFonts w:asciiTheme="majorHAnsi" w:hAnsiTheme="majorHAnsi"/>
      </w:rPr>
      <w:instrText xml:space="preserve"> PAGE </w:instrText>
    </w:r>
    <w:r w:rsidRPr="00BA26F2">
      <w:rPr>
        <w:rStyle w:val="PageNumber"/>
        <w:rFonts w:asciiTheme="majorHAnsi" w:hAnsiTheme="majorHAnsi"/>
      </w:rPr>
      <w:fldChar w:fldCharType="separate"/>
    </w:r>
    <w:r>
      <w:rPr>
        <w:rStyle w:val="PageNumber"/>
        <w:rFonts w:asciiTheme="majorHAnsi" w:hAnsiTheme="majorHAnsi"/>
        <w:noProof/>
      </w:rPr>
      <w:t>3</w:t>
    </w:r>
    <w:r w:rsidRPr="00BA26F2">
      <w:rPr>
        <w:rStyle w:val="PageNumber"/>
        <w:rFonts w:asciiTheme="majorHAnsi" w:hAnsiTheme="majorHAnsi"/>
      </w:rPr>
      <w:fldChar w:fldCharType="end"/>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6A4" w:rsidRDefault="004906A4">
    <w:pPr>
      <w:pStyle w:val="Footer"/>
    </w:pP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6A4" w:rsidRPr="00D90086" w:rsidRDefault="004906A4" w:rsidP="00F241F4">
    <w:pPr>
      <w:pStyle w:val="Footereven"/>
      <w:tabs>
        <w:tab w:val="clear" w:pos="9639"/>
      </w:tabs>
    </w:pPr>
    <w:r w:rsidRPr="00D90086">
      <w:rPr>
        <w:rStyle w:val="PageNumber"/>
        <w:rFonts w:asciiTheme="majorHAnsi" w:hAnsiTheme="majorHAnsi"/>
      </w:rPr>
      <w:fldChar w:fldCharType="begin"/>
    </w:r>
    <w:r w:rsidRPr="00D90086">
      <w:rPr>
        <w:rStyle w:val="PageNumber"/>
        <w:rFonts w:asciiTheme="majorHAnsi" w:hAnsiTheme="majorHAnsi"/>
      </w:rPr>
      <w:instrText xml:space="preserve"> PAGE </w:instrText>
    </w:r>
    <w:r w:rsidRPr="00D90086">
      <w:rPr>
        <w:rStyle w:val="PageNumber"/>
        <w:rFonts w:asciiTheme="majorHAnsi" w:hAnsiTheme="majorHAnsi"/>
      </w:rPr>
      <w:fldChar w:fldCharType="separate"/>
    </w:r>
    <w:r w:rsidR="00715FC3">
      <w:rPr>
        <w:rStyle w:val="PageNumber"/>
        <w:rFonts w:asciiTheme="majorHAnsi" w:hAnsiTheme="majorHAnsi"/>
        <w:noProof/>
      </w:rPr>
      <w:t>142</w:t>
    </w:r>
    <w:r w:rsidRPr="00D90086">
      <w:rPr>
        <w:rStyle w:val="PageNumber"/>
        <w:rFonts w:asciiTheme="majorHAnsi" w:hAnsiTheme="majorHAnsi"/>
      </w:rPr>
      <w:fldChar w:fldCharType="end"/>
    </w:r>
    <w:r w:rsidRPr="00D90086">
      <w:tab/>
    </w:r>
    <w:r>
      <w:t>Appendix D</w:t>
    </w:r>
    <w:r w:rsidRPr="00D90086">
      <w:tab/>
    </w:r>
    <w:r>
      <w:rPr>
        <w:rStyle w:val="PageNumber"/>
        <w:rFonts w:asciiTheme="majorHAnsi" w:hAnsiTheme="majorHAnsi"/>
      </w:rPr>
      <w:t>2017-18 Budget Update</w:t>
    </w:r>
    <w:r w:rsidRPr="00D90086">
      <w:t xml:space="preserve"> </w: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6A4" w:rsidRPr="00BA26F2" w:rsidRDefault="004906A4" w:rsidP="00A26D04">
    <w:pPr>
      <w:pStyle w:val="Footerodd"/>
      <w:tabs>
        <w:tab w:val="clear" w:pos="9639"/>
      </w:tabs>
    </w:pPr>
    <w:r>
      <w:rPr>
        <w:rStyle w:val="PageNumber"/>
        <w:rFonts w:asciiTheme="majorHAnsi" w:hAnsiTheme="majorHAnsi"/>
      </w:rPr>
      <w:t>2017-18 Budget Update</w:t>
    </w:r>
    <w:r w:rsidRPr="00BA26F2">
      <w:tab/>
    </w:r>
    <w:r>
      <w:t>Appendix D</w:t>
    </w:r>
    <w:r w:rsidRPr="00BA26F2">
      <w:tab/>
    </w:r>
    <w:r w:rsidRPr="00BA26F2">
      <w:rPr>
        <w:rStyle w:val="PageNumber"/>
        <w:rFonts w:asciiTheme="majorHAnsi" w:hAnsiTheme="majorHAnsi"/>
      </w:rPr>
      <w:fldChar w:fldCharType="begin"/>
    </w:r>
    <w:r w:rsidRPr="00BA26F2">
      <w:rPr>
        <w:rStyle w:val="PageNumber"/>
        <w:rFonts w:asciiTheme="majorHAnsi" w:hAnsiTheme="majorHAnsi"/>
      </w:rPr>
      <w:instrText xml:space="preserve"> PAGE </w:instrText>
    </w:r>
    <w:r w:rsidRPr="00BA26F2">
      <w:rPr>
        <w:rStyle w:val="PageNumber"/>
        <w:rFonts w:asciiTheme="majorHAnsi" w:hAnsiTheme="majorHAnsi"/>
      </w:rPr>
      <w:fldChar w:fldCharType="separate"/>
    </w:r>
    <w:r w:rsidR="00715FC3">
      <w:rPr>
        <w:rStyle w:val="PageNumber"/>
        <w:rFonts w:asciiTheme="majorHAnsi" w:hAnsiTheme="majorHAnsi"/>
        <w:noProof/>
      </w:rPr>
      <w:t>141</w:t>
    </w:r>
    <w:r w:rsidRPr="00BA26F2">
      <w:rPr>
        <w:rStyle w:val="PageNumber"/>
        <w:rFonts w:asciiTheme="majorHAnsi" w:hAnsiTheme="majorHAnsi"/>
      </w:rPr>
      <w:fldChar w:fldCharType="end"/>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6A4" w:rsidRPr="00D90086" w:rsidRDefault="004906A4" w:rsidP="00A26D04">
    <w:pPr>
      <w:pStyle w:val="Footereven"/>
      <w:tabs>
        <w:tab w:val="clear" w:pos="9639"/>
        <w:tab w:val="center" w:pos="2976"/>
      </w:tabs>
    </w:pPr>
    <w:r w:rsidRPr="00D90086">
      <w:rPr>
        <w:rStyle w:val="PageNumber"/>
        <w:rFonts w:asciiTheme="majorHAnsi" w:hAnsiTheme="majorHAnsi"/>
      </w:rPr>
      <w:fldChar w:fldCharType="begin"/>
    </w:r>
    <w:r w:rsidRPr="00D90086">
      <w:rPr>
        <w:rStyle w:val="PageNumber"/>
        <w:rFonts w:asciiTheme="majorHAnsi" w:hAnsiTheme="majorHAnsi"/>
      </w:rPr>
      <w:instrText xml:space="preserve"> PAGE </w:instrText>
    </w:r>
    <w:r w:rsidRPr="00D90086">
      <w:rPr>
        <w:rStyle w:val="PageNumber"/>
        <w:rFonts w:asciiTheme="majorHAnsi" w:hAnsiTheme="majorHAnsi"/>
      </w:rPr>
      <w:fldChar w:fldCharType="separate"/>
    </w:r>
    <w:r>
      <w:rPr>
        <w:rStyle w:val="PageNumber"/>
        <w:rFonts w:asciiTheme="majorHAnsi" w:hAnsiTheme="majorHAnsi"/>
        <w:noProof/>
      </w:rPr>
      <w:t>142</w:t>
    </w:r>
    <w:r w:rsidRPr="00D90086">
      <w:rPr>
        <w:rStyle w:val="PageNumber"/>
        <w:rFonts w:asciiTheme="majorHAnsi" w:hAnsiTheme="majorHAnsi"/>
      </w:rPr>
      <w:fldChar w:fldCharType="end"/>
    </w:r>
    <w:r w:rsidRPr="00D90086">
      <w:tab/>
    </w:r>
    <w:r>
      <w:t>Appendix D</w:t>
    </w:r>
    <w:r w:rsidRPr="00D90086">
      <w:tab/>
    </w:r>
    <w:r>
      <w:rPr>
        <w:rStyle w:val="PageNumber"/>
        <w:rFonts w:asciiTheme="majorHAnsi" w:hAnsiTheme="majorHAnsi"/>
      </w:rPr>
      <w:t>2017-18 Budget Update</w:t>
    </w:r>
    <w:r w:rsidRPr="00D90086">
      <w:t xml:space="preserve"> </w:t>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6A4" w:rsidRPr="00BA26F2" w:rsidRDefault="004906A4" w:rsidP="00A26D04">
    <w:pPr>
      <w:pStyle w:val="Footerodd"/>
      <w:tabs>
        <w:tab w:val="clear" w:pos="9639"/>
      </w:tabs>
    </w:pPr>
    <w:r>
      <w:rPr>
        <w:rStyle w:val="PageNumber"/>
        <w:rFonts w:asciiTheme="majorHAnsi" w:hAnsiTheme="majorHAnsi"/>
      </w:rPr>
      <w:t>2017-18 Budget Update</w:t>
    </w:r>
    <w:r w:rsidRPr="00BA26F2">
      <w:tab/>
    </w:r>
    <w:r>
      <w:t>Appendix D</w:t>
    </w:r>
    <w:r w:rsidRPr="00BA26F2">
      <w:tab/>
    </w:r>
    <w:r w:rsidRPr="00BA26F2">
      <w:rPr>
        <w:rStyle w:val="PageNumber"/>
        <w:rFonts w:asciiTheme="majorHAnsi" w:hAnsiTheme="majorHAnsi"/>
      </w:rPr>
      <w:fldChar w:fldCharType="begin"/>
    </w:r>
    <w:r w:rsidRPr="00BA26F2">
      <w:rPr>
        <w:rStyle w:val="PageNumber"/>
        <w:rFonts w:asciiTheme="majorHAnsi" w:hAnsiTheme="majorHAnsi"/>
      </w:rPr>
      <w:instrText xml:space="preserve"> PAGE </w:instrText>
    </w:r>
    <w:r w:rsidRPr="00BA26F2">
      <w:rPr>
        <w:rStyle w:val="PageNumber"/>
        <w:rFonts w:asciiTheme="majorHAnsi" w:hAnsiTheme="majorHAnsi"/>
      </w:rPr>
      <w:fldChar w:fldCharType="separate"/>
    </w:r>
    <w:r>
      <w:rPr>
        <w:rStyle w:val="PageNumber"/>
        <w:rFonts w:asciiTheme="majorHAnsi" w:hAnsiTheme="majorHAnsi"/>
        <w:noProof/>
      </w:rPr>
      <w:t>141</w:t>
    </w:r>
    <w:r w:rsidRPr="00BA26F2">
      <w:rPr>
        <w:rStyle w:val="PageNumber"/>
        <w:rFonts w:asciiTheme="majorHAnsi" w:hAnsiTheme="majorHAnsi"/>
      </w:rPr>
      <w:fldChar w:fldCharType="end"/>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6A4" w:rsidRPr="00D90086" w:rsidRDefault="004906A4" w:rsidP="00F241F4">
    <w:pPr>
      <w:pStyle w:val="Footereven"/>
      <w:tabs>
        <w:tab w:val="clear" w:pos="9639"/>
      </w:tabs>
    </w:pPr>
    <w:r w:rsidRPr="00D90086">
      <w:rPr>
        <w:rStyle w:val="PageNumber"/>
        <w:rFonts w:asciiTheme="majorHAnsi" w:hAnsiTheme="majorHAnsi"/>
      </w:rPr>
      <w:fldChar w:fldCharType="begin"/>
    </w:r>
    <w:r w:rsidRPr="00D90086">
      <w:rPr>
        <w:rStyle w:val="PageNumber"/>
        <w:rFonts w:asciiTheme="majorHAnsi" w:hAnsiTheme="majorHAnsi"/>
      </w:rPr>
      <w:instrText xml:space="preserve"> PAGE </w:instrText>
    </w:r>
    <w:r w:rsidRPr="00D90086">
      <w:rPr>
        <w:rStyle w:val="PageNumber"/>
        <w:rFonts w:asciiTheme="majorHAnsi" w:hAnsiTheme="majorHAnsi"/>
      </w:rPr>
      <w:fldChar w:fldCharType="separate"/>
    </w:r>
    <w:r w:rsidR="00715FC3">
      <w:rPr>
        <w:rStyle w:val="PageNumber"/>
        <w:rFonts w:asciiTheme="majorHAnsi" w:hAnsiTheme="majorHAnsi"/>
        <w:noProof/>
      </w:rPr>
      <w:t>144</w:t>
    </w:r>
    <w:r w:rsidRPr="00D90086">
      <w:rPr>
        <w:rStyle w:val="PageNumber"/>
        <w:rFonts w:asciiTheme="majorHAnsi" w:hAnsiTheme="majorHAnsi"/>
      </w:rPr>
      <w:fldChar w:fldCharType="end"/>
    </w:r>
    <w:r w:rsidRPr="00D90086">
      <w:tab/>
    </w:r>
    <w:r>
      <w:t>Appendix E</w:t>
    </w:r>
    <w:r w:rsidRPr="00D90086">
      <w:tab/>
    </w:r>
    <w:r>
      <w:rPr>
        <w:rStyle w:val="PageNumber"/>
        <w:rFonts w:asciiTheme="majorHAnsi" w:hAnsiTheme="majorHAnsi"/>
      </w:rPr>
      <w:t>2017-18 Budget Update</w:t>
    </w:r>
    <w:r w:rsidRPr="00D90086">
      <w:t xml:space="preserve"> </w:t>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6A4" w:rsidRPr="00BA26F2" w:rsidRDefault="004906A4" w:rsidP="00A26D04">
    <w:pPr>
      <w:pStyle w:val="Footerodd"/>
      <w:tabs>
        <w:tab w:val="clear" w:pos="9639"/>
      </w:tabs>
    </w:pPr>
    <w:r>
      <w:rPr>
        <w:rStyle w:val="PageNumber"/>
        <w:rFonts w:asciiTheme="majorHAnsi" w:hAnsiTheme="majorHAnsi"/>
      </w:rPr>
      <w:t>2017-18 Budget Update</w:t>
    </w:r>
    <w:r w:rsidRPr="00BA26F2">
      <w:tab/>
    </w:r>
    <w:r>
      <w:t>Appendix E</w:t>
    </w:r>
    <w:r w:rsidRPr="00BA26F2">
      <w:tab/>
    </w:r>
    <w:r w:rsidRPr="00BA26F2">
      <w:rPr>
        <w:rStyle w:val="PageNumber"/>
        <w:rFonts w:asciiTheme="majorHAnsi" w:hAnsiTheme="majorHAnsi"/>
      </w:rPr>
      <w:fldChar w:fldCharType="begin"/>
    </w:r>
    <w:r w:rsidRPr="00BA26F2">
      <w:rPr>
        <w:rStyle w:val="PageNumber"/>
        <w:rFonts w:asciiTheme="majorHAnsi" w:hAnsiTheme="majorHAnsi"/>
      </w:rPr>
      <w:instrText xml:space="preserve"> PAGE </w:instrText>
    </w:r>
    <w:r w:rsidRPr="00BA26F2">
      <w:rPr>
        <w:rStyle w:val="PageNumber"/>
        <w:rFonts w:asciiTheme="majorHAnsi" w:hAnsiTheme="majorHAnsi"/>
      </w:rPr>
      <w:fldChar w:fldCharType="separate"/>
    </w:r>
    <w:r w:rsidR="00715FC3">
      <w:rPr>
        <w:rStyle w:val="PageNumber"/>
        <w:rFonts w:asciiTheme="majorHAnsi" w:hAnsiTheme="majorHAnsi"/>
        <w:noProof/>
      </w:rPr>
      <w:t>143</w:t>
    </w:r>
    <w:r w:rsidRPr="00BA26F2">
      <w:rPr>
        <w:rStyle w:val="PageNumber"/>
        <w:rFonts w:asciiTheme="majorHAnsi" w:hAnsiTheme="majorHAnsi"/>
      </w:rPr>
      <w:fldChar w:fldCharType="end"/>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6A4" w:rsidRDefault="004906A4">
    <w:pPr>
      <w:pStyle w:val="Footer"/>
    </w:pP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6A4" w:rsidRPr="00D90086" w:rsidRDefault="004906A4" w:rsidP="00A26D04">
    <w:pPr>
      <w:pStyle w:val="Footereven"/>
      <w:tabs>
        <w:tab w:val="clear" w:pos="9639"/>
        <w:tab w:val="center" w:pos="2976"/>
      </w:tabs>
    </w:pPr>
    <w:r w:rsidRPr="00D90086">
      <w:rPr>
        <w:rStyle w:val="PageNumber"/>
        <w:rFonts w:asciiTheme="majorHAnsi" w:hAnsiTheme="majorHAnsi"/>
      </w:rPr>
      <w:fldChar w:fldCharType="begin"/>
    </w:r>
    <w:r w:rsidRPr="00D90086">
      <w:rPr>
        <w:rStyle w:val="PageNumber"/>
        <w:rFonts w:asciiTheme="majorHAnsi" w:hAnsiTheme="majorHAnsi"/>
      </w:rPr>
      <w:instrText xml:space="preserve"> PAGE </w:instrText>
    </w:r>
    <w:r w:rsidRPr="00D90086">
      <w:rPr>
        <w:rStyle w:val="PageNumber"/>
        <w:rFonts w:asciiTheme="majorHAnsi" w:hAnsiTheme="majorHAnsi"/>
      </w:rPr>
      <w:fldChar w:fldCharType="separate"/>
    </w:r>
    <w:r>
      <w:rPr>
        <w:rStyle w:val="PageNumber"/>
        <w:rFonts w:asciiTheme="majorHAnsi" w:hAnsiTheme="majorHAnsi"/>
        <w:noProof/>
      </w:rPr>
      <w:t>144</w:t>
    </w:r>
    <w:r w:rsidRPr="00D90086">
      <w:rPr>
        <w:rStyle w:val="PageNumber"/>
        <w:rFonts w:asciiTheme="majorHAnsi" w:hAnsiTheme="majorHAnsi"/>
      </w:rPr>
      <w:fldChar w:fldCharType="end"/>
    </w:r>
    <w:r w:rsidRPr="00D90086">
      <w:tab/>
    </w:r>
    <w:r>
      <w:t>Appendix E</w:t>
    </w:r>
    <w:r w:rsidRPr="00D90086">
      <w:tab/>
    </w:r>
    <w:r>
      <w:rPr>
        <w:rStyle w:val="PageNumber"/>
        <w:rFonts w:asciiTheme="majorHAnsi" w:hAnsiTheme="majorHAnsi"/>
      </w:rPr>
      <w:t>2017-18 Budget Update</w:t>
    </w:r>
    <w:r w:rsidRPr="00D90086">
      <w:t xml:space="preserve"> </w:t>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6A4" w:rsidRPr="00BA26F2" w:rsidRDefault="004906A4" w:rsidP="00A26D04">
    <w:pPr>
      <w:pStyle w:val="Footerodd"/>
      <w:tabs>
        <w:tab w:val="clear" w:pos="9639"/>
      </w:tabs>
    </w:pPr>
    <w:r>
      <w:rPr>
        <w:rStyle w:val="PageNumber"/>
        <w:rFonts w:asciiTheme="majorHAnsi" w:hAnsiTheme="majorHAnsi"/>
      </w:rPr>
      <w:t>2017-18 Budget Update</w:t>
    </w:r>
    <w:r w:rsidRPr="00BA26F2">
      <w:tab/>
    </w:r>
    <w:r>
      <w:t>Appendix E</w:t>
    </w:r>
    <w:r w:rsidRPr="00BA26F2">
      <w:tab/>
    </w:r>
    <w:r w:rsidRPr="00BA26F2">
      <w:rPr>
        <w:rStyle w:val="PageNumber"/>
        <w:rFonts w:asciiTheme="majorHAnsi" w:hAnsiTheme="majorHAnsi"/>
      </w:rPr>
      <w:fldChar w:fldCharType="begin"/>
    </w:r>
    <w:r w:rsidRPr="00BA26F2">
      <w:rPr>
        <w:rStyle w:val="PageNumber"/>
        <w:rFonts w:asciiTheme="majorHAnsi" w:hAnsiTheme="majorHAnsi"/>
      </w:rPr>
      <w:instrText xml:space="preserve"> PAGE </w:instrText>
    </w:r>
    <w:r w:rsidRPr="00BA26F2">
      <w:rPr>
        <w:rStyle w:val="PageNumber"/>
        <w:rFonts w:asciiTheme="majorHAnsi" w:hAnsiTheme="majorHAnsi"/>
      </w:rPr>
      <w:fldChar w:fldCharType="separate"/>
    </w:r>
    <w:r>
      <w:rPr>
        <w:rStyle w:val="PageNumber"/>
        <w:rFonts w:asciiTheme="majorHAnsi" w:hAnsiTheme="majorHAnsi"/>
        <w:noProof/>
      </w:rPr>
      <w:t>143</w:t>
    </w:r>
    <w:r w:rsidRPr="00BA26F2">
      <w:rPr>
        <w:rStyle w:val="PageNumber"/>
        <w:rFonts w:asciiTheme="majorHAnsi" w:hAnsiTheme="majorHAnsi"/>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6A4" w:rsidRDefault="004906A4">
    <w:pPr>
      <w:pStyle w:val="Footer"/>
    </w:pP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6A4" w:rsidRDefault="004906A4">
    <w:pPr>
      <w:pStyle w:val="Footer"/>
    </w:pP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6A4" w:rsidRPr="00D90086" w:rsidRDefault="004906A4" w:rsidP="00A26D04">
    <w:pPr>
      <w:pStyle w:val="Footereven"/>
      <w:tabs>
        <w:tab w:val="clear" w:pos="9639"/>
        <w:tab w:val="center" w:pos="2976"/>
      </w:tabs>
    </w:pPr>
    <w:r w:rsidRPr="00D90086">
      <w:rPr>
        <w:rStyle w:val="PageNumber"/>
        <w:rFonts w:asciiTheme="majorHAnsi" w:hAnsiTheme="majorHAnsi"/>
      </w:rPr>
      <w:fldChar w:fldCharType="begin"/>
    </w:r>
    <w:r w:rsidRPr="00D90086">
      <w:rPr>
        <w:rStyle w:val="PageNumber"/>
        <w:rFonts w:asciiTheme="majorHAnsi" w:hAnsiTheme="majorHAnsi"/>
      </w:rPr>
      <w:instrText xml:space="preserve"> PAGE </w:instrText>
    </w:r>
    <w:r w:rsidRPr="00D90086">
      <w:rPr>
        <w:rStyle w:val="PageNumber"/>
        <w:rFonts w:asciiTheme="majorHAnsi" w:hAnsiTheme="majorHAnsi"/>
      </w:rPr>
      <w:fldChar w:fldCharType="separate"/>
    </w:r>
    <w:r w:rsidR="006A017C">
      <w:rPr>
        <w:rStyle w:val="PageNumber"/>
        <w:rFonts w:asciiTheme="majorHAnsi" w:hAnsiTheme="majorHAnsi"/>
        <w:noProof/>
      </w:rPr>
      <w:t>146</w:t>
    </w:r>
    <w:r w:rsidRPr="00D90086">
      <w:rPr>
        <w:rStyle w:val="PageNumber"/>
        <w:rFonts w:asciiTheme="majorHAnsi" w:hAnsiTheme="majorHAnsi"/>
      </w:rPr>
      <w:fldChar w:fldCharType="end"/>
    </w:r>
    <w:r w:rsidRPr="00D90086">
      <w:tab/>
    </w:r>
    <w:r>
      <w:t>Style conventions</w:t>
    </w:r>
    <w:r w:rsidRPr="00D90086">
      <w:tab/>
    </w:r>
    <w:r>
      <w:rPr>
        <w:rStyle w:val="PageNumber"/>
        <w:rFonts w:asciiTheme="majorHAnsi" w:hAnsiTheme="majorHAnsi"/>
      </w:rPr>
      <w:t>2017-18 Budget Update</w:t>
    </w:r>
    <w:r w:rsidRPr="00D90086">
      <w:t xml:space="preserve"> </w:t>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6A4" w:rsidRPr="00BA26F2" w:rsidRDefault="004906A4" w:rsidP="00A26D04">
    <w:pPr>
      <w:pStyle w:val="Footerodd"/>
      <w:tabs>
        <w:tab w:val="clear" w:pos="9639"/>
      </w:tabs>
    </w:pPr>
    <w:r>
      <w:rPr>
        <w:rStyle w:val="PageNumber"/>
        <w:rFonts w:asciiTheme="majorHAnsi" w:hAnsiTheme="majorHAnsi"/>
      </w:rPr>
      <w:t>2017-18 Budget Update</w:t>
    </w:r>
    <w:r w:rsidRPr="00BA26F2">
      <w:tab/>
    </w:r>
    <w:r>
      <w:t>Style conventions</w:t>
    </w:r>
    <w:r w:rsidRPr="00BA26F2">
      <w:tab/>
    </w:r>
    <w:r w:rsidRPr="00BA26F2">
      <w:rPr>
        <w:rStyle w:val="PageNumber"/>
        <w:rFonts w:asciiTheme="majorHAnsi" w:hAnsiTheme="majorHAnsi"/>
      </w:rPr>
      <w:fldChar w:fldCharType="begin"/>
    </w:r>
    <w:r w:rsidRPr="00BA26F2">
      <w:rPr>
        <w:rStyle w:val="PageNumber"/>
        <w:rFonts w:asciiTheme="majorHAnsi" w:hAnsiTheme="majorHAnsi"/>
      </w:rPr>
      <w:instrText xml:space="preserve"> PAGE </w:instrText>
    </w:r>
    <w:r w:rsidRPr="00BA26F2">
      <w:rPr>
        <w:rStyle w:val="PageNumber"/>
        <w:rFonts w:asciiTheme="majorHAnsi" w:hAnsiTheme="majorHAnsi"/>
      </w:rPr>
      <w:fldChar w:fldCharType="separate"/>
    </w:r>
    <w:r w:rsidR="00715FC3">
      <w:rPr>
        <w:rStyle w:val="PageNumber"/>
        <w:rFonts w:asciiTheme="majorHAnsi" w:hAnsiTheme="majorHAnsi"/>
        <w:noProof/>
      </w:rPr>
      <w:t>145</w:t>
    </w:r>
    <w:r w:rsidRPr="00BA26F2">
      <w:rPr>
        <w:rStyle w:val="PageNumber"/>
        <w:rFonts w:asciiTheme="majorHAnsi" w:hAnsiTheme="majorHAnsi"/>
      </w:rPr>
      <w:fldChar w:fldCharType="end"/>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6A4" w:rsidRDefault="004906A4">
    <w:pPr>
      <w:pStyle w:val="Footer"/>
    </w:pP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6A4" w:rsidRPr="00D90086" w:rsidRDefault="004906A4" w:rsidP="00A26D04">
    <w:pPr>
      <w:pStyle w:val="Footereven"/>
      <w:tabs>
        <w:tab w:val="clear" w:pos="9639"/>
        <w:tab w:val="center" w:pos="2976"/>
      </w:tabs>
    </w:pPr>
    <w:r w:rsidRPr="00D90086">
      <w:rPr>
        <w:rStyle w:val="PageNumber"/>
        <w:rFonts w:asciiTheme="majorHAnsi" w:hAnsiTheme="majorHAnsi"/>
      </w:rPr>
      <w:fldChar w:fldCharType="begin"/>
    </w:r>
    <w:r w:rsidRPr="00D90086">
      <w:rPr>
        <w:rStyle w:val="PageNumber"/>
        <w:rFonts w:asciiTheme="majorHAnsi" w:hAnsiTheme="majorHAnsi"/>
      </w:rPr>
      <w:instrText xml:space="preserve"> PAGE </w:instrText>
    </w:r>
    <w:r w:rsidRPr="00D90086">
      <w:rPr>
        <w:rStyle w:val="PageNumber"/>
        <w:rFonts w:asciiTheme="majorHAnsi" w:hAnsiTheme="majorHAnsi"/>
      </w:rPr>
      <w:fldChar w:fldCharType="separate"/>
    </w:r>
    <w:r>
      <w:rPr>
        <w:rStyle w:val="PageNumber"/>
        <w:rFonts w:asciiTheme="majorHAnsi" w:hAnsiTheme="majorHAnsi"/>
        <w:noProof/>
      </w:rPr>
      <w:t>146</w:t>
    </w:r>
    <w:r w:rsidRPr="00D90086">
      <w:rPr>
        <w:rStyle w:val="PageNumber"/>
        <w:rFonts w:asciiTheme="majorHAnsi" w:hAnsiTheme="majorHAnsi"/>
      </w:rPr>
      <w:fldChar w:fldCharType="end"/>
    </w:r>
    <w:r w:rsidRPr="00D90086">
      <w:tab/>
    </w:r>
    <w:r>
      <w:t>Style conventions</w:t>
    </w:r>
    <w:r w:rsidRPr="00D90086">
      <w:tab/>
    </w:r>
    <w:r>
      <w:rPr>
        <w:rStyle w:val="PageNumber"/>
        <w:rFonts w:asciiTheme="majorHAnsi" w:hAnsiTheme="majorHAnsi"/>
      </w:rPr>
      <w:t>2017-18 Budget Update</w:t>
    </w:r>
    <w:r w:rsidRPr="00D90086">
      <w:t xml:space="preserve"> </w:t>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6A4" w:rsidRPr="00BA26F2" w:rsidRDefault="004906A4" w:rsidP="00A26D04">
    <w:pPr>
      <w:pStyle w:val="Footerodd"/>
      <w:tabs>
        <w:tab w:val="clear" w:pos="9639"/>
      </w:tabs>
    </w:pPr>
    <w:r>
      <w:rPr>
        <w:rStyle w:val="PageNumber"/>
        <w:rFonts w:asciiTheme="majorHAnsi" w:hAnsiTheme="majorHAnsi"/>
      </w:rPr>
      <w:t>2017-18 Budget Update</w:t>
    </w:r>
    <w:r w:rsidRPr="00BA26F2">
      <w:tab/>
    </w:r>
    <w:r>
      <w:t>Style conventions</w:t>
    </w:r>
    <w:r w:rsidRPr="00BA26F2">
      <w:tab/>
    </w:r>
    <w:r w:rsidRPr="00BA26F2">
      <w:rPr>
        <w:rStyle w:val="PageNumber"/>
        <w:rFonts w:asciiTheme="majorHAnsi" w:hAnsiTheme="majorHAnsi"/>
      </w:rPr>
      <w:fldChar w:fldCharType="begin"/>
    </w:r>
    <w:r w:rsidRPr="00BA26F2">
      <w:rPr>
        <w:rStyle w:val="PageNumber"/>
        <w:rFonts w:asciiTheme="majorHAnsi" w:hAnsiTheme="majorHAnsi"/>
      </w:rPr>
      <w:instrText xml:space="preserve"> PAGE </w:instrText>
    </w:r>
    <w:r w:rsidRPr="00BA26F2">
      <w:rPr>
        <w:rStyle w:val="PageNumber"/>
        <w:rFonts w:asciiTheme="majorHAnsi" w:hAnsiTheme="majorHAnsi"/>
      </w:rPr>
      <w:fldChar w:fldCharType="separate"/>
    </w:r>
    <w:r>
      <w:rPr>
        <w:rStyle w:val="PageNumber"/>
        <w:rFonts w:asciiTheme="majorHAnsi" w:hAnsiTheme="majorHAnsi"/>
        <w:noProof/>
      </w:rPr>
      <w:t>145</w:t>
    </w:r>
    <w:r w:rsidRPr="00BA26F2">
      <w:rPr>
        <w:rStyle w:val="PageNumber"/>
        <w:rFonts w:asciiTheme="majorHAnsi" w:hAnsiTheme="majorHAnsi"/>
      </w:rPr>
      <w:fldChar w:fldCharType="end"/>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6A4" w:rsidRDefault="004906A4">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6A4" w:rsidRPr="00D90086" w:rsidRDefault="004906A4" w:rsidP="00F241F4">
    <w:pPr>
      <w:pStyle w:val="Footereven"/>
      <w:tabs>
        <w:tab w:val="clear" w:pos="9639"/>
      </w:tabs>
    </w:pPr>
    <w:r w:rsidRPr="00D90086">
      <w:rPr>
        <w:rStyle w:val="PageNumber"/>
        <w:rFonts w:asciiTheme="majorHAnsi" w:hAnsiTheme="majorHAnsi"/>
      </w:rPr>
      <w:fldChar w:fldCharType="begin"/>
    </w:r>
    <w:r w:rsidRPr="00D90086">
      <w:rPr>
        <w:rStyle w:val="PageNumber"/>
        <w:rFonts w:asciiTheme="majorHAnsi" w:hAnsiTheme="majorHAnsi"/>
      </w:rPr>
      <w:instrText xml:space="preserve"> PAGE </w:instrText>
    </w:r>
    <w:r w:rsidRPr="00D90086">
      <w:rPr>
        <w:rStyle w:val="PageNumber"/>
        <w:rFonts w:asciiTheme="majorHAnsi" w:hAnsiTheme="majorHAnsi"/>
      </w:rPr>
      <w:fldChar w:fldCharType="separate"/>
    </w:r>
    <w:r w:rsidR="00715FC3">
      <w:rPr>
        <w:rStyle w:val="PageNumber"/>
        <w:rFonts w:asciiTheme="majorHAnsi" w:hAnsiTheme="majorHAnsi"/>
        <w:noProof/>
      </w:rPr>
      <w:t>2</w:t>
    </w:r>
    <w:r w:rsidRPr="00D90086">
      <w:rPr>
        <w:rStyle w:val="PageNumber"/>
        <w:rFonts w:asciiTheme="majorHAnsi" w:hAnsiTheme="majorHAnsi"/>
      </w:rPr>
      <w:fldChar w:fldCharType="end"/>
    </w:r>
    <w:r w:rsidRPr="00D90086">
      <w:tab/>
    </w:r>
    <w:r>
      <w:t>Chapter 1</w:t>
    </w:r>
    <w:r w:rsidRPr="00D90086">
      <w:tab/>
    </w:r>
    <w:r>
      <w:rPr>
        <w:rStyle w:val="PageNumber"/>
        <w:rFonts w:asciiTheme="majorHAnsi" w:hAnsiTheme="majorHAnsi"/>
      </w:rPr>
      <w:t>2017-18 Budget Update</w:t>
    </w:r>
    <w:r w:rsidRPr="00D90086">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6A4" w:rsidRPr="00BA26F2" w:rsidRDefault="004906A4" w:rsidP="00287535">
    <w:pPr>
      <w:pStyle w:val="Footerodd"/>
      <w:tabs>
        <w:tab w:val="clear" w:pos="9639"/>
      </w:tabs>
    </w:pPr>
    <w:r>
      <w:rPr>
        <w:rStyle w:val="PageNumber"/>
        <w:rFonts w:asciiTheme="majorHAnsi" w:hAnsiTheme="majorHAnsi"/>
      </w:rPr>
      <w:t>2017-18 Budget Update</w:t>
    </w:r>
    <w:r w:rsidRPr="00BA26F2">
      <w:tab/>
    </w:r>
    <w:r>
      <w:t>Chapter 1</w:t>
    </w:r>
    <w:r w:rsidRPr="00BA26F2">
      <w:tab/>
    </w:r>
    <w:r w:rsidRPr="00BA26F2">
      <w:rPr>
        <w:rStyle w:val="PageNumber"/>
        <w:rFonts w:asciiTheme="majorHAnsi" w:hAnsiTheme="majorHAnsi"/>
      </w:rPr>
      <w:fldChar w:fldCharType="begin"/>
    </w:r>
    <w:r w:rsidRPr="00BA26F2">
      <w:rPr>
        <w:rStyle w:val="PageNumber"/>
        <w:rFonts w:asciiTheme="majorHAnsi" w:hAnsiTheme="majorHAnsi"/>
      </w:rPr>
      <w:instrText xml:space="preserve"> PAGE </w:instrText>
    </w:r>
    <w:r w:rsidRPr="00BA26F2">
      <w:rPr>
        <w:rStyle w:val="PageNumber"/>
        <w:rFonts w:asciiTheme="majorHAnsi" w:hAnsiTheme="majorHAnsi"/>
      </w:rPr>
      <w:fldChar w:fldCharType="separate"/>
    </w:r>
    <w:r w:rsidR="00715FC3">
      <w:rPr>
        <w:rStyle w:val="PageNumber"/>
        <w:rFonts w:asciiTheme="majorHAnsi" w:hAnsiTheme="majorHAnsi"/>
        <w:noProof/>
      </w:rPr>
      <w:t>3</w:t>
    </w:r>
    <w:r w:rsidRPr="00BA26F2">
      <w:rPr>
        <w:rStyle w:val="PageNumber"/>
        <w:rFonts w:asciiTheme="majorHAnsi" w:hAnsiTheme="majorHAnsi"/>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6A4" w:rsidRDefault="004906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06A4" w:rsidRDefault="004906A4" w:rsidP="00A46DCA">
      <w:pPr>
        <w:spacing w:before="0"/>
      </w:pPr>
      <w:r>
        <w:separator/>
      </w:r>
    </w:p>
  </w:footnote>
  <w:footnote w:type="continuationSeparator" w:id="0">
    <w:p w:rsidR="004906A4" w:rsidRDefault="004906A4" w:rsidP="00A46DCA">
      <w:pPr>
        <w:spacing w:before="0"/>
      </w:pPr>
      <w:r>
        <w:continuationSeparator/>
      </w:r>
    </w:p>
  </w:footnote>
  <w:footnote w:id="1">
    <w:p w:rsidR="004906A4" w:rsidRPr="005E4781" w:rsidRDefault="004906A4" w:rsidP="00A26D04">
      <w:pPr>
        <w:pStyle w:val="FootnoteText"/>
        <w:rPr>
          <w:lang w:val="en-AU"/>
        </w:rPr>
      </w:pPr>
      <w:r>
        <w:rPr>
          <w:rStyle w:val="FootnoteReference"/>
        </w:rPr>
        <w:footnoteRef/>
      </w:r>
      <w:r>
        <w:t xml:space="preserve"> This includes the full Commonwealth contribution for the Regional Rail Revival Plan as well as $5.3 billion to NSW for Badgerys Creek.</w:t>
      </w:r>
    </w:p>
  </w:footnote>
  <w:footnote w:id="2">
    <w:p w:rsidR="004906A4" w:rsidRPr="00323EA1" w:rsidRDefault="004906A4" w:rsidP="00A26D04">
      <w:pPr>
        <w:pStyle w:val="FootnoteText"/>
        <w:rPr>
          <w:rFonts w:ascii="Garamond" w:hAnsi="Garamond"/>
          <w:sz w:val="18"/>
          <w:szCs w:val="18"/>
        </w:rPr>
      </w:pPr>
      <w:r w:rsidRPr="00D53A6A">
        <w:rPr>
          <w:rStyle w:val="FootnoteReference"/>
          <w:rFonts w:ascii="Garamond" w:hAnsi="Garamond"/>
          <w:sz w:val="18"/>
          <w:szCs w:val="18"/>
        </w:rPr>
        <w:footnoteRef/>
      </w:r>
      <w:r w:rsidRPr="00D53A6A">
        <w:rPr>
          <w:rFonts w:ascii="Garamond" w:hAnsi="Garamond"/>
          <w:sz w:val="18"/>
          <w:szCs w:val="18"/>
        </w:rPr>
        <w:t xml:space="preserve"> All three scenarios have been modelled as deviations from a business as usual base case. The analysis relies on applications of the VURM as </w:t>
      </w:r>
      <w:r>
        <w:rPr>
          <w:rFonts w:ascii="Garamond" w:hAnsi="Garamond"/>
          <w:sz w:val="18"/>
          <w:szCs w:val="18"/>
        </w:rPr>
        <w:t xml:space="preserve">described </w:t>
      </w:r>
      <w:r w:rsidRPr="00D53A6A">
        <w:rPr>
          <w:rFonts w:ascii="Garamond" w:hAnsi="Garamond"/>
          <w:sz w:val="18"/>
          <w:szCs w:val="18"/>
        </w:rPr>
        <w:t xml:space="preserve">in </w:t>
      </w:r>
      <w:r w:rsidRPr="00496904">
        <w:rPr>
          <w:rFonts w:ascii="Garamond" w:hAnsi="Garamond"/>
          <w:sz w:val="18"/>
          <w:szCs w:val="18"/>
        </w:rPr>
        <w:t xml:space="preserve">the </w:t>
      </w:r>
      <w:r w:rsidRPr="00D53A6A">
        <w:rPr>
          <w:rFonts w:ascii="Garamond" w:hAnsi="Garamond"/>
          <w:i/>
          <w:sz w:val="18"/>
          <w:szCs w:val="18"/>
        </w:rPr>
        <w:t>2017-18 Budget</w:t>
      </w:r>
      <w:r w:rsidRPr="00D53A6A">
        <w:rPr>
          <w:rFonts w:ascii="Garamond" w:hAnsi="Garamond"/>
          <w:sz w:val="18"/>
          <w:szCs w:val="18"/>
        </w:rPr>
        <w:t>.</w:t>
      </w:r>
      <w:r w:rsidRPr="00D17166">
        <w:rPr>
          <w:rFonts w:ascii="Garamond" w:hAnsi="Garamond"/>
          <w:sz w:val="18"/>
          <w:szCs w:val="18"/>
        </w:rPr>
        <w:t xml:space="preserve"> </w:t>
      </w:r>
      <w:r>
        <w:rPr>
          <w:rFonts w:ascii="Garamond" w:hAnsi="Garamond"/>
          <w:sz w:val="18"/>
          <w:szCs w:val="18"/>
        </w:rPr>
        <w:t>T</w:t>
      </w:r>
      <w:r w:rsidRPr="00323EA1">
        <w:rPr>
          <w:rFonts w:ascii="Garamond" w:hAnsi="Garamond"/>
          <w:sz w:val="18"/>
          <w:szCs w:val="18"/>
        </w:rPr>
        <w:t>echnical documentation of the model</w:t>
      </w:r>
      <w:r>
        <w:rPr>
          <w:rFonts w:ascii="Garamond" w:hAnsi="Garamond"/>
          <w:sz w:val="18"/>
          <w:szCs w:val="18"/>
        </w:rPr>
        <w:t>’</w:t>
      </w:r>
      <w:r w:rsidRPr="00323EA1">
        <w:rPr>
          <w:rFonts w:ascii="Garamond" w:hAnsi="Garamond"/>
          <w:sz w:val="18"/>
          <w:szCs w:val="18"/>
        </w:rPr>
        <w:t>s equations and database can be downloaded from:</w:t>
      </w:r>
    </w:p>
    <w:p w:rsidR="004906A4" w:rsidRPr="00D53A6A" w:rsidRDefault="004906A4" w:rsidP="00A26D04">
      <w:pPr>
        <w:pStyle w:val="FootnoteText"/>
        <w:rPr>
          <w:rFonts w:ascii="Garamond" w:hAnsi="Garamond"/>
          <w:sz w:val="18"/>
          <w:szCs w:val="18"/>
        </w:rPr>
      </w:pPr>
      <w:r>
        <w:rPr>
          <w:rFonts w:ascii="Garamond" w:hAnsi="Garamond"/>
          <w:sz w:val="18"/>
          <w:szCs w:val="18"/>
        </w:rPr>
        <w:t xml:space="preserve"> </w:t>
      </w:r>
      <w:r w:rsidR="007A7C8C">
        <w:rPr>
          <w:rFonts w:ascii="Garamond" w:hAnsi="Garamond"/>
          <w:sz w:val="18"/>
          <w:szCs w:val="18"/>
        </w:rPr>
        <w:t xml:space="preserve">  </w:t>
      </w:r>
      <w:r w:rsidRPr="00323EA1">
        <w:rPr>
          <w:rFonts w:ascii="Garamond" w:hAnsi="Garamond"/>
          <w:sz w:val="18"/>
          <w:szCs w:val="18"/>
        </w:rPr>
        <w:t>www.copsmodels.com/</w:t>
      </w:r>
      <w:proofErr w:type="spellStart"/>
      <w:r w:rsidRPr="00323EA1">
        <w:rPr>
          <w:rFonts w:ascii="Garamond" w:hAnsi="Garamond"/>
          <w:sz w:val="18"/>
          <w:szCs w:val="18"/>
        </w:rPr>
        <w:t>elecpapr</w:t>
      </w:r>
      <w:proofErr w:type="spellEnd"/>
      <w:r w:rsidRPr="00323EA1">
        <w:rPr>
          <w:rFonts w:ascii="Garamond" w:hAnsi="Garamond"/>
          <w:sz w:val="18"/>
          <w:szCs w:val="18"/>
        </w:rPr>
        <w:t>/g</w:t>
      </w:r>
      <w:r w:rsidRPr="00323EA1">
        <w:rPr>
          <w:rFonts w:ascii="Garamond" w:hAnsi="Garamond"/>
          <w:sz w:val="18"/>
          <w:szCs w:val="18"/>
        </w:rPr>
        <w:noBreakHyphen/>
        <w:t xml:space="preserve">254.htm </w:t>
      </w:r>
    </w:p>
  </w:footnote>
  <w:footnote w:id="3">
    <w:p w:rsidR="004906A4" w:rsidRPr="00D53A6A" w:rsidRDefault="004906A4" w:rsidP="00A26D04">
      <w:pPr>
        <w:pStyle w:val="FootnoteText"/>
        <w:rPr>
          <w:rFonts w:ascii="Garamond" w:hAnsi="Garamond"/>
          <w:sz w:val="18"/>
          <w:szCs w:val="18"/>
        </w:rPr>
      </w:pPr>
      <w:r w:rsidRPr="00D53A6A">
        <w:rPr>
          <w:rStyle w:val="FootnoteReference"/>
          <w:rFonts w:ascii="Garamond" w:hAnsi="Garamond"/>
          <w:sz w:val="18"/>
          <w:szCs w:val="18"/>
        </w:rPr>
        <w:footnoteRef/>
      </w:r>
      <w:r w:rsidRPr="00D53A6A">
        <w:rPr>
          <w:rFonts w:ascii="Garamond" w:hAnsi="Garamond"/>
          <w:sz w:val="18"/>
          <w:szCs w:val="18"/>
        </w:rPr>
        <w:t xml:space="preserve"> See the </w:t>
      </w:r>
      <w:r w:rsidRPr="00D53A6A">
        <w:rPr>
          <w:rFonts w:ascii="Garamond" w:hAnsi="Garamond"/>
          <w:i/>
          <w:sz w:val="18"/>
          <w:szCs w:val="18"/>
        </w:rPr>
        <w:t>OECD</w:t>
      </w:r>
      <w:r w:rsidRPr="00D53A6A">
        <w:rPr>
          <w:rFonts w:ascii="Garamond" w:hAnsi="Garamond"/>
          <w:sz w:val="18"/>
          <w:szCs w:val="18"/>
        </w:rPr>
        <w:t xml:space="preserve"> </w:t>
      </w:r>
      <w:r w:rsidRPr="00D53A6A">
        <w:rPr>
          <w:rFonts w:ascii="Garamond" w:hAnsi="Garamond"/>
          <w:i/>
          <w:sz w:val="18"/>
          <w:szCs w:val="18"/>
        </w:rPr>
        <w:t xml:space="preserve">Economic Outlook, Volume 2016 Issue 2 </w:t>
      </w:r>
      <w:r w:rsidRPr="00D53A6A">
        <w:rPr>
          <w:rFonts w:ascii="Garamond" w:hAnsi="Garamond"/>
          <w:sz w:val="18"/>
          <w:szCs w:val="18"/>
        </w:rPr>
        <w:t xml:space="preserve">and </w:t>
      </w:r>
      <w:r w:rsidRPr="00D53A6A">
        <w:rPr>
          <w:rFonts w:ascii="Garamond" w:hAnsi="Garamond"/>
          <w:i/>
          <w:sz w:val="18"/>
          <w:szCs w:val="18"/>
        </w:rPr>
        <w:t>OECD Economic Outlook, interim Report March 2017</w:t>
      </w:r>
      <w:r w:rsidRPr="00D53A6A">
        <w:rPr>
          <w:rFonts w:ascii="Garamond" w:hAnsi="Garamond"/>
          <w:sz w:val="18"/>
          <w:szCs w:val="18"/>
        </w:rPr>
        <w:t>. Together, the US, China and the EU made up almost half of Australia</w:t>
      </w:r>
      <w:r>
        <w:rPr>
          <w:rFonts w:ascii="Garamond" w:hAnsi="Garamond"/>
          <w:sz w:val="18"/>
          <w:szCs w:val="18"/>
        </w:rPr>
        <w:t>’</w:t>
      </w:r>
      <w:r w:rsidRPr="00D53A6A">
        <w:rPr>
          <w:rFonts w:ascii="Garamond" w:hAnsi="Garamond"/>
          <w:sz w:val="18"/>
          <w:szCs w:val="18"/>
        </w:rPr>
        <w:t>s trade for 2016.</w:t>
      </w:r>
    </w:p>
  </w:footnote>
  <w:footnote w:id="4">
    <w:p w:rsidR="004906A4" w:rsidRPr="00C52A74" w:rsidRDefault="004906A4" w:rsidP="00A26D04">
      <w:pPr>
        <w:pStyle w:val="FootnoteText"/>
        <w:jc w:val="both"/>
      </w:pPr>
      <w:r w:rsidRPr="00CE1554">
        <w:rPr>
          <w:rStyle w:val="FootnoteReference"/>
          <w:rFonts w:ascii="Garamond" w:hAnsi="Garamond"/>
          <w:sz w:val="18"/>
          <w:szCs w:val="18"/>
        </w:rPr>
        <w:footnoteRef/>
      </w:r>
      <w:r w:rsidRPr="00CE1554">
        <w:rPr>
          <w:rFonts w:ascii="Garamond" w:hAnsi="Garamond"/>
          <w:sz w:val="18"/>
          <w:szCs w:val="18"/>
        </w:rPr>
        <w:t xml:space="preserve"> Growth of Victoria</w:t>
      </w:r>
      <w:r>
        <w:rPr>
          <w:rFonts w:ascii="Garamond" w:hAnsi="Garamond"/>
          <w:sz w:val="18"/>
          <w:szCs w:val="18"/>
        </w:rPr>
        <w:t>’</w:t>
      </w:r>
      <w:r w:rsidRPr="00CE1554">
        <w:rPr>
          <w:rFonts w:ascii="Garamond" w:hAnsi="Garamond"/>
          <w:sz w:val="18"/>
          <w:szCs w:val="18"/>
        </w:rPr>
        <w:t>s exports such as higher education, tourism and manufacturing fare better in relative terms as the depreciation helps to insulate trade</w:t>
      </w:r>
      <w:r w:rsidRPr="00CE1554">
        <w:rPr>
          <w:rFonts w:ascii="Garamond" w:hAnsi="Garamond"/>
          <w:sz w:val="18"/>
          <w:szCs w:val="18"/>
        </w:rPr>
        <w:noBreakHyphen/>
        <w:t>exposed industries.</w:t>
      </w:r>
    </w:p>
  </w:footnote>
  <w:footnote w:id="5">
    <w:p w:rsidR="004906A4" w:rsidRPr="00E250DD" w:rsidRDefault="004906A4" w:rsidP="00A26D04">
      <w:pPr>
        <w:pStyle w:val="FootnoteText"/>
        <w:jc w:val="both"/>
        <w:rPr>
          <w:rFonts w:ascii="Garamond" w:hAnsi="Garamond"/>
          <w:sz w:val="18"/>
          <w:szCs w:val="18"/>
        </w:rPr>
      </w:pPr>
      <w:r w:rsidRPr="00E250DD">
        <w:rPr>
          <w:rStyle w:val="FootnoteReference"/>
          <w:rFonts w:ascii="Garamond" w:hAnsi="Garamond"/>
          <w:sz w:val="18"/>
          <w:szCs w:val="18"/>
        </w:rPr>
        <w:footnoteRef/>
      </w:r>
      <w:r w:rsidRPr="00E250DD">
        <w:rPr>
          <w:rFonts w:ascii="Garamond" w:hAnsi="Garamond"/>
          <w:sz w:val="18"/>
          <w:szCs w:val="18"/>
        </w:rPr>
        <w:t xml:space="preserve"> </w:t>
      </w:r>
      <w:r>
        <w:rPr>
          <w:rFonts w:ascii="Garamond" w:hAnsi="Garamond"/>
          <w:sz w:val="18"/>
          <w:szCs w:val="18"/>
        </w:rPr>
        <w:t>It</w:t>
      </w:r>
      <w:r w:rsidRPr="00E250DD">
        <w:rPr>
          <w:rFonts w:ascii="Garamond" w:hAnsi="Garamond"/>
          <w:sz w:val="18"/>
          <w:szCs w:val="18"/>
        </w:rPr>
        <w:t xml:space="preserve"> is assumed that new arrivals </w:t>
      </w:r>
      <w:r>
        <w:rPr>
          <w:rFonts w:ascii="Garamond" w:hAnsi="Garamond"/>
          <w:sz w:val="18"/>
          <w:szCs w:val="18"/>
        </w:rPr>
        <w:t xml:space="preserve">to Victoria </w:t>
      </w:r>
      <w:r w:rsidRPr="00E250DD">
        <w:rPr>
          <w:rFonts w:ascii="Garamond" w:hAnsi="Garamond"/>
          <w:sz w:val="18"/>
          <w:szCs w:val="18"/>
        </w:rPr>
        <w:t xml:space="preserve">have the same employment and </w:t>
      </w:r>
      <w:proofErr w:type="spellStart"/>
      <w:r w:rsidRPr="00E250DD">
        <w:rPr>
          <w:rFonts w:ascii="Garamond" w:hAnsi="Garamond"/>
          <w:sz w:val="18"/>
          <w:szCs w:val="18"/>
        </w:rPr>
        <w:t>labour</w:t>
      </w:r>
      <w:proofErr w:type="spellEnd"/>
      <w:r w:rsidRPr="00E250DD">
        <w:rPr>
          <w:rFonts w:ascii="Garamond" w:hAnsi="Garamond"/>
          <w:sz w:val="18"/>
          <w:szCs w:val="18"/>
        </w:rPr>
        <w:t xml:space="preserve"> force participation probabilities as the existing population.</w:t>
      </w:r>
    </w:p>
  </w:footnote>
  <w:footnote w:id="6">
    <w:p w:rsidR="004906A4" w:rsidRPr="00CA4882" w:rsidRDefault="004906A4" w:rsidP="00A26D04">
      <w:pPr>
        <w:pStyle w:val="FootnoteText"/>
        <w:rPr>
          <w:rFonts w:ascii="Garamond" w:hAnsi="Garamond"/>
          <w:sz w:val="18"/>
          <w:szCs w:val="18"/>
        </w:rPr>
      </w:pPr>
      <w:r w:rsidRPr="00CA4882">
        <w:rPr>
          <w:rStyle w:val="FootnoteReference"/>
          <w:rFonts w:ascii="Garamond" w:hAnsi="Garamond"/>
          <w:sz w:val="18"/>
          <w:szCs w:val="18"/>
        </w:rPr>
        <w:footnoteRef/>
      </w:r>
      <w:r w:rsidRPr="00CA4882">
        <w:rPr>
          <w:rFonts w:ascii="Garamond" w:hAnsi="Garamond"/>
          <w:sz w:val="18"/>
          <w:szCs w:val="18"/>
        </w:rPr>
        <w:t xml:space="preserve"> </w:t>
      </w:r>
      <w:r w:rsidRPr="004840A9">
        <w:rPr>
          <w:rFonts w:ascii="Garamond" w:eastAsia="Calibri" w:hAnsi="Garamond" w:cs="Times New Roman"/>
          <w:sz w:val="18"/>
          <w:szCs w:val="18"/>
          <w:lang w:val="en-AU" w:eastAsia="en-US"/>
        </w:rPr>
        <w:t xml:space="preserve">As applied in the </w:t>
      </w:r>
      <w:r w:rsidRPr="004840A9">
        <w:rPr>
          <w:rFonts w:ascii="Garamond" w:eastAsia="Calibri" w:hAnsi="Garamond" w:cs="Times New Roman"/>
          <w:i/>
          <w:sz w:val="18"/>
          <w:szCs w:val="18"/>
          <w:lang w:val="en-AU" w:eastAsia="en-US"/>
        </w:rPr>
        <w:t>2017-18 Budget</w:t>
      </w:r>
      <w:r w:rsidRPr="004840A9">
        <w:rPr>
          <w:rFonts w:ascii="Garamond" w:eastAsia="Calibri" w:hAnsi="Garamond" w:cs="Times New Roman"/>
          <w:sz w:val="18"/>
          <w:szCs w:val="18"/>
          <w:lang w:val="en-AU" w:eastAsia="en-US"/>
        </w:rPr>
        <w:t xml:space="preserve">, </w:t>
      </w:r>
      <w:r>
        <w:rPr>
          <w:rFonts w:ascii="Garamond" w:eastAsia="Calibri" w:hAnsi="Garamond" w:cs="Times New Roman"/>
          <w:sz w:val="18"/>
          <w:szCs w:val="18"/>
          <w:lang w:val="en-AU" w:eastAsia="en-US"/>
        </w:rPr>
        <w:t xml:space="preserve">the </w:t>
      </w:r>
      <w:r w:rsidRPr="004840A9">
        <w:rPr>
          <w:rFonts w:ascii="Garamond" w:eastAsia="Calibri" w:hAnsi="Garamond" w:cs="Times New Roman"/>
          <w:sz w:val="18"/>
          <w:szCs w:val="18"/>
          <w:lang w:val="en-AU" w:eastAsia="en-US"/>
        </w:rPr>
        <w:t>labour participation rate is assumed to be 0.17 percentage point higher in 2017-18, 0.34 percentage higher in 2018-19, 0.49 percentage higher in 2019-2020 and 0.64 percentage higher in 2020-2021.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6A4" w:rsidRDefault="004906A4">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6A4" w:rsidRDefault="004906A4">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6A4" w:rsidRDefault="004906A4">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6A4" w:rsidRDefault="004906A4">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6A4" w:rsidRDefault="004906A4">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6A4" w:rsidRDefault="004906A4">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6A4" w:rsidRDefault="004906A4">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6A4" w:rsidRDefault="004906A4">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6A4" w:rsidRDefault="004906A4">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6A4" w:rsidRDefault="004906A4">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6A4" w:rsidRDefault="004906A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6A4" w:rsidRDefault="004906A4">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6A4" w:rsidRDefault="004906A4">
    <w:pPr>
      <w:pStyle w:val="Heade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6A4" w:rsidRDefault="004906A4">
    <w:pPr>
      <w:pStyle w:val="Heade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6A4" w:rsidRDefault="004906A4">
    <w:pPr>
      <w:pStyle w:val="Heade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6A4" w:rsidRDefault="004906A4">
    <w:pPr>
      <w:pStyle w:val="Heade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6A4" w:rsidRDefault="004906A4">
    <w:pPr>
      <w:pStyle w:val="Heade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6A4" w:rsidRDefault="004906A4">
    <w:pPr>
      <w:pStyle w:val="Heade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6A4" w:rsidRDefault="004906A4">
    <w:pPr>
      <w:pStyle w:val="Header"/>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6A4" w:rsidRDefault="004906A4">
    <w:pPr>
      <w:pStyle w:val="Header"/>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6A4" w:rsidRDefault="004906A4">
    <w:pPr>
      <w:pStyle w:val="Header"/>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6A4" w:rsidRDefault="004906A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6A4" w:rsidRDefault="004906A4">
    <w:pPr>
      <w:pStyle w:val="Header"/>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6A4" w:rsidRDefault="004906A4">
    <w:pPr>
      <w:pStyle w:val="Header"/>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6A4" w:rsidRDefault="004906A4">
    <w:pPr>
      <w:pStyle w:val="Header"/>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6A4" w:rsidRDefault="004906A4">
    <w:pPr>
      <w:pStyle w:val="Header"/>
    </w:pP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6A4" w:rsidRDefault="004906A4">
    <w:pPr>
      <w:pStyle w:val="Header"/>
    </w:pP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6A4" w:rsidRDefault="004906A4">
    <w:pPr>
      <w:pStyle w:val="Header"/>
    </w:pP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6A4" w:rsidRDefault="004906A4">
    <w:pPr>
      <w:pStyle w:val="Header"/>
    </w:pP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6A4" w:rsidRDefault="004906A4">
    <w:pPr>
      <w:pStyle w:val="Header"/>
    </w:pP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6A4" w:rsidRDefault="004906A4">
    <w:pPr>
      <w:pStyle w:val="Header"/>
    </w:pP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6A4" w:rsidRDefault="004906A4">
    <w:pPr>
      <w:pStyle w:val="Header"/>
    </w:pP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6A4" w:rsidRDefault="004906A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6A4" w:rsidRDefault="004906A4">
    <w:pPr>
      <w:pStyle w:val="Header"/>
    </w:pP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6A4" w:rsidRDefault="004906A4">
    <w:pPr>
      <w:pStyle w:val="Header"/>
    </w:pP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6A4" w:rsidRDefault="004906A4">
    <w:pPr>
      <w:pStyle w:val="Header"/>
    </w:pP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6A4" w:rsidRDefault="004906A4">
    <w:pPr>
      <w:pStyle w:val="Header"/>
    </w:pP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6A4" w:rsidRDefault="004906A4">
    <w:pPr>
      <w:pStyle w:val="Header"/>
    </w:pP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6A4" w:rsidRDefault="004906A4">
    <w:pPr>
      <w:pStyle w:val="Header"/>
    </w:pP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6A4" w:rsidRDefault="004906A4">
    <w:pPr>
      <w:pStyle w:val="Header"/>
    </w:pP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6A4" w:rsidRDefault="004906A4">
    <w:pPr>
      <w:pStyle w:val="Header"/>
    </w:pP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6A4" w:rsidRDefault="004906A4">
    <w:pPr>
      <w:pStyle w:val="Header"/>
    </w:pP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6A4" w:rsidRDefault="004906A4">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6A4" w:rsidRDefault="004906A4">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6A4" w:rsidRDefault="004906A4">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6A4" w:rsidRDefault="004906A4">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6A4" w:rsidRDefault="004906A4">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6A4" w:rsidRDefault="004906A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A5146682"/>
    <w:lvl w:ilvl="0">
      <w:start w:val="1"/>
      <w:numFmt w:val="bullet"/>
      <w:pStyle w:val="ListBullet5"/>
      <w:lvlText w:val=""/>
      <w:lvlJc w:val="left"/>
      <w:pPr>
        <w:tabs>
          <w:tab w:val="num" w:pos="1492"/>
        </w:tabs>
        <w:ind w:left="1492" w:hanging="360"/>
      </w:pPr>
      <w:rPr>
        <w:rFonts w:ascii="Symbol" w:hAnsi="Symbol" w:hint="default"/>
      </w:rPr>
    </w:lvl>
  </w:abstractNum>
  <w:abstractNum w:abstractNumId="1">
    <w:nsid w:val="FFFFFF81"/>
    <w:multiLevelType w:val="singleLevel"/>
    <w:tmpl w:val="8CAE8114"/>
    <w:lvl w:ilvl="0">
      <w:start w:val="1"/>
      <w:numFmt w:val="bullet"/>
      <w:pStyle w:val="ListBullet4"/>
      <w:lvlText w:val=""/>
      <w:lvlJc w:val="left"/>
      <w:pPr>
        <w:tabs>
          <w:tab w:val="num" w:pos="1209"/>
        </w:tabs>
        <w:ind w:left="1209" w:hanging="360"/>
      </w:pPr>
      <w:rPr>
        <w:rFonts w:ascii="Symbol" w:hAnsi="Symbol" w:hint="default"/>
      </w:rPr>
    </w:lvl>
  </w:abstractNum>
  <w:abstractNum w:abstractNumId="2">
    <w:nsid w:val="FFFFFF83"/>
    <w:multiLevelType w:val="singleLevel"/>
    <w:tmpl w:val="721065C2"/>
    <w:lvl w:ilvl="0">
      <w:start w:val="1"/>
      <w:numFmt w:val="bullet"/>
      <w:lvlText w:val=""/>
      <w:lvlJc w:val="left"/>
      <w:pPr>
        <w:tabs>
          <w:tab w:val="num" w:pos="643"/>
        </w:tabs>
        <w:ind w:left="643" w:hanging="360"/>
      </w:pPr>
      <w:rPr>
        <w:rFonts w:ascii="Symbol" w:hAnsi="Symbol" w:hint="default"/>
      </w:rPr>
    </w:lvl>
  </w:abstractNum>
  <w:abstractNum w:abstractNumId="3">
    <w:nsid w:val="FFFFFF89"/>
    <w:multiLevelType w:val="singleLevel"/>
    <w:tmpl w:val="C3424162"/>
    <w:lvl w:ilvl="0">
      <w:start w:val="1"/>
      <w:numFmt w:val="bullet"/>
      <w:lvlText w:val=""/>
      <w:lvlJc w:val="left"/>
      <w:pPr>
        <w:tabs>
          <w:tab w:val="num" w:pos="360"/>
        </w:tabs>
        <w:ind w:left="360" w:hanging="360"/>
      </w:pPr>
      <w:rPr>
        <w:rFonts w:ascii="Symbol" w:hAnsi="Symbol" w:hint="default"/>
      </w:rPr>
    </w:lvl>
  </w:abstractNum>
  <w:abstractNum w:abstractNumId="4">
    <w:nsid w:val="017E6C5D"/>
    <w:multiLevelType w:val="multilevel"/>
    <w:tmpl w:val="5E22C0F8"/>
    <w:lvl w:ilvl="0">
      <w:start w:val="1"/>
      <w:numFmt w:val="bullet"/>
      <w:lvlText w:val=""/>
      <w:lvlJc w:val="left"/>
      <w:pPr>
        <w:ind w:left="284" w:hanging="284"/>
      </w:pPr>
      <w:rPr>
        <w:rFonts w:ascii="Symbol" w:hAnsi="Symbol" w:hint="default"/>
      </w:rPr>
    </w:lvl>
    <w:lvl w:ilvl="1">
      <w:start w:val="1"/>
      <w:numFmt w:val="bullet"/>
      <w:lvlText w:val="–"/>
      <w:lvlJc w:val="left"/>
      <w:pPr>
        <w:ind w:left="568" w:hanging="284"/>
      </w:pPr>
      <w:rPr>
        <w:rFonts w:ascii="Arial" w:hAnsi="Arial" w:hint="default"/>
        <w:sz w:val="20"/>
      </w:rPr>
    </w:lvl>
    <w:lvl w:ilvl="2">
      <w:start w:val="1"/>
      <w:numFmt w:val="bullet"/>
      <w:lvlText w:val=""/>
      <w:lvlJc w:val="left"/>
      <w:pPr>
        <w:ind w:left="852" w:hanging="284"/>
      </w:pPr>
      <w:rPr>
        <w:rFonts w:ascii="Symbol" w:hAnsi="Symbo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5">
    <w:nsid w:val="020B7BBB"/>
    <w:multiLevelType w:val="multilevel"/>
    <w:tmpl w:val="42E253BE"/>
    <w:styleLink w:val="A"/>
    <w:lvl w:ilvl="0">
      <w:start w:val="1"/>
      <w:numFmt w:val="upperLetter"/>
      <w:lvlText w:val="(%1)"/>
      <w:lvlJc w:val="left"/>
      <w:pPr>
        <w:ind w:left="680" w:hanging="680"/>
      </w:pPr>
      <w:rPr>
        <w:rFonts w:asciiTheme="majorHAnsi" w:hAnsiTheme="majorHAnsi"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6">
    <w:nsid w:val="05860C76"/>
    <w:multiLevelType w:val="hybridMultilevel"/>
    <w:tmpl w:val="68A88EE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06EE77F9"/>
    <w:multiLevelType w:val="multilevel"/>
    <w:tmpl w:val="F104AB12"/>
    <w:numStyleLink w:val="NumberedHeadings"/>
  </w:abstractNum>
  <w:abstractNum w:abstractNumId="8">
    <w:nsid w:val="07BB4F5A"/>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285C08AE"/>
    <w:multiLevelType w:val="multilevel"/>
    <w:tmpl w:val="86BA075E"/>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
      <w:lvlJc w:val="left"/>
      <w:pPr>
        <w:tabs>
          <w:tab w:val="num" w:pos="720"/>
        </w:tabs>
        <w:ind w:left="720" w:hanging="360"/>
      </w:pPr>
      <w:rPr>
        <w:rFonts w:ascii="Symbol" w:hAnsi="Symbol"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0">
    <w:nsid w:val="28DD716F"/>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A901256"/>
    <w:multiLevelType w:val="multilevel"/>
    <w:tmpl w:val="B36E24D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sz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2">
    <w:nsid w:val="32940CD5"/>
    <w:multiLevelType w:val="multilevel"/>
    <w:tmpl w:val="5E22C0F8"/>
    <w:styleLink w:val="Bullet"/>
    <w:lvl w:ilvl="0">
      <w:start w:val="1"/>
      <w:numFmt w:val="bullet"/>
      <w:pStyle w:val="ListBullet"/>
      <w:lvlText w:val=""/>
      <w:lvlJc w:val="left"/>
      <w:pPr>
        <w:ind w:left="284" w:hanging="284"/>
      </w:pPr>
      <w:rPr>
        <w:rFonts w:ascii="Symbol" w:hAnsi="Symbol" w:hint="default"/>
      </w:rPr>
    </w:lvl>
    <w:lvl w:ilvl="1">
      <w:start w:val="1"/>
      <w:numFmt w:val="bullet"/>
      <w:pStyle w:val="ListBullet2"/>
      <w:lvlText w:val="–"/>
      <w:lvlJc w:val="left"/>
      <w:pPr>
        <w:ind w:left="568" w:hanging="284"/>
      </w:pPr>
      <w:rPr>
        <w:rFonts w:ascii="Arial" w:hAnsi="Arial" w:hint="default"/>
      </w:rPr>
    </w:lvl>
    <w:lvl w:ilvl="2">
      <w:start w:val="1"/>
      <w:numFmt w:val="bullet"/>
      <w:pStyle w:val="ListBullet3"/>
      <w:lvlText w:val=""/>
      <w:lvlJc w:val="left"/>
      <w:pPr>
        <w:ind w:left="852" w:hanging="284"/>
      </w:pPr>
      <w:rPr>
        <w:rFonts w:ascii="Symbol" w:hAnsi="Symbo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3">
    <w:nsid w:val="386E1347"/>
    <w:multiLevelType w:val="hybridMultilevel"/>
    <w:tmpl w:val="44CE096C"/>
    <w:lvl w:ilvl="0" w:tplc="94AAEB6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46B83EAC"/>
    <w:multiLevelType w:val="multilevel"/>
    <w:tmpl w:val="F104AB12"/>
    <w:lvl w:ilvl="0">
      <w:start w:val="4"/>
      <w:numFmt w:val="decimal"/>
      <w:lvlText w:val="%1."/>
      <w:lvlJc w:val="left"/>
      <w:pPr>
        <w:ind w:left="397" w:hanging="397"/>
      </w:pPr>
      <w:rPr>
        <w:rFonts w:hint="default"/>
      </w:rPr>
    </w:lvl>
    <w:lvl w:ilvl="1">
      <w:start w:val="1"/>
      <w:numFmt w:val="decimal"/>
      <w:lvlText w:val="%1.%2"/>
      <w:lvlJc w:val="left"/>
      <w:pPr>
        <w:ind w:left="624" w:hanging="624"/>
      </w:pPr>
      <w:rPr>
        <w:rFonts w:hint="default"/>
      </w:rPr>
    </w:lvl>
    <w:lvl w:ilvl="2">
      <w:start w:val="1"/>
      <w:numFmt w:val="decimal"/>
      <w:lvlText w:val="%1.%2.%3"/>
      <w:lvlJc w:val="left"/>
      <w:pPr>
        <w:ind w:left="851" w:hanging="851"/>
      </w:pPr>
    </w:lvl>
    <w:lvl w:ilvl="3">
      <w:start w:val="1"/>
      <w:numFmt w:val="decimal"/>
      <w:lvlText w:val="%1.%2.%3.%4"/>
      <w:lvlJc w:val="left"/>
      <w:pPr>
        <w:ind w:left="1247" w:hanging="1247"/>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nsid w:val="474F7386"/>
    <w:multiLevelType w:val="multilevel"/>
    <w:tmpl w:val="7500EB92"/>
    <w:styleLink w:val="Number"/>
    <w:lvl w:ilvl="0">
      <w:start w:val="1"/>
      <w:numFmt w:val="decimal"/>
      <w:pStyle w:val="ListNumber"/>
      <w:lvlText w:val="%1."/>
      <w:lvlJc w:val="left"/>
      <w:pPr>
        <w:ind w:left="284" w:hanging="284"/>
      </w:pPr>
      <w:rPr>
        <w:rFonts w:hint="default"/>
      </w:rPr>
    </w:lvl>
    <w:lvl w:ilvl="1">
      <w:start w:val="1"/>
      <w:numFmt w:val="lowerLetter"/>
      <w:pStyle w:val="ListNumber2"/>
      <w:lvlText w:val="%2."/>
      <w:lvlJc w:val="left"/>
      <w:pPr>
        <w:ind w:left="568" w:hanging="284"/>
      </w:pPr>
      <w:rPr>
        <w:rFonts w:hint="default"/>
      </w:rPr>
    </w:lvl>
    <w:lvl w:ilvl="2">
      <w:start w:val="1"/>
      <w:numFmt w:val="lowerRoman"/>
      <w:pStyle w:val="ListNumber3"/>
      <w:lvlText w:val="%3."/>
      <w:lvlJc w:val="left"/>
      <w:pPr>
        <w:ind w:left="852" w:hanging="284"/>
      </w:pPr>
      <w:rPr>
        <w:rFonts w:hint="default"/>
      </w:rPr>
    </w:lvl>
    <w:lvl w:ilvl="3">
      <w:start w:val="1"/>
      <w:numFmt w:val="decimal"/>
      <w:pStyle w:val="ListNumber4"/>
      <w:lvlText w:val="%4."/>
      <w:lvlJc w:val="left"/>
      <w:pPr>
        <w:ind w:left="1136" w:hanging="284"/>
      </w:pPr>
      <w:rPr>
        <w:rFonts w:hint="default"/>
      </w:rPr>
    </w:lvl>
    <w:lvl w:ilvl="4">
      <w:start w:val="1"/>
      <w:numFmt w:val="lowerLetter"/>
      <w:pStyle w:val="ListNumber5"/>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6">
    <w:nsid w:val="47E27E47"/>
    <w:multiLevelType w:val="hybridMultilevel"/>
    <w:tmpl w:val="908CCCBE"/>
    <w:lvl w:ilvl="0" w:tplc="0CF6B6A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4A0D1EA1"/>
    <w:multiLevelType w:val="hybridMultilevel"/>
    <w:tmpl w:val="8AB83C72"/>
    <w:lvl w:ilvl="0" w:tplc="3A66BD7A">
      <w:start w:val="1"/>
      <w:numFmt w:val="bullet"/>
      <w:pStyle w:val="NoteDash"/>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4B6367C4"/>
    <w:multiLevelType w:val="multilevel"/>
    <w:tmpl w:val="F104AB12"/>
    <w:styleLink w:val="NumberedHeadings"/>
    <w:lvl w:ilvl="0">
      <w:start w:val="1"/>
      <w:numFmt w:val="decimal"/>
      <w:pStyle w:val="Heading1"/>
      <w:lvlText w:val="%1."/>
      <w:lvlJc w:val="left"/>
      <w:pPr>
        <w:ind w:left="397" w:hanging="397"/>
      </w:pPr>
      <w:rPr>
        <w:rFonts w:hint="default"/>
      </w:rPr>
    </w:lvl>
    <w:lvl w:ilvl="1">
      <w:start w:val="1"/>
      <w:numFmt w:val="decimal"/>
      <w:pStyle w:val="Heading2"/>
      <w:lvlText w:val="%1.%2"/>
      <w:lvlJc w:val="left"/>
      <w:pPr>
        <w:ind w:left="624" w:hanging="624"/>
      </w:pPr>
      <w:rPr>
        <w:rFonts w:hint="default"/>
      </w:rPr>
    </w:lvl>
    <w:lvl w:ilvl="2">
      <w:start w:val="1"/>
      <w:numFmt w:val="decimal"/>
      <w:pStyle w:val="Heading3"/>
      <w:lvlText w:val="%1.%2.%3"/>
      <w:lvlJc w:val="left"/>
      <w:pPr>
        <w:ind w:left="851" w:hanging="851"/>
      </w:pPr>
    </w:lvl>
    <w:lvl w:ilvl="3">
      <w:start w:val="1"/>
      <w:numFmt w:val="decimal"/>
      <w:lvlText w:val="%1.%2.%3.%4"/>
      <w:lvlJc w:val="left"/>
      <w:pPr>
        <w:ind w:left="1247" w:hanging="1247"/>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nsid w:val="4B695180"/>
    <w:multiLevelType w:val="multilevel"/>
    <w:tmpl w:val="5E22C0F8"/>
    <w:numStyleLink w:val="Bullet"/>
  </w:abstractNum>
  <w:abstractNum w:abstractNumId="20">
    <w:nsid w:val="56FB2E0B"/>
    <w:multiLevelType w:val="hybridMultilevel"/>
    <w:tmpl w:val="EDCE7868"/>
    <w:lvl w:ilvl="0" w:tplc="D2745096">
      <w:start w:val="1"/>
      <w:numFmt w:val="bullet"/>
      <w:lvlText w:val=""/>
      <w:lvlJc w:val="left"/>
      <w:pPr>
        <w:tabs>
          <w:tab w:val="num" w:pos="90"/>
        </w:tabs>
        <w:ind w:left="450" w:hanging="360"/>
      </w:pPr>
      <w:rPr>
        <w:rFonts w:ascii="Symbol" w:hAnsi="Symbol" w:hint="default"/>
        <w:sz w:val="20"/>
        <w:szCs w:val="20"/>
      </w:rPr>
    </w:lvl>
    <w:lvl w:ilvl="1" w:tplc="0C090003" w:tentative="1">
      <w:start w:val="1"/>
      <w:numFmt w:val="bullet"/>
      <w:lvlText w:val="o"/>
      <w:lvlJc w:val="left"/>
      <w:pPr>
        <w:tabs>
          <w:tab w:val="num" w:pos="1530"/>
        </w:tabs>
        <w:ind w:left="1530" w:hanging="360"/>
      </w:pPr>
      <w:rPr>
        <w:rFonts w:ascii="Courier New" w:hAnsi="Courier New" w:cs="Courier New" w:hint="default"/>
      </w:rPr>
    </w:lvl>
    <w:lvl w:ilvl="2" w:tplc="0C090005" w:tentative="1">
      <w:start w:val="1"/>
      <w:numFmt w:val="bullet"/>
      <w:lvlText w:val=""/>
      <w:lvlJc w:val="left"/>
      <w:pPr>
        <w:tabs>
          <w:tab w:val="num" w:pos="2250"/>
        </w:tabs>
        <w:ind w:left="2250" w:hanging="360"/>
      </w:pPr>
      <w:rPr>
        <w:rFonts w:ascii="Wingdings" w:hAnsi="Wingdings" w:hint="default"/>
      </w:rPr>
    </w:lvl>
    <w:lvl w:ilvl="3" w:tplc="0C090001" w:tentative="1">
      <w:start w:val="1"/>
      <w:numFmt w:val="bullet"/>
      <w:lvlText w:val=""/>
      <w:lvlJc w:val="left"/>
      <w:pPr>
        <w:tabs>
          <w:tab w:val="num" w:pos="2970"/>
        </w:tabs>
        <w:ind w:left="2970" w:hanging="360"/>
      </w:pPr>
      <w:rPr>
        <w:rFonts w:ascii="Symbol" w:hAnsi="Symbol" w:hint="default"/>
      </w:rPr>
    </w:lvl>
    <w:lvl w:ilvl="4" w:tplc="0C090003" w:tentative="1">
      <w:start w:val="1"/>
      <w:numFmt w:val="bullet"/>
      <w:lvlText w:val="o"/>
      <w:lvlJc w:val="left"/>
      <w:pPr>
        <w:tabs>
          <w:tab w:val="num" w:pos="3690"/>
        </w:tabs>
        <w:ind w:left="3690" w:hanging="360"/>
      </w:pPr>
      <w:rPr>
        <w:rFonts w:ascii="Courier New" w:hAnsi="Courier New" w:cs="Courier New" w:hint="default"/>
      </w:rPr>
    </w:lvl>
    <w:lvl w:ilvl="5" w:tplc="0C090005" w:tentative="1">
      <w:start w:val="1"/>
      <w:numFmt w:val="bullet"/>
      <w:lvlText w:val=""/>
      <w:lvlJc w:val="left"/>
      <w:pPr>
        <w:tabs>
          <w:tab w:val="num" w:pos="4410"/>
        </w:tabs>
        <w:ind w:left="4410" w:hanging="360"/>
      </w:pPr>
      <w:rPr>
        <w:rFonts w:ascii="Wingdings" w:hAnsi="Wingdings" w:hint="default"/>
      </w:rPr>
    </w:lvl>
    <w:lvl w:ilvl="6" w:tplc="0C090001" w:tentative="1">
      <w:start w:val="1"/>
      <w:numFmt w:val="bullet"/>
      <w:lvlText w:val=""/>
      <w:lvlJc w:val="left"/>
      <w:pPr>
        <w:tabs>
          <w:tab w:val="num" w:pos="5130"/>
        </w:tabs>
        <w:ind w:left="5130" w:hanging="360"/>
      </w:pPr>
      <w:rPr>
        <w:rFonts w:ascii="Symbol" w:hAnsi="Symbol" w:hint="default"/>
      </w:rPr>
    </w:lvl>
    <w:lvl w:ilvl="7" w:tplc="0C090003" w:tentative="1">
      <w:start w:val="1"/>
      <w:numFmt w:val="bullet"/>
      <w:lvlText w:val="o"/>
      <w:lvlJc w:val="left"/>
      <w:pPr>
        <w:tabs>
          <w:tab w:val="num" w:pos="5850"/>
        </w:tabs>
        <w:ind w:left="5850" w:hanging="360"/>
      </w:pPr>
      <w:rPr>
        <w:rFonts w:ascii="Courier New" w:hAnsi="Courier New" w:cs="Courier New" w:hint="default"/>
      </w:rPr>
    </w:lvl>
    <w:lvl w:ilvl="8" w:tplc="0C090005" w:tentative="1">
      <w:start w:val="1"/>
      <w:numFmt w:val="bullet"/>
      <w:lvlText w:val=""/>
      <w:lvlJc w:val="left"/>
      <w:pPr>
        <w:tabs>
          <w:tab w:val="num" w:pos="6570"/>
        </w:tabs>
        <w:ind w:left="6570" w:hanging="360"/>
      </w:pPr>
      <w:rPr>
        <w:rFonts w:ascii="Wingdings" w:hAnsi="Wingdings" w:hint="default"/>
      </w:rPr>
    </w:lvl>
  </w:abstractNum>
  <w:abstractNum w:abstractNumId="21">
    <w:nsid w:val="608B11F2"/>
    <w:multiLevelType w:val="multilevel"/>
    <w:tmpl w:val="5E22C0F8"/>
    <w:lvl w:ilvl="0">
      <w:start w:val="1"/>
      <w:numFmt w:val="bullet"/>
      <w:lvlText w:val=""/>
      <w:lvlJc w:val="left"/>
      <w:pPr>
        <w:ind w:left="284" w:hanging="284"/>
      </w:pPr>
      <w:rPr>
        <w:rFonts w:ascii="Symbol" w:hAnsi="Symbol" w:hint="default"/>
      </w:rPr>
    </w:lvl>
    <w:lvl w:ilvl="1">
      <w:start w:val="1"/>
      <w:numFmt w:val="bullet"/>
      <w:lvlText w:val="–"/>
      <w:lvlJc w:val="left"/>
      <w:pPr>
        <w:ind w:left="568" w:hanging="284"/>
      </w:pPr>
      <w:rPr>
        <w:rFonts w:ascii="Arial" w:hAnsi="Arial" w:hint="default"/>
        <w:sz w:val="20"/>
      </w:rPr>
    </w:lvl>
    <w:lvl w:ilvl="2">
      <w:start w:val="1"/>
      <w:numFmt w:val="bullet"/>
      <w:lvlText w:val=""/>
      <w:lvlJc w:val="left"/>
      <w:pPr>
        <w:ind w:left="852" w:hanging="284"/>
      </w:pPr>
      <w:rPr>
        <w:rFonts w:ascii="Symbol" w:hAnsi="Symbo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2">
    <w:nsid w:val="65246199"/>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nsid w:val="6C4F5097"/>
    <w:multiLevelType w:val="hybridMultilevel"/>
    <w:tmpl w:val="66A65D06"/>
    <w:lvl w:ilvl="0" w:tplc="70EA58E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6CFF3731"/>
    <w:multiLevelType w:val="multilevel"/>
    <w:tmpl w:val="7500EB92"/>
    <w:numStyleLink w:val="Number"/>
  </w:abstractNum>
  <w:abstractNum w:abstractNumId="25">
    <w:nsid w:val="77E71996"/>
    <w:multiLevelType w:val="multilevel"/>
    <w:tmpl w:val="5CF81E6C"/>
    <w:styleLink w:val="Headingstyles"/>
    <w:lvl w:ilvl="0">
      <w:start w:val="1"/>
      <w:numFmt w:val="decimal"/>
      <w:lvlText w:val="%1."/>
      <w:lvlJc w:val="left"/>
      <w:pPr>
        <w:ind w:left="432" w:hanging="432"/>
      </w:pPr>
      <w:rPr>
        <w:rFonts w:hint="default"/>
        <w:b/>
        <w:i w:val="0"/>
        <w:color w:val="0063A6" w:themeColor="accent1"/>
        <w:sz w:val="32"/>
      </w:rPr>
    </w:lvl>
    <w:lvl w:ilvl="1">
      <w:start w:val="1"/>
      <w:numFmt w:val="decimal"/>
      <w:lvlText w:val="%1.%2"/>
      <w:lvlJc w:val="left"/>
      <w:pPr>
        <w:ind w:left="576" w:hanging="576"/>
      </w:pPr>
      <w:rPr>
        <w:rFonts w:hint="default"/>
        <w:b/>
        <w:bCs w:val="0"/>
        <w:i w:val="0"/>
        <w:iCs w:val="0"/>
        <w:caps w:val="0"/>
        <w:smallCaps w:val="0"/>
        <w:strike w:val="0"/>
        <w:dstrike w:val="0"/>
        <w:outline w:val="0"/>
        <w:shadow w:val="0"/>
        <w:emboss w:val="0"/>
        <w:imprint w:val="0"/>
        <w:vanish w:val="0"/>
        <w:spacing w:val="0"/>
        <w:kern w:val="0"/>
        <w:position w:val="0"/>
        <w:sz w:val="24"/>
        <w:u w:val="none"/>
        <w:effect w:val="none"/>
        <w:vertAlign w:val="baseline"/>
        <w:em w:val="none"/>
        <w14:ligatures w14:val="none"/>
        <w14:numForm w14:val="default"/>
        <w14:numSpacing w14:val="default"/>
        <w14:stylisticSets/>
        <w14:cntxtAlts w14:val="0"/>
      </w:rPr>
    </w:lvl>
    <w:lvl w:ilvl="2">
      <w:start w:val="1"/>
      <w:numFmt w:val="decimal"/>
      <w:lvlText w:val="%1.%2.%3"/>
      <w:lvlJc w:val="left"/>
      <w:pPr>
        <w:ind w:left="720" w:hanging="720"/>
      </w:pPr>
      <w:rPr>
        <w:rFonts w:hint="default"/>
        <w:b/>
        <w:bCs w:val="0"/>
        <w:i w:val="0"/>
        <w:iCs w:val="0"/>
        <w:caps w:val="0"/>
        <w:smallCaps w:val="0"/>
        <w:strike w:val="0"/>
        <w:dstrike w:val="0"/>
        <w:outline w:val="0"/>
        <w:shadow w:val="0"/>
        <w:emboss w:val="0"/>
        <w:imprint w:val="0"/>
        <w:noProof w:val="0"/>
        <w:vanish w:val="0"/>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5"/>
  </w:num>
  <w:num w:numId="2">
    <w:abstractNumId w:val="12"/>
  </w:num>
  <w:num w:numId="3">
    <w:abstractNumId w:val="17"/>
  </w:num>
  <w:num w:numId="4">
    <w:abstractNumId w:val="11"/>
  </w:num>
  <w:num w:numId="5">
    <w:abstractNumId w:val="15"/>
  </w:num>
  <w:num w:numId="6">
    <w:abstractNumId w:val="18"/>
  </w:num>
  <w:num w:numId="7">
    <w:abstractNumId w:val="19"/>
  </w:num>
  <w:num w:numId="8">
    <w:abstractNumId w:val="24"/>
  </w:num>
  <w:num w:numId="9">
    <w:abstractNumId w:val="1"/>
  </w:num>
  <w:num w:numId="10">
    <w:abstractNumId w:val="0"/>
  </w:num>
  <w:num w:numId="11">
    <w:abstractNumId w:val="10"/>
  </w:num>
  <w:num w:numId="12">
    <w:abstractNumId w:val="8"/>
  </w:num>
  <w:num w:numId="13">
    <w:abstractNumId w:val="22"/>
  </w:num>
  <w:num w:numId="14">
    <w:abstractNumId w:val="7"/>
  </w:num>
  <w:num w:numId="15">
    <w:abstractNumId w:val="25"/>
  </w:num>
  <w:num w:numId="16">
    <w:abstractNumId w:val="20"/>
  </w:num>
  <w:num w:numId="17">
    <w:abstractNumId w:val="9"/>
  </w:num>
  <w:num w:numId="18">
    <w:abstractNumId w:val="6"/>
  </w:num>
  <w:num w:numId="19">
    <w:abstractNumId w:val="14"/>
  </w:num>
  <w:num w:numId="20">
    <w:abstractNumId w:val="16"/>
  </w:num>
  <w:num w:numId="21">
    <w:abstractNumId w:val="23"/>
  </w:num>
  <w:num w:numId="22">
    <w:abstractNumId w:val="2"/>
  </w:num>
  <w:num w:numId="23">
    <w:abstractNumId w:val="13"/>
  </w:num>
  <w:num w:numId="24">
    <w:abstractNumId w:val="21"/>
  </w:num>
  <w:num w:numId="25">
    <w:abstractNumId w:val="4"/>
  </w:num>
  <w:num w:numId="26">
    <w:abstractNumId w:val="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proofState w:spelling="clean"/>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7535"/>
    <w:rsid w:val="00001A3C"/>
    <w:rsid w:val="000021FB"/>
    <w:rsid w:val="000068BC"/>
    <w:rsid w:val="00016374"/>
    <w:rsid w:val="00017EF2"/>
    <w:rsid w:val="000256AE"/>
    <w:rsid w:val="0003281B"/>
    <w:rsid w:val="00032A2A"/>
    <w:rsid w:val="00033EBD"/>
    <w:rsid w:val="000351A8"/>
    <w:rsid w:val="00036280"/>
    <w:rsid w:val="000375B2"/>
    <w:rsid w:val="00042ABE"/>
    <w:rsid w:val="00044421"/>
    <w:rsid w:val="00047DE2"/>
    <w:rsid w:val="000549C1"/>
    <w:rsid w:val="00054BE9"/>
    <w:rsid w:val="00055A63"/>
    <w:rsid w:val="00056736"/>
    <w:rsid w:val="00057EFB"/>
    <w:rsid w:val="00062AD5"/>
    <w:rsid w:val="00064266"/>
    <w:rsid w:val="00064F49"/>
    <w:rsid w:val="00073219"/>
    <w:rsid w:val="00073EFA"/>
    <w:rsid w:val="00076D50"/>
    <w:rsid w:val="00077C52"/>
    <w:rsid w:val="00082872"/>
    <w:rsid w:val="00082D1F"/>
    <w:rsid w:val="0009147C"/>
    <w:rsid w:val="000915C9"/>
    <w:rsid w:val="000A03F9"/>
    <w:rsid w:val="000A07AD"/>
    <w:rsid w:val="000A2CDF"/>
    <w:rsid w:val="000A67D6"/>
    <w:rsid w:val="000B0D19"/>
    <w:rsid w:val="000B4962"/>
    <w:rsid w:val="000C04C7"/>
    <w:rsid w:val="000C1B0B"/>
    <w:rsid w:val="000C43CD"/>
    <w:rsid w:val="000C68FD"/>
    <w:rsid w:val="000C6A23"/>
    <w:rsid w:val="000D0ECF"/>
    <w:rsid w:val="000D226D"/>
    <w:rsid w:val="000D5220"/>
    <w:rsid w:val="000D53D5"/>
    <w:rsid w:val="000D5949"/>
    <w:rsid w:val="000D656A"/>
    <w:rsid w:val="000E037E"/>
    <w:rsid w:val="000E04E7"/>
    <w:rsid w:val="000E1A6C"/>
    <w:rsid w:val="000E2126"/>
    <w:rsid w:val="000E28B3"/>
    <w:rsid w:val="000F140B"/>
    <w:rsid w:val="000F34B0"/>
    <w:rsid w:val="000F57CF"/>
    <w:rsid w:val="000F5BCA"/>
    <w:rsid w:val="00103DE5"/>
    <w:rsid w:val="00104F1A"/>
    <w:rsid w:val="00113667"/>
    <w:rsid w:val="00120B97"/>
    <w:rsid w:val="001212DB"/>
    <w:rsid w:val="001213D6"/>
    <w:rsid w:val="00124F13"/>
    <w:rsid w:val="00130832"/>
    <w:rsid w:val="00132069"/>
    <w:rsid w:val="0014537A"/>
    <w:rsid w:val="00150302"/>
    <w:rsid w:val="001506B1"/>
    <w:rsid w:val="00150835"/>
    <w:rsid w:val="00157D89"/>
    <w:rsid w:val="00160DB5"/>
    <w:rsid w:val="00166699"/>
    <w:rsid w:val="001675E6"/>
    <w:rsid w:val="001808F7"/>
    <w:rsid w:val="001845E1"/>
    <w:rsid w:val="00184890"/>
    <w:rsid w:val="00185B60"/>
    <w:rsid w:val="001A0E4E"/>
    <w:rsid w:val="001B04ED"/>
    <w:rsid w:val="001B3B72"/>
    <w:rsid w:val="001D7A51"/>
    <w:rsid w:val="001E6E6F"/>
    <w:rsid w:val="001F449C"/>
    <w:rsid w:val="001F4F51"/>
    <w:rsid w:val="00200BE7"/>
    <w:rsid w:val="00202EFF"/>
    <w:rsid w:val="002065D0"/>
    <w:rsid w:val="00210496"/>
    <w:rsid w:val="00211C6F"/>
    <w:rsid w:val="00212222"/>
    <w:rsid w:val="0021262A"/>
    <w:rsid w:val="00214AB1"/>
    <w:rsid w:val="00217849"/>
    <w:rsid w:val="00220042"/>
    <w:rsid w:val="00220E35"/>
    <w:rsid w:val="00222883"/>
    <w:rsid w:val="00231B66"/>
    <w:rsid w:val="00232BC7"/>
    <w:rsid w:val="00234470"/>
    <w:rsid w:val="00236E12"/>
    <w:rsid w:val="00237563"/>
    <w:rsid w:val="00241BC9"/>
    <w:rsid w:val="00247670"/>
    <w:rsid w:val="00253619"/>
    <w:rsid w:val="00254F58"/>
    <w:rsid w:val="00255A9A"/>
    <w:rsid w:val="0025669F"/>
    <w:rsid w:val="00257E89"/>
    <w:rsid w:val="0026061D"/>
    <w:rsid w:val="00260DE7"/>
    <w:rsid w:val="002650F6"/>
    <w:rsid w:val="002677DA"/>
    <w:rsid w:val="00271E79"/>
    <w:rsid w:val="00273B39"/>
    <w:rsid w:val="002741FF"/>
    <w:rsid w:val="00277792"/>
    <w:rsid w:val="0028097E"/>
    <w:rsid w:val="00287535"/>
    <w:rsid w:val="00294556"/>
    <w:rsid w:val="00295E0F"/>
    <w:rsid w:val="00296762"/>
    <w:rsid w:val="00296CF7"/>
    <w:rsid w:val="002A0391"/>
    <w:rsid w:val="002A57BB"/>
    <w:rsid w:val="002A7D7C"/>
    <w:rsid w:val="002B279D"/>
    <w:rsid w:val="002B3B71"/>
    <w:rsid w:val="002B3E8C"/>
    <w:rsid w:val="002B526C"/>
    <w:rsid w:val="002B7DE4"/>
    <w:rsid w:val="002C1008"/>
    <w:rsid w:val="002C138E"/>
    <w:rsid w:val="002C3386"/>
    <w:rsid w:val="002C3B94"/>
    <w:rsid w:val="002C3F78"/>
    <w:rsid w:val="002C5BE1"/>
    <w:rsid w:val="002C6EA8"/>
    <w:rsid w:val="002D040C"/>
    <w:rsid w:val="002D3FE4"/>
    <w:rsid w:val="002D47C9"/>
    <w:rsid w:val="002E2498"/>
    <w:rsid w:val="002E628D"/>
    <w:rsid w:val="002F7A44"/>
    <w:rsid w:val="002F7B7A"/>
    <w:rsid w:val="002F7BBC"/>
    <w:rsid w:val="00301106"/>
    <w:rsid w:val="00306EAE"/>
    <w:rsid w:val="00314649"/>
    <w:rsid w:val="0033621D"/>
    <w:rsid w:val="003371B4"/>
    <w:rsid w:val="00337317"/>
    <w:rsid w:val="0034185B"/>
    <w:rsid w:val="00341866"/>
    <w:rsid w:val="003429FA"/>
    <w:rsid w:val="00343667"/>
    <w:rsid w:val="0034697B"/>
    <w:rsid w:val="00347922"/>
    <w:rsid w:val="00357C4E"/>
    <w:rsid w:val="00360393"/>
    <w:rsid w:val="0036119F"/>
    <w:rsid w:val="00362609"/>
    <w:rsid w:val="00362845"/>
    <w:rsid w:val="00363B60"/>
    <w:rsid w:val="00367AF4"/>
    <w:rsid w:val="003703D1"/>
    <w:rsid w:val="00372A16"/>
    <w:rsid w:val="003741F4"/>
    <w:rsid w:val="0037430B"/>
    <w:rsid w:val="00377B81"/>
    <w:rsid w:val="003805EF"/>
    <w:rsid w:val="003825F8"/>
    <w:rsid w:val="00390A50"/>
    <w:rsid w:val="0039234B"/>
    <w:rsid w:val="00395FF7"/>
    <w:rsid w:val="00397E96"/>
    <w:rsid w:val="003A0816"/>
    <w:rsid w:val="003A1578"/>
    <w:rsid w:val="003A1BBB"/>
    <w:rsid w:val="003A5819"/>
    <w:rsid w:val="003B1177"/>
    <w:rsid w:val="003B669A"/>
    <w:rsid w:val="003C5DBD"/>
    <w:rsid w:val="003C75BF"/>
    <w:rsid w:val="003D2236"/>
    <w:rsid w:val="003D279B"/>
    <w:rsid w:val="003D49A1"/>
    <w:rsid w:val="003D7FD7"/>
    <w:rsid w:val="003E2DAD"/>
    <w:rsid w:val="003E58E4"/>
    <w:rsid w:val="003E68E6"/>
    <w:rsid w:val="003E7CD9"/>
    <w:rsid w:val="003F7EE7"/>
    <w:rsid w:val="00400B44"/>
    <w:rsid w:val="00402563"/>
    <w:rsid w:val="00402880"/>
    <w:rsid w:val="00402E2E"/>
    <w:rsid w:val="00403881"/>
    <w:rsid w:val="00407B77"/>
    <w:rsid w:val="00407F41"/>
    <w:rsid w:val="0042008E"/>
    <w:rsid w:val="00423170"/>
    <w:rsid w:val="00424473"/>
    <w:rsid w:val="00424959"/>
    <w:rsid w:val="004251AD"/>
    <w:rsid w:val="00432BD8"/>
    <w:rsid w:val="004341BD"/>
    <w:rsid w:val="004419CD"/>
    <w:rsid w:val="00441FC3"/>
    <w:rsid w:val="00446992"/>
    <w:rsid w:val="00446AD6"/>
    <w:rsid w:val="00450141"/>
    <w:rsid w:val="00454513"/>
    <w:rsid w:val="004617D9"/>
    <w:rsid w:val="00474C53"/>
    <w:rsid w:val="00475D53"/>
    <w:rsid w:val="00480C94"/>
    <w:rsid w:val="004847B9"/>
    <w:rsid w:val="00484F8E"/>
    <w:rsid w:val="00486B8C"/>
    <w:rsid w:val="0048771F"/>
    <w:rsid w:val="004906A4"/>
    <w:rsid w:val="00491B86"/>
    <w:rsid w:val="00493C2E"/>
    <w:rsid w:val="00496047"/>
    <w:rsid w:val="004964EC"/>
    <w:rsid w:val="00496B0F"/>
    <w:rsid w:val="00497D2E"/>
    <w:rsid w:val="004A59F9"/>
    <w:rsid w:val="004B1258"/>
    <w:rsid w:val="004B189C"/>
    <w:rsid w:val="004B1F1F"/>
    <w:rsid w:val="004B4705"/>
    <w:rsid w:val="004C1F0B"/>
    <w:rsid w:val="004C345B"/>
    <w:rsid w:val="004C59E7"/>
    <w:rsid w:val="004D37DA"/>
    <w:rsid w:val="004D7453"/>
    <w:rsid w:val="004E1427"/>
    <w:rsid w:val="004E5C31"/>
    <w:rsid w:val="004F03F6"/>
    <w:rsid w:val="004F2F5C"/>
    <w:rsid w:val="004F3EFD"/>
    <w:rsid w:val="004F5AD4"/>
    <w:rsid w:val="004F5D50"/>
    <w:rsid w:val="004F6DBA"/>
    <w:rsid w:val="004F738A"/>
    <w:rsid w:val="00500769"/>
    <w:rsid w:val="00500DAE"/>
    <w:rsid w:val="005025DE"/>
    <w:rsid w:val="0051006C"/>
    <w:rsid w:val="005243EA"/>
    <w:rsid w:val="00525CA4"/>
    <w:rsid w:val="00525E82"/>
    <w:rsid w:val="00526B73"/>
    <w:rsid w:val="005271FE"/>
    <w:rsid w:val="005307AA"/>
    <w:rsid w:val="0053103E"/>
    <w:rsid w:val="00531EF1"/>
    <w:rsid w:val="00535247"/>
    <w:rsid w:val="00536ACD"/>
    <w:rsid w:val="00541C6D"/>
    <w:rsid w:val="00542B89"/>
    <w:rsid w:val="00545735"/>
    <w:rsid w:val="00545C39"/>
    <w:rsid w:val="005563E9"/>
    <w:rsid w:val="00556B3E"/>
    <w:rsid w:val="00560E01"/>
    <w:rsid w:val="005657B2"/>
    <w:rsid w:val="00566049"/>
    <w:rsid w:val="00566692"/>
    <w:rsid w:val="00572C52"/>
    <w:rsid w:val="00573F75"/>
    <w:rsid w:val="00574728"/>
    <w:rsid w:val="00575CCF"/>
    <w:rsid w:val="00576271"/>
    <w:rsid w:val="00576C73"/>
    <w:rsid w:val="00580399"/>
    <w:rsid w:val="005852CA"/>
    <w:rsid w:val="0058536D"/>
    <w:rsid w:val="005862E6"/>
    <w:rsid w:val="005903BA"/>
    <w:rsid w:val="00590E43"/>
    <w:rsid w:val="005A0BEB"/>
    <w:rsid w:val="005A3B07"/>
    <w:rsid w:val="005B0170"/>
    <w:rsid w:val="005C0288"/>
    <w:rsid w:val="005C09D4"/>
    <w:rsid w:val="005C62C6"/>
    <w:rsid w:val="005D108E"/>
    <w:rsid w:val="005D60A6"/>
    <w:rsid w:val="005E4781"/>
    <w:rsid w:val="005E73A1"/>
    <w:rsid w:val="005E7DC6"/>
    <w:rsid w:val="005F4685"/>
    <w:rsid w:val="00600C46"/>
    <w:rsid w:val="006055D5"/>
    <w:rsid w:val="00605A27"/>
    <w:rsid w:val="00606611"/>
    <w:rsid w:val="006108E6"/>
    <w:rsid w:val="00612683"/>
    <w:rsid w:val="006135D1"/>
    <w:rsid w:val="0061407E"/>
    <w:rsid w:val="00617210"/>
    <w:rsid w:val="00617936"/>
    <w:rsid w:val="0062070B"/>
    <w:rsid w:val="006243FE"/>
    <w:rsid w:val="0062545A"/>
    <w:rsid w:val="0062613A"/>
    <w:rsid w:val="00627C2B"/>
    <w:rsid w:val="00635722"/>
    <w:rsid w:val="00644B4A"/>
    <w:rsid w:val="006479D1"/>
    <w:rsid w:val="006517D1"/>
    <w:rsid w:val="00651946"/>
    <w:rsid w:val="0065280D"/>
    <w:rsid w:val="00664667"/>
    <w:rsid w:val="0066512E"/>
    <w:rsid w:val="00676AAC"/>
    <w:rsid w:val="006773B4"/>
    <w:rsid w:val="00677990"/>
    <w:rsid w:val="00684CD1"/>
    <w:rsid w:val="006862B0"/>
    <w:rsid w:val="00694A8D"/>
    <w:rsid w:val="00696DC4"/>
    <w:rsid w:val="006A017C"/>
    <w:rsid w:val="006A1F6F"/>
    <w:rsid w:val="006A1FD5"/>
    <w:rsid w:val="006A35C1"/>
    <w:rsid w:val="006A748B"/>
    <w:rsid w:val="006B134B"/>
    <w:rsid w:val="006B2CE2"/>
    <w:rsid w:val="006B468A"/>
    <w:rsid w:val="006C00EB"/>
    <w:rsid w:val="006C030C"/>
    <w:rsid w:val="006C505F"/>
    <w:rsid w:val="006D4F41"/>
    <w:rsid w:val="006D6EFB"/>
    <w:rsid w:val="006E1EEA"/>
    <w:rsid w:val="006E2ADF"/>
    <w:rsid w:val="006E2BC5"/>
    <w:rsid w:val="006E400E"/>
    <w:rsid w:val="006E6F37"/>
    <w:rsid w:val="006E768C"/>
    <w:rsid w:val="006F1D47"/>
    <w:rsid w:val="006F1F28"/>
    <w:rsid w:val="006F23B1"/>
    <w:rsid w:val="007021B4"/>
    <w:rsid w:val="00705B7B"/>
    <w:rsid w:val="00710924"/>
    <w:rsid w:val="007116A2"/>
    <w:rsid w:val="00715FC3"/>
    <w:rsid w:val="00720B4C"/>
    <w:rsid w:val="00722C32"/>
    <w:rsid w:val="00722E77"/>
    <w:rsid w:val="007237D4"/>
    <w:rsid w:val="00725696"/>
    <w:rsid w:val="00725906"/>
    <w:rsid w:val="00726975"/>
    <w:rsid w:val="00726F1F"/>
    <w:rsid w:val="0072776C"/>
    <w:rsid w:val="00727E4F"/>
    <w:rsid w:val="00731598"/>
    <w:rsid w:val="007346C0"/>
    <w:rsid w:val="007346CE"/>
    <w:rsid w:val="007349CB"/>
    <w:rsid w:val="007352B3"/>
    <w:rsid w:val="00736B94"/>
    <w:rsid w:val="00737FCE"/>
    <w:rsid w:val="00741825"/>
    <w:rsid w:val="00743CE4"/>
    <w:rsid w:val="00745231"/>
    <w:rsid w:val="00747514"/>
    <w:rsid w:val="00751550"/>
    <w:rsid w:val="00753E64"/>
    <w:rsid w:val="007575FF"/>
    <w:rsid w:val="0076376B"/>
    <w:rsid w:val="00764EAA"/>
    <w:rsid w:val="007676F1"/>
    <w:rsid w:val="00771708"/>
    <w:rsid w:val="00771A05"/>
    <w:rsid w:val="00773F07"/>
    <w:rsid w:val="007820EF"/>
    <w:rsid w:val="007873A5"/>
    <w:rsid w:val="00790E40"/>
    <w:rsid w:val="00790FB8"/>
    <w:rsid w:val="007919BA"/>
    <w:rsid w:val="007925EF"/>
    <w:rsid w:val="00794C4A"/>
    <w:rsid w:val="0079507A"/>
    <w:rsid w:val="00797CD1"/>
    <w:rsid w:val="007A0D8B"/>
    <w:rsid w:val="007A0E07"/>
    <w:rsid w:val="007A11BE"/>
    <w:rsid w:val="007A4550"/>
    <w:rsid w:val="007A4996"/>
    <w:rsid w:val="007A5BD1"/>
    <w:rsid w:val="007A7975"/>
    <w:rsid w:val="007A7C8C"/>
    <w:rsid w:val="007A7FD1"/>
    <w:rsid w:val="007B19F4"/>
    <w:rsid w:val="007B51DD"/>
    <w:rsid w:val="007C2D37"/>
    <w:rsid w:val="007C7F12"/>
    <w:rsid w:val="007D26EB"/>
    <w:rsid w:val="007D6D1A"/>
    <w:rsid w:val="007E5ACD"/>
    <w:rsid w:val="007F07DD"/>
    <w:rsid w:val="007F1AAF"/>
    <w:rsid w:val="00801B7F"/>
    <w:rsid w:val="0080479F"/>
    <w:rsid w:val="008110D9"/>
    <w:rsid w:val="00813A48"/>
    <w:rsid w:val="00814A7C"/>
    <w:rsid w:val="008155D0"/>
    <w:rsid w:val="00820AFD"/>
    <w:rsid w:val="0082155D"/>
    <w:rsid w:val="00821CAC"/>
    <w:rsid w:val="00831AE5"/>
    <w:rsid w:val="00833E49"/>
    <w:rsid w:val="0083463B"/>
    <w:rsid w:val="00836DB6"/>
    <w:rsid w:val="00837EE1"/>
    <w:rsid w:val="008416B3"/>
    <w:rsid w:val="00846A84"/>
    <w:rsid w:val="00852314"/>
    <w:rsid w:val="0085760D"/>
    <w:rsid w:val="00857EAA"/>
    <w:rsid w:val="00860BA3"/>
    <w:rsid w:val="00861CEA"/>
    <w:rsid w:val="008642F4"/>
    <w:rsid w:val="0086442A"/>
    <w:rsid w:val="0086647D"/>
    <w:rsid w:val="00881D87"/>
    <w:rsid w:val="008852F3"/>
    <w:rsid w:val="00886DF7"/>
    <w:rsid w:val="00887091"/>
    <w:rsid w:val="0089207D"/>
    <w:rsid w:val="00893855"/>
    <w:rsid w:val="008A5A91"/>
    <w:rsid w:val="008A5F0E"/>
    <w:rsid w:val="008B15A6"/>
    <w:rsid w:val="008B2473"/>
    <w:rsid w:val="008C4B8B"/>
    <w:rsid w:val="008D128E"/>
    <w:rsid w:val="008D29E5"/>
    <w:rsid w:val="008D37BD"/>
    <w:rsid w:val="008D3D71"/>
    <w:rsid w:val="008D3FDA"/>
    <w:rsid w:val="008D4566"/>
    <w:rsid w:val="008D5DD6"/>
    <w:rsid w:val="008E1571"/>
    <w:rsid w:val="008E1E8B"/>
    <w:rsid w:val="008E3105"/>
    <w:rsid w:val="008E469A"/>
    <w:rsid w:val="008E554D"/>
    <w:rsid w:val="008E5E35"/>
    <w:rsid w:val="00900DF0"/>
    <w:rsid w:val="00901B8C"/>
    <w:rsid w:val="00902878"/>
    <w:rsid w:val="00903544"/>
    <w:rsid w:val="009046BD"/>
    <w:rsid w:val="009103EC"/>
    <w:rsid w:val="00913970"/>
    <w:rsid w:val="009146D5"/>
    <w:rsid w:val="00916B32"/>
    <w:rsid w:val="0091711E"/>
    <w:rsid w:val="009174A7"/>
    <w:rsid w:val="00917D22"/>
    <w:rsid w:val="009244CC"/>
    <w:rsid w:val="00924B15"/>
    <w:rsid w:val="00934FFB"/>
    <w:rsid w:val="00940222"/>
    <w:rsid w:val="00943EAD"/>
    <w:rsid w:val="00947417"/>
    <w:rsid w:val="009479BF"/>
    <w:rsid w:val="00950409"/>
    <w:rsid w:val="00950FB1"/>
    <w:rsid w:val="00952665"/>
    <w:rsid w:val="00953503"/>
    <w:rsid w:val="009544D0"/>
    <w:rsid w:val="009556A3"/>
    <w:rsid w:val="009639C3"/>
    <w:rsid w:val="009734EA"/>
    <w:rsid w:val="009754F2"/>
    <w:rsid w:val="0098338B"/>
    <w:rsid w:val="00983AF0"/>
    <w:rsid w:val="00985EAF"/>
    <w:rsid w:val="009862B3"/>
    <w:rsid w:val="00996E49"/>
    <w:rsid w:val="00997E84"/>
    <w:rsid w:val="009B080A"/>
    <w:rsid w:val="009B185C"/>
    <w:rsid w:val="009B7B27"/>
    <w:rsid w:val="009C2CEF"/>
    <w:rsid w:val="009C7E23"/>
    <w:rsid w:val="009D44E6"/>
    <w:rsid w:val="009E1F58"/>
    <w:rsid w:val="009E302E"/>
    <w:rsid w:val="009E4D30"/>
    <w:rsid w:val="009E6EDF"/>
    <w:rsid w:val="009F07A5"/>
    <w:rsid w:val="009F160B"/>
    <w:rsid w:val="009F6886"/>
    <w:rsid w:val="009F6D73"/>
    <w:rsid w:val="00A015F0"/>
    <w:rsid w:val="00A042C9"/>
    <w:rsid w:val="00A105F2"/>
    <w:rsid w:val="00A11691"/>
    <w:rsid w:val="00A119C9"/>
    <w:rsid w:val="00A1307C"/>
    <w:rsid w:val="00A14B9A"/>
    <w:rsid w:val="00A15991"/>
    <w:rsid w:val="00A171DC"/>
    <w:rsid w:val="00A2031D"/>
    <w:rsid w:val="00A20782"/>
    <w:rsid w:val="00A2094F"/>
    <w:rsid w:val="00A20F1E"/>
    <w:rsid w:val="00A21C10"/>
    <w:rsid w:val="00A264FE"/>
    <w:rsid w:val="00A26D04"/>
    <w:rsid w:val="00A27D26"/>
    <w:rsid w:val="00A30D6D"/>
    <w:rsid w:val="00A40680"/>
    <w:rsid w:val="00A42771"/>
    <w:rsid w:val="00A46DCA"/>
    <w:rsid w:val="00A47611"/>
    <w:rsid w:val="00A47629"/>
    <w:rsid w:val="00A50C8B"/>
    <w:rsid w:val="00A545AB"/>
    <w:rsid w:val="00A60A4E"/>
    <w:rsid w:val="00A63051"/>
    <w:rsid w:val="00A637FA"/>
    <w:rsid w:val="00A66301"/>
    <w:rsid w:val="00A670DF"/>
    <w:rsid w:val="00A673BF"/>
    <w:rsid w:val="00A72634"/>
    <w:rsid w:val="00A75888"/>
    <w:rsid w:val="00A759F3"/>
    <w:rsid w:val="00A75FEE"/>
    <w:rsid w:val="00A855D0"/>
    <w:rsid w:val="00A85FA2"/>
    <w:rsid w:val="00A9345E"/>
    <w:rsid w:val="00A94E87"/>
    <w:rsid w:val="00A962F9"/>
    <w:rsid w:val="00A977EF"/>
    <w:rsid w:val="00A97CE9"/>
    <w:rsid w:val="00AB0604"/>
    <w:rsid w:val="00AB0C55"/>
    <w:rsid w:val="00AB5FA5"/>
    <w:rsid w:val="00AB62CA"/>
    <w:rsid w:val="00AB724F"/>
    <w:rsid w:val="00AC4001"/>
    <w:rsid w:val="00AC777F"/>
    <w:rsid w:val="00AD3579"/>
    <w:rsid w:val="00AD650A"/>
    <w:rsid w:val="00AE372A"/>
    <w:rsid w:val="00AE67FF"/>
    <w:rsid w:val="00AF5018"/>
    <w:rsid w:val="00AF6157"/>
    <w:rsid w:val="00AF7DCE"/>
    <w:rsid w:val="00B043DC"/>
    <w:rsid w:val="00B04832"/>
    <w:rsid w:val="00B04F7D"/>
    <w:rsid w:val="00B117F4"/>
    <w:rsid w:val="00B121BD"/>
    <w:rsid w:val="00B146AC"/>
    <w:rsid w:val="00B17122"/>
    <w:rsid w:val="00B34A89"/>
    <w:rsid w:val="00B3528A"/>
    <w:rsid w:val="00B36631"/>
    <w:rsid w:val="00B36EB2"/>
    <w:rsid w:val="00B41444"/>
    <w:rsid w:val="00B42275"/>
    <w:rsid w:val="00B4755F"/>
    <w:rsid w:val="00B56791"/>
    <w:rsid w:val="00B56B25"/>
    <w:rsid w:val="00B56C73"/>
    <w:rsid w:val="00B65421"/>
    <w:rsid w:val="00B70D99"/>
    <w:rsid w:val="00B714EE"/>
    <w:rsid w:val="00B72498"/>
    <w:rsid w:val="00B73B9B"/>
    <w:rsid w:val="00B76477"/>
    <w:rsid w:val="00B77344"/>
    <w:rsid w:val="00B809CD"/>
    <w:rsid w:val="00B83597"/>
    <w:rsid w:val="00B862F0"/>
    <w:rsid w:val="00B91C7F"/>
    <w:rsid w:val="00B936B8"/>
    <w:rsid w:val="00BA26F2"/>
    <w:rsid w:val="00BA578F"/>
    <w:rsid w:val="00BA6979"/>
    <w:rsid w:val="00BA7243"/>
    <w:rsid w:val="00BB2087"/>
    <w:rsid w:val="00BB3616"/>
    <w:rsid w:val="00BC1376"/>
    <w:rsid w:val="00BC21AD"/>
    <w:rsid w:val="00BC6329"/>
    <w:rsid w:val="00BC6724"/>
    <w:rsid w:val="00BD0D9B"/>
    <w:rsid w:val="00BD2A8E"/>
    <w:rsid w:val="00BD2AB3"/>
    <w:rsid w:val="00BD57F0"/>
    <w:rsid w:val="00BD6A33"/>
    <w:rsid w:val="00BE12EA"/>
    <w:rsid w:val="00BE2483"/>
    <w:rsid w:val="00BE2FBB"/>
    <w:rsid w:val="00BE473F"/>
    <w:rsid w:val="00BF07FE"/>
    <w:rsid w:val="00BF08BC"/>
    <w:rsid w:val="00BF1C48"/>
    <w:rsid w:val="00BF5852"/>
    <w:rsid w:val="00BF6E17"/>
    <w:rsid w:val="00C00568"/>
    <w:rsid w:val="00C0462D"/>
    <w:rsid w:val="00C04F08"/>
    <w:rsid w:val="00C134E2"/>
    <w:rsid w:val="00C2116C"/>
    <w:rsid w:val="00C2172C"/>
    <w:rsid w:val="00C2467A"/>
    <w:rsid w:val="00C25F6F"/>
    <w:rsid w:val="00C26D26"/>
    <w:rsid w:val="00C32D27"/>
    <w:rsid w:val="00C3520F"/>
    <w:rsid w:val="00C36FCD"/>
    <w:rsid w:val="00C41B29"/>
    <w:rsid w:val="00C461A9"/>
    <w:rsid w:val="00C4714D"/>
    <w:rsid w:val="00C573F8"/>
    <w:rsid w:val="00C65BE3"/>
    <w:rsid w:val="00C661B9"/>
    <w:rsid w:val="00C67C24"/>
    <w:rsid w:val="00C72D96"/>
    <w:rsid w:val="00C77D7E"/>
    <w:rsid w:val="00C80D95"/>
    <w:rsid w:val="00C82DA8"/>
    <w:rsid w:val="00C8749B"/>
    <w:rsid w:val="00C90B98"/>
    <w:rsid w:val="00CA1219"/>
    <w:rsid w:val="00CA29CB"/>
    <w:rsid w:val="00CA41CF"/>
    <w:rsid w:val="00CA4410"/>
    <w:rsid w:val="00CA4F8B"/>
    <w:rsid w:val="00CA6435"/>
    <w:rsid w:val="00CB2FA6"/>
    <w:rsid w:val="00CB43A2"/>
    <w:rsid w:val="00CB7A1B"/>
    <w:rsid w:val="00CC2130"/>
    <w:rsid w:val="00CC3DD5"/>
    <w:rsid w:val="00CC4482"/>
    <w:rsid w:val="00CC6708"/>
    <w:rsid w:val="00CD1FEA"/>
    <w:rsid w:val="00CD6B20"/>
    <w:rsid w:val="00CD6F54"/>
    <w:rsid w:val="00CE30BD"/>
    <w:rsid w:val="00CE4B69"/>
    <w:rsid w:val="00CE58E6"/>
    <w:rsid w:val="00CE5CF8"/>
    <w:rsid w:val="00CE6A19"/>
    <w:rsid w:val="00CE763C"/>
    <w:rsid w:val="00CF1A58"/>
    <w:rsid w:val="00CF2B70"/>
    <w:rsid w:val="00CF5E6F"/>
    <w:rsid w:val="00D02086"/>
    <w:rsid w:val="00D06555"/>
    <w:rsid w:val="00D07E7D"/>
    <w:rsid w:val="00D11A1E"/>
    <w:rsid w:val="00D12635"/>
    <w:rsid w:val="00D1504F"/>
    <w:rsid w:val="00D30392"/>
    <w:rsid w:val="00D341DE"/>
    <w:rsid w:val="00D3519E"/>
    <w:rsid w:val="00D379C4"/>
    <w:rsid w:val="00D429FE"/>
    <w:rsid w:val="00D451B9"/>
    <w:rsid w:val="00D452A6"/>
    <w:rsid w:val="00D452EC"/>
    <w:rsid w:val="00D63655"/>
    <w:rsid w:val="00D71612"/>
    <w:rsid w:val="00D7231C"/>
    <w:rsid w:val="00D75608"/>
    <w:rsid w:val="00D75A85"/>
    <w:rsid w:val="00D760FE"/>
    <w:rsid w:val="00D827B1"/>
    <w:rsid w:val="00D90086"/>
    <w:rsid w:val="00D90D73"/>
    <w:rsid w:val="00D97443"/>
    <w:rsid w:val="00D977CF"/>
    <w:rsid w:val="00DA4CB5"/>
    <w:rsid w:val="00DA769F"/>
    <w:rsid w:val="00DB162B"/>
    <w:rsid w:val="00DB2A52"/>
    <w:rsid w:val="00DB78F7"/>
    <w:rsid w:val="00DB7BB3"/>
    <w:rsid w:val="00DC566F"/>
    <w:rsid w:val="00DD1082"/>
    <w:rsid w:val="00DD6CFD"/>
    <w:rsid w:val="00DE3014"/>
    <w:rsid w:val="00DE38D7"/>
    <w:rsid w:val="00DE7ED9"/>
    <w:rsid w:val="00DF14C0"/>
    <w:rsid w:val="00DF4B2E"/>
    <w:rsid w:val="00DF66F8"/>
    <w:rsid w:val="00E0632C"/>
    <w:rsid w:val="00E068DC"/>
    <w:rsid w:val="00E108FF"/>
    <w:rsid w:val="00E17128"/>
    <w:rsid w:val="00E173B6"/>
    <w:rsid w:val="00E20AC6"/>
    <w:rsid w:val="00E20F04"/>
    <w:rsid w:val="00E244F1"/>
    <w:rsid w:val="00E32FD9"/>
    <w:rsid w:val="00E34095"/>
    <w:rsid w:val="00E35704"/>
    <w:rsid w:val="00E35B5F"/>
    <w:rsid w:val="00E36DAC"/>
    <w:rsid w:val="00E40EDA"/>
    <w:rsid w:val="00E41328"/>
    <w:rsid w:val="00E42052"/>
    <w:rsid w:val="00E46DD4"/>
    <w:rsid w:val="00E46E4F"/>
    <w:rsid w:val="00E470A9"/>
    <w:rsid w:val="00E52A0F"/>
    <w:rsid w:val="00E64CBF"/>
    <w:rsid w:val="00E65437"/>
    <w:rsid w:val="00E65539"/>
    <w:rsid w:val="00E67073"/>
    <w:rsid w:val="00E709BA"/>
    <w:rsid w:val="00E7185E"/>
    <w:rsid w:val="00E73BF7"/>
    <w:rsid w:val="00E75212"/>
    <w:rsid w:val="00E80B05"/>
    <w:rsid w:val="00E815F9"/>
    <w:rsid w:val="00E8244C"/>
    <w:rsid w:val="00E9555A"/>
    <w:rsid w:val="00E976EE"/>
    <w:rsid w:val="00EA4E6B"/>
    <w:rsid w:val="00EA5C59"/>
    <w:rsid w:val="00EA6C3D"/>
    <w:rsid w:val="00EB0619"/>
    <w:rsid w:val="00EB2DF9"/>
    <w:rsid w:val="00EB4033"/>
    <w:rsid w:val="00EB4924"/>
    <w:rsid w:val="00EB4979"/>
    <w:rsid w:val="00EB68A5"/>
    <w:rsid w:val="00EC3EAA"/>
    <w:rsid w:val="00EC4F41"/>
    <w:rsid w:val="00EC7040"/>
    <w:rsid w:val="00ED06E6"/>
    <w:rsid w:val="00ED07D6"/>
    <w:rsid w:val="00ED3271"/>
    <w:rsid w:val="00ED5415"/>
    <w:rsid w:val="00ED5DFC"/>
    <w:rsid w:val="00EE0ACF"/>
    <w:rsid w:val="00EE2C43"/>
    <w:rsid w:val="00EE3840"/>
    <w:rsid w:val="00EF0A38"/>
    <w:rsid w:val="00EF0E73"/>
    <w:rsid w:val="00EF1348"/>
    <w:rsid w:val="00EF1385"/>
    <w:rsid w:val="00EF3C02"/>
    <w:rsid w:val="00F0128E"/>
    <w:rsid w:val="00F110B5"/>
    <w:rsid w:val="00F12718"/>
    <w:rsid w:val="00F15DE6"/>
    <w:rsid w:val="00F241F4"/>
    <w:rsid w:val="00F270C7"/>
    <w:rsid w:val="00F3421F"/>
    <w:rsid w:val="00F36C92"/>
    <w:rsid w:val="00F4185A"/>
    <w:rsid w:val="00F4575F"/>
    <w:rsid w:val="00F476D0"/>
    <w:rsid w:val="00F55D36"/>
    <w:rsid w:val="00F57BA5"/>
    <w:rsid w:val="00F6286D"/>
    <w:rsid w:val="00F65FF9"/>
    <w:rsid w:val="00F66752"/>
    <w:rsid w:val="00F74BC1"/>
    <w:rsid w:val="00F8170E"/>
    <w:rsid w:val="00F82DAB"/>
    <w:rsid w:val="00F858E5"/>
    <w:rsid w:val="00F91FC1"/>
    <w:rsid w:val="00F9559A"/>
    <w:rsid w:val="00FA3262"/>
    <w:rsid w:val="00FA4C0C"/>
    <w:rsid w:val="00FA68DF"/>
    <w:rsid w:val="00FB116A"/>
    <w:rsid w:val="00FB1BDF"/>
    <w:rsid w:val="00FB2A00"/>
    <w:rsid w:val="00FB563F"/>
    <w:rsid w:val="00FB74BA"/>
    <w:rsid w:val="00FC05D4"/>
    <w:rsid w:val="00FC5E1B"/>
    <w:rsid w:val="00FD279A"/>
    <w:rsid w:val="00FD4336"/>
    <w:rsid w:val="00FD4DDB"/>
    <w:rsid w:val="00FD5BFD"/>
    <w:rsid w:val="00FE23B3"/>
    <w:rsid w:val="00FE66F1"/>
    <w:rsid w:val="00FF3B45"/>
    <w:rsid w:val="00FF603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semiHidden="0" w:uiPriority="9" w:unhideWhenUsed="0"/>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91" w:unhideWhenUsed="0"/>
    <w:lsdException w:name="toc 4" w:uiPriority="96" w:unhideWhenUsed="0"/>
    <w:lsdException w:name="toc 5" w:uiPriority="96" w:unhideWhenUsed="0"/>
    <w:lsdException w:name="toc 6" w:uiPriority="96" w:unhideWhenUsed="0"/>
    <w:lsdException w:name="toc 7" w:uiPriority="96" w:unhideWhenUsed="0"/>
    <w:lsdException w:name="toc 8" w:uiPriority="96" w:unhideWhenUsed="0"/>
    <w:lsdException w:name="toc 9" w:uiPriority="91"/>
    <w:lsdException w:name="header" w:uiPriority="85"/>
    <w:lsdException w:name="footer" w:uiPriority="84"/>
    <w:lsdException w:name="caption" w:uiPriority="35"/>
    <w:lsdException w:name="page number" w:uiPriority="0"/>
    <w:lsdException w:name="List" w:semiHidden="0" w:uiPriority="29" w:unhideWhenUsed="0"/>
    <w:lsdException w:name="List Bullet" w:uiPriority="19" w:qFormat="1"/>
    <w:lsdException w:name="List Number" w:semiHidden="0" w:uiPriority="19" w:unhideWhenUsed="0" w:qFormat="1"/>
    <w:lsdException w:name="List 2" w:uiPriority="29" w:unhideWhenUsed="0"/>
    <w:lsdException w:name="List 3" w:uiPriority="29"/>
    <w:lsdException w:name="List 4" w:uiPriority="29"/>
    <w:lsdException w:name="List 5" w:uiPriority="29"/>
    <w:lsdException w:name="List Bullet 2" w:uiPriority="19"/>
    <w:lsdException w:name="List Bullet 3" w:uiPriority="19"/>
    <w:lsdException w:name="List Bullet 4" w:uiPriority="19"/>
    <w:lsdException w:name="List Bullet 5" w:uiPriority="19"/>
    <w:lsdException w:name="List Number 2" w:semiHidden="0" w:uiPriority="19" w:unhideWhenUsed="0"/>
    <w:lsdException w:name="List Number 3" w:uiPriority="19"/>
    <w:lsdException w:name="List Number 4" w:uiPriority="19"/>
    <w:lsdException w:name="List Number 5" w:uiPriority="19"/>
    <w:lsdException w:name="Title" w:uiPriority="10" w:unhideWhenUsed="0"/>
    <w:lsdException w:name="Default Paragraph Font" w:uiPriority="1"/>
    <w:lsdException w:name="Body Text" w:uiPriority="4"/>
    <w:lsdException w:name="List Continue" w:semiHidden="0" w:uiPriority="24" w:unhideWhenUsed="0" w:qFormat="1"/>
    <w:lsdException w:name="List Continue 2" w:semiHidden="0" w:uiPriority="24" w:unhideWhenUsed="0"/>
    <w:lsdException w:name="List Continue 3" w:uiPriority="24"/>
    <w:lsdException w:name="List Continue 4" w:uiPriority="24"/>
    <w:lsdException w:name="List Continue 5" w:uiPriority="24"/>
    <w:lsdException w:name="Subtitle" w:uiPriority="11" w:unhideWhenUsed="0"/>
    <w:lsdException w:name="Strong" w:uiPriority="98" w:unhideWhenUsed="0"/>
    <w:lsdException w:name="Emphasis" w:uiPriority="98" w:unhideWhenUsed="0"/>
    <w:lsdException w:name="Table Grid" w:semiHidden="0" w:uiPriority="59" w:unhideWhenUsed="0"/>
    <w:lsdException w:name="Placeholder Text" w:unhideWhenUsed="0"/>
    <w:lsdException w:name="No Spacing"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unhideWhenUsed="0"/>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98" w:unhideWhenUsed="0"/>
    <w:lsdException w:name="Intense Emphasis" w:uiPriority="98" w:unhideWhenUsed="0"/>
    <w:lsdException w:name="Subtle Reference" w:uiPriority="31" w:unhideWhenUsed="0"/>
    <w:lsdException w:name="Intense Reference" w:uiPriority="32" w:unhideWhenUsed="0"/>
    <w:lsdException w:name="Book Title" w:uiPriority="33" w:unhideWhenUsed="0"/>
    <w:lsdException w:name="Bibliography" w:uiPriority="37"/>
    <w:lsdException w:name="TOC Heading" w:uiPriority="90"/>
  </w:latentStyles>
  <w:style w:type="paragraph" w:default="1" w:styleId="Normal">
    <w:name w:val="Normal"/>
    <w:qFormat/>
    <w:rsid w:val="00A2031D"/>
    <w:pPr>
      <w:keepLines/>
    </w:pPr>
  </w:style>
  <w:style w:type="paragraph" w:styleId="Heading10">
    <w:name w:val="heading 1"/>
    <w:next w:val="Normal"/>
    <w:link w:val="Heading1Char"/>
    <w:uiPriority w:val="9"/>
    <w:qFormat/>
    <w:rsid w:val="002E2498"/>
    <w:pPr>
      <w:keepNext/>
      <w:keepLines/>
      <w:spacing w:before="360"/>
      <w:outlineLvl w:val="0"/>
    </w:pPr>
    <w:rPr>
      <w:rFonts w:asciiTheme="majorHAnsi" w:eastAsiaTheme="majorEastAsia" w:hAnsiTheme="majorHAnsi" w:cstheme="majorBidi"/>
      <w:b/>
      <w:bCs/>
      <w:caps/>
      <w:spacing w:val="-2"/>
      <w:sz w:val="26"/>
      <w:szCs w:val="28"/>
    </w:rPr>
  </w:style>
  <w:style w:type="paragraph" w:styleId="Heading20">
    <w:name w:val="heading 2"/>
    <w:basedOn w:val="Heading10"/>
    <w:next w:val="Normal"/>
    <w:link w:val="Heading2Char"/>
    <w:uiPriority w:val="9"/>
    <w:qFormat/>
    <w:rsid w:val="00287535"/>
    <w:pPr>
      <w:numPr>
        <w:ilvl w:val="1"/>
      </w:numPr>
      <w:tabs>
        <w:tab w:val="right" w:pos="9582"/>
      </w:tabs>
      <w:spacing w:before="240"/>
      <w:outlineLvl w:val="1"/>
    </w:pPr>
    <w:rPr>
      <w:bCs w:val="0"/>
      <w:caps w:val="0"/>
      <w:szCs w:val="26"/>
    </w:rPr>
  </w:style>
  <w:style w:type="paragraph" w:styleId="Heading30">
    <w:name w:val="heading 3"/>
    <w:basedOn w:val="Heading20"/>
    <w:next w:val="Normal"/>
    <w:link w:val="Heading3Char"/>
    <w:uiPriority w:val="9"/>
    <w:qFormat/>
    <w:rsid w:val="00496047"/>
    <w:pPr>
      <w:numPr>
        <w:ilvl w:val="2"/>
      </w:numPr>
      <w:outlineLvl w:val="2"/>
    </w:pPr>
    <w:rPr>
      <w:bCs/>
      <w:sz w:val="22"/>
    </w:rPr>
  </w:style>
  <w:style w:type="paragraph" w:styleId="Heading4">
    <w:name w:val="heading 4"/>
    <w:basedOn w:val="Heading30"/>
    <w:next w:val="Normal"/>
    <w:link w:val="Heading4Char"/>
    <w:uiPriority w:val="9"/>
    <w:rsid w:val="00287535"/>
    <w:pPr>
      <w:numPr>
        <w:ilvl w:val="3"/>
      </w:numPr>
      <w:spacing w:before="180"/>
      <w:outlineLvl w:val="3"/>
    </w:pPr>
    <w:rPr>
      <w:b w:val="0"/>
      <w:bCs w:val="0"/>
      <w:i/>
      <w:iCs/>
      <w:spacing w:val="0"/>
    </w:rPr>
  </w:style>
  <w:style w:type="paragraph" w:styleId="Heading5">
    <w:name w:val="heading 5"/>
    <w:basedOn w:val="Heading4"/>
    <w:next w:val="Normal"/>
    <w:link w:val="Heading5Char"/>
    <w:uiPriority w:val="9"/>
    <w:unhideWhenUsed/>
    <w:rsid w:val="00EB0619"/>
    <w:pPr>
      <w:numPr>
        <w:ilvl w:val="4"/>
      </w:numPr>
      <w:outlineLvl w:val="4"/>
    </w:pPr>
    <w:rPr>
      <w:b/>
      <w:i w:val="0"/>
      <w:sz w:val="21"/>
    </w:rPr>
  </w:style>
  <w:style w:type="paragraph" w:styleId="Heading6">
    <w:name w:val="heading 6"/>
    <w:basedOn w:val="Normal"/>
    <w:next w:val="Normal"/>
    <w:link w:val="Heading6Char"/>
    <w:uiPriority w:val="9"/>
    <w:semiHidden/>
    <w:unhideWhenUsed/>
    <w:rsid w:val="00E36DAC"/>
    <w:pPr>
      <w:keepNext/>
      <w:numPr>
        <w:ilvl w:val="5"/>
        <w:numId w:val="4"/>
      </w:numPr>
      <w:spacing w:before="200"/>
      <w:outlineLvl w:val="5"/>
    </w:pPr>
    <w:rPr>
      <w:rFonts w:asciiTheme="majorHAnsi" w:eastAsiaTheme="majorEastAsia" w:hAnsiTheme="majorHAnsi" w:cstheme="majorBidi"/>
      <w:i/>
      <w:iCs/>
      <w:color w:val="003152" w:themeColor="accent1" w:themeShade="7F"/>
    </w:rPr>
  </w:style>
  <w:style w:type="paragraph" w:styleId="Heading7">
    <w:name w:val="heading 7"/>
    <w:basedOn w:val="Normal"/>
    <w:next w:val="Normal"/>
    <w:link w:val="Heading7Char"/>
    <w:uiPriority w:val="9"/>
    <w:semiHidden/>
    <w:unhideWhenUsed/>
    <w:rsid w:val="00E36DAC"/>
    <w:pPr>
      <w:keepNext/>
      <w:numPr>
        <w:ilvl w:val="6"/>
        <w:numId w:val="4"/>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rsid w:val="00E36DAC"/>
    <w:pPr>
      <w:keepNext/>
      <w:numPr>
        <w:ilvl w:val="7"/>
        <w:numId w:val="4"/>
      </w:numPr>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rsid w:val="00E36DAC"/>
    <w:pPr>
      <w:keepNext/>
      <w:numPr>
        <w:ilvl w:val="8"/>
        <w:numId w:val="4"/>
      </w:numPr>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2E2498"/>
    <w:rPr>
      <w:rFonts w:asciiTheme="majorHAnsi" w:eastAsiaTheme="majorEastAsia" w:hAnsiTheme="majorHAnsi" w:cstheme="majorBidi"/>
      <w:b/>
      <w:bCs/>
      <w:caps/>
      <w:spacing w:val="-2"/>
      <w:sz w:val="26"/>
      <w:szCs w:val="28"/>
    </w:rPr>
  </w:style>
  <w:style w:type="paragraph" w:customStyle="1" w:styleId="Chapterheading">
    <w:name w:val="Chapter heading"/>
    <w:basedOn w:val="Normal"/>
    <w:next w:val="Heading10"/>
    <w:uiPriority w:val="89"/>
    <w:rsid w:val="00400B44"/>
    <w:pPr>
      <w:keepNext/>
      <w:pageBreakBefore/>
      <w:pBdr>
        <w:bottom w:val="single" w:sz="12" w:space="1" w:color="auto"/>
      </w:pBdr>
      <w:spacing w:before="1440" w:after="360"/>
      <w:outlineLvl w:val="0"/>
    </w:pPr>
    <w:rPr>
      <w:rFonts w:asciiTheme="majorHAnsi" w:eastAsiaTheme="majorEastAsia" w:hAnsiTheme="majorHAnsi" w:cstheme="majorBidi"/>
      <w:b/>
      <w:bCs/>
      <w:caps/>
      <w:spacing w:val="-2"/>
      <w:sz w:val="36"/>
      <w:szCs w:val="28"/>
    </w:rPr>
  </w:style>
  <w:style w:type="character" w:customStyle="1" w:styleId="Heading3Char">
    <w:name w:val="Heading 3 Char"/>
    <w:basedOn w:val="DefaultParagraphFont"/>
    <w:link w:val="Heading30"/>
    <w:uiPriority w:val="9"/>
    <w:rsid w:val="00496047"/>
    <w:rPr>
      <w:rFonts w:asciiTheme="majorHAnsi" w:eastAsiaTheme="majorEastAsia" w:hAnsiTheme="majorHAnsi" w:cstheme="majorBidi"/>
      <w:b/>
      <w:bCs/>
      <w:spacing w:val="-2"/>
      <w:szCs w:val="26"/>
    </w:rPr>
  </w:style>
  <w:style w:type="character" w:customStyle="1" w:styleId="Heading2Char">
    <w:name w:val="Heading 2 Char"/>
    <w:basedOn w:val="DefaultParagraphFont"/>
    <w:link w:val="Heading20"/>
    <w:uiPriority w:val="9"/>
    <w:rsid w:val="00287535"/>
    <w:rPr>
      <w:rFonts w:asciiTheme="majorHAnsi" w:eastAsiaTheme="majorEastAsia" w:hAnsiTheme="majorHAnsi" w:cstheme="majorBidi"/>
      <w:b/>
      <w:spacing w:val="-2"/>
      <w:sz w:val="26"/>
      <w:szCs w:val="26"/>
    </w:rPr>
  </w:style>
  <w:style w:type="character" w:customStyle="1" w:styleId="Heading4Char">
    <w:name w:val="Heading 4 Char"/>
    <w:basedOn w:val="DefaultParagraphFont"/>
    <w:link w:val="Heading4"/>
    <w:uiPriority w:val="9"/>
    <w:rsid w:val="00287535"/>
    <w:rPr>
      <w:rFonts w:asciiTheme="majorHAnsi" w:eastAsiaTheme="majorEastAsia" w:hAnsiTheme="majorHAnsi" w:cstheme="majorBidi"/>
      <w:i/>
      <w:iCs/>
      <w:sz w:val="23"/>
      <w:szCs w:val="26"/>
    </w:rPr>
  </w:style>
  <w:style w:type="character" w:customStyle="1" w:styleId="Heading2Char0">
    <w:name w:val="Heading 2 (#) Char"/>
    <w:basedOn w:val="Heading2Char"/>
    <w:link w:val="Heading2"/>
    <w:uiPriority w:val="14"/>
    <w:rsid w:val="0037430B"/>
    <w:rPr>
      <w:rFonts w:asciiTheme="majorHAnsi" w:eastAsiaTheme="majorEastAsia" w:hAnsiTheme="majorHAnsi" w:cstheme="majorBidi"/>
      <w:b/>
      <w:spacing w:val="-2"/>
      <w:sz w:val="26"/>
      <w:szCs w:val="26"/>
    </w:rPr>
  </w:style>
  <w:style w:type="paragraph" w:customStyle="1" w:styleId="Source">
    <w:name w:val="Source"/>
    <w:basedOn w:val="Normal"/>
    <w:next w:val="Note"/>
    <w:link w:val="SourceChar"/>
    <w:uiPriority w:val="51"/>
    <w:qFormat/>
    <w:rsid w:val="006F23B1"/>
    <w:pPr>
      <w:spacing w:before="20" w:after="60"/>
    </w:pPr>
    <w:rPr>
      <w:rFonts w:asciiTheme="majorHAnsi" w:hAnsiTheme="majorHAnsi"/>
      <w:i/>
      <w:spacing w:val="-2"/>
      <w:sz w:val="14"/>
    </w:rPr>
  </w:style>
  <w:style w:type="paragraph" w:customStyle="1" w:styleId="Note">
    <w:name w:val="Note"/>
    <w:basedOn w:val="Normal"/>
    <w:link w:val="NoteChar"/>
    <w:uiPriority w:val="52"/>
    <w:qFormat/>
    <w:rsid w:val="006F23B1"/>
    <w:pPr>
      <w:spacing w:before="20"/>
      <w:ind w:left="284" w:hanging="284"/>
      <w:contextualSpacing/>
    </w:pPr>
    <w:rPr>
      <w:rFonts w:asciiTheme="majorHAnsi" w:hAnsiTheme="majorHAnsi"/>
      <w:i/>
      <w:spacing w:val="-2"/>
      <w:sz w:val="14"/>
    </w:rPr>
  </w:style>
  <w:style w:type="numbering" w:customStyle="1" w:styleId="A">
    <w:name w:val="(A)"/>
    <w:uiPriority w:val="99"/>
    <w:rsid w:val="00ED06E6"/>
    <w:pPr>
      <w:numPr>
        <w:numId w:val="1"/>
      </w:numPr>
    </w:pPr>
  </w:style>
  <w:style w:type="paragraph" w:customStyle="1" w:styleId="HighlightBoxText">
    <w:name w:val="Highlight Box Text"/>
    <w:basedOn w:val="Normal"/>
    <w:uiPriority w:val="60"/>
    <w:qFormat/>
    <w:rsid w:val="00EB0619"/>
    <w:pPr>
      <w:pBdr>
        <w:top w:val="single" w:sz="6" w:space="3" w:color="auto"/>
        <w:left w:val="single" w:sz="6" w:space="5" w:color="auto"/>
        <w:bottom w:val="single" w:sz="6" w:space="3" w:color="auto"/>
        <w:right w:val="single" w:sz="6" w:space="5" w:color="auto"/>
      </w:pBdr>
      <w:shd w:val="clear" w:color="auto" w:fill="F2F2F2" w:themeFill="background1" w:themeFillShade="F2"/>
    </w:pPr>
  </w:style>
  <w:style w:type="table" w:styleId="TableGrid">
    <w:name w:val="Table Grid"/>
    <w:basedOn w:val="TableNormal"/>
    <w:uiPriority w:val="59"/>
    <w:rsid w:val="00AF50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357C4E"/>
    <w:rPr>
      <w:color w:val="004A7C" w:themeColor="accent1" w:themeShade="BF"/>
    </w:rPr>
    <w:tblPr>
      <w:tblStyleRowBandSize w:val="1"/>
      <w:tblStyleColBandSize w:val="1"/>
      <w:tblBorders>
        <w:top w:val="single" w:sz="8" w:space="0" w:color="0063A6" w:themeColor="accent1"/>
        <w:bottom w:val="single" w:sz="8" w:space="0" w:color="0063A6" w:themeColor="accent1"/>
      </w:tblBorders>
    </w:tblPr>
    <w:tblStylePr w:type="firstRow">
      <w:pPr>
        <w:spacing w:before="0" w:after="0" w:line="240" w:lineRule="auto"/>
      </w:pPr>
      <w:rPr>
        <w:b/>
        <w:bCs/>
      </w:rPr>
      <w:tblPr/>
      <w:tcPr>
        <w:tcBorders>
          <w:top w:val="single" w:sz="8" w:space="0" w:color="0063A6" w:themeColor="accent1"/>
          <w:left w:val="nil"/>
          <w:bottom w:val="single" w:sz="8" w:space="0" w:color="0063A6" w:themeColor="accent1"/>
          <w:right w:val="nil"/>
          <w:insideH w:val="nil"/>
          <w:insideV w:val="nil"/>
        </w:tcBorders>
      </w:tcPr>
    </w:tblStylePr>
    <w:tblStylePr w:type="lastRow">
      <w:pPr>
        <w:spacing w:before="0" w:after="0" w:line="240" w:lineRule="auto"/>
      </w:pPr>
      <w:rPr>
        <w:b/>
        <w:bCs/>
      </w:rPr>
      <w:tblPr/>
      <w:tcPr>
        <w:tcBorders>
          <w:top w:val="single" w:sz="8" w:space="0" w:color="0063A6" w:themeColor="accent1"/>
          <w:left w:val="nil"/>
          <w:bottom w:val="single" w:sz="8" w:space="0" w:color="0063A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ADCFF" w:themeFill="accent1" w:themeFillTint="3F"/>
      </w:tcPr>
    </w:tblStylePr>
    <w:tblStylePr w:type="band1Horz">
      <w:tblPr/>
      <w:tcPr>
        <w:tcBorders>
          <w:left w:val="nil"/>
          <w:right w:val="nil"/>
          <w:insideH w:val="nil"/>
          <w:insideV w:val="nil"/>
        </w:tcBorders>
        <w:shd w:val="clear" w:color="auto" w:fill="AADCFF" w:themeFill="accent1" w:themeFillTint="3F"/>
      </w:tcPr>
    </w:tblStylePr>
  </w:style>
  <w:style w:type="table" w:styleId="LightShading">
    <w:name w:val="Light Shading"/>
    <w:basedOn w:val="TableNormal"/>
    <w:uiPriority w:val="60"/>
    <w:rsid w:val="00113667"/>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4">
    <w:name w:val="Light Shading Accent 4"/>
    <w:basedOn w:val="TableNormal"/>
    <w:uiPriority w:val="60"/>
    <w:rsid w:val="00113667"/>
    <w:rPr>
      <w:color w:val="00559A" w:themeColor="accent4" w:themeShade="BF"/>
    </w:rPr>
    <w:tblPr>
      <w:tblStyleRowBandSize w:val="1"/>
      <w:tblStyleColBandSize w:val="1"/>
      <w:tblBorders>
        <w:top w:val="single" w:sz="8" w:space="0" w:color="0072CE" w:themeColor="accent4"/>
        <w:bottom w:val="single" w:sz="8" w:space="0" w:color="0072CE" w:themeColor="accent4"/>
      </w:tblBorders>
    </w:tblPr>
    <w:tblStylePr w:type="firstRow">
      <w:pPr>
        <w:spacing w:before="0" w:after="0" w:line="240" w:lineRule="auto"/>
      </w:pPr>
      <w:rPr>
        <w:b/>
        <w:bCs/>
      </w:rPr>
      <w:tblPr/>
      <w:tcPr>
        <w:tcBorders>
          <w:top w:val="single" w:sz="8" w:space="0" w:color="0072CE" w:themeColor="accent4"/>
          <w:left w:val="nil"/>
          <w:bottom w:val="single" w:sz="8" w:space="0" w:color="0072CE" w:themeColor="accent4"/>
          <w:right w:val="nil"/>
          <w:insideH w:val="nil"/>
          <w:insideV w:val="nil"/>
        </w:tcBorders>
      </w:tcPr>
    </w:tblStylePr>
    <w:tblStylePr w:type="lastRow">
      <w:pPr>
        <w:spacing w:before="0" w:after="0" w:line="240" w:lineRule="auto"/>
      </w:pPr>
      <w:rPr>
        <w:b/>
        <w:bCs/>
      </w:rPr>
      <w:tblPr/>
      <w:tcPr>
        <w:tcBorders>
          <w:top w:val="single" w:sz="8" w:space="0" w:color="0072CE" w:themeColor="accent4"/>
          <w:left w:val="nil"/>
          <w:bottom w:val="single" w:sz="8" w:space="0" w:color="0072CE"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DDFF" w:themeFill="accent4" w:themeFillTint="3F"/>
      </w:tcPr>
    </w:tblStylePr>
    <w:tblStylePr w:type="band1Horz">
      <w:tblPr/>
      <w:tcPr>
        <w:tcBorders>
          <w:left w:val="nil"/>
          <w:right w:val="nil"/>
          <w:insideH w:val="nil"/>
          <w:insideV w:val="nil"/>
        </w:tcBorders>
        <w:shd w:val="clear" w:color="auto" w:fill="B3DDFF" w:themeFill="accent4" w:themeFillTint="3F"/>
      </w:tcPr>
    </w:tblStylePr>
  </w:style>
  <w:style w:type="paragraph" w:customStyle="1" w:styleId="DecimalAligned">
    <w:name w:val="Decimal Aligned"/>
    <w:basedOn w:val="Normal"/>
    <w:uiPriority w:val="40"/>
    <w:semiHidden/>
    <w:rsid w:val="00363B60"/>
    <w:pPr>
      <w:tabs>
        <w:tab w:val="decimal" w:pos="360"/>
      </w:tabs>
      <w:spacing w:after="200" w:line="276" w:lineRule="auto"/>
    </w:pPr>
    <w:rPr>
      <w:lang w:val="en-US" w:eastAsia="ja-JP"/>
    </w:rPr>
  </w:style>
  <w:style w:type="paragraph" w:styleId="FootnoteText">
    <w:name w:val="footnote text"/>
    <w:basedOn w:val="Normal"/>
    <w:link w:val="FootnoteTextChar"/>
    <w:uiPriority w:val="99"/>
    <w:semiHidden/>
    <w:rsid w:val="007A11BE"/>
    <w:pPr>
      <w:spacing w:before="40"/>
    </w:pPr>
    <w:rPr>
      <w:rFonts w:eastAsiaTheme="minorEastAsia"/>
      <w:sz w:val="20"/>
      <w:lang w:val="en-US" w:eastAsia="ja-JP"/>
    </w:rPr>
  </w:style>
  <w:style w:type="character" w:customStyle="1" w:styleId="FootnoteTextChar">
    <w:name w:val="Footnote Text Char"/>
    <w:basedOn w:val="DefaultParagraphFont"/>
    <w:link w:val="FootnoteText"/>
    <w:uiPriority w:val="99"/>
    <w:semiHidden/>
    <w:rsid w:val="007A11BE"/>
    <w:rPr>
      <w:rFonts w:eastAsiaTheme="minorEastAsia"/>
      <w:sz w:val="20"/>
      <w:lang w:val="en-US" w:eastAsia="ja-JP"/>
    </w:rPr>
  </w:style>
  <w:style w:type="character" w:styleId="SubtleEmphasis">
    <w:name w:val="Subtle Emphasis"/>
    <w:basedOn w:val="DefaultParagraphFont"/>
    <w:uiPriority w:val="98"/>
    <w:semiHidden/>
    <w:rsid w:val="00363B60"/>
    <w:rPr>
      <w:i/>
      <w:iCs/>
      <w:color w:val="7F7F7F" w:themeColor="text1" w:themeTint="80"/>
    </w:rPr>
  </w:style>
  <w:style w:type="table" w:styleId="MediumShading2-Accent5">
    <w:name w:val="Medium Shading 2 Accent 5"/>
    <w:basedOn w:val="TableNormal"/>
    <w:uiPriority w:val="64"/>
    <w:rsid w:val="00363B60"/>
    <w:rPr>
      <w:rFonts w:eastAsiaTheme="minorEastAsia"/>
      <w:lang w:val="en-US"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CD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9CDE" w:themeFill="accent5"/>
      </w:tcPr>
    </w:tblStylePr>
    <w:tblStylePr w:type="lastCol">
      <w:rPr>
        <w:b/>
        <w:bCs/>
        <w:color w:val="FFFFFF" w:themeColor="background1"/>
      </w:rPr>
      <w:tblPr/>
      <w:tcPr>
        <w:tcBorders>
          <w:left w:val="nil"/>
          <w:right w:val="nil"/>
          <w:insideH w:val="nil"/>
          <w:insideV w:val="nil"/>
        </w:tcBorders>
        <w:shd w:val="clear" w:color="auto" w:fill="009CD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Header">
    <w:name w:val="header"/>
    <w:link w:val="HeaderChar"/>
    <w:uiPriority w:val="85"/>
    <w:rsid w:val="00CA41CF"/>
    <w:pPr>
      <w:spacing w:after="180"/>
    </w:pPr>
    <w:rPr>
      <w:rFonts w:asciiTheme="majorHAnsi" w:hAnsiTheme="majorHAnsi"/>
      <w:b/>
      <w:caps/>
      <w:color w:val="53565A"/>
    </w:rPr>
  </w:style>
  <w:style w:type="character" w:customStyle="1" w:styleId="HeaderChar">
    <w:name w:val="Header Char"/>
    <w:basedOn w:val="DefaultParagraphFont"/>
    <w:link w:val="Header"/>
    <w:uiPriority w:val="97"/>
    <w:rsid w:val="00CA41CF"/>
    <w:rPr>
      <w:rFonts w:asciiTheme="majorHAnsi" w:hAnsiTheme="majorHAnsi"/>
      <w:b/>
      <w:caps/>
      <w:color w:val="53565A"/>
    </w:rPr>
  </w:style>
  <w:style w:type="numbering" w:styleId="111111">
    <w:name w:val="Outline List 2"/>
    <w:basedOn w:val="NoList"/>
    <w:uiPriority w:val="99"/>
    <w:semiHidden/>
    <w:unhideWhenUsed/>
    <w:rsid w:val="00C00568"/>
    <w:pPr>
      <w:numPr>
        <w:numId w:val="11"/>
      </w:numPr>
    </w:pPr>
  </w:style>
  <w:style w:type="character" w:customStyle="1" w:styleId="FooteroddChar">
    <w:name w:val="Footer (odd) Char"/>
    <w:basedOn w:val="DefaultParagraphFont"/>
    <w:link w:val="Footerodd"/>
    <w:uiPriority w:val="84"/>
    <w:rsid w:val="00036280"/>
    <w:rPr>
      <w:rFonts w:asciiTheme="majorHAnsi" w:hAnsiTheme="majorHAnsi"/>
      <w:sz w:val="18"/>
    </w:rPr>
  </w:style>
  <w:style w:type="paragraph" w:customStyle="1" w:styleId="Footerodd">
    <w:name w:val="Footer (odd)"/>
    <w:basedOn w:val="Footer"/>
    <w:link w:val="FooteroddChar"/>
    <w:uiPriority w:val="84"/>
    <w:rsid w:val="00036280"/>
    <w:pPr>
      <w:pBdr>
        <w:top w:val="single" w:sz="6" w:space="1" w:color="auto"/>
      </w:pBdr>
      <w:tabs>
        <w:tab w:val="clear" w:pos="4513"/>
        <w:tab w:val="clear" w:pos="9026"/>
        <w:tab w:val="center" w:pos="4536"/>
        <w:tab w:val="right" w:pos="7711"/>
        <w:tab w:val="right" w:pos="9639"/>
        <w:tab w:val="right" w:pos="14742"/>
      </w:tabs>
    </w:pPr>
    <w:rPr>
      <w:rFonts w:asciiTheme="majorHAnsi" w:hAnsiTheme="majorHAnsi"/>
      <w:sz w:val="18"/>
    </w:rPr>
  </w:style>
  <w:style w:type="paragraph" w:customStyle="1" w:styleId="NoteDash">
    <w:name w:val="Note Dash"/>
    <w:basedOn w:val="Note"/>
    <w:next w:val="Note"/>
    <w:uiPriority w:val="53"/>
    <w:rsid w:val="00E46DD4"/>
    <w:pPr>
      <w:numPr>
        <w:numId w:val="3"/>
      </w:numPr>
      <w:ind w:left="568" w:hanging="284"/>
    </w:pPr>
  </w:style>
  <w:style w:type="character" w:customStyle="1" w:styleId="NoteChar">
    <w:name w:val="Note Char"/>
    <w:basedOn w:val="DefaultParagraphFont"/>
    <w:link w:val="Note"/>
    <w:uiPriority w:val="52"/>
    <w:rsid w:val="006F23B1"/>
    <w:rPr>
      <w:rFonts w:asciiTheme="majorHAnsi" w:hAnsiTheme="majorHAnsi"/>
      <w:i/>
      <w:spacing w:val="-2"/>
      <w:sz w:val="14"/>
    </w:rPr>
  </w:style>
  <w:style w:type="paragraph" w:styleId="TOC1">
    <w:name w:val="toc 1"/>
    <w:basedOn w:val="Normal"/>
    <w:next w:val="Normal"/>
    <w:uiPriority w:val="39"/>
    <w:rsid w:val="00526B73"/>
    <w:pPr>
      <w:tabs>
        <w:tab w:val="right" w:leader="dot" w:pos="7711"/>
        <w:tab w:val="right" w:leader="dot" w:pos="9639"/>
      </w:tabs>
    </w:pPr>
    <w:rPr>
      <w:rFonts w:asciiTheme="majorHAnsi" w:hAnsiTheme="majorHAnsi"/>
      <w:b/>
      <w:spacing w:val="-2"/>
      <w:szCs w:val="19"/>
    </w:rPr>
  </w:style>
  <w:style w:type="paragraph" w:styleId="ListNumber2">
    <w:name w:val="List Number 2"/>
    <w:basedOn w:val="ListNumber"/>
    <w:uiPriority w:val="19"/>
    <w:rsid w:val="00D451B9"/>
    <w:pPr>
      <w:numPr>
        <w:ilvl w:val="1"/>
      </w:numPr>
    </w:pPr>
  </w:style>
  <w:style w:type="numbering" w:customStyle="1" w:styleId="Bullet">
    <w:name w:val="Bullet"/>
    <w:uiPriority w:val="99"/>
    <w:rsid w:val="00CE5CF8"/>
    <w:pPr>
      <w:numPr>
        <w:numId w:val="2"/>
      </w:numPr>
    </w:pPr>
  </w:style>
  <w:style w:type="paragraph" w:styleId="ListParagraph">
    <w:name w:val="List Paragraph"/>
    <w:basedOn w:val="Normal"/>
    <w:uiPriority w:val="34"/>
    <w:qFormat/>
    <w:rsid w:val="006C505F"/>
    <w:pPr>
      <w:ind w:left="720"/>
      <w:contextualSpacing/>
    </w:pPr>
  </w:style>
  <w:style w:type="paragraph" w:styleId="ListBullet2">
    <w:name w:val="List Bullet 2"/>
    <w:basedOn w:val="ListBullet"/>
    <w:uiPriority w:val="19"/>
    <w:rsid w:val="003805EF"/>
    <w:pPr>
      <w:numPr>
        <w:ilvl w:val="1"/>
      </w:numPr>
    </w:pPr>
  </w:style>
  <w:style w:type="character" w:customStyle="1" w:styleId="Heading5Char">
    <w:name w:val="Heading 5 Char"/>
    <w:basedOn w:val="DefaultParagraphFont"/>
    <w:link w:val="Heading5"/>
    <w:uiPriority w:val="9"/>
    <w:rsid w:val="00EB0619"/>
    <w:rPr>
      <w:rFonts w:asciiTheme="majorHAnsi" w:eastAsiaTheme="majorEastAsia" w:hAnsiTheme="majorHAnsi" w:cstheme="majorBidi"/>
      <w:b/>
      <w:iCs/>
      <w:sz w:val="21"/>
      <w:szCs w:val="26"/>
    </w:rPr>
  </w:style>
  <w:style w:type="paragraph" w:styleId="ListBullet">
    <w:name w:val="List Bullet"/>
    <w:basedOn w:val="Normal"/>
    <w:link w:val="ListBulletChar"/>
    <w:uiPriority w:val="19"/>
    <w:qFormat/>
    <w:rsid w:val="00CE5CF8"/>
    <w:pPr>
      <w:numPr>
        <w:numId w:val="7"/>
      </w:numPr>
      <w:spacing w:before="60"/>
    </w:pPr>
  </w:style>
  <w:style w:type="paragraph" w:styleId="List">
    <w:name w:val="List"/>
    <w:basedOn w:val="Normal"/>
    <w:uiPriority w:val="29"/>
    <w:unhideWhenUsed/>
    <w:rsid w:val="008A5A91"/>
    <w:pPr>
      <w:keepLines w:val="0"/>
      <w:tabs>
        <w:tab w:val="left" w:pos="284"/>
        <w:tab w:val="left" w:pos="567"/>
        <w:tab w:val="left" w:pos="851"/>
      </w:tabs>
    </w:pPr>
  </w:style>
  <w:style w:type="paragraph" w:styleId="ListContinue">
    <w:name w:val="List Continue"/>
    <w:basedOn w:val="Normal"/>
    <w:uiPriority w:val="24"/>
    <w:qFormat/>
    <w:rsid w:val="006C00EB"/>
    <w:pPr>
      <w:spacing w:before="60"/>
      <w:ind w:left="284"/>
    </w:pPr>
  </w:style>
  <w:style w:type="paragraph" w:styleId="ListContinue2">
    <w:name w:val="List Continue 2"/>
    <w:basedOn w:val="Normal"/>
    <w:uiPriority w:val="24"/>
    <w:rsid w:val="006C00EB"/>
    <w:pPr>
      <w:spacing w:before="60"/>
      <w:ind w:left="567"/>
    </w:pPr>
  </w:style>
  <w:style w:type="paragraph" w:styleId="ListNumber">
    <w:name w:val="List Number"/>
    <w:basedOn w:val="Normal"/>
    <w:uiPriority w:val="19"/>
    <w:qFormat/>
    <w:rsid w:val="00CE5CF8"/>
    <w:pPr>
      <w:numPr>
        <w:numId w:val="8"/>
      </w:numPr>
      <w:spacing w:before="60"/>
    </w:pPr>
  </w:style>
  <w:style w:type="paragraph" w:styleId="Footer">
    <w:name w:val="footer"/>
    <w:basedOn w:val="Normal"/>
    <w:link w:val="FooterChar"/>
    <w:uiPriority w:val="84"/>
    <w:rsid w:val="004419CD"/>
    <w:pPr>
      <w:tabs>
        <w:tab w:val="center" w:pos="4513"/>
        <w:tab w:val="right" w:pos="9026"/>
      </w:tabs>
      <w:spacing w:before="0"/>
    </w:pPr>
  </w:style>
  <w:style w:type="paragraph" w:styleId="TOC2">
    <w:name w:val="toc 2"/>
    <w:basedOn w:val="TOC1"/>
    <w:next w:val="Normal"/>
    <w:uiPriority w:val="39"/>
    <w:rsid w:val="008D37BD"/>
    <w:pPr>
      <w:spacing w:before="60" w:after="60" w:line="264" w:lineRule="auto"/>
      <w:ind w:left="284" w:right="567"/>
    </w:pPr>
    <w:rPr>
      <w:b w:val="0"/>
      <w:noProof/>
    </w:rPr>
  </w:style>
  <w:style w:type="character" w:styleId="PageNumber">
    <w:name w:val="page number"/>
    <w:semiHidden/>
    <w:rsid w:val="000A03F9"/>
    <w:rPr>
      <w:rFonts w:asciiTheme="minorHAnsi" w:hAnsiTheme="minorHAnsi"/>
      <w:sz w:val="18"/>
    </w:rPr>
  </w:style>
  <w:style w:type="paragraph" w:styleId="TOC3">
    <w:name w:val="toc 3"/>
    <w:basedOn w:val="Normal"/>
    <w:next w:val="Normal"/>
    <w:uiPriority w:val="91"/>
    <w:semiHidden/>
    <w:rsid w:val="00402880"/>
    <w:pPr>
      <w:spacing w:after="100"/>
      <w:ind w:left="420"/>
    </w:pPr>
  </w:style>
  <w:style w:type="paragraph" w:styleId="TOC4">
    <w:name w:val="toc 4"/>
    <w:next w:val="Normal"/>
    <w:uiPriority w:val="96"/>
    <w:semiHidden/>
    <w:rsid w:val="000E2126"/>
    <w:pPr>
      <w:tabs>
        <w:tab w:val="left" w:pos="1021"/>
        <w:tab w:val="right" w:leader="dot" w:pos="9072"/>
      </w:tabs>
      <w:spacing w:after="100"/>
    </w:pPr>
    <w:rPr>
      <w:rFonts w:asciiTheme="majorHAnsi" w:hAnsiTheme="majorHAnsi"/>
      <w:spacing w:val="2"/>
    </w:rPr>
  </w:style>
  <w:style w:type="character" w:styleId="Hyperlink">
    <w:name w:val="Hyperlink"/>
    <w:uiPriority w:val="99"/>
    <w:rsid w:val="00924B15"/>
    <w:rPr>
      <w:color w:val="0000FF"/>
      <w:u w:val="single"/>
    </w:rPr>
  </w:style>
  <w:style w:type="paragraph" w:styleId="BalloonText">
    <w:name w:val="Balloon Text"/>
    <w:basedOn w:val="Normal"/>
    <w:link w:val="BalloonTextChar"/>
    <w:uiPriority w:val="99"/>
    <w:semiHidden/>
    <w:unhideWhenUsed/>
    <w:rsid w:val="00924B15"/>
    <w:rPr>
      <w:rFonts w:ascii="Tahoma" w:hAnsi="Tahoma" w:cs="Tahoma"/>
      <w:sz w:val="16"/>
      <w:szCs w:val="16"/>
    </w:rPr>
  </w:style>
  <w:style w:type="character" w:customStyle="1" w:styleId="BalloonTextChar">
    <w:name w:val="Balloon Text Char"/>
    <w:basedOn w:val="DefaultParagraphFont"/>
    <w:link w:val="BalloonText"/>
    <w:uiPriority w:val="99"/>
    <w:semiHidden/>
    <w:rsid w:val="00924B15"/>
    <w:rPr>
      <w:rFonts w:ascii="Tahoma" w:hAnsi="Tahoma" w:cs="Tahoma"/>
      <w:spacing w:val="2"/>
      <w:sz w:val="16"/>
      <w:szCs w:val="16"/>
    </w:rPr>
  </w:style>
  <w:style w:type="paragraph" w:customStyle="1" w:styleId="HighlightBoxHeading">
    <w:name w:val="Highlight Box Heading"/>
    <w:basedOn w:val="HighlightBoxText"/>
    <w:next w:val="HighlightBoxText"/>
    <w:uiPriority w:val="59"/>
    <w:qFormat/>
    <w:rsid w:val="00EB0619"/>
    <w:pPr>
      <w:keepNext/>
    </w:pPr>
    <w:rPr>
      <w:rFonts w:asciiTheme="majorHAnsi" w:hAnsiTheme="majorHAnsi"/>
      <w:b/>
    </w:rPr>
  </w:style>
  <w:style w:type="paragraph" w:customStyle="1" w:styleId="HighlightBoxBullet">
    <w:name w:val="Highlight Box Bullet"/>
    <w:basedOn w:val="ListBullet"/>
    <w:uiPriority w:val="61"/>
    <w:qFormat/>
    <w:rsid w:val="00EB0619"/>
    <w:pPr>
      <w:pBdr>
        <w:top w:val="single" w:sz="6" w:space="3" w:color="auto"/>
        <w:left w:val="single" w:sz="6" w:space="5" w:color="auto"/>
        <w:bottom w:val="single" w:sz="6" w:space="3" w:color="auto"/>
        <w:right w:val="single" w:sz="6" w:space="5" w:color="auto"/>
      </w:pBdr>
      <w:shd w:val="clear" w:color="auto" w:fill="F2F2F2" w:themeFill="background1" w:themeFillShade="F2"/>
    </w:pPr>
  </w:style>
  <w:style w:type="character" w:customStyle="1" w:styleId="Heading6Char">
    <w:name w:val="Heading 6 Char"/>
    <w:basedOn w:val="DefaultParagraphFont"/>
    <w:link w:val="Heading6"/>
    <w:uiPriority w:val="9"/>
    <w:semiHidden/>
    <w:rsid w:val="00E36DAC"/>
    <w:rPr>
      <w:rFonts w:asciiTheme="majorHAnsi" w:eastAsiaTheme="majorEastAsia" w:hAnsiTheme="majorHAnsi" w:cstheme="majorBidi"/>
      <w:i/>
      <w:iCs/>
      <w:color w:val="003152" w:themeColor="accent1" w:themeShade="7F"/>
    </w:rPr>
  </w:style>
  <w:style w:type="character" w:customStyle="1" w:styleId="Heading7Char">
    <w:name w:val="Heading 7 Char"/>
    <w:basedOn w:val="DefaultParagraphFont"/>
    <w:link w:val="Heading7"/>
    <w:uiPriority w:val="9"/>
    <w:semiHidden/>
    <w:rsid w:val="00E36DA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E36DA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E36DAC"/>
    <w:rPr>
      <w:rFonts w:asciiTheme="majorHAnsi" w:eastAsiaTheme="majorEastAsia" w:hAnsiTheme="majorHAnsi" w:cstheme="majorBidi"/>
      <w:i/>
      <w:iCs/>
      <w:color w:val="404040" w:themeColor="text1" w:themeTint="BF"/>
    </w:rPr>
  </w:style>
  <w:style w:type="paragraph" w:customStyle="1" w:styleId="TableHeading">
    <w:name w:val="Table Heading"/>
    <w:basedOn w:val="Normal"/>
    <w:next w:val="Normal"/>
    <w:link w:val="TableHeadingChar"/>
    <w:uiPriority w:val="49"/>
    <w:qFormat/>
    <w:rsid w:val="002D3FE4"/>
    <w:pPr>
      <w:keepNext/>
      <w:tabs>
        <w:tab w:val="left" w:pos="1134"/>
        <w:tab w:val="right" w:pos="7711"/>
        <w:tab w:val="right" w:pos="9639"/>
        <w:tab w:val="right" w:pos="14742"/>
      </w:tabs>
      <w:spacing w:before="240" w:after="60"/>
      <w:ind w:left="1134" w:hanging="1134"/>
    </w:pPr>
    <w:rPr>
      <w:rFonts w:asciiTheme="majorHAnsi" w:hAnsiTheme="majorHAnsi"/>
      <w:b/>
      <w:sz w:val="20"/>
      <w:szCs w:val="20"/>
    </w:rPr>
  </w:style>
  <w:style w:type="table" w:styleId="LightShading-Accent2">
    <w:name w:val="Light Shading Accent 2"/>
    <w:basedOn w:val="TableNormal"/>
    <w:uiPriority w:val="60"/>
    <w:rsid w:val="00A9345E"/>
    <w:rPr>
      <w:color w:val="00365B" w:themeColor="accent2" w:themeShade="BF"/>
    </w:rPr>
    <w:tblPr>
      <w:tblStyleRowBandSize w:val="1"/>
      <w:tblStyleColBandSize w:val="1"/>
      <w:tblBorders>
        <w:top w:val="single" w:sz="8" w:space="0" w:color="00497A" w:themeColor="accent2"/>
        <w:bottom w:val="single" w:sz="8" w:space="0" w:color="00497A" w:themeColor="accent2"/>
      </w:tblBorders>
    </w:tblPr>
    <w:tblStylePr w:type="firstRow">
      <w:pPr>
        <w:spacing w:before="0" w:after="0" w:line="240" w:lineRule="auto"/>
      </w:pPr>
      <w:rPr>
        <w:b/>
        <w:bCs/>
      </w:rPr>
      <w:tblPr/>
      <w:tcPr>
        <w:tcBorders>
          <w:top w:val="single" w:sz="8" w:space="0" w:color="00497A" w:themeColor="accent2"/>
          <w:left w:val="nil"/>
          <w:bottom w:val="single" w:sz="8" w:space="0" w:color="00497A" w:themeColor="accent2"/>
          <w:right w:val="nil"/>
          <w:insideH w:val="nil"/>
          <w:insideV w:val="nil"/>
        </w:tcBorders>
      </w:tcPr>
    </w:tblStylePr>
    <w:tblStylePr w:type="lastRow">
      <w:pPr>
        <w:spacing w:before="0" w:after="0" w:line="240" w:lineRule="auto"/>
      </w:pPr>
      <w:rPr>
        <w:b/>
        <w:bCs/>
      </w:rPr>
      <w:tblPr/>
      <w:tcPr>
        <w:tcBorders>
          <w:top w:val="single" w:sz="8" w:space="0" w:color="00497A" w:themeColor="accent2"/>
          <w:left w:val="nil"/>
          <w:bottom w:val="single" w:sz="8" w:space="0" w:color="00497A"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FD8FF" w:themeFill="accent2" w:themeFillTint="3F"/>
      </w:tcPr>
    </w:tblStylePr>
    <w:tblStylePr w:type="band1Horz">
      <w:tblPr/>
      <w:tcPr>
        <w:tcBorders>
          <w:left w:val="nil"/>
          <w:right w:val="nil"/>
          <w:insideH w:val="nil"/>
          <w:insideV w:val="nil"/>
        </w:tcBorders>
        <w:shd w:val="clear" w:color="auto" w:fill="9FD8FF" w:themeFill="accent2" w:themeFillTint="3F"/>
      </w:tcPr>
    </w:tblStylePr>
  </w:style>
  <w:style w:type="paragraph" w:styleId="ListBullet3">
    <w:name w:val="List Bullet 3"/>
    <w:basedOn w:val="ListBullet2"/>
    <w:uiPriority w:val="19"/>
    <w:unhideWhenUsed/>
    <w:rsid w:val="00D451B9"/>
    <w:pPr>
      <w:numPr>
        <w:ilvl w:val="2"/>
      </w:numPr>
    </w:pPr>
  </w:style>
  <w:style w:type="numbering" w:customStyle="1" w:styleId="Number">
    <w:name w:val="Number"/>
    <w:uiPriority w:val="99"/>
    <w:rsid w:val="00CE5CF8"/>
    <w:pPr>
      <w:numPr>
        <w:numId w:val="5"/>
      </w:numPr>
    </w:pPr>
  </w:style>
  <w:style w:type="character" w:customStyle="1" w:styleId="Heading1Char0">
    <w:name w:val="Heading 1 (#) Char"/>
    <w:basedOn w:val="Heading1Char"/>
    <w:link w:val="Heading1"/>
    <w:uiPriority w:val="14"/>
    <w:rsid w:val="00287535"/>
    <w:rPr>
      <w:rFonts w:asciiTheme="majorHAnsi" w:eastAsiaTheme="majorEastAsia" w:hAnsiTheme="majorHAnsi" w:cstheme="majorBidi"/>
      <w:b/>
      <w:bCs/>
      <w:caps/>
      <w:spacing w:val="-2"/>
      <w:sz w:val="26"/>
      <w:szCs w:val="28"/>
    </w:rPr>
  </w:style>
  <w:style w:type="table" w:styleId="LightList">
    <w:name w:val="Light List"/>
    <w:basedOn w:val="TableNormal"/>
    <w:uiPriority w:val="61"/>
    <w:rsid w:val="0065194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TOC9">
    <w:name w:val="toc 9"/>
    <w:basedOn w:val="Normal"/>
    <w:next w:val="Normal"/>
    <w:autoRedefine/>
    <w:uiPriority w:val="91"/>
    <w:rsid w:val="00B56C73"/>
    <w:pPr>
      <w:tabs>
        <w:tab w:val="left" w:pos="567"/>
        <w:tab w:val="right" w:leader="dot" w:pos="3629"/>
      </w:tabs>
      <w:spacing w:after="100"/>
      <w:ind w:left="567" w:right="340" w:hanging="567"/>
    </w:pPr>
    <w:rPr>
      <w:spacing w:val="-2"/>
    </w:rPr>
  </w:style>
  <w:style w:type="paragraph" w:customStyle="1" w:styleId="Footereven">
    <w:name w:val="Footer (even)"/>
    <w:basedOn w:val="Footer"/>
    <w:link w:val="FooterevenChar"/>
    <w:uiPriority w:val="84"/>
    <w:rsid w:val="00036280"/>
    <w:pPr>
      <w:pBdr>
        <w:top w:val="single" w:sz="6" w:space="1" w:color="auto"/>
      </w:pBdr>
      <w:tabs>
        <w:tab w:val="clear" w:pos="4513"/>
        <w:tab w:val="clear" w:pos="9026"/>
        <w:tab w:val="center" w:pos="3119"/>
        <w:tab w:val="right" w:pos="7711"/>
        <w:tab w:val="right" w:pos="9639"/>
        <w:tab w:val="right" w:pos="14742"/>
      </w:tabs>
    </w:pPr>
    <w:rPr>
      <w:rFonts w:asciiTheme="majorHAnsi" w:hAnsiTheme="majorHAnsi"/>
      <w:sz w:val="18"/>
    </w:rPr>
  </w:style>
  <w:style w:type="table" w:customStyle="1" w:styleId="DTFTable">
    <w:name w:val="DTF Table"/>
    <w:basedOn w:val="TableNormal"/>
    <w:uiPriority w:val="99"/>
    <w:rsid w:val="00A637FA"/>
    <w:pPr>
      <w:spacing w:before="20" w:after="20"/>
      <w:jc w:val="right"/>
    </w:pPr>
    <w:rPr>
      <w:rFonts w:asciiTheme="majorHAnsi" w:hAnsiTheme="majorHAnsi"/>
      <w:sz w:val="17"/>
    </w:rPr>
    <w:tblPr>
      <w:tblStyleRowBandSize w:val="1"/>
      <w:tblStyleColBandSize w:val="1"/>
      <w:tblInd w:w="28" w:type="dxa"/>
      <w:tblBorders>
        <w:bottom w:val="single" w:sz="12" w:space="0" w:color="auto"/>
      </w:tblBorders>
      <w:tblCellMar>
        <w:left w:w="57" w:type="dxa"/>
        <w:right w:w="57" w:type="dxa"/>
      </w:tblCellMar>
    </w:tblPr>
    <w:trPr>
      <w:cantSplit/>
    </w:trPr>
    <w:tblStylePr w:type="firstRow">
      <w:rPr>
        <w:i/>
      </w:rPr>
      <w:tblPr/>
      <w:trPr>
        <w:cantSplit w:val="0"/>
      </w:trPr>
      <w:tcPr>
        <w:shd w:val="clear" w:color="auto" w:fill="000000" w:themeFill="text1"/>
        <w:vAlign w:val="bottom"/>
      </w:tcPr>
    </w:tblStylePr>
    <w:tblStylePr w:type="lastRow">
      <w:rPr>
        <w:b/>
      </w:rPr>
      <w:tblPr/>
      <w:tcPr>
        <w:tcBorders>
          <w:top w:val="single" w:sz="6" w:space="0" w:color="000000" w:themeColor="text1"/>
          <w:left w:val="nil"/>
          <w:bottom w:val="single" w:sz="12" w:space="0" w:color="000000" w:themeColor="text1"/>
          <w:right w:val="nil"/>
          <w:insideH w:val="nil"/>
          <w:insideV w:val="nil"/>
          <w:tl2br w:val="nil"/>
          <w:tr2bl w:val="nil"/>
        </w:tcBorders>
      </w:tcPr>
    </w:tblStylePr>
    <w:tblStylePr w:type="firstCol">
      <w:pPr>
        <w:wordWrap/>
        <w:spacing w:line="240" w:lineRule="auto"/>
        <w:ind w:leftChars="0" w:left="170" w:rightChars="0" w:right="0" w:firstLineChars="0" w:hanging="170"/>
        <w:jc w:val="left"/>
      </w:pPr>
    </w:tblStylePr>
    <w:tblStylePr w:type="lastCol">
      <w:rPr>
        <w:b/>
      </w:rPr>
      <w:tblPr/>
      <w:tcPr>
        <w:shd w:val="clear" w:color="auto" w:fill="F2F2F2" w:themeFill="background1" w:themeFillShade="F2"/>
      </w:tcPr>
    </w:tblStylePr>
    <w:tblStylePr w:type="band1Vert">
      <w:tblPr/>
      <w:tcPr>
        <w:shd w:val="clear" w:color="auto" w:fill="EBEBEB" w:themeFill="background2"/>
      </w:tcPr>
    </w:tblStylePr>
    <w:tblStylePr w:type="band1Horz">
      <w:tblPr/>
      <w:tcPr>
        <w:shd w:val="clear" w:color="auto" w:fill="EBEBEB" w:themeFill="background2"/>
      </w:tcPr>
    </w:tblStylePr>
    <w:tblStylePr w:type="band2Horz">
      <w:tblPr/>
      <w:tcPr>
        <w:shd w:val="clear" w:color="auto" w:fill="FFFFFF" w:themeFill="background1"/>
      </w:tcPr>
    </w:tblStylePr>
  </w:style>
  <w:style w:type="paragraph" w:styleId="ListNumber3">
    <w:name w:val="List Number 3"/>
    <w:basedOn w:val="Normal"/>
    <w:uiPriority w:val="19"/>
    <w:unhideWhenUsed/>
    <w:rsid w:val="002C3386"/>
    <w:pPr>
      <w:numPr>
        <w:ilvl w:val="2"/>
        <w:numId w:val="8"/>
      </w:numPr>
      <w:spacing w:before="60"/>
      <w:ind w:left="851"/>
    </w:pPr>
  </w:style>
  <w:style w:type="paragraph" w:styleId="ListNumber4">
    <w:name w:val="List Number 4"/>
    <w:basedOn w:val="Normal"/>
    <w:uiPriority w:val="19"/>
    <w:semiHidden/>
    <w:unhideWhenUsed/>
    <w:rsid w:val="00CE5CF8"/>
    <w:pPr>
      <w:numPr>
        <w:ilvl w:val="3"/>
        <w:numId w:val="8"/>
      </w:numPr>
      <w:contextualSpacing/>
    </w:pPr>
  </w:style>
  <w:style w:type="paragraph" w:styleId="ListNumber5">
    <w:name w:val="List Number 5"/>
    <w:basedOn w:val="Normal"/>
    <w:uiPriority w:val="19"/>
    <w:semiHidden/>
    <w:unhideWhenUsed/>
    <w:rsid w:val="00CE5CF8"/>
    <w:pPr>
      <w:numPr>
        <w:ilvl w:val="4"/>
        <w:numId w:val="8"/>
      </w:numPr>
      <w:contextualSpacing/>
    </w:pPr>
  </w:style>
  <w:style w:type="paragraph" w:styleId="ListContinue3">
    <w:name w:val="List Continue 3"/>
    <w:basedOn w:val="ListContinue2"/>
    <w:uiPriority w:val="24"/>
    <w:semiHidden/>
    <w:unhideWhenUsed/>
    <w:rsid w:val="000915C9"/>
    <w:pPr>
      <w:ind w:left="1191"/>
    </w:pPr>
  </w:style>
  <w:style w:type="paragraph" w:customStyle="1" w:styleId="Heading1">
    <w:name w:val="Heading 1 (#)"/>
    <w:basedOn w:val="Heading10"/>
    <w:link w:val="Heading1Char0"/>
    <w:uiPriority w:val="14"/>
    <w:qFormat/>
    <w:rsid w:val="00287535"/>
    <w:pPr>
      <w:numPr>
        <w:numId w:val="14"/>
      </w:numPr>
    </w:pPr>
  </w:style>
  <w:style w:type="paragraph" w:customStyle="1" w:styleId="Heading2">
    <w:name w:val="Heading 2 (#)"/>
    <w:basedOn w:val="Heading20"/>
    <w:link w:val="Heading2Char0"/>
    <w:uiPriority w:val="14"/>
    <w:qFormat/>
    <w:rsid w:val="00771A05"/>
    <w:pPr>
      <w:numPr>
        <w:numId w:val="14"/>
      </w:numPr>
    </w:pPr>
  </w:style>
  <w:style w:type="numbering" w:customStyle="1" w:styleId="NumberedHeadings">
    <w:name w:val="Numbered Headings"/>
    <w:uiPriority w:val="99"/>
    <w:rsid w:val="004B1258"/>
    <w:pPr>
      <w:numPr>
        <w:numId w:val="6"/>
      </w:numPr>
    </w:pPr>
  </w:style>
  <w:style w:type="paragraph" w:customStyle="1" w:styleId="Heading3">
    <w:name w:val="Heading 3 (#)"/>
    <w:basedOn w:val="Heading30"/>
    <w:next w:val="Normal"/>
    <w:link w:val="Heading3Char0"/>
    <w:uiPriority w:val="14"/>
    <w:rsid w:val="00287535"/>
    <w:pPr>
      <w:numPr>
        <w:numId w:val="14"/>
      </w:numPr>
      <w:spacing w:after="120"/>
    </w:pPr>
  </w:style>
  <w:style w:type="character" w:customStyle="1" w:styleId="Heading3Char0">
    <w:name w:val="Heading 3 (#) Char"/>
    <w:basedOn w:val="Heading3Char"/>
    <w:link w:val="Heading3"/>
    <w:uiPriority w:val="14"/>
    <w:rsid w:val="00287535"/>
    <w:rPr>
      <w:rFonts w:asciiTheme="majorHAnsi" w:eastAsiaTheme="majorEastAsia" w:hAnsiTheme="majorHAnsi" w:cstheme="majorBidi"/>
      <w:b/>
      <w:bCs/>
      <w:spacing w:val="-2"/>
      <w:szCs w:val="26"/>
    </w:rPr>
  </w:style>
  <w:style w:type="paragraph" w:styleId="ListBullet4">
    <w:name w:val="List Bullet 4"/>
    <w:basedOn w:val="Normal"/>
    <w:uiPriority w:val="19"/>
    <w:semiHidden/>
    <w:unhideWhenUsed/>
    <w:rsid w:val="002F7BBC"/>
    <w:pPr>
      <w:numPr>
        <w:numId w:val="9"/>
      </w:numPr>
      <w:contextualSpacing/>
    </w:pPr>
  </w:style>
  <w:style w:type="paragraph" w:styleId="ListBullet5">
    <w:name w:val="List Bullet 5"/>
    <w:basedOn w:val="Normal"/>
    <w:uiPriority w:val="19"/>
    <w:semiHidden/>
    <w:unhideWhenUsed/>
    <w:rsid w:val="002F7BBC"/>
    <w:pPr>
      <w:numPr>
        <w:numId w:val="10"/>
      </w:numPr>
      <w:contextualSpacing/>
    </w:pPr>
  </w:style>
  <w:style w:type="paragraph" w:styleId="ListContinue4">
    <w:name w:val="List Continue 4"/>
    <w:basedOn w:val="Normal"/>
    <w:uiPriority w:val="24"/>
    <w:semiHidden/>
    <w:unhideWhenUsed/>
    <w:rsid w:val="002F7BBC"/>
    <w:pPr>
      <w:spacing w:after="120"/>
      <w:ind w:left="1132"/>
      <w:contextualSpacing/>
    </w:pPr>
  </w:style>
  <w:style w:type="paragraph" w:styleId="ListContinue5">
    <w:name w:val="List Continue 5"/>
    <w:basedOn w:val="Normal"/>
    <w:uiPriority w:val="24"/>
    <w:semiHidden/>
    <w:unhideWhenUsed/>
    <w:rsid w:val="002F7BBC"/>
    <w:pPr>
      <w:spacing w:after="120"/>
      <w:ind w:left="1415"/>
      <w:contextualSpacing/>
    </w:pPr>
  </w:style>
  <w:style w:type="character" w:customStyle="1" w:styleId="FooterChar">
    <w:name w:val="Footer Char"/>
    <w:basedOn w:val="DefaultParagraphFont"/>
    <w:link w:val="Footer"/>
    <w:uiPriority w:val="84"/>
    <w:rsid w:val="00644B4A"/>
  </w:style>
  <w:style w:type="paragraph" w:styleId="TOC7">
    <w:name w:val="toc 7"/>
    <w:basedOn w:val="Normal"/>
    <w:next w:val="Normal"/>
    <w:autoRedefine/>
    <w:uiPriority w:val="96"/>
    <w:semiHidden/>
    <w:rsid w:val="001213D6"/>
    <w:pPr>
      <w:spacing w:after="100"/>
      <w:ind w:left="1320"/>
    </w:pPr>
  </w:style>
  <w:style w:type="numbering" w:styleId="1ai">
    <w:name w:val="Outline List 1"/>
    <w:basedOn w:val="NoList"/>
    <w:uiPriority w:val="99"/>
    <w:semiHidden/>
    <w:unhideWhenUsed/>
    <w:rsid w:val="00C00568"/>
    <w:pPr>
      <w:numPr>
        <w:numId w:val="12"/>
      </w:numPr>
    </w:pPr>
  </w:style>
  <w:style w:type="numbering" w:styleId="ArticleSection">
    <w:name w:val="Outline List 3"/>
    <w:basedOn w:val="NoList"/>
    <w:uiPriority w:val="99"/>
    <w:semiHidden/>
    <w:unhideWhenUsed/>
    <w:rsid w:val="00C00568"/>
    <w:pPr>
      <w:numPr>
        <w:numId w:val="13"/>
      </w:numPr>
    </w:pPr>
  </w:style>
  <w:style w:type="paragraph" w:styleId="Bibliography">
    <w:name w:val="Bibliography"/>
    <w:basedOn w:val="Normal"/>
    <w:next w:val="Normal"/>
    <w:uiPriority w:val="37"/>
    <w:semiHidden/>
    <w:unhideWhenUsed/>
    <w:rsid w:val="00C00568"/>
  </w:style>
  <w:style w:type="paragraph" w:styleId="BlockText">
    <w:name w:val="Block Text"/>
    <w:basedOn w:val="Normal"/>
    <w:uiPriority w:val="99"/>
    <w:semiHidden/>
    <w:unhideWhenUsed/>
    <w:rsid w:val="00C00568"/>
    <w:pPr>
      <w:pBdr>
        <w:top w:val="single" w:sz="2" w:space="10" w:color="0063A6" w:themeColor="accent1" w:shadow="1"/>
        <w:left w:val="single" w:sz="2" w:space="10" w:color="0063A6" w:themeColor="accent1" w:shadow="1"/>
        <w:bottom w:val="single" w:sz="2" w:space="10" w:color="0063A6" w:themeColor="accent1" w:shadow="1"/>
        <w:right w:val="single" w:sz="2" w:space="10" w:color="0063A6" w:themeColor="accent1" w:shadow="1"/>
      </w:pBdr>
      <w:ind w:left="1152" w:right="1152"/>
    </w:pPr>
    <w:rPr>
      <w:rFonts w:eastAsiaTheme="minorEastAsia"/>
      <w:i/>
      <w:iCs/>
      <w:color w:val="0063A6" w:themeColor="accent1"/>
    </w:rPr>
  </w:style>
  <w:style w:type="paragraph" w:styleId="BodyText">
    <w:name w:val="Body Text"/>
    <w:basedOn w:val="Normal"/>
    <w:link w:val="BodyTextChar"/>
    <w:uiPriority w:val="4"/>
    <w:semiHidden/>
    <w:unhideWhenUsed/>
    <w:rsid w:val="00C00568"/>
    <w:pPr>
      <w:spacing w:after="120"/>
    </w:pPr>
  </w:style>
  <w:style w:type="character" w:customStyle="1" w:styleId="BodyTextChar">
    <w:name w:val="Body Text Char"/>
    <w:basedOn w:val="DefaultParagraphFont"/>
    <w:link w:val="BodyText"/>
    <w:uiPriority w:val="4"/>
    <w:semiHidden/>
    <w:rsid w:val="00C00568"/>
  </w:style>
  <w:style w:type="paragraph" w:styleId="BodyText2">
    <w:name w:val="Body Text 2"/>
    <w:basedOn w:val="Normal"/>
    <w:link w:val="BodyText2Char"/>
    <w:uiPriority w:val="99"/>
    <w:semiHidden/>
    <w:unhideWhenUsed/>
    <w:rsid w:val="00C00568"/>
    <w:pPr>
      <w:spacing w:after="120" w:line="480" w:lineRule="auto"/>
    </w:pPr>
  </w:style>
  <w:style w:type="character" w:customStyle="1" w:styleId="BodyText2Char">
    <w:name w:val="Body Text 2 Char"/>
    <w:basedOn w:val="DefaultParagraphFont"/>
    <w:link w:val="BodyText2"/>
    <w:uiPriority w:val="99"/>
    <w:semiHidden/>
    <w:rsid w:val="00C00568"/>
  </w:style>
  <w:style w:type="paragraph" w:styleId="BodyText3">
    <w:name w:val="Body Text 3"/>
    <w:basedOn w:val="Normal"/>
    <w:link w:val="BodyText3Char"/>
    <w:uiPriority w:val="99"/>
    <w:semiHidden/>
    <w:unhideWhenUsed/>
    <w:rsid w:val="00C00568"/>
    <w:pPr>
      <w:spacing w:after="120"/>
    </w:pPr>
    <w:rPr>
      <w:sz w:val="16"/>
      <w:szCs w:val="16"/>
    </w:rPr>
  </w:style>
  <w:style w:type="character" w:customStyle="1" w:styleId="BodyText3Char">
    <w:name w:val="Body Text 3 Char"/>
    <w:basedOn w:val="DefaultParagraphFont"/>
    <w:link w:val="BodyText3"/>
    <w:uiPriority w:val="99"/>
    <w:semiHidden/>
    <w:rsid w:val="00C00568"/>
    <w:rPr>
      <w:sz w:val="16"/>
      <w:szCs w:val="16"/>
    </w:rPr>
  </w:style>
  <w:style w:type="paragraph" w:styleId="BodyTextFirstIndent">
    <w:name w:val="Body Text First Indent"/>
    <w:basedOn w:val="BodyText"/>
    <w:link w:val="BodyTextFirstIndentChar"/>
    <w:uiPriority w:val="99"/>
    <w:semiHidden/>
    <w:unhideWhenUsed/>
    <w:rsid w:val="00C00568"/>
    <w:pPr>
      <w:spacing w:after="0"/>
      <w:ind w:firstLine="360"/>
    </w:pPr>
  </w:style>
  <w:style w:type="character" w:customStyle="1" w:styleId="BodyTextFirstIndentChar">
    <w:name w:val="Body Text First Indent Char"/>
    <w:basedOn w:val="BodyTextChar"/>
    <w:link w:val="BodyTextFirstIndent"/>
    <w:uiPriority w:val="99"/>
    <w:semiHidden/>
    <w:rsid w:val="00C00568"/>
  </w:style>
  <w:style w:type="paragraph" w:styleId="BodyTextIndent">
    <w:name w:val="Body Text Indent"/>
    <w:basedOn w:val="Normal"/>
    <w:link w:val="BodyTextIndentChar"/>
    <w:uiPriority w:val="99"/>
    <w:semiHidden/>
    <w:unhideWhenUsed/>
    <w:rsid w:val="00C00568"/>
    <w:pPr>
      <w:spacing w:after="120"/>
      <w:ind w:left="283"/>
    </w:pPr>
  </w:style>
  <w:style w:type="character" w:customStyle="1" w:styleId="BodyTextIndentChar">
    <w:name w:val="Body Text Indent Char"/>
    <w:basedOn w:val="DefaultParagraphFont"/>
    <w:link w:val="BodyTextIndent"/>
    <w:uiPriority w:val="99"/>
    <w:semiHidden/>
    <w:rsid w:val="00C00568"/>
  </w:style>
  <w:style w:type="paragraph" w:styleId="BodyTextFirstIndent2">
    <w:name w:val="Body Text First Indent 2"/>
    <w:basedOn w:val="BodyTextIndent"/>
    <w:link w:val="BodyTextFirstIndent2Char"/>
    <w:uiPriority w:val="99"/>
    <w:semiHidden/>
    <w:unhideWhenUsed/>
    <w:rsid w:val="00C00568"/>
    <w:pPr>
      <w:spacing w:after="0"/>
      <w:ind w:left="360" w:firstLine="360"/>
    </w:pPr>
  </w:style>
  <w:style w:type="character" w:customStyle="1" w:styleId="BodyTextFirstIndent2Char">
    <w:name w:val="Body Text First Indent 2 Char"/>
    <w:basedOn w:val="BodyTextIndentChar"/>
    <w:link w:val="BodyTextFirstIndent2"/>
    <w:uiPriority w:val="99"/>
    <w:semiHidden/>
    <w:rsid w:val="00C00568"/>
  </w:style>
  <w:style w:type="paragraph" w:styleId="BodyTextIndent2">
    <w:name w:val="Body Text Indent 2"/>
    <w:basedOn w:val="Normal"/>
    <w:link w:val="BodyTextIndent2Char"/>
    <w:uiPriority w:val="99"/>
    <w:semiHidden/>
    <w:unhideWhenUsed/>
    <w:rsid w:val="00C00568"/>
    <w:pPr>
      <w:spacing w:after="120" w:line="480" w:lineRule="auto"/>
      <w:ind w:left="283"/>
    </w:pPr>
  </w:style>
  <w:style w:type="character" w:customStyle="1" w:styleId="BodyTextIndent2Char">
    <w:name w:val="Body Text Indent 2 Char"/>
    <w:basedOn w:val="DefaultParagraphFont"/>
    <w:link w:val="BodyTextIndent2"/>
    <w:uiPriority w:val="99"/>
    <w:semiHidden/>
    <w:rsid w:val="00C00568"/>
  </w:style>
  <w:style w:type="paragraph" w:styleId="BodyTextIndent3">
    <w:name w:val="Body Text Indent 3"/>
    <w:basedOn w:val="Normal"/>
    <w:link w:val="BodyTextIndent3Char"/>
    <w:uiPriority w:val="99"/>
    <w:semiHidden/>
    <w:unhideWhenUsed/>
    <w:rsid w:val="00C0056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C00568"/>
    <w:rPr>
      <w:sz w:val="16"/>
      <w:szCs w:val="16"/>
    </w:rPr>
  </w:style>
  <w:style w:type="character" w:styleId="BookTitle">
    <w:name w:val="Book Title"/>
    <w:basedOn w:val="DefaultParagraphFont"/>
    <w:uiPriority w:val="33"/>
    <w:semiHidden/>
    <w:rsid w:val="00C00568"/>
    <w:rPr>
      <w:b/>
      <w:bCs/>
      <w:smallCaps/>
      <w:spacing w:val="5"/>
    </w:rPr>
  </w:style>
  <w:style w:type="paragraph" w:styleId="Caption">
    <w:name w:val="caption"/>
    <w:basedOn w:val="Normal"/>
    <w:next w:val="Normal"/>
    <w:uiPriority w:val="35"/>
    <w:semiHidden/>
    <w:unhideWhenUsed/>
    <w:rsid w:val="00C00568"/>
    <w:pPr>
      <w:spacing w:before="0" w:after="200"/>
    </w:pPr>
    <w:rPr>
      <w:b/>
      <w:bCs/>
      <w:color w:val="0063A6" w:themeColor="accent1"/>
      <w:sz w:val="18"/>
      <w:szCs w:val="18"/>
    </w:rPr>
  </w:style>
  <w:style w:type="paragraph" w:styleId="Closing">
    <w:name w:val="Closing"/>
    <w:basedOn w:val="Normal"/>
    <w:link w:val="ClosingChar"/>
    <w:uiPriority w:val="99"/>
    <w:semiHidden/>
    <w:unhideWhenUsed/>
    <w:rsid w:val="00C00568"/>
    <w:pPr>
      <w:spacing w:before="0"/>
      <w:ind w:left="4252"/>
    </w:pPr>
  </w:style>
  <w:style w:type="character" w:customStyle="1" w:styleId="ClosingChar">
    <w:name w:val="Closing Char"/>
    <w:basedOn w:val="DefaultParagraphFont"/>
    <w:link w:val="Closing"/>
    <w:uiPriority w:val="99"/>
    <w:semiHidden/>
    <w:rsid w:val="00C00568"/>
  </w:style>
  <w:style w:type="table" w:styleId="ColorfulGrid">
    <w:name w:val="Colorful Grid"/>
    <w:basedOn w:val="TableNormal"/>
    <w:uiPriority w:val="73"/>
    <w:rsid w:val="00C00568"/>
    <w:pPr>
      <w:spacing w:before="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00568"/>
    <w:pPr>
      <w:spacing w:before="0"/>
    </w:pPr>
    <w:rPr>
      <w:color w:val="000000" w:themeColor="text1"/>
    </w:rPr>
    <w:tblPr>
      <w:tblStyleRowBandSize w:val="1"/>
      <w:tblStyleColBandSize w:val="1"/>
      <w:tblBorders>
        <w:insideH w:val="single" w:sz="4" w:space="0" w:color="FFFFFF" w:themeColor="background1"/>
      </w:tblBorders>
    </w:tblPr>
    <w:tcPr>
      <w:shd w:val="clear" w:color="auto" w:fill="BAE3FF" w:themeFill="accent1" w:themeFillTint="33"/>
    </w:tcPr>
    <w:tblStylePr w:type="firstRow">
      <w:rPr>
        <w:b/>
        <w:bCs/>
      </w:rPr>
      <w:tblPr/>
      <w:tcPr>
        <w:shd w:val="clear" w:color="auto" w:fill="75C7FF" w:themeFill="accent1" w:themeFillTint="66"/>
      </w:tcPr>
    </w:tblStylePr>
    <w:tblStylePr w:type="lastRow">
      <w:rPr>
        <w:b/>
        <w:bCs/>
        <w:color w:val="000000" w:themeColor="text1"/>
      </w:rPr>
      <w:tblPr/>
      <w:tcPr>
        <w:shd w:val="clear" w:color="auto" w:fill="75C7FF" w:themeFill="accent1" w:themeFillTint="66"/>
      </w:tcPr>
    </w:tblStylePr>
    <w:tblStylePr w:type="firstCol">
      <w:rPr>
        <w:color w:val="FFFFFF" w:themeColor="background1"/>
      </w:rPr>
      <w:tblPr/>
      <w:tcPr>
        <w:shd w:val="clear" w:color="auto" w:fill="004A7C" w:themeFill="accent1" w:themeFillShade="BF"/>
      </w:tcPr>
    </w:tblStylePr>
    <w:tblStylePr w:type="lastCol">
      <w:rPr>
        <w:color w:val="FFFFFF" w:themeColor="background1"/>
      </w:rPr>
      <w:tblPr/>
      <w:tcPr>
        <w:shd w:val="clear" w:color="auto" w:fill="004A7C" w:themeFill="accent1" w:themeFillShade="BF"/>
      </w:tcPr>
    </w:tblStylePr>
    <w:tblStylePr w:type="band1Vert">
      <w:tblPr/>
      <w:tcPr>
        <w:shd w:val="clear" w:color="auto" w:fill="53B9FF" w:themeFill="accent1" w:themeFillTint="7F"/>
      </w:tcPr>
    </w:tblStylePr>
    <w:tblStylePr w:type="band1Horz">
      <w:tblPr/>
      <w:tcPr>
        <w:shd w:val="clear" w:color="auto" w:fill="53B9FF" w:themeFill="accent1" w:themeFillTint="7F"/>
      </w:tcPr>
    </w:tblStylePr>
  </w:style>
  <w:style w:type="table" w:styleId="ColorfulGrid-Accent2">
    <w:name w:val="Colorful Grid Accent 2"/>
    <w:basedOn w:val="TableNormal"/>
    <w:uiPriority w:val="73"/>
    <w:rsid w:val="00C00568"/>
    <w:pPr>
      <w:spacing w:before="0"/>
    </w:pPr>
    <w:rPr>
      <w:color w:val="000000" w:themeColor="text1"/>
    </w:rPr>
    <w:tblPr>
      <w:tblStyleRowBandSize w:val="1"/>
      <w:tblStyleColBandSize w:val="1"/>
      <w:tblBorders>
        <w:insideH w:val="single" w:sz="4" w:space="0" w:color="FFFFFF" w:themeColor="background1"/>
      </w:tblBorders>
    </w:tblPr>
    <w:tcPr>
      <w:shd w:val="clear" w:color="auto" w:fill="B1DFFF" w:themeFill="accent2" w:themeFillTint="33"/>
    </w:tcPr>
    <w:tblStylePr w:type="firstRow">
      <w:rPr>
        <w:b/>
        <w:bCs/>
      </w:rPr>
      <w:tblPr/>
      <w:tcPr>
        <w:shd w:val="clear" w:color="auto" w:fill="63C0FF" w:themeFill="accent2" w:themeFillTint="66"/>
      </w:tcPr>
    </w:tblStylePr>
    <w:tblStylePr w:type="lastRow">
      <w:rPr>
        <w:b/>
        <w:bCs/>
        <w:color w:val="000000" w:themeColor="text1"/>
      </w:rPr>
      <w:tblPr/>
      <w:tcPr>
        <w:shd w:val="clear" w:color="auto" w:fill="63C0FF" w:themeFill="accent2" w:themeFillTint="66"/>
      </w:tcPr>
    </w:tblStylePr>
    <w:tblStylePr w:type="firstCol">
      <w:rPr>
        <w:color w:val="FFFFFF" w:themeColor="background1"/>
      </w:rPr>
      <w:tblPr/>
      <w:tcPr>
        <w:shd w:val="clear" w:color="auto" w:fill="00365B" w:themeFill="accent2" w:themeFillShade="BF"/>
      </w:tcPr>
    </w:tblStylePr>
    <w:tblStylePr w:type="lastCol">
      <w:rPr>
        <w:color w:val="FFFFFF" w:themeColor="background1"/>
      </w:rPr>
      <w:tblPr/>
      <w:tcPr>
        <w:shd w:val="clear" w:color="auto" w:fill="00365B" w:themeFill="accent2" w:themeFillShade="BF"/>
      </w:tcPr>
    </w:tblStylePr>
    <w:tblStylePr w:type="band1Vert">
      <w:tblPr/>
      <w:tcPr>
        <w:shd w:val="clear" w:color="auto" w:fill="3DB0FF" w:themeFill="accent2" w:themeFillTint="7F"/>
      </w:tcPr>
    </w:tblStylePr>
    <w:tblStylePr w:type="band1Horz">
      <w:tblPr/>
      <w:tcPr>
        <w:shd w:val="clear" w:color="auto" w:fill="3DB0FF" w:themeFill="accent2" w:themeFillTint="7F"/>
      </w:tcPr>
    </w:tblStylePr>
  </w:style>
  <w:style w:type="table" w:styleId="ColorfulGrid-Accent3">
    <w:name w:val="Colorful Grid Accent 3"/>
    <w:basedOn w:val="TableNormal"/>
    <w:uiPriority w:val="73"/>
    <w:rsid w:val="00C00568"/>
    <w:pPr>
      <w:spacing w:before="0"/>
    </w:pPr>
    <w:rPr>
      <w:color w:val="000000" w:themeColor="text1"/>
    </w:rPr>
    <w:tblPr>
      <w:tblStyleRowBandSize w:val="1"/>
      <w:tblStyleColBandSize w:val="1"/>
      <w:tblBorders>
        <w:insideH w:val="single" w:sz="4" w:space="0" w:color="FFFFFF" w:themeColor="background1"/>
      </w:tblBorders>
    </w:tblPr>
    <w:tcPr>
      <w:shd w:val="clear" w:color="auto" w:fill="E3EBF4" w:themeFill="accent3" w:themeFillTint="33"/>
    </w:tcPr>
    <w:tblStylePr w:type="firstRow">
      <w:rPr>
        <w:b/>
        <w:bCs/>
      </w:rPr>
      <w:tblPr/>
      <w:tcPr>
        <w:shd w:val="clear" w:color="auto" w:fill="C7D7E9" w:themeFill="accent3" w:themeFillTint="66"/>
      </w:tcPr>
    </w:tblStylePr>
    <w:tblStylePr w:type="lastRow">
      <w:rPr>
        <w:b/>
        <w:bCs/>
        <w:color w:val="000000" w:themeColor="text1"/>
      </w:rPr>
      <w:tblPr/>
      <w:tcPr>
        <w:shd w:val="clear" w:color="auto" w:fill="C7D7E9" w:themeFill="accent3" w:themeFillTint="66"/>
      </w:tcPr>
    </w:tblStylePr>
    <w:tblStylePr w:type="firstCol">
      <w:rPr>
        <w:color w:val="FFFFFF" w:themeColor="background1"/>
      </w:rPr>
      <w:tblPr/>
      <w:tcPr>
        <w:shd w:val="clear" w:color="auto" w:fill="4273AA" w:themeFill="accent3" w:themeFillShade="BF"/>
      </w:tcPr>
    </w:tblStylePr>
    <w:tblStylePr w:type="lastCol">
      <w:rPr>
        <w:color w:val="FFFFFF" w:themeColor="background1"/>
      </w:rPr>
      <w:tblPr/>
      <w:tcPr>
        <w:shd w:val="clear" w:color="auto" w:fill="4273AA" w:themeFill="accent3" w:themeFillShade="BF"/>
      </w:tcPr>
    </w:tblStylePr>
    <w:tblStylePr w:type="band1Vert">
      <w:tblPr/>
      <w:tcPr>
        <w:shd w:val="clear" w:color="auto" w:fill="B9CDE4" w:themeFill="accent3" w:themeFillTint="7F"/>
      </w:tcPr>
    </w:tblStylePr>
    <w:tblStylePr w:type="band1Horz">
      <w:tblPr/>
      <w:tcPr>
        <w:shd w:val="clear" w:color="auto" w:fill="B9CDE4" w:themeFill="accent3" w:themeFillTint="7F"/>
      </w:tcPr>
    </w:tblStylePr>
  </w:style>
  <w:style w:type="table" w:styleId="ColorfulGrid-Accent4">
    <w:name w:val="Colorful Grid Accent 4"/>
    <w:basedOn w:val="TableNormal"/>
    <w:uiPriority w:val="73"/>
    <w:rsid w:val="00C00568"/>
    <w:pPr>
      <w:spacing w:before="0"/>
    </w:pPr>
    <w:rPr>
      <w:color w:val="000000" w:themeColor="text1"/>
    </w:rPr>
    <w:tblPr>
      <w:tblStyleRowBandSize w:val="1"/>
      <w:tblStyleColBandSize w:val="1"/>
      <w:tblBorders>
        <w:insideH w:val="single" w:sz="4" w:space="0" w:color="FFFFFF" w:themeColor="background1"/>
      </w:tblBorders>
    </w:tblPr>
    <w:tcPr>
      <w:shd w:val="clear" w:color="auto" w:fill="C2E3FF" w:themeFill="accent4" w:themeFillTint="33"/>
    </w:tcPr>
    <w:tblStylePr w:type="firstRow">
      <w:rPr>
        <w:b/>
        <w:bCs/>
      </w:rPr>
      <w:tblPr/>
      <w:tcPr>
        <w:shd w:val="clear" w:color="auto" w:fill="85C8FF" w:themeFill="accent4" w:themeFillTint="66"/>
      </w:tcPr>
    </w:tblStylePr>
    <w:tblStylePr w:type="lastRow">
      <w:rPr>
        <w:b/>
        <w:bCs/>
        <w:color w:val="000000" w:themeColor="text1"/>
      </w:rPr>
      <w:tblPr/>
      <w:tcPr>
        <w:shd w:val="clear" w:color="auto" w:fill="85C8FF" w:themeFill="accent4" w:themeFillTint="66"/>
      </w:tcPr>
    </w:tblStylePr>
    <w:tblStylePr w:type="firstCol">
      <w:rPr>
        <w:color w:val="FFFFFF" w:themeColor="background1"/>
      </w:rPr>
      <w:tblPr/>
      <w:tcPr>
        <w:shd w:val="clear" w:color="auto" w:fill="00559A" w:themeFill="accent4" w:themeFillShade="BF"/>
      </w:tcPr>
    </w:tblStylePr>
    <w:tblStylePr w:type="lastCol">
      <w:rPr>
        <w:color w:val="FFFFFF" w:themeColor="background1"/>
      </w:rPr>
      <w:tblPr/>
      <w:tcPr>
        <w:shd w:val="clear" w:color="auto" w:fill="00559A" w:themeFill="accent4" w:themeFillShade="BF"/>
      </w:tcPr>
    </w:tblStylePr>
    <w:tblStylePr w:type="band1Vert">
      <w:tblPr/>
      <w:tcPr>
        <w:shd w:val="clear" w:color="auto" w:fill="67BBFF" w:themeFill="accent4" w:themeFillTint="7F"/>
      </w:tcPr>
    </w:tblStylePr>
    <w:tblStylePr w:type="band1Horz">
      <w:tblPr/>
      <w:tcPr>
        <w:shd w:val="clear" w:color="auto" w:fill="67BBFF" w:themeFill="accent4" w:themeFillTint="7F"/>
      </w:tcPr>
    </w:tblStylePr>
  </w:style>
  <w:style w:type="table" w:styleId="ColorfulGrid-Accent5">
    <w:name w:val="Colorful Grid Accent 5"/>
    <w:basedOn w:val="TableNormal"/>
    <w:uiPriority w:val="73"/>
    <w:rsid w:val="00C00568"/>
    <w:pPr>
      <w:spacing w:before="0"/>
    </w:pPr>
    <w:rPr>
      <w:color w:val="000000" w:themeColor="text1"/>
    </w:rPr>
    <w:tblPr>
      <w:tblStyleRowBandSize w:val="1"/>
      <w:tblStyleColBandSize w:val="1"/>
      <w:tblBorders>
        <w:insideH w:val="single" w:sz="4" w:space="0" w:color="FFFFFF" w:themeColor="background1"/>
      </w:tblBorders>
    </w:tblPr>
    <w:tcPr>
      <w:shd w:val="clear" w:color="auto" w:fill="C5EDFF" w:themeFill="accent5" w:themeFillTint="33"/>
    </w:tcPr>
    <w:tblStylePr w:type="firstRow">
      <w:rPr>
        <w:b/>
        <w:bCs/>
      </w:rPr>
      <w:tblPr/>
      <w:tcPr>
        <w:shd w:val="clear" w:color="auto" w:fill="8BDCFF" w:themeFill="accent5" w:themeFillTint="66"/>
      </w:tcPr>
    </w:tblStylePr>
    <w:tblStylePr w:type="lastRow">
      <w:rPr>
        <w:b/>
        <w:bCs/>
        <w:color w:val="000000" w:themeColor="text1"/>
      </w:rPr>
      <w:tblPr/>
      <w:tcPr>
        <w:shd w:val="clear" w:color="auto" w:fill="8BDCFF" w:themeFill="accent5" w:themeFillTint="66"/>
      </w:tcPr>
    </w:tblStylePr>
    <w:tblStylePr w:type="firstCol">
      <w:rPr>
        <w:color w:val="FFFFFF" w:themeColor="background1"/>
      </w:rPr>
      <w:tblPr/>
      <w:tcPr>
        <w:shd w:val="clear" w:color="auto" w:fill="0074A6" w:themeFill="accent5" w:themeFillShade="BF"/>
      </w:tcPr>
    </w:tblStylePr>
    <w:tblStylePr w:type="lastCol">
      <w:rPr>
        <w:color w:val="FFFFFF" w:themeColor="background1"/>
      </w:rPr>
      <w:tblPr/>
      <w:tcPr>
        <w:shd w:val="clear" w:color="auto" w:fill="0074A6" w:themeFill="accent5" w:themeFillShade="BF"/>
      </w:tcPr>
    </w:tblStylePr>
    <w:tblStylePr w:type="band1Vert">
      <w:tblPr/>
      <w:tcPr>
        <w:shd w:val="clear" w:color="auto" w:fill="6FD4FF" w:themeFill="accent5" w:themeFillTint="7F"/>
      </w:tcPr>
    </w:tblStylePr>
    <w:tblStylePr w:type="band1Horz">
      <w:tblPr/>
      <w:tcPr>
        <w:shd w:val="clear" w:color="auto" w:fill="6FD4FF" w:themeFill="accent5" w:themeFillTint="7F"/>
      </w:tcPr>
    </w:tblStylePr>
  </w:style>
  <w:style w:type="table" w:styleId="ColorfulGrid-Accent6">
    <w:name w:val="Colorful Grid Accent 6"/>
    <w:basedOn w:val="TableNormal"/>
    <w:uiPriority w:val="73"/>
    <w:rsid w:val="00C00568"/>
    <w:pPr>
      <w:spacing w:before="0"/>
    </w:pPr>
    <w:rPr>
      <w:color w:val="000000" w:themeColor="text1"/>
    </w:rPr>
    <w:tblPr>
      <w:tblStyleRowBandSize w:val="1"/>
      <w:tblStyleColBandSize w:val="1"/>
      <w:tblBorders>
        <w:insideH w:val="single" w:sz="4" w:space="0" w:color="FFFFFF" w:themeColor="background1"/>
      </w:tblBorders>
    </w:tblPr>
    <w:tcPr>
      <w:shd w:val="clear" w:color="auto" w:fill="EFCCCC" w:themeFill="accent6" w:themeFillTint="33"/>
    </w:tcPr>
    <w:tblStylePr w:type="firstRow">
      <w:rPr>
        <w:b/>
        <w:bCs/>
      </w:rPr>
      <w:tblPr/>
      <w:tcPr>
        <w:shd w:val="clear" w:color="auto" w:fill="E0999A" w:themeFill="accent6" w:themeFillTint="66"/>
      </w:tcPr>
    </w:tblStylePr>
    <w:tblStylePr w:type="lastRow">
      <w:rPr>
        <w:b/>
        <w:bCs/>
        <w:color w:val="000000" w:themeColor="text1"/>
      </w:rPr>
      <w:tblPr/>
      <w:tcPr>
        <w:shd w:val="clear" w:color="auto" w:fill="E0999A" w:themeFill="accent6" w:themeFillTint="66"/>
      </w:tcPr>
    </w:tblStylePr>
    <w:tblStylePr w:type="firstCol">
      <w:rPr>
        <w:color w:val="FFFFFF" w:themeColor="background1"/>
      </w:rPr>
      <w:tblPr/>
      <w:tcPr>
        <w:shd w:val="clear" w:color="auto" w:fill="671F20" w:themeFill="accent6" w:themeFillShade="BF"/>
      </w:tcPr>
    </w:tblStylePr>
    <w:tblStylePr w:type="lastCol">
      <w:rPr>
        <w:color w:val="FFFFFF" w:themeColor="background1"/>
      </w:rPr>
      <w:tblPr/>
      <w:tcPr>
        <w:shd w:val="clear" w:color="auto" w:fill="671F20" w:themeFill="accent6" w:themeFillShade="BF"/>
      </w:tcPr>
    </w:tblStylePr>
    <w:tblStylePr w:type="band1Vert">
      <w:tblPr/>
      <w:tcPr>
        <w:shd w:val="clear" w:color="auto" w:fill="D88081" w:themeFill="accent6" w:themeFillTint="7F"/>
      </w:tcPr>
    </w:tblStylePr>
    <w:tblStylePr w:type="band1Horz">
      <w:tblPr/>
      <w:tcPr>
        <w:shd w:val="clear" w:color="auto" w:fill="D88081" w:themeFill="accent6" w:themeFillTint="7F"/>
      </w:tcPr>
    </w:tblStylePr>
  </w:style>
  <w:style w:type="table" w:styleId="ColorfulList">
    <w:name w:val="Colorful List"/>
    <w:basedOn w:val="TableNormal"/>
    <w:uiPriority w:val="72"/>
    <w:rsid w:val="00C00568"/>
    <w:pPr>
      <w:spacing w:before="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3A61" w:themeFill="accent2" w:themeFillShade="CC"/>
      </w:tcPr>
    </w:tblStylePr>
    <w:tblStylePr w:type="lastRow">
      <w:rPr>
        <w:b/>
        <w:bCs/>
        <w:color w:val="003A6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00568"/>
    <w:pPr>
      <w:spacing w:before="0"/>
    </w:pPr>
    <w:rPr>
      <w:color w:val="000000" w:themeColor="text1"/>
    </w:rPr>
    <w:tblPr>
      <w:tblStyleRowBandSize w:val="1"/>
      <w:tblStyleColBandSize w:val="1"/>
    </w:tblPr>
    <w:tcPr>
      <w:shd w:val="clear" w:color="auto" w:fill="DDF1FF" w:themeFill="accent1" w:themeFillTint="19"/>
    </w:tcPr>
    <w:tblStylePr w:type="firstRow">
      <w:rPr>
        <w:b/>
        <w:bCs/>
        <w:color w:val="FFFFFF" w:themeColor="background1"/>
      </w:rPr>
      <w:tblPr/>
      <w:tcPr>
        <w:tcBorders>
          <w:bottom w:val="single" w:sz="12" w:space="0" w:color="FFFFFF" w:themeColor="background1"/>
        </w:tcBorders>
        <w:shd w:val="clear" w:color="auto" w:fill="003A61" w:themeFill="accent2" w:themeFillShade="CC"/>
      </w:tcPr>
    </w:tblStylePr>
    <w:tblStylePr w:type="lastRow">
      <w:rPr>
        <w:b/>
        <w:bCs/>
        <w:color w:val="003A6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ADCFF" w:themeFill="accent1" w:themeFillTint="3F"/>
      </w:tcPr>
    </w:tblStylePr>
    <w:tblStylePr w:type="band1Horz">
      <w:tblPr/>
      <w:tcPr>
        <w:shd w:val="clear" w:color="auto" w:fill="BAE3FF" w:themeFill="accent1" w:themeFillTint="33"/>
      </w:tcPr>
    </w:tblStylePr>
  </w:style>
  <w:style w:type="table" w:styleId="ColorfulList-Accent2">
    <w:name w:val="Colorful List Accent 2"/>
    <w:basedOn w:val="TableNormal"/>
    <w:uiPriority w:val="72"/>
    <w:rsid w:val="00C00568"/>
    <w:pPr>
      <w:spacing w:before="0"/>
    </w:pPr>
    <w:rPr>
      <w:color w:val="000000" w:themeColor="text1"/>
    </w:rPr>
    <w:tblPr>
      <w:tblStyleRowBandSize w:val="1"/>
      <w:tblStyleColBandSize w:val="1"/>
    </w:tblPr>
    <w:tcPr>
      <w:shd w:val="clear" w:color="auto" w:fill="D8EFFF" w:themeFill="accent2" w:themeFillTint="19"/>
    </w:tcPr>
    <w:tblStylePr w:type="firstRow">
      <w:rPr>
        <w:b/>
        <w:bCs/>
        <w:color w:val="FFFFFF" w:themeColor="background1"/>
      </w:rPr>
      <w:tblPr/>
      <w:tcPr>
        <w:tcBorders>
          <w:bottom w:val="single" w:sz="12" w:space="0" w:color="FFFFFF" w:themeColor="background1"/>
        </w:tcBorders>
        <w:shd w:val="clear" w:color="auto" w:fill="003A61" w:themeFill="accent2" w:themeFillShade="CC"/>
      </w:tcPr>
    </w:tblStylePr>
    <w:tblStylePr w:type="lastRow">
      <w:rPr>
        <w:b/>
        <w:bCs/>
        <w:color w:val="003A6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FD8FF" w:themeFill="accent2" w:themeFillTint="3F"/>
      </w:tcPr>
    </w:tblStylePr>
    <w:tblStylePr w:type="band1Horz">
      <w:tblPr/>
      <w:tcPr>
        <w:shd w:val="clear" w:color="auto" w:fill="B1DFFF" w:themeFill="accent2" w:themeFillTint="33"/>
      </w:tcPr>
    </w:tblStylePr>
  </w:style>
  <w:style w:type="table" w:styleId="ColorfulList-Accent3">
    <w:name w:val="Colorful List Accent 3"/>
    <w:basedOn w:val="TableNormal"/>
    <w:uiPriority w:val="72"/>
    <w:rsid w:val="00C00568"/>
    <w:pPr>
      <w:spacing w:before="0"/>
    </w:pPr>
    <w:rPr>
      <w:color w:val="000000" w:themeColor="text1"/>
    </w:rPr>
    <w:tblPr>
      <w:tblStyleRowBandSize w:val="1"/>
      <w:tblStyleColBandSize w:val="1"/>
    </w:tblPr>
    <w:tcPr>
      <w:shd w:val="clear" w:color="auto" w:fill="F1F5F9" w:themeFill="accent3" w:themeFillTint="19"/>
    </w:tcPr>
    <w:tblStylePr w:type="firstRow">
      <w:rPr>
        <w:b/>
        <w:bCs/>
        <w:color w:val="FFFFFF" w:themeColor="background1"/>
      </w:rPr>
      <w:tblPr/>
      <w:tcPr>
        <w:tcBorders>
          <w:bottom w:val="single" w:sz="12" w:space="0" w:color="FFFFFF" w:themeColor="background1"/>
        </w:tcBorders>
        <w:shd w:val="clear" w:color="auto" w:fill="005BA4" w:themeFill="accent4" w:themeFillShade="CC"/>
      </w:tcPr>
    </w:tblStylePr>
    <w:tblStylePr w:type="lastRow">
      <w:rPr>
        <w:b/>
        <w:bCs/>
        <w:color w:val="005BA4"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CE6F1" w:themeFill="accent3" w:themeFillTint="3F"/>
      </w:tcPr>
    </w:tblStylePr>
    <w:tblStylePr w:type="band1Horz">
      <w:tblPr/>
      <w:tcPr>
        <w:shd w:val="clear" w:color="auto" w:fill="E3EBF4" w:themeFill="accent3" w:themeFillTint="33"/>
      </w:tcPr>
    </w:tblStylePr>
  </w:style>
  <w:style w:type="table" w:styleId="ColorfulList-Accent4">
    <w:name w:val="Colorful List Accent 4"/>
    <w:basedOn w:val="TableNormal"/>
    <w:uiPriority w:val="72"/>
    <w:rsid w:val="00C00568"/>
    <w:pPr>
      <w:spacing w:before="0"/>
    </w:pPr>
    <w:rPr>
      <w:color w:val="000000" w:themeColor="text1"/>
    </w:rPr>
    <w:tblPr>
      <w:tblStyleRowBandSize w:val="1"/>
      <w:tblStyleColBandSize w:val="1"/>
    </w:tblPr>
    <w:tcPr>
      <w:shd w:val="clear" w:color="auto" w:fill="E1F1FF" w:themeFill="accent4" w:themeFillTint="19"/>
    </w:tcPr>
    <w:tblStylePr w:type="firstRow">
      <w:rPr>
        <w:b/>
        <w:bCs/>
        <w:color w:val="FFFFFF" w:themeColor="background1"/>
      </w:rPr>
      <w:tblPr/>
      <w:tcPr>
        <w:tcBorders>
          <w:bottom w:val="single" w:sz="12" w:space="0" w:color="FFFFFF" w:themeColor="background1"/>
        </w:tcBorders>
        <w:shd w:val="clear" w:color="auto" w:fill="477BB6" w:themeFill="accent3" w:themeFillShade="CC"/>
      </w:tcPr>
    </w:tblStylePr>
    <w:tblStylePr w:type="lastRow">
      <w:rPr>
        <w:b/>
        <w:bCs/>
        <w:color w:val="477BB6"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DDFF" w:themeFill="accent4" w:themeFillTint="3F"/>
      </w:tcPr>
    </w:tblStylePr>
    <w:tblStylePr w:type="band1Horz">
      <w:tblPr/>
      <w:tcPr>
        <w:shd w:val="clear" w:color="auto" w:fill="C2E3FF" w:themeFill="accent4" w:themeFillTint="33"/>
      </w:tcPr>
    </w:tblStylePr>
  </w:style>
  <w:style w:type="table" w:styleId="ColorfulList-Accent5">
    <w:name w:val="Colorful List Accent 5"/>
    <w:basedOn w:val="TableNormal"/>
    <w:uiPriority w:val="72"/>
    <w:rsid w:val="00C00568"/>
    <w:pPr>
      <w:spacing w:before="0"/>
    </w:pPr>
    <w:rPr>
      <w:color w:val="000000" w:themeColor="text1"/>
    </w:rPr>
    <w:tblPr>
      <w:tblStyleRowBandSize w:val="1"/>
      <w:tblStyleColBandSize w:val="1"/>
    </w:tblPr>
    <w:tcPr>
      <w:shd w:val="clear" w:color="auto" w:fill="E2F6FF" w:themeFill="accent5" w:themeFillTint="19"/>
    </w:tcPr>
    <w:tblStylePr w:type="firstRow">
      <w:rPr>
        <w:b/>
        <w:bCs/>
        <w:color w:val="FFFFFF" w:themeColor="background1"/>
      </w:rPr>
      <w:tblPr/>
      <w:tcPr>
        <w:tcBorders>
          <w:bottom w:val="single" w:sz="12" w:space="0" w:color="FFFFFF" w:themeColor="background1"/>
        </w:tcBorders>
        <w:shd w:val="clear" w:color="auto" w:fill="6E2122" w:themeFill="accent6" w:themeFillShade="CC"/>
      </w:tcPr>
    </w:tblStylePr>
    <w:tblStylePr w:type="lastRow">
      <w:rPr>
        <w:b/>
        <w:bCs/>
        <w:color w:val="6E2122"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E9FF" w:themeFill="accent5" w:themeFillTint="3F"/>
      </w:tcPr>
    </w:tblStylePr>
    <w:tblStylePr w:type="band1Horz">
      <w:tblPr/>
      <w:tcPr>
        <w:shd w:val="clear" w:color="auto" w:fill="C5EDFF" w:themeFill="accent5" w:themeFillTint="33"/>
      </w:tcPr>
    </w:tblStylePr>
  </w:style>
  <w:style w:type="table" w:styleId="ColorfulList-Accent6">
    <w:name w:val="Colorful List Accent 6"/>
    <w:basedOn w:val="TableNormal"/>
    <w:uiPriority w:val="72"/>
    <w:rsid w:val="00C00568"/>
    <w:pPr>
      <w:spacing w:before="0"/>
    </w:pPr>
    <w:rPr>
      <w:color w:val="000000" w:themeColor="text1"/>
    </w:rPr>
    <w:tblPr>
      <w:tblStyleRowBandSize w:val="1"/>
      <w:tblStyleColBandSize w:val="1"/>
    </w:tblPr>
    <w:tcPr>
      <w:shd w:val="clear" w:color="auto" w:fill="F7E5E5" w:themeFill="accent6" w:themeFillTint="19"/>
    </w:tcPr>
    <w:tblStylePr w:type="firstRow">
      <w:rPr>
        <w:b/>
        <w:bCs/>
        <w:color w:val="FFFFFF" w:themeColor="background1"/>
      </w:rPr>
      <w:tblPr/>
      <w:tcPr>
        <w:tcBorders>
          <w:bottom w:val="single" w:sz="12" w:space="0" w:color="FFFFFF" w:themeColor="background1"/>
        </w:tcBorders>
        <w:shd w:val="clear" w:color="auto" w:fill="007CB1" w:themeFill="accent5" w:themeFillShade="CC"/>
      </w:tcPr>
    </w:tblStylePr>
    <w:tblStylePr w:type="lastRow">
      <w:rPr>
        <w:b/>
        <w:bCs/>
        <w:color w:val="007CB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CC0C0" w:themeFill="accent6" w:themeFillTint="3F"/>
      </w:tcPr>
    </w:tblStylePr>
    <w:tblStylePr w:type="band1Horz">
      <w:tblPr/>
      <w:tcPr>
        <w:shd w:val="clear" w:color="auto" w:fill="EFCCCC" w:themeFill="accent6" w:themeFillTint="33"/>
      </w:tcPr>
    </w:tblStylePr>
  </w:style>
  <w:style w:type="table" w:styleId="ColorfulShading">
    <w:name w:val="Colorful Shading"/>
    <w:basedOn w:val="TableNormal"/>
    <w:uiPriority w:val="71"/>
    <w:rsid w:val="00C00568"/>
    <w:pPr>
      <w:spacing w:before="0"/>
    </w:pPr>
    <w:rPr>
      <w:color w:val="000000" w:themeColor="text1"/>
    </w:rPr>
    <w:tblPr>
      <w:tblStyleRowBandSize w:val="1"/>
      <w:tblStyleColBandSize w:val="1"/>
      <w:tblBorders>
        <w:top w:val="single" w:sz="24" w:space="0" w:color="00497A"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497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00568"/>
    <w:pPr>
      <w:spacing w:before="0"/>
    </w:pPr>
    <w:rPr>
      <w:color w:val="000000" w:themeColor="text1"/>
    </w:rPr>
    <w:tblPr>
      <w:tblStyleRowBandSize w:val="1"/>
      <w:tblStyleColBandSize w:val="1"/>
      <w:tblBorders>
        <w:top w:val="single" w:sz="24" w:space="0" w:color="00497A" w:themeColor="accent2"/>
        <w:left w:val="single" w:sz="4" w:space="0" w:color="0063A6" w:themeColor="accent1"/>
        <w:bottom w:val="single" w:sz="4" w:space="0" w:color="0063A6" w:themeColor="accent1"/>
        <w:right w:val="single" w:sz="4" w:space="0" w:color="0063A6" w:themeColor="accent1"/>
        <w:insideH w:val="single" w:sz="4" w:space="0" w:color="FFFFFF" w:themeColor="background1"/>
        <w:insideV w:val="single" w:sz="4" w:space="0" w:color="FFFFFF" w:themeColor="background1"/>
      </w:tblBorders>
    </w:tblPr>
    <w:tcPr>
      <w:shd w:val="clear" w:color="auto" w:fill="DDF1FF" w:themeFill="accent1" w:themeFillTint="19"/>
    </w:tcPr>
    <w:tblStylePr w:type="firstRow">
      <w:rPr>
        <w:b/>
        <w:bCs/>
      </w:rPr>
      <w:tblPr/>
      <w:tcPr>
        <w:tcBorders>
          <w:top w:val="nil"/>
          <w:left w:val="nil"/>
          <w:bottom w:val="single" w:sz="24" w:space="0" w:color="00497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B63" w:themeFill="accent1" w:themeFillShade="99"/>
      </w:tcPr>
    </w:tblStylePr>
    <w:tblStylePr w:type="firstCol">
      <w:rPr>
        <w:color w:val="FFFFFF" w:themeColor="background1"/>
      </w:rPr>
      <w:tblPr/>
      <w:tcPr>
        <w:tcBorders>
          <w:top w:val="nil"/>
          <w:left w:val="nil"/>
          <w:bottom w:val="nil"/>
          <w:right w:val="nil"/>
          <w:insideH w:val="single" w:sz="4" w:space="0" w:color="003B63" w:themeColor="accent1" w:themeShade="99"/>
          <w:insideV w:val="nil"/>
        </w:tcBorders>
        <w:shd w:val="clear" w:color="auto" w:fill="003B63"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3B63" w:themeFill="accent1" w:themeFillShade="99"/>
      </w:tcPr>
    </w:tblStylePr>
    <w:tblStylePr w:type="band1Vert">
      <w:tblPr/>
      <w:tcPr>
        <w:shd w:val="clear" w:color="auto" w:fill="75C7FF" w:themeFill="accent1" w:themeFillTint="66"/>
      </w:tcPr>
    </w:tblStylePr>
    <w:tblStylePr w:type="band1Horz">
      <w:tblPr/>
      <w:tcPr>
        <w:shd w:val="clear" w:color="auto" w:fill="53B9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00568"/>
    <w:pPr>
      <w:spacing w:before="0"/>
    </w:pPr>
    <w:rPr>
      <w:color w:val="000000" w:themeColor="text1"/>
    </w:rPr>
    <w:tblPr>
      <w:tblStyleRowBandSize w:val="1"/>
      <w:tblStyleColBandSize w:val="1"/>
      <w:tblBorders>
        <w:top w:val="single" w:sz="24" w:space="0" w:color="00497A" w:themeColor="accent2"/>
        <w:left w:val="single" w:sz="4" w:space="0" w:color="00497A" w:themeColor="accent2"/>
        <w:bottom w:val="single" w:sz="4" w:space="0" w:color="00497A" w:themeColor="accent2"/>
        <w:right w:val="single" w:sz="4" w:space="0" w:color="00497A" w:themeColor="accent2"/>
        <w:insideH w:val="single" w:sz="4" w:space="0" w:color="FFFFFF" w:themeColor="background1"/>
        <w:insideV w:val="single" w:sz="4" w:space="0" w:color="FFFFFF" w:themeColor="background1"/>
      </w:tblBorders>
    </w:tblPr>
    <w:tcPr>
      <w:shd w:val="clear" w:color="auto" w:fill="D8EFFF" w:themeFill="accent2" w:themeFillTint="19"/>
    </w:tcPr>
    <w:tblStylePr w:type="firstRow">
      <w:rPr>
        <w:b/>
        <w:bCs/>
      </w:rPr>
      <w:tblPr/>
      <w:tcPr>
        <w:tcBorders>
          <w:top w:val="nil"/>
          <w:left w:val="nil"/>
          <w:bottom w:val="single" w:sz="24" w:space="0" w:color="00497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B49" w:themeFill="accent2" w:themeFillShade="99"/>
      </w:tcPr>
    </w:tblStylePr>
    <w:tblStylePr w:type="firstCol">
      <w:rPr>
        <w:color w:val="FFFFFF" w:themeColor="background1"/>
      </w:rPr>
      <w:tblPr/>
      <w:tcPr>
        <w:tcBorders>
          <w:top w:val="nil"/>
          <w:left w:val="nil"/>
          <w:bottom w:val="nil"/>
          <w:right w:val="nil"/>
          <w:insideH w:val="single" w:sz="4" w:space="0" w:color="002B49" w:themeColor="accent2" w:themeShade="99"/>
          <w:insideV w:val="nil"/>
        </w:tcBorders>
        <w:shd w:val="clear" w:color="auto" w:fill="002B4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2B49" w:themeFill="accent2" w:themeFillShade="99"/>
      </w:tcPr>
    </w:tblStylePr>
    <w:tblStylePr w:type="band1Vert">
      <w:tblPr/>
      <w:tcPr>
        <w:shd w:val="clear" w:color="auto" w:fill="63C0FF" w:themeFill="accent2" w:themeFillTint="66"/>
      </w:tcPr>
    </w:tblStylePr>
    <w:tblStylePr w:type="band1Horz">
      <w:tblPr/>
      <w:tcPr>
        <w:shd w:val="clear" w:color="auto" w:fill="3DB0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00568"/>
    <w:pPr>
      <w:spacing w:before="0"/>
    </w:pPr>
    <w:rPr>
      <w:color w:val="000000" w:themeColor="text1"/>
    </w:rPr>
    <w:tblPr>
      <w:tblStyleRowBandSize w:val="1"/>
      <w:tblStyleColBandSize w:val="1"/>
      <w:tblBorders>
        <w:top w:val="single" w:sz="24" w:space="0" w:color="0072CE" w:themeColor="accent4"/>
        <w:left w:val="single" w:sz="4" w:space="0" w:color="749CC9" w:themeColor="accent3"/>
        <w:bottom w:val="single" w:sz="4" w:space="0" w:color="749CC9" w:themeColor="accent3"/>
        <w:right w:val="single" w:sz="4" w:space="0" w:color="749CC9" w:themeColor="accent3"/>
        <w:insideH w:val="single" w:sz="4" w:space="0" w:color="FFFFFF" w:themeColor="background1"/>
        <w:insideV w:val="single" w:sz="4" w:space="0" w:color="FFFFFF" w:themeColor="background1"/>
      </w:tblBorders>
    </w:tblPr>
    <w:tcPr>
      <w:shd w:val="clear" w:color="auto" w:fill="F1F5F9" w:themeFill="accent3" w:themeFillTint="19"/>
    </w:tcPr>
    <w:tblStylePr w:type="firstRow">
      <w:rPr>
        <w:b/>
        <w:bCs/>
      </w:rPr>
      <w:tblPr/>
      <w:tcPr>
        <w:tcBorders>
          <w:top w:val="nil"/>
          <w:left w:val="nil"/>
          <w:bottom w:val="single" w:sz="24" w:space="0" w:color="0072CE"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5C88" w:themeFill="accent3" w:themeFillShade="99"/>
      </w:tcPr>
    </w:tblStylePr>
    <w:tblStylePr w:type="firstCol">
      <w:rPr>
        <w:color w:val="FFFFFF" w:themeColor="background1"/>
      </w:rPr>
      <w:tblPr/>
      <w:tcPr>
        <w:tcBorders>
          <w:top w:val="nil"/>
          <w:left w:val="nil"/>
          <w:bottom w:val="nil"/>
          <w:right w:val="nil"/>
          <w:insideH w:val="single" w:sz="4" w:space="0" w:color="355C88" w:themeColor="accent3" w:themeShade="99"/>
          <w:insideV w:val="nil"/>
        </w:tcBorders>
        <w:shd w:val="clear" w:color="auto" w:fill="355C88"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55C88" w:themeFill="accent3" w:themeFillShade="99"/>
      </w:tcPr>
    </w:tblStylePr>
    <w:tblStylePr w:type="band1Vert">
      <w:tblPr/>
      <w:tcPr>
        <w:shd w:val="clear" w:color="auto" w:fill="C7D7E9" w:themeFill="accent3" w:themeFillTint="66"/>
      </w:tcPr>
    </w:tblStylePr>
    <w:tblStylePr w:type="band1Horz">
      <w:tblPr/>
      <w:tcPr>
        <w:shd w:val="clear" w:color="auto" w:fill="B9CDE4" w:themeFill="accent3" w:themeFillTint="7F"/>
      </w:tcPr>
    </w:tblStylePr>
  </w:style>
  <w:style w:type="table" w:styleId="ColorfulShading-Accent4">
    <w:name w:val="Colorful Shading Accent 4"/>
    <w:basedOn w:val="TableNormal"/>
    <w:uiPriority w:val="71"/>
    <w:rsid w:val="00C00568"/>
    <w:pPr>
      <w:spacing w:before="0"/>
    </w:pPr>
    <w:rPr>
      <w:color w:val="000000" w:themeColor="text1"/>
    </w:rPr>
    <w:tblPr>
      <w:tblStyleRowBandSize w:val="1"/>
      <w:tblStyleColBandSize w:val="1"/>
      <w:tblBorders>
        <w:top w:val="single" w:sz="24" w:space="0" w:color="749CC9" w:themeColor="accent3"/>
        <w:left w:val="single" w:sz="4" w:space="0" w:color="0072CE" w:themeColor="accent4"/>
        <w:bottom w:val="single" w:sz="4" w:space="0" w:color="0072CE" w:themeColor="accent4"/>
        <w:right w:val="single" w:sz="4" w:space="0" w:color="0072CE" w:themeColor="accent4"/>
        <w:insideH w:val="single" w:sz="4" w:space="0" w:color="FFFFFF" w:themeColor="background1"/>
        <w:insideV w:val="single" w:sz="4" w:space="0" w:color="FFFFFF" w:themeColor="background1"/>
      </w:tblBorders>
    </w:tblPr>
    <w:tcPr>
      <w:shd w:val="clear" w:color="auto" w:fill="E1F1FF" w:themeFill="accent4" w:themeFillTint="19"/>
    </w:tcPr>
    <w:tblStylePr w:type="firstRow">
      <w:rPr>
        <w:b/>
        <w:bCs/>
      </w:rPr>
      <w:tblPr/>
      <w:tcPr>
        <w:tcBorders>
          <w:top w:val="nil"/>
          <w:left w:val="nil"/>
          <w:bottom w:val="single" w:sz="24" w:space="0" w:color="749CC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47B" w:themeFill="accent4" w:themeFillShade="99"/>
      </w:tcPr>
    </w:tblStylePr>
    <w:tblStylePr w:type="firstCol">
      <w:rPr>
        <w:color w:val="FFFFFF" w:themeColor="background1"/>
      </w:rPr>
      <w:tblPr/>
      <w:tcPr>
        <w:tcBorders>
          <w:top w:val="nil"/>
          <w:left w:val="nil"/>
          <w:bottom w:val="nil"/>
          <w:right w:val="nil"/>
          <w:insideH w:val="single" w:sz="4" w:space="0" w:color="00447B" w:themeColor="accent4" w:themeShade="99"/>
          <w:insideV w:val="nil"/>
        </w:tcBorders>
        <w:shd w:val="clear" w:color="auto" w:fill="00447B"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447B" w:themeFill="accent4" w:themeFillShade="99"/>
      </w:tcPr>
    </w:tblStylePr>
    <w:tblStylePr w:type="band1Vert">
      <w:tblPr/>
      <w:tcPr>
        <w:shd w:val="clear" w:color="auto" w:fill="85C8FF" w:themeFill="accent4" w:themeFillTint="66"/>
      </w:tcPr>
    </w:tblStylePr>
    <w:tblStylePr w:type="band1Horz">
      <w:tblPr/>
      <w:tcPr>
        <w:shd w:val="clear" w:color="auto" w:fill="67BBF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00568"/>
    <w:pPr>
      <w:spacing w:before="0"/>
    </w:pPr>
    <w:rPr>
      <w:color w:val="000000" w:themeColor="text1"/>
    </w:rPr>
    <w:tblPr>
      <w:tblStyleRowBandSize w:val="1"/>
      <w:tblStyleColBandSize w:val="1"/>
      <w:tblBorders>
        <w:top w:val="single" w:sz="24" w:space="0" w:color="8A2A2B" w:themeColor="accent6"/>
        <w:left w:val="single" w:sz="4" w:space="0" w:color="009CDE" w:themeColor="accent5"/>
        <w:bottom w:val="single" w:sz="4" w:space="0" w:color="009CDE" w:themeColor="accent5"/>
        <w:right w:val="single" w:sz="4" w:space="0" w:color="009CDE" w:themeColor="accent5"/>
        <w:insideH w:val="single" w:sz="4" w:space="0" w:color="FFFFFF" w:themeColor="background1"/>
        <w:insideV w:val="single" w:sz="4" w:space="0" w:color="FFFFFF" w:themeColor="background1"/>
      </w:tblBorders>
    </w:tblPr>
    <w:tcPr>
      <w:shd w:val="clear" w:color="auto" w:fill="E2F6FF" w:themeFill="accent5" w:themeFillTint="19"/>
    </w:tcPr>
    <w:tblStylePr w:type="firstRow">
      <w:rPr>
        <w:b/>
        <w:bCs/>
      </w:rPr>
      <w:tblPr/>
      <w:tcPr>
        <w:tcBorders>
          <w:top w:val="nil"/>
          <w:left w:val="nil"/>
          <w:bottom w:val="single" w:sz="24" w:space="0" w:color="8A2A2B"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D85" w:themeFill="accent5" w:themeFillShade="99"/>
      </w:tcPr>
    </w:tblStylePr>
    <w:tblStylePr w:type="firstCol">
      <w:rPr>
        <w:color w:val="FFFFFF" w:themeColor="background1"/>
      </w:rPr>
      <w:tblPr/>
      <w:tcPr>
        <w:tcBorders>
          <w:top w:val="nil"/>
          <w:left w:val="nil"/>
          <w:bottom w:val="nil"/>
          <w:right w:val="nil"/>
          <w:insideH w:val="single" w:sz="4" w:space="0" w:color="005D85" w:themeColor="accent5" w:themeShade="99"/>
          <w:insideV w:val="nil"/>
        </w:tcBorders>
        <w:shd w:val="clear" w:color="auto" w:fill="005D85"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05D85" w:themeFill="accent5" w:themeFillShade="99"/>
      </w:tcPr>
    </w:tblStylePr>
    <w:tblStylePr w:type="band1Vert">
      <w:tblPr/>
      <w:tcPr>
        <w:shd w:val="clear" w:color="auto" w:fill="8BDCFF" w:themeFill="accent5" w:themeFillTint="66"/>
      </w:tcPr>
    </w:tblStylePr>
    <w:tblStylePr w:type="band1Horz">
      <w:tblPr/>
      <w:tcPr>
        <w:shd w:val="clear" w:color="auto" w:fill="6FD4F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00568"/>
    <w:pPr>
      <w:spacing w:before="0"/>
    </w:pPr>
    <w:rPr>
      <w:color w:val="000000" w:themeColor="text1"/>
    </w:rPr>
    <w:tblPr>
      <w:tblStyleRowBandSize w:val="1"/>
      <w:tblStyleColBandSize w:val="1"/>
      <w:tblBorders>
        <w:top w:val="single" w:sz="24" w:space="0" w:color="009CDE" w:themeColor="accent5"/>
        <w:left w:val="single" w:sz="4" w:space="0" w:color="8A2A2B" w:themeColor="accent6"/>
        <w:bottom w:val="single" w:sz="4" w:space="0" w:color="8A2A2B" w:themeColor="accent6"/>
        <w:right w:val="single" w:sz="4" w:space="0" w:color="8A2A2B" w:themeColor="accent6"/>
        <w:insideH w:val="single" w:sz="4" w:space="0" w:color="FFFFFF" w:themeColor="background1"/>
        <w:insideV w:val="single" w:sz="4" w:space="0" w:color="FFFFFF" w:themeColor="background1"/>
      </w:tblBorders>
    </w:tblPr>
    <w:tcPr>
      <w:shd w:val="clear" w:color="auto" w:fill="F7E5E5" w:themeFill="accent6" w:themeFillTint="19"/>
    </w:tcPr>
    <w:tblStylePr w:type="firstRow">
      <w:rPr>
        <w:b/>
        <w:bCs/>
      </w:rPr>
      <w:tblPr/>
      <w:tcPr>
        <w:tcBorders>
          <w:top w:val="nil"/>
          <w:left w:val="nil"/>
          <w:bottom w:val="single" w:sz="24" w:space="0" w:color="009CDE"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21919" w:themeFill="accent6" w:themeFillShade="99"/>
      </w:tcPr>
    </w:tblStylePr>
    <w:tblStylePr w:type="firstCol">
      <w:rPr>
        <w:color w:val="FFFFFF" w:themeColor="background1"/>
      </w:rPr>
      <w:tblPr/>
      <w:tcPr>
        <w:tcBorders>
          <w:top w:val="nil"/>
          <w:left w:val="nil"/>
          <w:bottom w:val="nil"/>
          <w:right w:val="nil"/>
          <w:insideH w:val="single" w:sz="4" w:space="0" w:color="521919" w:themeColor="accent6" w:themeShade="99"/>
          <w:insideV w:val="nil"/>
        </w:tcBorders>
        <w:shd w:val="clear" w:color="auto" w:fill="521919"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21919" w:themeFill="accent6" w:themeFillShade="99"/>
      </w:tcPr>
    </w:tblStylePr>
    <w:tblStylePr w:type="band1Vert">
      <w:tblPr/>
      <w:tcPr>
        <w:shd w:val="clear" w:color="auto" w:fill="E0999A" w:themeFill="accent6" w:themeFillTint="66"/>
      </w:tcPr>
    </w:tblStylePr>
    <w:tblStylePr w:type="band1Horz">
      <w:tblPr/>
      <w:tcPr>
        <w:shd w:val="clear" w:color="auto" w:fill="D88081"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C00568"/>
    <w:rPr>
      <w:sz w:val="16"/>
      <w:szCs w:val="16"/>
    </w:rPr>
  </w:style>
  <w:style w:type="paragraph" w:styleId="CommentText">
    <w:name w:val="annotation text"/>
    <w:basedOn w:val="Normal"/>
    <w:link w:val="CommentTextChar"/>
    <w:uiPriority w:val="99"/>
    <w:semiHidden/>
    <w:unhideWhenUsed/>
    <w:rsid w:val="00C00568"/>
    <w:rPr>
      <w:sz w:val="20"/>
      <w:szCs w:val="20"/>
    </w:rPr>
  </w:style>
  <w:style w:type="character" w:customStyle="1" w:styleId="CommentTextChar">
    <w:name w:val="Comment Text Char"/>
    <w:basedOn w:val="DefaultParagraphFont"/>
    <w:link w:val="CommentText"/>
    <w:uiPriority w:val="99"/>
    <w:semiHidden/>
    <w:rsid w:val="00C00568"/>
    <w:rPr>
      <w:sz w:val="20"/>
      <w:szCs w:val="20"/>
    </w:rPr>
  </w:style>
  <w:style w:type="paragraph" w:styleId="CommentSubject">
    <w:name w:val="annotation subject"/>
    <w:basedOn w:val="CommentText"/>
    <w:next w:val="CommentText"/>
    <w:link w:val="CommentSubjectChar"/>
    <w:uiPriority w:val="99"/>
    <w:semiHidden/>
    <w:unhideWhenUsed/>
    <w:rsid w:val="00C00568"/>
    <w:rPr>
      <w:b/>
      <w:bCs/>
    </w:rPr>
  </w:style>
  <w:style w:type="character" w:customStyle="1" w:styleId="CommentSubjectChar">
    <w:name w:val="Comment Subject Char"/>
    <w:basedOn w:val="CommentTextChar"/>
    <w:link w:val="CommentSubject"/>
    <w:uiPriority w:val="99"/>
    <w:semiHidden/>
    <w:rsid w:val="00C00568"/>
    <w:rPr>
      <w:b/>
      <w:bCs/>
      <w:sz w:val="20"/>
      <w:szCs w:val="20"/>
    </w:rPr>
  </w:style>
  <w:style w:type="table" w:styleId="DarkList">
    <w:name w:val="Dark List"/>
    <w:basedOn w:val="TableNormal"/>
    <w:uiPriority w:val="70"/>
    <w:rsid w:val="00C00568"/>
    <w:pPr>
      <w:spacing w:before="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00568"/>
    <w:pPr>
      <w:spacing w:before="0"/>
    </w:pPr>
    <w:rPr>
      <w:color w:val="FFFFFF" w:themeColor="background1"/>
    </w:rPr>
    <w:tblPr>
      <w:tblStyleRowBandSize w:val="1"/>
      <w:tblStyleColBandSize w:val="1"/>
    </w:tblPr>
    <w:tcPr>
      <w:shd w:val="clear" w:color="auto" w:fill="0063A6"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152"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4A7C"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4A7C" w:themeFill="accent1" w:themeFillShade="BF"/>
      </w:tcPr>
    </w:tblStylePr>
    <w:tblStylePr w:type="band1Vert">
      <w:tblPr/>
      <w:tcPr>
        <w:tcBorders>
          <w:top w:val="nil"/>
          <w:left w:val="nil"/>
          <w:bottom w:val="nil"/>
          <w:right w:val="nil"/>
          <w:insideH w:val="nil"/>
          <w:insideV w:val="nil"/>
        </w:tcBorders>
        <w:shd w:val="clear" w:color="auto" w:fill="004A7C" w:themeFill="accent1" w:themeFillShade="BF"/>
      </w:tcPr>
    </w:tblStylePr>
    <w:tblStylePr w:type="band1Horz">
      <w:tblPr/>
      <w:tcPr>
        <w:tcBorders>
          <w:top w:val="nil"/>
          <w:left w:val="nil"/>
          <w:bottom w:val="nil"/>
          <w:right w:val="nil"/>
          <w:insideH w:val="nil"/>
          <w:insideV w:val="nil"/>
        </w:tcBorders>
        <w:shd w:val="clear" w:color="auto" w:fill="004A7C" w:themeFill="accent1" w:themeFillShade="BF"/>
      </w:tcPr>
    </w:tblStylePr>
  </w:style>
  <w:style w:type="table" w:styleId="DarkList-Accent2">
    <w:name w:val="Dark List Accent 2"/>
    <w:basedOn w:val="TableNormal"/>
    <w:uiPriority w:val="70"/>
    <w:rsid w:val="00C00568"/>
    <w:pPr>
      <w:spacing w:before="0"/>
    </w:pPr>
    <w:rPr>
      <w:color w:val="FFFFFF" w:themeColor="background1"/>
    </w:rPr>
    <w:tblPr>
      <w:tblStyleRowBandSize w:val="1"/>
      <w:tblStyleColBandSize w:val="1"/>
    </w:tblPr>
    <w:tcPr>
      <w:shd w:val="clear" w:color="auto" w:fill="00497A"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43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365B"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365B" w:themeFill="accent2" w:themeFillShade="BF"/>
      </w:tcPr>
    </w:tblStylePr>
    <w:tblStylePr w:type="band1Vert">
      <w:tblPr/>
      <w:tcPr>
        <w:tcBorders>
          <w:top w:val="nil"/>
          <w:left w:val="nil"/>
          <w:bottom w:val="nil"/>
          <w:right w:val="nil"/>
          <w:insideH w:val="nil"/>
          <w:insideV w:val="nil"/>
        </w:tcBorders>
        <w:shd w:val="clear" w:color="auto" w:fill="00365B" w:themeFill="accent2" w:themeFillShade="BF"/>
      </w:tcPr>
    </w:tblStylePr>
    <w:tblStylePr w:type="band1Horz">
      <w:tblPr/>
      <w:tcPr>
        <w:tcBorders>
          <w:top w:val="nil"/>
          <w:left w:val="nil"/>
          <w:bottom w:val="nil"/>
          <w:right w:val="nil"/>
          <w:insideH w:val="nil"/>
          <w:insideV w:val="nil"/>
        </w:tcBorders>
        <w:shd w:val="clear" w:color="auto" w:fill="00365B" w:themeFill="accent2" w:themeFillShade="BF"/>
      </w:tcPr>
    </w:tblStylePr>
  </w:style>
  <w:style w:type="table" w:styleId="DarkList-Accent3">
    <w:name w:val="Dark List Accent 3"/>
    <w:basedOn w:val="TableNormal"/>
    <w:uiPriority w:val="70"/>
    <w:rsid w:val="00C00568"/>
    <w:pPr>
      <w:spacing w:before="0"/>
    </w:pPr>
    <w:rPr>
      <w:color w:val="FFFFFF" w:themeColor="background1"/>
    </w:rPr>
    <w:tblPr>
      <w:tblStyleRowBandSize w:val="1"/>
      <w:tblStyleColBandSize w:val="1"/>
    </w:tblPr>
    <w:tcPr>
      <w:shd w:val="clear" w:color="auto" w:fill="749CC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C4C7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273A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273AA" w:themeFill="accent3" w:themeFillShade="BF"/>
      </w:tcPr>
    </w:tblStylePr>
    <w:tblStylePr w:type="band1Vert">
      <w:tblPr/>
      <w:tcPr>
        <w:tcBorders>
          <w:top w:val="nil"/>
          <w:left w:val="nil"/>
          <w:bottom w:val="nil"/>
          <w:right w:val="nil"/>
          <w:insideH w:val="nil"/>
          <w:insideV w:val="nil"/>
        </w:tcBorders>
        <w:shd w:val="clear" w:color="auto" w:fill="4273AA" w:themeFill="accent3" w:themeFillShade="BF"/>
      </w:tcPr>
    </w:tblStylePr>
    <w:tblStylePr w:type="band1Horz">
      <w:tblPr/>
      <w:tcPr>
        <w:tcBorders>
          <w:top w:val="nil"/>
          <w:left w:val="nil"/>
          <w:bottom w:val="nil"/>
          <w:right w:val="nil"/>
          <w:insideH w:val="nil"/>
          <w:insideV w:val="nil"/>
        </w:tcBorders>
        <w:shd w:val="clear" w:color="auto" w:fill="4273AA" w:themeFill="accent3" w:themeFillShade="BF"/>
      </w:tcPr>
    </w:tblStylePr>
  </w:style>
  <w:style w:type="table" w:styleId="DarkList-Accent4">
    <w:name w:val="Dark List Accent 4"/>
    <w:basedOn w:val="TableNormal"/>
    <w:uiPriority w:val="70"/>
    <w:rsid w:val="00C00568"/>
    <w:pPr>
      <w:spacing w:before="0"/>
    </w:pPr>
    <w:rPr>
      <w:color w:val="FFFFFF" w:themeColor="background1"/>
    </w:rPr>
    <w:tblPr>
      <w:tblStyleRowBandSize w:val="1"/>
      <w:tblStyleColBandSize w:val="1"/>
    </w:tblPr>
    <w:tcPr>
      <w:shd w:val="clear" w:color="auto" w:fill="0072CE"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866"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559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559A" w:themeFill="accent4" w:themeFillShade="BF"/>
      </w:tcPr>
    </w:tblStylePr>
    <w:tblStylePr w:type="band1Vert">
      <w:tblPr/>
      <w:tcPr>
        <w:tcBorders>
          <w:top w:val="nil"/>
          <w:left w:val="nil"/>
          <w:bottom w:val="nil"/>
          <w:right w:val="nil"/>
          <w:insideH w:val="nil"/>
          <w:insideV w:val="nil"/>
        </w:tcBorders>
        <w:shd w:val="clear" w:color="auto" w:fill="00559A" w:themeFill="accent4" w:themeFillShade="BF"/>
      </w:tcPr>
    </w:tblStylePr>
    <w:tblStylePr w:type="band1Horz">
      <w:tblPr/>
      <w:tcPr>
        <w:tcBorders>
          <w:top w:val="nil"/>
          <w:left w:val="nil"/>
          <w:bottom w:val="nil"/>
          <w:right w:val="nil"/>
          <w:insideH w:val="nil"/>
          <w:insideV w:val="nil"/>
        </w:tcBorders>
        <w:shd w:val="clear" w:color="auto" w:fill="00559A" w:themeFill="accent4" w:themeFillShade="BF"/>
      </w:tcPr>
    </w:tblStylePr>
  </w:style>
  <w:style w:type="table" w:styleId="DarkList-Accent5">
    <w:name w:val="Dark List Accent 5"/>
    <w:basedOn w:val="TableNormal"/>
    <w:uiPriority w:val="70"/>
    <w:rsid w:val="00C00568"/>
    <w:pPr>
      <w:spacing w:before="0"/>
    </w:pPr>
    <w:rPr>
      <w:color w:val="FFFFFF" w:themeColor="background1"/>
    </w:rPr>
    <w:tblPr>
      <w:tblStyleRowBandSize w:val="1"/>
      <w:tblStyleColBandSize w:val="1"/>
    </w:tblPr>
    <w:tcPr>
      <w:shd w:val="clear" w:color="auto" w:fill="009CDE"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D6E"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0074A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0074A6" w:themeFill="accent5" w:themeFillShade="BF"/>
      </w:tcPr>
    </w:tblStylePr>
    <w:tblStylePr w:type="band1Vert">
      <w:tblPr/>
      <w:tcPr>
        <w:tcBorders>
          <w:top w:val="nil"/>
          <w:left w:val="nil"/>
          <w:bottom w:val="nil"/>
          <w:right w:val="nil"/>
          <w:insideH w:val="nil"/>
          <w:insideV w:val="nil"/>
        </w:tcBorders>
        <w:shd w:val="clear" w:color="auto" w:fill="0074A6" w:themeFill="accent5" w:themeFillShade="BF"/>
      </w:tcPr>
    </w:tblStylePr>
    <w:tblStylePr w:type="band1Horz">
      <w:tblPr/>
      <w:tcPr>
        <w:tcBorders>
          <w:top w:val="nil"/>
          <w:left w:val="nil"/>
          <w:bottom w:val="nil"/>
          <w:right w:val="nil"/>
          <w:insideH w:val="nil"/>
          <w:insideV w:val="nil"/>
        </w:tcBorders>
        <w:shd w:val="clear" w:color="auto" w:fill="0074A6" w:themeFill="accent5" w:themeFillShade="BF"/>
      </w:tcPr>
    </w:tblStylePr>
  </w:style>
  <w:style w:type="table" w:styleId="DarkList-Accent6">
    <w:name w:val="Dark List Accent 6"/>
    <w:basedOn w:val="TableNormal"/>
    <w:uiPriority w:val="70"/>
    <w:rsid w:val="00C00568"/>
    <w:pPr>
      <w:spacing w:before="0"/>
    </w:pPr>
    <w:rPr>
      <w:color w:val="FFFFFF" w:themeColor="background1"/>
    </w:rPr>
    <w:tblPr>
      <w:tblStyleRowBandSize w:val="1"/>
      <w:tblStyleColBandSize w:val="1"/>
    </w:tblPr>
    <w:tcPr>
      <w:shd w:val="clear" w:color="auto" w:fill="8A2A2B"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4151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71F2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71F20" w:themeFill="accent6" w:themeFillShade="BF"/>
      </w:tcPr>
    </w:tblStylePr>
    <w:tblStylePr w:type="band1Vert">
      <w:tblPr/>
      <w:tcPr>
        <w:tcBorders>
          <w:top w:val="nil"/>
          <w:left w:val="nil"/>
          <w:bottom w:val="nil"/>
          <w:right w:val="nil"/>
          <w:insideH w:val="nil"/>
          <w:insideV w:val="nil"/>
        </w:tcBorders>
        <w:shd w:val="clear" w:color="auto" w:fill="671F20" w:themeFill="accent6" w:themeFillShade="BF"/>
      </w:tcPr>
    </w:tblStylePr>
    <w:tblStylePr w:type="band1Horz">
      <w:tblPr/>
      <w:tcPr>
        <w:tcBorders>
          <w:top w:val="nil"/>
          <w:left w:val="nil"/>
          <w:bottom w:val="nil"/>
          <w:right w:val="nil"/>
          <w:insideH w:val="nil"/>
          <w:insideV w:val="nil"/>
        </w:tcBorders>
        <w:shd w:val="clear" w:color="auto" w:fill="671F20" w:themeFill="accent6" w:themeFillShade="BF"/>
      </w:tcPr>
    </w:tblStylePr>
  </w:style>
  <w:style w:type="paragraph" w:styleId="Date">
    <w:name w:val="Date"/>
    <w:basedOn w:val="Normal"/>
    <w:next w:val="Normal"/>
    <w:link w:val="DateChar"/>
    <w:uiPriority w:val="99"/>
    <w:semiHidden/>
    <w:unhideWhenUsed/>
    <w:rsid w:val="00C00568"/>
  </w:style>
  <w:style w:type="character" w:customStyle="1" w:styleId="DateChar">
    <w:name w:val="Date Char"/>
    <w:basedOn w:val="DefaultParagraphFont"/>
    <w:link w:val="Date"/>
    <w:uiPriority w:val="99"/>
    <w:semiHidden/>
    <w:rsid w:val="00C00568"/>
  </w:style>
  <w:style w:type="paragraph" w:styleId="DocumentMap">
    <w:name w:val="Document Map"/>
    <w:basedOn w:val="Normal"/>
    <w:link w:val="DocumentMapChar"/>
    <w:uiPriority w:val="99"/>
    <w:semiHidden/>
    <w:unhideWhenUsed/>
    <w:rsid w:val="00C00568"/>
    <w:pPr>
      <w:spacing w:before="0"/>
    </w:pPr>
    <w:rPr>
      <w:rFonts w:ascii="Tahoma" w:hAnsi="Tahoma" w:cs="Tahoma"/>
      <w:sz w:val="16"/>
      <w:szCs w:val="16"/>
    </w:rPr>
  </w:style>
  <w:style w:type="character" w:customStyle="1" w:styleId="DocumentMapChar">
    <w:name w:val="Document Map Char"/>
    <w:basedOn w:val="DefaultParagraphFont"/>
    <w:link w:val="DocumentMap"/>
    <w:uiPriority w:val="99"/>
    <w:semiHidden/>
    <w:rsid w:val="00C00568"/>
    <w:rPr>
      <w:rFonts w:ascii="Tahoma" w:hAnsi="Tahoma" w:cs="Tahoma"/>
      <w:sz w:val="16"/>
      <w:szCs w:val="16"/>
    </w:rPr>
  </w:style>
  <w:style w:type="paragraph" w:styleId="E-mailSignature">
    <w:name w:val="E-mail Signature"/>
    <w:basedOn w:val="Normal"/>
    <w:link w:val="E-mailSignatureChar"/>
    <w:uiPriority w:val="99"/>
    <w:semiHidden/>
    <w:unhideWhenUsed/>
    <w:rsid w:val="00C00568"/>
    <w:pPr>
      <w:spacing w:before="0"/>
    </w:pPr>
  </w:style>
  <w:style w:type="character" w:customStyle="1" w:styleId="E-mailSignatureChar">
    <w:name w:val="E-mail Signature Char"/>
    <w:basedOn w:val="DefaultParagraphFont"/>
    <w:link w:val="E-mailSignature"/>
    <w:uiPriority w:val="99"/>
    <w:semiHidden/>
    <w:rsid w:val="00C00568"/>
  </w:style>
  <w:style w:type="character" w:styleId="Emphasis">
    <w:name w:val="Emphasis"/>
    <w:basedOn w:val="DefaultParagraphFont"/>
    <w:uiPriority w:val="98"/>
    <w:semiHidden/>
    <w:rsid w:val="00C00568"/>
    <w:rPr>
      <w:i/>
      <w:iCs/>
    </w:rPr>
  </w:style>
  <w:style w:type="character" w:styleId="EndnoteReference">
    <w:name w:val="endnote reference"/>
    <w:basedOn w:val="DefaultParagraphFont"/>
    <w:uiPriority w:val="99"/>
    <w:semiHidden/>
    <w:unhideWhenUsed/>
    <w:rsid w:val="00C00568"/>
    <w:rPr>
      <w:vertAlign w:val="superscript"/>
    </w:rPr>
  </w:style>
  <w:style w:type="paragraph" w:styleId="EndnoteText">
    <w:name w:val="endnote text"/>
    <w:basedOn w:val="Normal"/>
    <w:link w:val="EndnoteTextChar"/>
    <w:uiPriority w:val="99"/>
    <w:semiHidden/>
    <w:unhideWhenUsed/>
    <w:rsid w:val="00C00568"/>
    <w:pPr>
      <w:spacing w:before="0"/>
    </w:pPr>
    <w:rPr>
      <w:sz w:val="20"/>
      <w:szCs w:val="20"/>
    </w:rPr>
  </w:style>
  <w:style w:type="character" w:customStyle="1" w:styleId="EndnoteTextChar">
    <w:name w:val="Endnote Text Char"/>
    <w:basedOn w:val="DefaultParagraphFont"/>
    <w:link w:val="EndnoteText"/>
    <w:uiPriority w:val="99"/>
    <w:semiHidden/>
    <w:rsid w:val="00C00568"/>
    <w:rPr>
      <w:sz w:val="20"/>
      <w:szCs w:val="20"/>
    </w:rPr>
  </w:style>
  <w:style w:type="paragraph" w:styleId="EnvelopeAddress">
    <w:name w:val="envelope address"/>
    <w:basedOn w:val="Normal"/>
    <w:uiPriority w:val="99"/>
    <w:semiHidden/>
    <w:unhideWhenUsed/>
    <w:rsid w:val="00C00568"/>
    <w:pPr>
      <w:framePr w:w="7920" w:h="1980" w:hRule="exact" w:hSpace="180" w:wrap="auto" w:hAnchor="page" w:xAlign="center" w:yAlign="bottom"/>
      <w:spacing w:before="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C00568"/>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C00568"/>
    <w:rPr>
      <w:color w:val="8A2A2B" w:themeColor="followedHyperlink"/>
      <w:u w:val="single"/>
    </w:rPr>
  </w:style>
  <w:style w:type="character" w:styleId="FootnoteReference">
    <w:name w:val="footnote reference"/>
    <w:basedOn w:val="DefaultParagraphFont"/>
    <w:uiPriority w:val="99"/>
    <w:semiHidden/>
    <w:unhideWhenUsed/>
    <w:rsid w:val="00C00568"/>
    <w:rPr>
      <w:vertAlign w:val="superscript"/>
    </w:rPr>
  </w:style>
  <w:style w:type="character" w:styleId="HTMLAcronym">
    <w:name w:val="HTML Acronym"/>
    <w:basedOn w:val="DefaultParagraphFont"/>
    <w:uiPriority w:val="99"/>
    <w:semiHidden/>
    <w:unhideWhenUsed/>
    <w:rsid w:val="00C00568"/>
  </w:style>
  <w:style w:type="paragraph" w:styleId="HTMLAddress">
    <w:name w:val="HTML Address"/>
    <w:basedOn w:val="Normal"/>
    <w:link w:val="HTMLAddressChar"/>
    <w:uiPriority w:val="99"/>
    <w:semiHidden/>
    <w:unhideWhenUsed/>
    <w:rsid w:val="00C00568"/>
    <w:pPr>
      <w:spacing w:before="0"/>
    </w:pPr>
    <w:rPr>
      <w:i/>
      <w:iCs/>
    </w:rPr>
  </w:style>
  <w:style w:type="character" w:customStyle="1" w:styleId="HTMLAddressChar">
    <w:name w:val="HTML Address Char"/>
    <w:basedOn w:val="DefaultParagraphFont"/>
    <w:link w:val="HTMLAddress"/>
    <w:uiPriority w:val="99"/>
    <w:semiHidden/>
    <w:rsid w:val="00C00568"/>
    <w:rPr>
      <w:i/>
      <w:iCs/>
    </w:rPr>
  </w:style>
  <w:style w:type="character" w:styleId="HTMLCite">
    <w:name w:val="HTML Cite"/>
    <w:basedOn w:val="DefaultParagraphFont"/>
    <w:uiPriority w:val="99"/>
    <w:semiHidden/>
    <w:unhideWhenUsed/>
    <w:rsid w:val="00C00568"/>
    <w:rPr>
      <w:i/>
      <w:iCs/>
    </w:rPr>
  </w:style>
  <w:style w:type="character" w:styleId="HTMLCode">
    <w:name w:val="HTML Code"/>
    <w:basedOn w:val="DefaultParagraphFont"/>
    <w:uiPriority w:val="99"/>
    <w:semiHidden/>
    <w:unhideWhenUsed/>
    <w:rsid w:val="00C00568"/>
    <w:rPr>
      <w:rFonts w:ascii="Consolas" w:hAnsi="Consolas" w:cs="Consolas"/>
      <w:sz w:val="20"/>
      <w:szCs w:val="20"/>
    </w:rPr>
  </w:style>
  <w:style w:type="character" w:styleId="HTMLDefinition">
    <w:name w:val="HTML Definition"/>
    <w:basedOn w:val="DefaultParagraphFont"/>
    <w:uiPriority w:val="99"/>
    <w:semiHidden/>
    <w:unhideWhenUsed/>
    <w:rsid w:val="00C00568"/>
    <w:rPr>
      <w:i/>
      <w:iCs/>
    </w:rPr>
  </w:style>
  <w:style w:type="character" w:styleId="HTMLKeyboard">
    <w:name w:val="HTML Keyboard"/>
    <w:basedOn w:val="DefaultParagraphFont"/>
    <w:uiPriority w:val="99"/>
    <w:semiHidden/>
    <w:unhideWhenUsed/>
    <w:rsid w:val="00C00568"/>
    <w:rPr>
      <w:rFonts w:ascii="Consolas" w:hAnsi="Consolas" w:cs="Consolas"/>
      <w:sz w:val="20"/>
      <w:szCs w:val="20"/>
    </w:rPr>
  </w:style>
  <w:style w:type="paragraph" w:styleId="HTMLPreformatted">
    <w:name w:val="HTML Preformatted"/>
    <w:basedOn w:val="Normal"/>
    <w:link w:val="HTMLPreformattedChar"/>
    <w:uiPriority w:val="99"/>
    <w:semiHidden/>
    <w:unhideWhenUsed/>
    <w:rsid w:val="00C00568"/>
    <w:pPr>
      <w:spacing w:before="0"/>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C00568"/>
    <w:rPr>
      <w:rFonts w:ascii="Consolas" w:hAnsi="Consolas" w:cs="Consolas"/>
      <w:sz w:val="20"/>
      <w:szCs w:val="20"/>
    </w:rPr>
  </w:style>
  <w:style w:type="character" w:styleId="HTMLSample">
    <w:name w:val="HTML Sample"/>
    <w:basedOn w:val="DefaultParagraphFont"/>
    <w:uiPriority w:val="99"/>
    <w:semiHidden/>
    <w:unhideWhenUsed/>
    <w:rsid w:val="00C00568"/>
    <w:rPr>
      <w:rFonts w:ascii="Consolas" w:hAnsi="Consolas" w:cs="Consolas"/>
      <w:sz w:val="24"/>
      <w:szCs w:val="24"/>
    </w:rPr>
  </w:style>
  <w:style w:type="character" w:styleId="HTMLTypewriter">
    <w:name w:val="HTML Typewriter"/>
    <w:basedOn w:val="DefaultParagraphFont"/>
    <w:uiPriority w:val="99"/>
    <w:semiHidden/>
    <w:unhideWhenUsed/>
    <w:rsid w:val="00C00568"/>
    <w:rPr>
      <w:rFonts w:ascii="Consolas" w:hAnsi="Consolas" w:cs="Consolas"/>
      <w:sz w:val="20"/>
      <w:szCs w:val="20"/>
    </w:rPr>
  </w:style>
  <w:style w:type="character" w:styleId="HTMLVariable">
    <w:name w:val="HTML Variable"/>
    <w:basedOn w:val="DefaultParagraphFont"/>
    <w:uiPriority w:val="99"/>
    <w:semiHidden/>
    <w:unhideWhenUsed/>
    <w:rsid w:val="00C00568"/>
    <w:rPr>
      <w:i/>
      <w:iCs/>
    </w:rPr>
  </w:style>
  <w:style w:type="paragraph" w:styleId="Index1">
    <w:name w:val="index 1"/>
    <w:basedOn w:val="Normal"/>
    <w:next w:val="Normal"/>
    <w:autoRedefine/>
    <w:uiPriority w:val="99"/>
    <w:semiHidden/>
    <w:unhideWhenUsed/>
    <w:rsid w:val="00C00568"/>
    <w:pPr>
      <w:spacing w:before="0"/>
      <w:ind w:left="220" w:hanging="220"/>
    </w:pPr>
  </w:style>
  <w:style w:type="paragraph" w:styleId="Index2">
    <w:name w:val="index 2"/>
    <w:basedOn w:val="Normal"/>
    <w:next w:val="Normal"/>
    <w:autoRedefine/>
    <w:uiPriority w:val="99"/>
    <w:semiHidden/>
    <w:unhideWhenUsed/>
    <w:rsid w:val="00C00568"/>
    <w:pPr>
      <w:spacing w:before="0"/>
      <w:ind w:left="440" w:hanging="220"/>
    </w:pPr>
  </w:style>
  <w:style w:type="paragraph" w:styleId="Index3">
    <w:name w:val="index 3"/>
    <w:basedOn w:val="Normal"/>
    <w:next w:val="Normal"/>
    <w:autoRedefine/>
    <w:uiPriority w:val="99"/>
    <w:semiHidden/>
    <w:unhideWhenUsed/>
    <w:rsid w:val="00C00568"/>
    <w:pPr>
      <w:spacing w:before="0"/>
      <w:ind w:left="660" w:hanging="220"/>
    </w:pPr>
  </w:style>
  <w:style w:type="paragraph" w:styleId="Index4">
    <w:name w:val="index 4"/>
    <w:basedOn w:val="Normal"/>
    <w:next w:val="Normal"/>
    <w:autoRedefine/>
    <w:uiPriority w:val="99"/>
    <w:semiHidden/>
    <w:unhideWhenUsed/>
    <w:rsid w:val="00C00568"/>
    <w:pPr>
      <w:spacing w:before="0"/>
      <w:ind w:left="880" w:hanging="220"/>
    </w:pPr>
  </w:style>
  <w:style w:type="paragraph" w:styleId="Index5">
    <w:name w:val="index 5"/>
    <w:basedOn w:val="Normal"/>
    <w:next w:val="Normal"/>
    <w:autoRedefine/>
    <w:uiPriority w:val="99"/>
    <w:semiHidden/>
    <w:unhideWhenUsed/>
    <w:rsid w:val="00C00568"/>
    <w:pPr>
      <w:spacing w:before="0"/>
      <w:ind w:left="1100" w:hanging="220"/>
    </w:pPr>
  </w:style>
  <w:style w:type="paragraph" w:styleId="Index6">
    <w:name w:val="index 6"/>
    <w:basedOn w:val="Normal"/>
    <w:next w:val="Normal"/>
    <w:autoRedefine/>
    <w:uiPriority w:val="99"/>
    <w:semiHidden/>
    <w:unhideWhenUsed/>
    <w:rsid w:val="00C00568"/>
    <w:pPr>
      <w:spacing w:before="0"/>
      <w:ind w:left="1320" w:hanging="220"/>
    </w:pPr>
  </w:style>
  <w:style w:type="paragraph" w:styleId="Index7">
    <w:name w:val="index 7"/>
    <w:basedOn w:val="Normal"/>
    <w:next w:val="Normal"/>
    <w:autoRedefine/>
    <w:uiPriority w:val="99"/>
    <w:semiHidden/>
    <w:unhideWhenUsed/>
    <w:rsid w:val="00C00568"/>
    <w:pPr>
      <w:spacing w:before="0"/>
      <w:ind w:left="1540" w:hanging="220"/>
    </w:pPr>
  </w:style>
  <w:style w:type="paragraph" w:styleId="Index8">
    <w:name w:val="index 8"/>
    <w:basedOn w:val="Normal"/>
    <w:next w:val="Normal"/>
    <w:autoRedefine/>
    <w:uiPriority w:val="99"/>
    <w:semiHidden/>
    <w:unhideWhenUsed/>
    <w:rsid w:val="00C00568"/>
    <w:pPr>
      <w:spacing w:before="0"/>
      <w:ind w:left="1760" w:hanging="220"/>
    </w:pPr>
  </w:style>
  <w:style w:type="paragraph" w:styleId="Index9">
    <w:name w:val="index 9"/>
    <w:basedOn w:val="Normal"/>
    <w:next w:val="Normal"/>
    <w:autoRedefine/>
    <w:uiPriority w:val="99"/>
    <w:semiHidden/>
    <w:unhideWhenUsed/>
    <w:rsid w:val="00C00568"/>
    <w:pPr>
      <w:spacing w:before="0"/>
      <w:ind w:left="1980" w:hanging="220"/>
    </w:pPr>
  </w:style>
  <w:style w:type="paragraph" w:styleId="IndexHeading">
    <w:name w:val="index heading"/>
    <w:basedOn w:val="Normal"/>
    <w:next w:val="Index1"/>
    <w:uiPriority w:val="99"/>
    <w:semiHidden/>
    <w:unhideWhenUsed/>
    <w:rsid w:val="00C00568"/>
    <w:rPr>
      <w:rFonts w:asciiTheme="majorHAnsi" w:eastAsiaTheme="majorEastAsia" w:hAnsiTheme="majorHAnsi" w:cstheme="majorBidi"/>
      <w:b/>
      <w:bCs/>
    </w:rPr>
  </w:style>
  <w:style w:type="character" w:styleId="IntenseEmphasis">
    <w:name w:val="Intense Emphasis"/>
    <w:basedOn w:val="DefaultParagraphFont"/>
    <w:uiPriority w:val="98"/>
    <w:semiHidden/>
    <w:rsid w:val="00C00568"/>
    <w:rPr>
      <w:b/>
      <w:bCs/>
      <w:i/>
      <w:iCs/>
      <w:color w:val="0063A6" w:themeColor="accent1"/>
    </w:rPr>
  </w:style>
  <w:style w:type="paragraph" w:styleId="IntenseQuote">
    <w:name w:val="Intense Quote"/>
    <w:basedOn w:val="Normal"/>
    <w:next w:val="Normal"/>
    <w:link w:val="IntenseQuoteChar"/>
    <w:uiPriority w:val="30"/>
    <w:semiHidden/>
    <w:rsid w:val="00C00568"/>
    <w:pPr>
      <w:pBdr>
        <w:bottom w:val="single" w:sz="4" w:space="4" w:color="0063A6" w:themeColor="accent1"/>
      </w:pBdr>
      <w:spacing w:before="200" w:after="280"/>
      <w:ind w:left="936" w:right="936"/>
    </w:pPr>
    <w:rPr>
      <w:b/>
      <w:bCs/>
      <w:i/>
      <w:iCs/>
      <w:color w:val="0063A6" w:themeColor="accent1"/>
    </w:rPr>
  </w:style>
  <w:style w:type="character" w:customStyle="1" w:styleId="IntenseQuoteChar">
    <w:name w:val="Intense Quote Char"/>
    <w:basedOn w:val="DefaultParagraphFont"/>
    <w:link w:val="IntenseQuote"/>
    <w:uiPriority w:val="30"/>
    <w:semiHidden/>
    <w:rsid w:val="00C00568"/>
    <w:rPr>
      <w:b/>
      <w:bCs/>
      <w:i/>
      <w:iCs/>
      <w:color w:val="0063A6" w:themeColor="accent1"/>
    </w:rPr>
  </w:style>
  <w:style w:type="character" w:styleId="IntenseReference">
    <w:name w:val="Intense Reference"/>
    <w:basedOn w:val="DefaultParagraphFont"/>
    <w:uiPriority w:val="32"/>
    <w:semiHidden/>
    <w:rsid w:val="00C00568"/>
    <w:rPr>
      <w:b/>
      <w:bCs/>
      <w:smallCaps/>
      <w:color w:val="00497A" w:themeColor="accent2"/>
      <w:spacing w:val="5"/>
      <w:u w:val="single"/>
    </w:rPr>
  </w:style>
  <w:style w:type="table" w:styleId="LightGrid">
    <w:name w:val="Light Grid"/>
    <w:basedOn w:val="TableNormal"/>
    <w:uiPriority w:val="62"/>
    <w:rsid w:val="00C00568"/>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00568"/>
    <w:pPr>
      <w:spacing w:before="0"/>
    </w:pPr>
    <w:tblPr>
      <w:tblStyleRowBandSize w:val="1"/>
      <w:tblStyleColBandSize w:val="1"/>
      <w:tblBorders>
        <w:top w:val="single" w:sz="8" w:space="0" w:color="0063A6" w:themeColor="accent1"/>
        <w:left w:val="single" w:sz="8" w:space="0" w:color="0063A6" w:themeColor="accent1"/>
        <w:bottom w:val="single" w:sz="8" w:space="0" w:color="0063A6" w:themeColor="accent1"/>
        <w:right w:val="single" w:sz="8" w:space="0" w:color="0063A6" w:themeColor="accent1"/>
        <w:insideH w:val="single" w:sz="8" w:space="0" w:color="0063A6" w:themeColor="accent1"/>
        <w:insideV w:val="single" w:sz="8" w:space="0" w:color="0063A6"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63A6" w:themeColor="accent1"/>
          <w:left w:val="single" w:sz="8" w:space="0" w:color="0063A6" w:themeColor="accent1"/>
          <w:bottom w:val="single" w:sz="18" w:space="0" w:color="0063A6" w:themeColor="accent1"/>
          <w:right w:val="single" w:sz="8" w:space="0" w:color="0063A6" w:themeColor="accent1"/>
          <w:insideH w:val="nil"/>
          <w:insideV w:val="single" w:sz="8" w:space="0" w:color="0063A6"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63A6" w:themeColor="accent1"/>
          <w:left w:val="single" w:sz="8" w:space="0" w:color="0063A6" w:themeColor="accent1"/>
          <w:bottom w:val="single" w:sz="8" w:space="0" w:color="0063A6" w:themeColor="accent1"/>
          <w:right w:val="single" w:sz="8" w:space="0" w:color="0063A6" w:themeColor="accent1"/>
          <w:insideH w:val="nil"/>
          <w:insideV w:val="single" w:sz="8" w:space="0" w:color="0063A6"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tcPr>
    </w:tblStylePr>
    <w:tblStylePr w:type="band1Vert">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shd w:val="clear" w:color="auto" w:fill="AADCFF" w:themeFill="accent1" w:themeFillTint="3F"/>
      </w:tcPr>
    </w:tblStylePr>
    <w:tblStylePr w:type="band1Horz">
      <w:tblPr/>
      <w:tcPr>
        <w:tcBorders>
          <w:top w:val="single" w:sz="8" w:space="0" w:color="0063A6" w:themeColor="accent1"/>
          <w:left w:val="single" w:sz="8" w:space="0" w:color="0063A6" w:themeColor="accent1"/>
          <w:bottom w:val="single" w:sz="8" w:space="0" w:color="0063A6" w:themeColor="accent1"/>
          <w:right w:val="single" w:sz="8" w:space="0" w:color="0063A6" w:themeColor="accent1"/>
          <w:insideV w:val="single" w:sz="8" w:space="0" w:color="0063A6" w:themeColor="accent1"/>
        </w:tcBorders>
        <w:shd w:val="clear" w:color="auto" w:fill="AADCFF" w:themeFill="accent1" w:themeFillTint="3F"/>
      </w:tcPr>
    </w:tblStylePr>
    <w:tblStylePr w:type="band2Horz">
      <w:tblPr/>
      <w:tcPr>
        <w:tcBorders>
          <w:top w:val="single" w:sz="8" w:space="0" w:color="0063A6" w:themeColor="accent1"/>
          <w:left w:val="single" w:sz="8" w:space="0" w:color="0063A6" w:themeColor="accent1"/>
          <w:bottom w:val="single" w:sz="8" w:space="0" w:color="0063A6" w:themeColor="accent1"/>
          <w:right w:val="single" w:sz="8" w:space="0" w:color="0063A6" w:themeColor="accent1"/>
          <w:insideV w:val="single" w:sz="8" w:space="0" w:color="0063A6" w:themeColor="accent1"/>
        </w:tcBorders>
      </w:tcPr>
    </w:tblStylePr>
  </w:style>
  <w:style w:type="table" w:styleId="LightGrid-Accent2">
    <w:name w:val="Light Grid Accent 2"/>
    <w:basedOn w:val="TableNormal"/>
    <w:uiPriority w:val="62"/>
    <w:rsid w:val="00C00568"/>
    <w:pPr>
      <w:spacing w:before="0"/>
    </w:pPr>
    <w:tblPr>
      <w:tblStyleRowBandSize w:val="1"/>
      <w:tblStyleColBandSize w:val="1"/>
      <w:tblBorders>
        <w:top w:val="single" w:sz="8" w:space="0" w:color="00497A" w:themeColor="accent2"/>
        <w:left w:val="single" w:sz="8" w:space="0" w:color="00497A" w:themeColor="accent2"/>
        <w:bottom w:val="single" w:sz="8" w:space="0" w:color="00497A" w:themeColor="accent2"/>
        <w:right w:val="single" w:sz="8" w:space="0" w:color="00497A" w:themeColor="accent2"/>
        <w:insideH w:val="single" w:sz="8" w:space="0" w:color="00497A" w:themeColor="accent2"/>
        <w:insideV w:val="single" w:sz="8" w:space="0" w:color="00497A"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497A" w:themeColor="accent2"/>
          <w:left w:val="single" w:sz="8" w:space="0" w:color="00497A" w:themeColor="accent2"/>
          <w:bottom w:val="single" w:sz="18" w:space="0" w:color="00497A" w:themeColor="accent2"/>
          <w:right w:val="single" w:sz="8" w:space="0" w:color="00497A" w:themeColor="accent2"/>
          <w:insideH w:val="nil"/>
          <w:insideV w:val="single" w:sz="8" w:space="0" w:color="00497A"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97A" w:themeColor="accent2"/>
          <w:left w:val="single" w:sz="8" w:space="0" w:color="00497A" w:themeColor="accent2"/>
          <w:bottom w:val="single" w:sz="8" w:space="0" w:color="00497A" w:themeColor="accent2"/>
          <w:right w:val="single" w:sz="8" w:space="0" w:color="00497A" w:themeColor="accent2"/>
          <w:insideH w:val="nil"/>
          <w:insideV w:val="single" w:sz="8" w:space="0" w:color="00497A"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97A" w:themeColor="accent2"/>
          <w:left w:val="single" w:sz="8" w:space="0" w:color="00497A" w:themeColor="accent2"/>
          <w:bottom w:val="single" w:sz="8" w:space="0" w:color="00497A" w:themeColor="accent2"/>
          <w:right w:val="single" w:sz="8" w:space="0" w:color="00497A" w:themeColor="accent2"/>
        </w:tcBorders>
      </w:tcPr>
    </w:tblStylePr>
    <w:tblStylePr w:type="band1Vert">
      <w:tblPr/>
      <w:tcPr>
        <w:tcBorders>
          <w:top w:val="single" w:sz="8" w:space="0" w:color="00497A" w:themeColor="accent2"/>
          <w:left w:val="single" w:sz="8" w:space="0" w:color="00497A" w:themeColor="accent2"/>
          <w:bottom w:val="single" w:sz="8" w:space="0" w:color="00497A" w:themeColor="accent2"/>
          <w:right w:val="single" w:sz="8" w:space="0" w:color="00497A" w:themeColor="accent2"/>
        </w:tcBorders>
        <w:shd w:val="clear" w:color="auto" w:fill="9FD8FF" w:themeFill="accent2" w:themeFillTint="3F"/>
      </w:tcPr>
    </w:tblStylePr>
    <w:tblStylePr w:type="band1Horz">
      <w:tblPr/>
      <w:tcPr>
        <w:tcBorders>
          <w:top w:val="single" w:sz="8" w:space="0" w:color="00497A" w:themeColor="accent2"/>
          <w:left w:val="single" w:sz="8" w:space="0" w:color="00497A" w:themeColor="accent2"/>
          <w:bottom w:val="single" w:sz="8" w:space="0" w:color="00497A" w:themeColor="accent2"/>
          <w:right w:val="single" w:sz="8" w:space="0" w:color="00497A" w:themeColor="accent2"/>
          <w:insideV w:val="single" w:sz="8" w:space="0" w:color="00497A" w:themeColor="accent2"/>
        </w:tcBorders>
        <w:shd w:val="clear" w:color="auto" w:fill="9FD8FF" w:themeFill="accent2" w:themeFillTint="3F"/>
      </w:tcPr>
    </w:tblStylePr>
    <w:tblStylePr w:type="band2Horz">
      <w:tblPr/>
      <w:tcPr>
        <w:tcBorders>
          <w:top w:val="single" w:sz="8" w:space="0" w:color="00497A" w:themeColor="accent2"/>
          <w:left w:val="single" w:sz="8" w:space="0" w:color="00497A" w:themeColor="accent2"/>
          <w:bottom w:val="single" w:sz="8" w:space="0" w:color="00497A" w:themeColor="accent2"/>
          <w:right w:val="single" w:sz="8" w:space="0" w:color="00497A" w:themeColor="accent2"/>
          <w:insideV w:val="single" w:sz="8" w:space="0" w:color="00497A" w:themeColor="accent2"/>
        </w:tcBorders>
      </w:tcPr>
    </w:tblStylePr>
  </w:style>
  <w:style w:type="table" w:styleId="LightGrid-Accent3">
    <w:name w:val="Light Grid Accent 3"/>
    <w:basedOn w:val="TableNormal"/>
    <w:uiPriority w:val="62"/>
    <w:rsid w:val="00C00568"/>
    <w:pPr>
      <w:spacing w:before="0"/>
    </w:pPr>
    <w:tblPr>
      <w:tblStyleRowBandSize w:val="1"/>
      <w:tblStyleColBandSize w:val="1"/>
      <w:tblBorders>
        <w:top w:val="single" w:sz="8" w:space="0" w:color="749CC9" w:themeColor="accent3"/>
        <w:left w:val="single" w:sz="8" w:space="0" w:color="749CC9" w:themeColor="accent3"/>
        <w:bottom w:val="single" w:sz="8" w:space="0" w:color="749CC9" w:themeColor="accent3"/>
        <w:right w:val="single" w:sz="8" w:space="0" w:color="749CC9" w:themeColor="accent3"/>
        <w:insideH w:val="single" w:sz="8" w:space="0" w:color="749CC9" w:themeColor="accent3"/>
        <w:insideV w:val="single" w:sz="8" w:space="0" w:color="749CC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49CC9" w:themeColor="accent3"/>
          <w:left w:val="single" w:sz="8" w:space="0" w:color="749CC9" w:themeColor="accent3"/>
          <w:bottom w:val="single" w:sz="18" w:space="0" w:color="749CC9" w:themeColor="accent3"/>
          <w:right w:val="single" w:sz="8" w:space="0" w:color="749CC9" w:themeColor="accent3"/>
          <w:insideH w:val="nil"/>
          <w:insideV w:val="single" w:sz="8" w:space="0" w:color="749CC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49CC9" w:themeColor="accent3"/>
          <w:left w:val="single" w:sz="8" w:space="0" w:color="749CC9" w:themeColor="accent3"/>
          <w:bottom w:val="single" w:sz="8" w:space="0" w:color="749CC9" w:themeColor="accent3"/>
          <w:right w:val="single" w:sz="8" w:space="0" w:color="749CC9" w:themeColor="accent3"/>
          <w:insideH w:val="nil"/>
          <w:insideV w:val="single" w:sz="8" w:space="0" w:color="749CC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49CC9" w:themeColor="accent3"/>
          <w:left w:val="single" w:sz="8" w:space="0" w:color="749CC9" w:themeColor="accent3"/>
          <w:bottom w:val="single" w:sz="8" w:space="0" w:color="749CC9" w:themeColor="accent3"/>
          <w:right w:val="single" w:sz="8" w:space="0" w:color="749CC9" w:themeColor="accent3"/>
        </w:tcBorders>
      </w:tcPr>
    </w:tblStylePr>
    <w:tblStylePr w:type="band1Vert">
      <w:tblPr/>
      <w:tcPr>
        <w:tcBorders>
          <w:top w:val="single" w:sz="8" w:space="0" w:color="749CC9" w:themeColor="accent3"/>
          <w:left w:val="single" w:sz="8" w:space="0" w:color="749CC9" w:themeColor="accent3"/>
          <w:bottom w:val="single" w:sz="8" w:space="0" w:color="749CC9" w:themeColor="accent3"/>
          <w:right w:val="single" w:sz="8" w:space="0" w:color="749CC9" w:themeColor="accent3"/>
        </w:tcBorders>
        <w:shd w:val="clear" w:color="auto" w:fill="DCE6F1" w:themeFill="accent3" w:themeFillTint="3F"/>
      </w:tcPr>
    </w:tblStylePr>
    <w:tblStylePr w:type="band1Horz">
      <w:tblPr/>
      <w:tcPr>
        <w:tcBorders>
          <w:top w:val="single" w:sz="8" w:space="0" w:color="749CC9" w:themeColor="accent3"/>
          <w:left w:val="single" w:sz="8" w:space="0" w:color="749CC9" w:themeColor="accent3"/>
          <w:bottom w:val="single" w:sz="8" w:space="0" w:color="749CC9" w:themeColor="accent3"/>
          <w:right w:val="single" w:sz="8" w:space="0" w:color="749CC9" w:themeColor="accent3"/>
          <w:insideV w:val="single" w:sz="8" w:space="0" w:color="749CC9" w:themeColor="accent3"/>
        </w:tcBorders>
        <w:shd w:val="clear" w:color="auto" w:fill="DCE6F1" w:themeFill="accent3" w:themeFillTint="3F"/>
      </w:tcPr>
    </w:tblStylePr>
    <w:tblStylePr w:type="band2Horz">
      <w:tblPr/>
      <w:tcPr>
        <w:tcBorders>
          <w:top w:val="single" w:sz="8" w:space="0" w:color="749CC9" w:themeColor="accent3"/>
          <w:left w:val="single" w:sz="8" w:space="0" w:color="749CC9" w:themeColor="accent3"/>
          <w:bottom w:val="single" w:sz="8" w:space="0" w:color="749CC9" w:themeColor="accent3"/>
          <w:right w:val="single" w:sz="8" w:space="0" w:color="749CC9" w:themeColor="accent3"/>
          <w:insideV w:val="single" w:sz="8" w:space="0" w:color="749CC9" w:themeColor="accent3"/>
        </w:tcBorders>
      </w:tcPr>
    </w:tblStylePr>
  </w:style>
  <w:style w:type="table" w:styleId="LightGrid-Accent4">
    <w:name w:val="Light Grid Accent 4"/>
    <w:basedOn w:val="TableNormal"/>
    <w:uiPriority w:val="62"/>
    <w:rsid w:val="00C00568"/>
    <w:pPr>
      <w:spacing w:before="0"/>
    </w:pPr>
    <w:tblPr>
      <w:tblStyleRowBandSize w:val="1"/>
      <w:tblStyleColBandSize w:val="1"/>
      <w:tblBorders>
        <w:top w:val="single" w:sz="8" w:space="0" w:color="0072CE" w:themeColor="accent4"/>
        <w:left w:val="single" w:sz="8" w:space="0" w:color="0072CE" w:themeColor="accent4"/>
        <w:bottom w:val="single" w:sz="8" w:space="0" w:color="0072CE" w:themeColor="accent4"/>
        <w:right w:val="single" w:sz="8" w:space="0" w:color="0072CE" w:themeColor="accent4"/>
        <w:insideH w:val="single" w:sz="8" w:space="0" w:color="0072CE" w:themeColor="accent4"/>
        <w:insideV w:val="single" w:sz="8" w:space="0" w:color="0072CE"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CE" w:themeColor="accent4"/>
          <w:left w:val="single" w:sz="8" w:space="0" w:color="0072CE" w:themeColor="accent4"/>
          <w:bottom w:val="single" w:sz="18" w:space="0" w:color="0072CE" w:themeColor="accent4"/>
          <w:right w:val="single" w:sz="8" w:space="0" w:color="0072CE" w:themeColor="accent4"/>
          <w:insideH w:val="nil"/>
          <w:insideV w:val="single" w:sz="8" w:space="0" w:color="0072CE"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CE" w:themeColor="accent4"/>
          <w:left w:val="single" w:sz="8" w:space="0" w:color="0072CE" w:themeColor="accent4"/>
          <w:bottom w:val="single" w:sz="8" w:space="0" w:color="0072CE" w:themeColor="accent4"/>
          <w:right w:val="single" w:sz="8" w:space="0" w:color="0072CE" w:themeColor="accent4"/>
          <w:insideH w:val="nil"/>
          <w:insideV w:val="single" w:sz="8" w:space="0" w:color="0072CE"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tcPr>
    </w:tblStylePr>
    <w:tblStylePr w:type="band1Vert">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shd w:val="clear" w:color="auto" w:fill="B3DDFF" w:themeFill="accent4" w:themeFillTint="3F"/>
      </w:tcPr>
    </w:tblStylePr>
    <w:tblStylePr w:type="band1Horz">
      <w:tblPr/>
      <w:tcPr>
        <w:tcBorders>
          <w:top w:val="single" w:sz="8" w:space="0" w:color="0072CE" w:themeColor="accent4"/>
          <w:left w:val="single" w:sz="8" w:space="0" w:color="0072CE" w:themeColor="accent4"/>
          <w:bottom w:val="single" w:sz="8" w:space="0" w:color="0072CE" w:themeColor="accent4"/>
          <w:right w:val="single" w:sz="8" w:space="0" w:color="0072CE" w:themeColor="accent4"/>
          <w:insideV w:val="single" w:sz="8" w:space="0" w:color="0072CE" w:themeColor="accent4"/>
        </w:tcBorders>
        <w:shd w:val="clear" w:color="auto" w:fill="B3DDFF" w:themeFill="accent4" w:themeFillTint="3F"/>
      </w:tcPr>
    </w:tblStylePr>
    <w:tblStylePr w:type="band2Horz">
      <w:tblPr/>
      <w:tcPr>
        <w:tcBorders>
          <w:top w:val="single" w:sz="8" w:space="0" w:color="0072CE" w:themeColor="accent4"/>
          <w:left w:val="single" w:sz="8" w:space="0" w:color="0072CE" w:themeColor="accent4"/>
          <w:bottom w:val="single" w:sz="8" w:space="0" w:color="0072CE" w:themeColor="accent4"/>
          <w:right w:val="single" w:sz="8" w:space="0" w:color="0072CE" w:themeColor="accent4"/>
          <w:insideV w:val="single" w:sz="8" w:space="0" w:color="0072CE" w:themeColor="accent4"/>
        </w:tcBorders>
      </w:tcPr>
    </w:tblStylePr>
  </w:style>
  <w:style w:type="table" w:styleId="LightGrid-Accent5">
    <w:name w:val="Light Grid Accent 5"/>
    <w:basedOn w:val="TableNormal"/>
    <w:uiPriority w:val="62"/>
    <w:rsid w:val="00C00568"/>
    <w:pPr>
      <w:spacing w:before="0"/>
    </w:pPr>
    <w:tblPr>
      <w:tblStyleRowBandSize w:val="1"/>
      <w:tblStyleColBandSize w:val="1"/>
      <w:tblBorders>
        <w:top w:val="single" w:sz="8" w:space="0" w:color="009CDE" w:themeColor="accent5"/>
        <w:left w:val="single" w:sz="8" w:space="0" w:color="009CDE" w:themeColor="accent5"/>
        <w:bottom w:val="single" w:sz="8" w:space="0" w:color="009CDE" w:themeColor="accent5"/>
        <w:right w:val="single" w:sz="8" w:space="0" w:color="009CDE" w:themeColor="accent5"/>
        <w:insideH w:val="single" w:sz="8" w:space="0" w:color="009CDE" w:themeColor="accent5"/>
        <w:insideV w:val="single" w:sz="8" w:space="0" w:color="009CDE"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CDE" w:themeColor="accent5"/>
          <w:left w:val="single" w:sz="8" w:space="0" w:color="009CDE" w:themeColor="accent5"/>
          <w:bottom w:val="single" w:sz="18" w:space="0" w:color="009CDE" w:themeColor="accent5"/>
          <w:right w:val="single" w:sz="8" w:space="0" w:color="009CDE" w:themeColor="accent5"/>
          <w:insideH w:val="nil"/>
          <w:insideV w:val="single" w:sz="8" w:space="0" w:color="009CDE"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CDE" w:themeColor="accent5"/>
          <w:left w:val="single" w:sz="8" w:space="0" w:color="009CDE" w:themeColor="accent5"/>
          <w:bottom w:val="single" w:sz="8" w:space="0" w:color="009CDE" w:themeColor="accent5"/>
          <w:right w:val="single" w:sz="8" w:space="0" w:color="009CDE" w:themeColor="accent5"/>
          <w:insideH w:val="nil"/>
          <w:insideV w:val="single" w:sz="8" w:space="0" w:color="009CDE"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CDE" w:themeColor="accent5"/>
          <w:left w:val="single" w:sz="8" w:space="0" w:color="009CDE" w:themeColor="accent5"/>
          <w:bottom w:val="single" w:sz="8" w:space="0" w:color="009CDE" w:themeColor="accent5"/>
          <w:right w:val="single" w:sz="8" w:space="0" w:color="009CDE" w:themeColor="accent5"/>
        </w:tcBorders>
      </w:tcPr>
    </w:tblStylePr>
    <w:tblStylePr w:type="band1Vert">
      <w:tblPr/>
      <w:tcPr>
        <w:tcBorders>
          <w:top w:val="single" w:sz="8" w:space="0" w:color="009CDE" w:themeColor="accent5"/>
          <w:left w:val="single" w:sz="8" w:space="0" w:color="009CDE" w:themeColor="accent5"/>
          <w:bottom w:val="single" w:sz="8" w:space="0" w:color="009CDE" w:themeColor="accent5"/>
          <w:right w:val="single" w:sz="8" w:space="0" w:color="009CDE" w:themeColor="accent5"/>
        </w:tcBorders>
        <w:shd w:val="clear" w:color="auto" w:fill="B7E9FF" w:themeFill="accent5" w:themeFillTint="3F"/>
      </w:tcPr>
    </w:tblStylePr>
    <w:tblStylePr w:type="band1Horz">
      <w:tblPr/>
      <w:tcPr>
        <w:tcBorders>
          <w:top w:val="single" w:sz="8" w:space="0" w:color="009CDE" w:themeColor="accent5"/>
          <w:left w:val="single" w:sz="8" w:space="0" w:color="009CDE" w:themeColor="accent5"/>
          <w:bottom w:val="single" w:sz="8" w:space="0" w:color="009CDE" w:themeColor="accent5"/>
          <w:right w:val="single" w:sz="8" w:space="0" w:color="009CDE" w:themeColor="accent5"/>
          <w:insideV w:val="single" w:sz="8" w:space="0" w:color="009CDE" w:themeColor="accent5"/>
        </w:tcBorders>
        <w:shd w:val="clear" w:color="auto" w:fill="B7E9FF" w:themeFill="accent5" w:themeFillTint="3F"/>
      </w:tcPr>
    </w:tblStylePr>
    <w:tblStylePr w:type="band2Horz">
      <w:tblPr/>
      <w:tcPr>
        <w:tcBorders>
          <w:top w:val="single" w:sz="8" w:space="0" w:color="009CDE" w:themeColor="accent5"/>
          <w:left w:val="single" w:sz="8" w:space="0" w:color="009CDE" w:themeColor="accent5"/>
          <w:bottom w:val="single" w:sz="8" w:space="0" w:color="009CDE" w:themeColor="accent5"/>
          <w:right w:val="single" w:sz="8" w:space="0" w:color="009CDE" w:themeColor="accent5"/>
          <w:insideV w:val="single" w:sz="8" w:space="0" w:color="009CDE" w:themeColor="accent5"/>
        </w:tcBorders>
      </w:tcPr>
    </w:tblStylePr>
  </w:style>
  <w:style w:type="table" w:styleId="LightGrid-Accent6">
    <w:name w:val="Light Grid Accent 6"/>
    <w:basedOn w:val="TableNormal"/>
    <w:uiPriority w:val="62"/>
    <w:rsid w:val="00C00568"/>
    <w:pPr>
      <w:spacing w:before="0"/>
    </w:pPr>
    <w:tblPr>
      <w:tblStyleRowBandSize w:val="1"/>
      <w:tblStyleColBandSize w:val="1"/>
      <w:tblBorders>
        <w:top w:val="single" w:sz="8" w:space="0" w:color="8A2A2B" w:themeColor="accent6"/>
        <w:left w:val="single" w:sz="8" w:space="0" w:color="8A2A2B" w:themeColor="accent6"/>
        <w:bottom w:val="single" w:sz="8" w:space="0" w:color="8A2A2B" w:themeColor="accent6"/>
        <w:right w:val="single" w:sz="8" w:space="0" w:color="8A2A2B" w:themeColor="accent6"/>
        <w:insideH w:val="single" w:sz="8" w:space="0" w:color="8A2A2B" w:themeColor="accent6"/>
        <w:insideV w:val="single" w:sz="8" w:space="0" w:color="8A2A2B"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A2A2B" w:themeColor="accent6"/>
          <w:left w:val="single" w:sz="8" w:space="0" w:color="8A2A2B" w:themeColor="accent6"/>
          <w:bottom w:val="single" w:sz="18" w:space="0" w:color="8A2A2B" w:themeColor="accent6"/>
          <w:right w:val="single" w:sz="8" w:space="0" w:color="8A2A2B" w:themeColor="accent6"/>
          <w:insideH w:val="nil"/>
          <w:insideV w:val="single" w:sz="8" w:space="0" w:color="8A2A2B"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A2A2B" w:themeColor="accent6"/>
          <w:left w:val="single" w:sz="8" w:space="0" w:color="8A2A2B" w:themeColor="accent6"/>
          <w:bottom w:val="single" w:sz="8" w:space="0" w:color="8A2A2B" w:themeColor="accent6"/>
          <w:right w:val="single" w:sz="8" w:space="0" w:color="8A2A2B" w:themeColor="accent6"/>
          <w:insideH w:val="nil"/>
          <w:insideV w:val="single" w:sz="8" w:space="0" w:color="8A2A2B"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A2A2B" w:themeColor="accent6"/>
          <w:left w:val="single" w:sz="8" w:space="0" w:color="8A2A2B" w:themeColor="accent6"/>
          <w:bottom w:val="single" w:sz="8" w:space="0" w:color="8A2A2B" w:themeColor="accent6"/>
          <w:right w:val="single" w:sz="8" w:space="0" w:color="8A2A2B" w:themeColor="accent6"/>
        </w:tcBorders>
      </w:tcPr>
    </w:tblStylePr>
    <w:tblStylePr w:type="band1Vert">
      <w:tblPr/>
      <w:tcPr>
        <w:tcBorders>
          <w:top w:val="single" w:sz="8" w:space="0" w:color="8A2A2B" w:themeColor="accent6"/>
          <w:left w:val="single" w:sz="8" w:space="0" w:color="8A2A2B" w:themeColor="accent6"/>
          <w:bottom w:val="single" w:sz="8" w:space="0" w:color="8A2A2B" w:themeColor="accent6"/>
          <w:right w:val="single" w:sz="8" w:space="0" w:color="8A2A2B" w:themeColor="accent6"/>
        </w:tcBorders>
        <w:shd w:val="clear" w:color="auto" w:fill="ECC0C0" w:themeFill="accent6" w:themeFillTint="3F"/>
      </w:tcPr>
    </w:tblStylePr>
    <w:tblStylePr w:type="band1Horz">
      <w:tblPr/>
      <w:tcPr>
        <w:tcBorders>
          <w:top w:val="single" w:sz="8" w:space="0" w:color="8A2A2B" w:themeColor="accent6"/>
          <w:left w:val="single" w:sz="8" w:space="0" w:color="8A2A2B" w:themeColor="accent6"/>
          <w:bottom w:val="single" w:sz="8" w:space="0" w:color="8A2A2B" w:themeColor="accent6"/>
          <w:right w:val="single" w:sz="8" w:space="0" w:color="8A2A2B" w:themeColor="accent6"/>
          <w:insideV w:val="single" w:sz="8" w:space="0" w:color="8A2A2B" w:themeColor="accent6"/>
        </w:tcBorders>
        <w:shd w:val="clear" w:color="auto" w:fill="ECC0C0" w:themeFill="accent6" w:themeFillTint="3F"/>
      </w:tcPr>
    </w:tblStylePr>
    <w:tblStylePr w:type="band2Horz">
      <w:tblPr/>
      <w:tcPr>
        <w:tcBorders>
          <w:top w:val="single" w:sz="8" w:space="0" w:color="8A2A2B" w:themeColor="accent6"/>
          <w:left w:val="single" w:sz="8" w:space="0" w:color="8A2A2B" w:themeColor="accent6"/>
          <w:bottom w:val="single" w:sz="8" w:space="0" w:color="8A2A2B" w:themeColor="accent6"/>
          <w:right w:val="single" w:sz="8" w:space="0" w:color="8A2A2B" w:themeColor="accent6"/>
          <w:insideV w:val="single" w:sz="8" w:space="0" w:color="8A2A2B" w:themeColor="accent6"/>
        </w:tcBorders>
      </w:tcPr>
    </w:tblStylePr>
  </w:style>
  <w:style w:type="table" w:styleId="LightList-Accent1">
    <w:name w:val="Light List Accent 1"/>
    <w:basedOn w:val="TableNormal"/>
    <w:uiPriority w:val="61"/>
    <w:rsid w:val="00C00568"/>
    <w:pPr>
      <w:spacing w:before="0"/>
    </w:pPr>
    <w:tblPr>
      <w:tblStyleRowBandSize w:val="1"/>
      <w:tblStyleColBandSize w:val="1"/>
      <w:tblBorders>
        <w:top w:val="single" w:sz="8" w:space="0" w:color="0063A6" w:themeColor="accent1"/>
        <w:left w:val="single" w:sz="8" w:space="0" w:color="0063A6" w:themeColor="accent1"/>
        <w:bottom w:val="single" w:sz="8" w:space="0" w:color="0063A6" w:themeColor="accent1"/>
        <w:right w:val="single" w:sz="8" w:space="0" w:color="0063A6" w:themeColor="accent1"/>
      </w:tblBorders>
    </w:tblPr>
    <w:tblStylePr w:type="firstRow">
      <w:pPr>
        <w:spacing w:before="0" w:after="0" w:line="240" w:lineRule="auto"/>
      </w:pPr>
      <w:rPr>
        <w:b/>
        <w:bCs/>
        <w:color w:val="FFFFFF" w:themeColor="background1"/>
      </w:rPr>
      <w:tblPr/>
      <w:tcPr>
        <w:shd w:val="clear" w:color="auto" w:fill="0063A6" w:themeFill="accent1"/>
      </w:tcPr>
    </w:tblStylePr>
    <w:tblStylePr w:type="lastRow">
      <w:pPr>
        <w:spacing w:before="0" w:after="0" w:line="240" w:lineRule="auto"/>
      </w:pPr>
      <w:rPr>
        <w:b/>
        <w:bCs/>
      </w:rPr>
      <w:tblPr/>
      <w:tcPr>
        <w:tcBorders>
          <w:top w:val="double" w:sz="6" w:space="0" w:color="0063A6" w:themeColor="accent1"/>
          <w:left w:val="single" w:sz="8" w:space="0" w:color="0063A6" w:themeColor="accent1"/>
          <w:bottom w:val="single" w:sz="8" w:space="0" w:color="0063A6" w:themeColor="accent1"/>
          <w:right w:val="single" w:sz="8" w:space="0" w:color="0063A6" w:themeColor="accent1"/>
        </w:tcBorders>
      </w:tcPr>
    </w:tblStylePr>
    <w:tblStylePr w:type="firstCol">
      <w:rPr>
        <w:b/>
        <w:bCs/>
      </w:rPr>
    </w:tblStylePr>
    <w:tblStylePr w:type="lastCol">
      <w:rPr>
        <w:b/>
        <w:bCs/>
      </w:rPr>
    </w:tblStylePr>
    <w:tblStylePr w:type="band1Vert">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tcPr>
    </w:tblStylePr>
    <w:tblStylePr w:type="band1Horz">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tcPr>
    </w:tblStylePr>
  </w:style>
  <w:style w:type="table" w:styleId="LightList-Accent2">
    <w:name w:val="Light List Accent 2"/>
    <w:basedOn w:val="TableNormal"/>
    <w:uiPriority w:val="61"/>
    <w:rsid w:val="00C00568"/>
    <w:pPr>
      <w:spacing w:before="0"/>
    </w:pPr>
    <w:tblPr>
      <w:tblStyleRowBandSize w:val="1"/>
      <w:tblStyleColBandSize w:val="1"/>
      <w:tblBorders>
        <w:top w:val="single" w:sz="8" w:space="0" w:color="00497A" w:themeColor="accent2"/>
        <w:left w:val="single" w:sz="8" w:space="0" w:color="00497A" w:themeColor="accent2"/>
        <w:bottom w:val="single" w:sz="8" w:space="0" w:color="00497A" w:themeColor="accent2"/>
        <w:right w:val="single" w:sz="8" w:space="0" w:color="00497A" w:themeColor="accent2"/>
      </w:tblBorders>
    </w:tblPr>
    <w:tblStylePr w:type="firstRow">
      <w:pPr>
        <w:spacing w:before="0" w:after="0" w:line="240" w:lineRule="auto"/>
      </w:pPr>
      <w:rPr>
        <w:b/>
        <w:bCs/>
        <w:color w:val="FFFFFF" w:themeColor="background1"/>
      </w:rPr>
      <w:tblPr/>
      <w:tcPr>
        <w:shd w:val="clear" w:color="auto" w:fill="00497A" w:themeFill="accent2"/>
      </w:tcPr>
    </w:tblStylePr>
    <w:tblStylePr w:type="lastRow">
      <w:pPr>
        <w:spacing w:before="0" w:after="0" w:line="240" w:lineRule="auto"/>
      </w:pPr>
      <w:rPr>
        <w:b/>
        <w:bCs/>
      </w:rPr>
      <w:tblPr/>
      <w:tcPr>
        <w:tcBorders>
          <w:top w:val="double" w:sz="6" w:space="0" w:color="00497A" w:themeColor="accent2"/>
          <w:left w:val="single" w:sz="8" w:space="0" w:color="00497A" w:themeColor="accent2"/>
          <w:bottom w:val="single" w:sz="8" w:space="0" w:color="00497A" w:themeColor="accent2"/>
          <w:right w:val="single" w:sz="8" w:space="0" w:color="00497A" w:themeColor="accent2"/>
        </w:tcBorders>
      </w:tcPr>
    </w:tblStylePr>
    <w:tblStylePr w:type="firstCol">
      <w:rPr>
        <w:b/>
        <w:bCs/>
      </w:rPr>
    </w:tblStylePr>
    <w:tblStylePr w:type="lastCol">
      <w:rPr>
        <w:b/>
        <w:bCs/>
      </w:rPr>
    </w:tblStylePr>
    <w:tblStylePr w:type="band1Vert">
      <w:tblPr/>
      <w:tcPr>
        <w:tcBorders>
          <w:top w:val="single" w:sz="8" w:space="0" w:color="00497A" w:themeColor="accent2"/>
          <w:left w:val="single" w:sz="8" w:space="0" w:color="00497A" w:themeColor="accent2"/>
          <w:bottom w:val="single" w:sz="8" w:space="0" w:color="00497A" w:themeColor="accent2"/>
          <w:right w:val="single" w:sz="8" w:space="0" w:color="00497A" w:themeColor="accent2"/>
        </w:tcBorders>
      </w:tcPr>
    </w:tblStylePr>
    <w:tblStylePr w:type="band1Horz">
      <w:tblPr/>
      <w:tcPr>
        <w:tcBorders>
          <w:top w:val="single" w:sz="8" w:space="0" w:color="00497A" w:themeColor="accent2"/>
          <w:left w:val="single" w:sz="8" w:space="0" w:color="00497A" w:themeColor="accent2"/>
          <w:bottom w:val="single" w:sz="8" w:space="0" w:color="00497A" w:themeColor="accent2"/>
          <w:right w:val="single" w:sz="8" w:space="0" w:color="00497A" w:themeColor="accent2"/>
        </w:tcBorders>
      </w:tcPr>
    </w:tblStylePr>
  </w:style>
  <w:style w:type="table" w:styleId="LightList-Accent3">
    <w:name w:val="Light List Accent 3"/>
    <w:basedOn w:val="TableNormal"/>
    <w:uiPriority w:val="61"/>
    <w:rsid w:val="00C00568"/>
    <w:pPr>
      <w:spacing w:before="0"/>
    </w:pPr>
    <w:tblPr>
      <w:tblStyleRowBandSize w:val="1"/>
      <w:tblStyleColBandSize w:val="1"/>
      <w:tblBorders>
        <w:top w:val="single" w:sz="8" w:space="0" w:color="749CC9" w:themeColor="accent3"/>
        <w:left w:val="single" w:sz="8" w:space="0" w:color="749CC9" w:themeColor="accent3"/>
        <w:bottom w:val="single" w:sz="8" w:space="0" w:color="749CC9" w:themeColor="accent3"/>
        <w:right w:val="single" w:sz="8" w:space="0" w:color="749CC9" w:themeColor="accent3"/>
      </w:tblBorders>
    </w:tblPr>
    <w:tblStylePr w:type="firstRow">
      <w:pPr>
        <w:spacing w:before="0" w:after="0" w:line="240" w:lineRule="auto"/>
      </w:pPr>
      <w:rPr>
        <w:b/>
        <w:bCs/>
        <w:color w:val="FFFFFF" w:themeColor="background1"/>
      </w:rPr>
      <w:tblPr/>
      <w:tcPr>
        <w:shd w:val="clear" w:color="auto" w:fill="749CC9" w:themeFill="accent3"/>
      </w:tcPr>
    </w:tblStylePr>
    <w:tblStylePr w:type="lastRow">
      <w:pPr>
        <w:spacing w:before="0" w:after="0" w:line="240" w:lineRule="auto"/>
      </w:pPr>
      <w:rPr>
        <w:b/>
        <w:bCs/>
      </w:rPr>
      <w:tblPr/>
      <w:tcPr>
        <w:tcBorders>
          <w:top w:val="double" w:sz="6" w:space="0" w:color="749CC9" w:themeColor="accent3"/>
          <w:left w:val="single" w:sz="8" w:space="0" w:color="749CC9" w:themeColor="accent3"/>
          <w:bottom w:val="single" w:sz="8" w:space="0" w:color="749CC9" w:themeColor="accent3"/>
          <w:right w:val="single" w:sz="8" w:space="0" w:color="749CC9" w:themeColor="accent3"/>
        </w:tcBorders>
      </w:tcPr>
    </w:tblStylePr>
    <w:tblStylePr w:type="firstCol">
      <w:rPr>
        <w:b/>
        <w:bCs/>
      </w:rPr>
    </w:tblStylePr>
    <w:tblStylePr w:type="lastCol">
      <w:rPr>
        <w:b/>
        <w:bCs/>
      </w:rPr>
    </w:tblStylePr>
    <w:tblStylePr w:type="band1Vert">
      <w:tblPr/>
      <w:tcPr>
        <w:tcBorders>
          <w:top w:val="single" w:sz="8" w:space="0" w:color="749CC9" w:themeColor="accent3"/>
          <w:left w:val="single" w:sz="8" w:space="0" w:color="749CC9" w:themeColor="accent3"/>
          <w:bottom w:val="single" w:sz="8" w:space="0" w:color="749CC9" w:themeColor="accent3"/>
          <w:right w:val="single" w:sz="8" w:space="0" w:color="749CC9" w:themeColor="accent3"/>
        </w:tcBorders>
      </w:tcPr>
    </w:tblStylePr>
    <w:tblStylePr w:type="band1Horz">
      <w:tblPr/>
      <w:tcPr>
        <w:tcBorders>
          <w:top w:val="single" w:sz="8" w:space="0" w:color="749CC9" w:themeColor="accent3"/>
          <w:left w:val="single" w:sz="8" w:space="0" w:color="749CC9" w:themeColor="accent3"/>
          <w:bottom w:val="single" w:sz="8" w:space="0" w:color="749CC9" w:themeColor="accent3"/>
          <w:right w:val="single" w:sz="8" w:space="0" w:color="749CC9" w:themeColor="accent3"/>
        </w:tcBorders>
      </w:tcPr>
    </w:tblStylePr>
  </w:style>
  <w:style w:type="table" w:styleId="LightList-Accent4">
    <w:name w:val="Light List Accent 4"/>
    <w:basedOn w:val="TableNormal"/>
    <w:uiPriority w:val="61"/>
    <w:rsid w:val="00C00568"/>
    <w:pPr>
      <w:spacing w:before="0"/>
    </w:pPr>
    <w:tblPr>
      <w:tblStyleRowBandSize w:val="1"/>
      <w:tblStyleColBandSize w:val="1"/>
      <w:tblBorders>
        <w:top w:val="single" w:sz="8" w:space="0" w:color="0072CE" w:themeColor="accent4"/>
        <w:left w:val="single" w:sz="8" w:space="0" w:color="0072CE" w:themeColor="accent4"/>
        <w:bottom w:val="single" w:sz="8" w:space="0" w:color="0072CE" w:themeColor="accent4"/>
        <w:right w:val="single" w:sz="8" w:space="0" w:color="0072CE" w:themeColor="accent4"/>
      </w:tblBorders>
    </w:tblPr>
    <w:tblStylePr w:type="firstRow">
      <w:pPr>
        <w:spacing w:before="0" w:after="0" w:line="240" w:lineRule="auto"/>
      </w:pPr>
      <w:rPr>
        <w:b/>
        <w:bCs/>
        <w:color w:val="FFFFFF" w:themeColor="background1"/>
      </w:rPr>
      <w:tblPr/>
      <w:tcPr>
        <w:shd w:val="clear" w:color="auto" w:fill="0072CE" w:themeFill="accent4"/>
      </w:tcPr>
    </w:tblStylePr>
    <w:tblStylePr w:type="lastRow">
      <w:pPr>
        <w:spacing w:before="0" w:after="0" w:line="240" w:lineRule="auto"/>
      </w:pPr>
      <w:rPr>
        <w:b/>
        <w:bCs/>
      </w:rPr>
      <w:tblPr/>
      <w:tcPr>
        <w:tcBorders>
          <w:top w:val="double" w:sz="6" w:space="0" w:color="0072CE" w:themeColor="accent4"/>
          <w:left w:val="single" w:sz="8" w:space="0" w:color="0072CE" w:themeColor="accent4"/>
          <w:bottom w:val="single" w:sz="8" w:space="0" w:color="0072CE" w:themeColor="accent4"/>
          <w:right w:val="single" w:sz="8" w:space="0" w:color="0072CE" w:themeColor="accent4"/>
        </w:tcBorders>
      </w:tcPr>
    </w:tblStylePr>
    <w:tblStylePr w:type="firstCol">
      <w:rPr>
        <w:b/>
        <w:bCs/>
      </w:rPr>
    </w:tblStylePr>
    <w:tblStylePr w:type="lastCol">
      <w:rPr>
        <w:b/>
        <w:bCs/>
      </w:rPr>
    </w:tblStylePr>
    <w:tblStylePr w:type="band1Vert">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tcPr>
    </w:tblStylePr>
    <w:tblStylePr w:type="band1Horz">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tcPr>
    </w:tblStylePr>
  </w:style>
  <w:style w:type="table" w:styleId="LightList-Accent5">
    <w:name w:val="Light List Accent 5"/>
    <w:basedOn w:val="TableNormal"/>
    <w:uiPriority w:val="61"/>
    <w:rsid w:val="00C00568"/>
    <w:pPr>
      <w:spacing w:before="0"/>
    </w:pPr>
    <w:tblPr>
      <w:tblStyleRowBandSize w:val="1"/>
      <w:tblStyleColBandSize w:val="1"/>
      <w:tblBorders>
        <w:top w:val="single" w:sz="8" w:space="0" w:color="009CDE" w:themeColor="accent5"/>
        <w:left w:val="single" w:sz="8" w:space="0" w:color="009CDE" w:themeColor="accent5"/>
        <w:bottom w:val="single" w:sz="8" w:space="0" w:color="009CDE" w:themeColor="accent5"/>
        <w:right w:val="single" w:sz="8" w:space="0" w:color="009CDE" w:themeColor="accent5"/>
      </w:tblBorders>
    </w:tblPr>
    <w:tblStylePr w:type="firstRow">
      <w:pPr>
        <w:spacing w:before="0" w:after="0" w:line="240" w:lineRule="auto"/>
      </w:pPr>
      <w:rPr>
        <w:b/>
        <w:bCs/>
        <w:color w:val="FFFFFF" w:themeColor="background1"/>
      </w:rPr>
      <w:tblPr/>
      <w:tcPr>
        <w:shd w:val="clear" w:color="auto" w:fill="009CDE" w:themeFill="accent5"/>
      </w:tcPr>
    </w:tblStylePr>
    <w:tblStylePr w:type="lastRow">
      <w:pPr>
        <w:spacing w:before="0" w:after="0" w:line="240" w:lineRule="auto"/>
      </w:pPr>
      <w:rPr>
        <w:b/>
        <w:bCs/>
      </w:rPr>
      <w:tblPr/>
      <w:tcPr>
        <w:tcBorders>
          <w:top w:val="double" w:sz="6" w:space="0" w:color="009CDE" w:themeColor="accent5"/>
          <w:left w:val="single" w:sz="8" w:space="0" w:color="009CDE" w:themeColor="accent5"/>
          <w:bottom w:val="single" w:sz="8" w:space="0" w:color="009CDE" w:themeColor="accent5"/>
          <w:right w:val="single" w:sz="8" w:space="0" w:color="009CDE" w:themeColor="accent5"/>
        </w:tcBorders>
      </w:tcPr>
    </w:tblStylePr>
    <w:tblStylePr w:type="firstCol">
      <w:rPr>
        <w:b/>
        <w:bCs/>
      </w:rPr>
    </w:tblStylePr>
    <w:tblStylePr w:type="lastCol">
      <w:rPr>
        <w:b/>
        <w:bCs/>
      </w:rPr>
    </w:tblStylePr>
    <w:tblStylePr w:type="band1Vert">
      <w:tblPr/>
      <w:tcPr>
        <w:tcBorders>
          <w:top w:val="single" w:sz="8" w:space="0" w:color="009CDE" w:themeColor="accent5"/>
          <w:left w:val="single" w:sz="8" w:space="0" w:color="009CDE" w:themeColor="accent5"/>
          <w:bottom w:val="single" w:sz="8" w:space="0" w:color="009CDE" w:themeColor="accent5"/>
          <w:right w:val="single" w:sz="8" w:space="0" w:color="009CDE" w:themeColor="accent5"/>
        </w:tcBorders>
      </w:tcPr>
    </w:tblStylePr>
    <w:tblStylePr w:type="band1Horz">
      <w:tblPr/>
      <w:tcPr>
        <w:tcBorders>
          <w:top w:val="single" w:sz="8" w:space="0" w:color="009CDE" w:themeColor="accent5"/>
          <w:left w:val="single" w:sz="8" w:space="0" w:color="009CDE" w:themeColor="accent5"/>
          <w:bottom w:val="single" w:sz="8" w:space="0" w:color="009CDE" w:themeColor="accent5"/>
          <w:right w:val="single" w:sz="8" w:space="0" w:color="009CDE" w:themeColor="accent5"/>
        </w:tcBorders>
      </w:tcPr>
    </w:tblStylePr>
  </w:style>
  <w:style w:type="table" w:styleId="LightList-Accent6">
    <w:name w:val="Light List Accent 6"/>
    <w:basedOn w:val="TableNormal"/>
    <w:uiPriority w:val="61"/>
    <w:rsid w:val="00C00568"/>
    <w:pPr>
      <w:spacing w:before="0"/>
    </w:pPr>
    <w:tblPr>
      <w:tblStyleRowBandSize w:val="1"/>
      <w:tblStyleColBandSize w:val="1"/>
      <w:tblBorders>
        <w:top w:val="single" w:sz="8" w:space="0" w:color="8A2A2B" w:themeColor="accent6"/>
        <w:left w:val="single" w:sz="8" w:space="0" w:color="8A2A2B" w:themeColor="accent6"/>
        <w:bottom w:val="single" w:sz="8" w:space="0" w:color="8A2A2B" w:themeColor="accent6"/>
        <w:right w:val="single" w:sz="8" w:space="0" w:color="8A2A2B" w:themeColor="accent6"/>
      </w:tblBorders>
    </w:tblPr>
    <w:tblStylePr w:type="firstRow">
      <w:pPr>
        <w:spacing w:before="0" w:after="0" w:line="240" w:lineRule="auto"/>
      </w:pPr>
      <w:rPr>
        <w:b/>
        <w:bCs/>
        <w:color w:val="FFFFFF" w:themeColor="background1"/>
      </w:rPr>
      <w:tblPr/>
      <w:tcPr>
        <w:shd w:val="clear" w:color="auto" w:fill="8A2A2B" w:themeFill="accent6"/>
      </w:tcPr>
    </w:tblStylePr>
    <w:tblStylePr w:type="lastRow">
      <w:pPr>
        <w:spacing w:before="0" w:after="0" w:line="240" w:lineRule="auto"/>
      </w:pPr>
      <w:rPr>
        <w:b/>
        <w:bCs/>
      </w:rPr>
      <w:tblPr/>
      <w:tcPr>
        <w:tcBorders>
          <w:top w:val="double" w:sz="6" w:space="0" w:color="8A2A2B" w:themeColor="accent6"/>
          <w:left w:val="single" w:sz="8" w:space="0" w:color="8A2A2B" w:themeColor="accent6"/>
          <w:bottom w:val="single" w:sz="8" w:space="0" w:color="8A2A2B" w:themeColor="accent6"/>
          <w:right w:val="single" w:sz="8" w:space="0" w:color="8A2A2B" w:themeColor="accent6"/>
        </w:tcBorders>
      </w:tcPr>
    </w:tblStylePr>
    <w:tblStylePr w:type="firstCol">
      <w:rPr>
        <w:b/>
        <w:bCs/>
      </w:rPr>
    </w:tblStylePr>
    <w:tblStylePr w:type="lastCol">
      <w:rPr>
        <w:b/>
        <w:bCs/>
      </w:rPr>
    </w:tblStylePr>
    <w:tblStylePr w:type="band1Vert">
      <w:tblPr/>
      <w:tcPr>
        <w:tcBorders>
          <w:top w:val="single" w:sz="8" w:space="0" w:color="8A2A2B" w:themeColor="accent6"/>
          <w:left w:val="single" w:sz="8" w:space="0" w:color="8A2A2B" w:themeColor="accent6"/>
          <w:bottom w:val="single" w:sz="8" w:space="0" w:color="8A2A2B" w:themeColor="accent6"/>
          <w:right w:val="single" w:sz="8" w:space="0" w:color="8A2A2B" w:themeColor="accent6"/>
        </w:tcBorders>
      </w:tcPr>
    </w:tblStylePr>
    <w:tblStylePr w:type="band1Horz">
      <w:tblPr/>
      <w:tcPr>
        <w:tcBorders>
          <w:top w:val="single" w:sz="8" w:space="0" w:color="8A2A2B" w:themeColor="accent6"/>
          <w:left w:val="single" w:sz="8" w:space="0" w:color="8A2A2B" w:themeColor="accent6"/>
          <w:bottom w:val="single" w:sz="8" w:space="0" w:color="8A2A2B" w:themeColor="accent6"/>
          <w:right w:val="single" w:sz="8" w:space="0" w:color="8A2A2B" w:themeColor="accent6"/>
        </w:tcBorders>
      </w:tcPr>
    </w:tblStylePr>
  </w:style>
  <w:style w:type="table" w:styleId="LightShading-Accent3">
    <w:name w:val="Light Shading Accent 3"/>
    <w:basedOn w:val="TableNormal"/>
    <w:uiPriority w:val="60"/>
    <w:rsid w:val="00C00568"/>
    <w:pPr>
      <w:spacing w:before="0"/>
    </w:pPr>
    <w:rPr>
      <w:color w:val="4273AA" w:themeColor="accent3" w:themeShade="BF"/>
    </w:rPr>
    <w:tblPr>
      <w:tblStyleRowBandSize w:val="1"/>
      <w:tblStyleColBandSize w:val="1"/>
      <w:tblBorders>
        <w:top w:val="single" w:sz="8" w:space="0" w:color="749CC9" w:themeColor="accent3"/>
        <w:bottom w:val="single" w:sz="8" w:space="0" w:color="749CC9" w:themeColor="accent3"/>
      </w:tblBorders>
    </w:tblPr>
    <w:tblStylePr w:type="firstRow">
      <w:pPr>
        <w:spacing w:before="0" w:after="0" w:line="240" w:lineRule="auto"/>
      </w:pPr>
      <w:rPr>
        <w:b/>
        <w:bCs/>
      </w:rPr>
      <w:tblPr/>
      <w:tcPr>
        <w:tcBorders>
          <w:top w:val="single" w:sz="8" w:space="0" w:color="749CC9" w:themeColor="accent3"/>
          <w:left w:val="nil"/>
          <w:bottom w:val="single" w:sz="8" w:space="0" w:color="749CC9" w:themeColor="accent3"/>
          <w:right w:val="nil"/>
          <w:insideH w:val="nil"/>
          <w:insideV w:val="nil"/>
        </w:tcBorders>
      </w:tcPr>
    </w:tblStylePr>
    <w:tblStylePr w:type="lastRow">
      <w:pPr>
        <w:spacing w:before="0" w:after="0" w:line="240" w:lineRule="auto"/>
      </w:pPr>
      <w:rPr>
        <w:b/>
        <w:bCs/>
      </w:rPr>
      <w:tblPr/>
      <w:tcPr>
        <w:tcBorders>
          <w:top w:val="single" w:sz="8" w:space="0" w:color="749CC9" w:themeColor="accent3"/>
          <w:left w:val="nil"/>
          <w:bottom w:val="single" w:sz="8" w:space="0" w:color="749CC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CE6F1" w:themeFill="accent3" w:themeFillTint="3F"/>
      </w:tcPr>
    </w:tblStylePr>
    <w:tblStylePr w:type="band1Horz">
      <w:tblPr/>
      <w:tcPr>
        <w:tcBorders>
          <w:left w:val="nil"/>
          <w:right w:val="nil"/>
          <w:insideH w:val="nil"/>
          <w:insideV w:val="nil"/>
        </w:tcBorders>
        <w:shd w:val="clear" w:color="auto" w:fill="DCE6F1" w:themeFill="accent3" w:themeFillTint="3F"/>
      </w:tcPr>
    </w:tblStylePr>
  </w:style>
  <w:style w:type="table" w:styleId="LightShading-Accent5">
    <w:name w:val="Light Shading Accent 5"/>
    <w:basedOn w:val="TableNormal"/>
    <w:uiPriority w:val="60"/>
    <w:rsid w:val="00C00568"/>
    <w:pPr>
      <w:spacing w:before="0"/>
    </w:pPr>
    <w:rPr>
      <w:color w:val="0074A6" w:themeColor="accent5" w:themeShade="BF"/>
    </w:rPr>
    <w:tblPr>
      <w:tblStyleRowBandSize w:val="1"/>
      <w:tblStyleColBandSize w:val="1"/>
      <w:tblBorders>
        <w:top w:val="single" w:sz="8" w:space="0" w:color="009CDE" w:themeColor="accent5"/>
        <w:bottom w:val="single" w:sz="8" w:space="0" w:color="009CDE" w:themeColor="accent5"/>
      </w:tblBorders>
    </w:tblPr>
    <w:tblStylePr w:type="firstRow">
      <w:pPr>
        <w:spacing w:before="0" w:after="0" w:line="240" w:lineRule="auto"/>
      </w:pPr>
      <w:rPr>
        <w:b/>
        <w:bCs/>
      </w:rPr>
      <w:tblPr/>
      <w:tcPr>
        <w:tcBorders>
          <w:top w:val="single" w:sz="8" w:space="0" w:color="009CDE" w:themeColor="accent5"/>
          <w:left w:val="nil"/>
          <w:bottom w:val="single" w:sz="8" w:space="0" w:color="009CDE" w:themeColor="accent5"/>
          <w:right w:val="nil"/>
          <w:insideH w:val="nil"/>
          <w:insideV w:val="nil"/>
        </w:tcBorders>
      </w:tcPr>
    </w:tblStylePr>
    <w:tblStylePr w:type="lastRow">
      <w:pPr>
        <w:spacing w:before="0" w:after="0" w:line="240" w:lineRule="auto"/>
      </w:pPr>
      <w:rPr>
        <w:b/>
        <w:bCs/>
      </w:rPr>
      <w:tblPr/>
      <w:tcPr>
        <w:tcBorders>
          <w:top w:val="single" w:sz="8" w:space="0" w:color="009CDE" w:themeColor="accent5"/>
          <w:left w:val="nil"/>
          <w:bottom w:val="single" w:sz="8" w:space="0" w:color="009CD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E9FF" w:themeFill="accent5" w:themeFillTint="3F"/>
      </w:tcPr>
    </w:tblStylePr>
    <w:tblStylePr w:type="band1Horz">
      <w:tblPr/>
      <w:tcPr>
        <w:tcBorders>
          <w:left w:val="nil"/>
          <w:right w:val="nil"/>
          <w:insideH w:val="nil"/>
          <w:insideV w:val="nil"/>
        </w:tcBorders>
        <w:shd w:val="clear" w:color="auto" w:fill="B7E9FF" w:themeFill="accent5" w:themeFillTint="3F"/>
      </w:tcPr>
    </w:tblStylePr>
  </w:style>
  <w:style w:type="table" w:styleId="LightShading-Accent6">
    <w:name w:val="Light Shading Accent 6"/>
    <w:basedOn w:val="TableNormal"/>
    <w:uiPriority w:val="60"/>
    <w:rsid w:val="00C00568"/>
    <w:pPr>
      <w:spacing w:before="0"/>
    </w:pPr>
    <w:rPr>
      <w:color w:val="671F20" w:themeColor="accent6" w:themeShade="BF"/>
    </w:rPr>
    <w:tblPr>
      <w:tblStyleRowBandSize w:val="1"/>
      <w:tblStyleColBandSize w:val="1"/>
      <w:tblBorders>
        <w:top w:val="single" w:sz="8" w:space="0" w:color="8A2A2B" w:themeColor="accent6"/>
        <w:bottom w:val="single" w:sz="8" w:space="0" w:color="8A2A2B" w:themeColor="accent6"/>
      </w:tblBorders>
    </w:tblPr>
    <w:tblStylePr w:type="firstRow">
      <w:pPr>
        <w:spacing w:before="0" w:after="0" w:line="240" w:lineRule="auto"/>
      </w:pPr>
      <w:rPr>
        <w:b/>
        <w:bCs/>
      </w:rPr>
      <w:tblPr/>
      <w:tcPr>
        <w:tcBorders>
          <w:top w:val="single" w:sz="8" w:space="0" w:color="8A2A2B" w:themeColor="accent6"/>
          <w:left w:val="nil"/>
          <w:bottom w:val="single" w:sz="8" w:space="0" w:color="8A2A2B" w:themeColor="accent6"/>
          <w:right w:val="nil"/>
          <w:insideH w:val="nil"/>
          <w:insideV w:val="nil"/>
        </w:tcBorders>
      </w:tcPr>
    </w:tblStylePr>
    <w:tblStylePr w:type="lastRow">
      <w:pPr>
        <w:spacing w:before="0" w:after="0" w:line="240" w:lineRule="auto"/>
      </w:pPr>
      <w:rPr>
        <w:b/>
        <w:bCs/>
      </w:rPr>
      <w:tblPr/>
      <w:tcPr>
        <w:tcBorders>
          <w:top w:val="single" w:sz="8" w:space="0" w:color="8A2A2B" w:themeColor="accent6"/>
          <w:left w:val="nil"/>
          <w:bottom w:val="single" w:sz="8" w:space="0" w:color="8A2A2B"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CC0C0" w:themeFill="accent6" w:themeFillTint="3F"/>
      </w:tcPr>
    </w:tblStylePr>
    <w:tblStylePr w:type="band1Horz">
      <w:tblPr/>
      <w:tcPr>
        <w:tcBorders>
          <w:left w:val="nil"/>
          <w:right w:val="nil"/>
          <w:insideH w:val="nil"/>
          <w:insideV w:val="nil"/>
        </w:tcBorders>
        <w:shd w:val="clear" w:color="auto" w:fill="ECC0C0" w:themeFill="accent6" w:themeFillTint="3F"/>
      </w:tcPr>
    </w:tblStylePr>
  </w:style>
  <w:style w:type="character" w:styleId="LineNumber">
    <w:name w:val="line number"/>
    <w:basedOn w:val="DefaultParagraphFont"/>
    <w:uiPriority w:val="99"/>
    <w:semiHidden/>
    <w:unhideWhenUsed/>
    <w:rsid w:val="00C00568"/>
  </w:style>
  <w:style w:type="paragraph" w:styleId="List2">
    <w:name w:val="List 2"/>
    <w:basedOn w:val="Normal"/>
    <w:uiPriority w:val="29"/>
    <w:semiHidden/>
    <w:rsid w:val="00C00568"/>
    <w:pPr>
      <w:ind w:left="566" w:hanging="283"/>
      <w:contextualSpacing/>
    </w:pPr>
  </w:style>
  <w:style w:type="paragraph" w:styleId="List3">
    <w:name w:val="List 3"/>
    <w:basedOn w:val="Normal"/>
    <w:uiPriority w:val="29"/>
    <w:semiHidden/>
    <w:unhideWhenUsed/>
    <w:rsid w:val="00C00568"/>
    <w:pPr>
      <w:ind w:left="849" w:hanging="283"/>
      <w:contextualSpacing/>
    </w:pPr>
  </w:style>
  <w:style w:type="paragraph" w:styleId="List4">
    <w:name w:val="List 4"/>
    <w:basedOn w:val="Normal"/>
    <w:uiPriority w:val="29"/>
    <w:semiHidden/>
    <w:unhideWhenUsed/>
    <w:rsid w:val="00C00568"/>
    <w:pPr>
      <w:ind w:left="1132" w:hanging="283"/>
      <w:contextualSpacing/>
    </w:pPr>
  </w:style>
  <w:style w:type="paragraph" w:styleId="List5">
    <w:name w:val="List 5"/>
    <w:basedOn w:val="Normal"/>
    <w:uiPriority w:val="29"/>
    <w:semiHidden/>
    <w:unhideWhenUsed/>
    <w:rsid w:val="00C00568"/>
    <w:pPr>
      <w:ind w:left="1415" w:hanging="283"/>
      <w:contextualSpacing/>
    </w:pPr>
  </w:style>
  <w:style w:type="paragraph" w:styleId="MacroText">
    <w:name w:val="macro"/>
    <w:link w:val="MacroTextChar"/>
    <w:uiPriority w:val="99"/>
    <w:semiHidden/>
    <w:unhideWhenUsed/>
    <w:rsid w:val="00C00568"/>
    <w:pPr>
      <w:keepLines/>
      <w:tabs>
        <w:tab w:val="left" w:pos="480"/>
        <w:tab w:val="left" w:pos="960"/>
        <w:tab w:val="left" w:pos="1440"/>
        <w:tab w:val="left" w:pos="1920"/>
        <w:tab w:val="left" w:pos="2400"/>
        <w:tab w:val="left" w:pos="2880"/>
        <w:tab w:val="left" w:pos="3360"/>
        <w:tab w:val="left" w:pos="3840"/>
        <w:tab w:val="left" w:pos="4320"/>
      </w:tabs>
    </w:pPr>
    <w:rPr>
      <w:rFonts w:ascii="Consolas" w:hAnsi="Consolas" w:cs="Consolas"/>
      <w:sz w:val="20"/>
      <w:szCs w:val="20"/>
    </w:rPr>
  </w:style>
  <w:style w:type="character" w:customStyle="1" w:styleId="MacroTextChar">
    <w:name w:val="Macro Text Char"/>
    <w:basedOn w:val="DefaultParagraphFont"/>
    <w:link w:val="MacroText"/>
    <w:uiPriority w:val="99"/>
    <w:semiHidden/>
    <w:rsid w:val="00C00568"/>
    <w:rPr>
      <w:rFonts w:ascii="Consolas" w:hAnsi="Consolas" w:cs="Consolas"/>
      <w:sz w:val="20"/>
      <w:szCs w:val="20"/>
    </w:rPr>
  </w:style>
  <w:style w:type="table" w:styleId="MediumGrid1">
    <w:name w:val="Medium Grid 1"/>
    <w:basedOn w:val="TableNormal"/>
    <w:uiPriority w:val="67"/>
    <w:rsid w:val="00C00568"/>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00568"/>
    <w:pPr>
      <w:spacing w:before="0"/>
    </w:pPr>
    <w:tblPr>
      <w:tblStyleRowBandSize w:val="1"/>
      <w:tblStyleColBandSize w:val="1"/>
      <w:tblBorders>
        <w:top w:val="single" w:sz="8" w:space="0" w:color="0096FC" w:themeColor="accent1" w:themeTint="BF"/>
        <w:left w:val="single" w:sz="8" w:space="0" w:color="0096FC" w:themeColor="accent1" w:themeTint="BF"/>
        <w:bottom w:val="single" w:sz="8" w:space="0" w:color="0096FC" w:themeColor="accent1" w:themeTint="BF"/>
        <w:right w:val="single" w:sz="8" w:space="0" w:color="0096FC" w:themeColor="accent1" w:themeTint="BF"/>
        <w:insideH w:val="single" w:sz="8" w:space="0" w:color="0096FC" w:themeColor="accent1" w:themeTint="BF"/>
        <w:insideV w:val="single" w:sz="8" w:space="0" w:color="0096FC" w:themeColor="accent1" w:themeTint="BF"/>
      </w:tblBorders>
    </w:tblPr>
    <w:tcPr>
      <w:shd w:val="clear" w:color="auto" w:fill="AADCFF" w:themeFill="accent1" w:themeFillTint="3F"/>
    </w:tcPr>
    <w:tblStylePr w:type="firstRow">
      <w:rPr>
        <w:b/>
        <w:bCs/>
      </w:rPr>
    </w:tblStylePr>
    <w:tblStylePr w:type="lastRow">
      <w:rPr>
        <w:b/>
        <w:bCs/>
      </w:rPr>
      <w:tblPr/>
      <w:tcPr>
        <w:tcBorders>
          <w:top w:val="single" w:sz="18" w:space="0" w:color="0096FC" w:themeColor="accent1" w:themeTint="BF"/>
        </w:tcBorders>
      </w:tcPr>
    </w:tblStylePr>
    <w:tblStylePr w:type="firstCol">
      <w:rPr>
        <w:b/>
        <w:bCs/>
      </w:rPr>
    </w:tblStylePr>
    <w:tblStylePr w:type="lastCol">
      <w:rPr>
        <w:b/>
        <w:bCs/>
      </w:rPr>
    </w:tblStylePr>
    <w:tblStylePr w:type="band1Vert">
      <w:tblPr/>
      <w:tcPr>
        <w:shd w:val="clear" w:color="auto" w:fill="53B9FF" w:themeFill="accent1" w:themeFillTint="7F"/>
      </w:tcPr>
    </w:tblStylePr>
    <w:tblStylePr w:type="band1Horz">
      <w:tblPr/>
      <w:tcPr>
        <w:shd w:val="clear" w:color="auto" w:fill="53B9FF" w:themeFill="accent1" w:themeFillTint="7F"/>
      </w:tcPr>
    </w:tblStylePr>
  </w:style>
  <w:style w:type="table" w:styleId="MediumGrid1-Accent2">
    <w:name w:val="Medium Grid 1 Accent 2"/>
    <w:basedOn w:val="TableNormal"/>
    <w:uiPriority w:val="67"/>
    <w:rsid w:val="00C00568"/>
    <w:pPr>
      <w:spacing w:before="0"/>
    </w:pPr>
    <w:tblPr>
      <w:tblStyleRowBandSize w:val="1"/>
      <w:tblStyleColBandSize w:val="1"/>
      <w:tblBorders>
        <w:top w:val="single" w:sz="8" w:space="0" w:color="0082DB" w:themeColor="accent2" w:themeTint="BF"/>
        <w:left w:val="single" w:sz="8" w:space="0" w:color="0082DB" w:themeColor="accent2" w:themeTint="BF"/>
        <w:bottom w:val="single" w:sz="8" w:space="0" w:color="0082DB" w:themeColor="accent2" w:themeTint="BF"/>
        <w:right w:val="single" w:sz="8" w:space="0" w:color="0082DB" w:themeColor="accent2" w:themeTint="BF"/>
        <w:insideH w:val="single" w:sz="8" w:space="0" w:color="0082DB" w:themeColor="accent2" w:themeTint="BF"/>
        <w:insideV w:val="single" w:sz="8" w:space="0" w:color="0082DB" w:themeColor="accent2" w:themeTint="BF"/>
      </w:tblBorders>
    </w:tblPr>
    <w:tcPr>
      <w:shd w:val="clear" w:color="auto" w:fill="9FD8FF" w:themeFill="accent2" w:themeFillTint="3F"/>
    </w:tcPr>
    <w:tblStylePr w:type="firstRow">
      <w:rPr>
        <w:b/>
        <w:bCs/>
      </w:rPr>
    </w:tblStylePr>
    <w:tblStylePr w:type="lastRow">
      <w:rPr>
        <w:b/>
        <w:bCs/>
      </w:rPr>
      <w:tblPr/>
      <w:tcPr>
        <w:tcBorders>
          <w:top w:val="single" w:sz="18" w:space="0" w:color="0082DB" w:themeColor="accent2" w:themeTint="BF"/>
        </w:tcBorders>
      </w:tcPr>
    </w:tblStylePr>
    <w:tblStylePr w:type="firstCol">
      <w:rPr>
        <w:b/>
        <w:bCs/>
      </w:rPr>
    </w:tblStylePr>
    <w:tblStylePr w:type="lastCol">
      <w:rPr>
        <w:b/>
        <w:bCs/>
      </w:rPr>
    </w:tblStylePr>
    <w:tblStylePr w:type="band1Vert">
      <w:tblPr/>
      <w:tcPr>
        <w:shd w:val="clear" w:color="auto" w:fill="3DB0FF" w:themeFill="accent2" w:themeFillTint="7F"/>
      </w:tcPr>
    </w:tblStylePr>
    <w:tblStylePr w:type="band1Horz">
      <w:tblPr/>
      <w:tcPr>
        <w:shd w:val="clear" w:color="auto" w:fill="3DB0FF" w:themeFill="accent2" w:themeFillTint="7F"/>
      </w:tcPr>
    </w:tblStylePr>
  </w:style>
  <w:style w:type="table" w:styleId="MediumGrid1-Accent3">
    <w:name w:val="Medium Grid 1 Accent 3"/>
    <w:basedOn w:val="TableNormal"/>
    <w:uiPriority w:val="67"/>
    <w:rsid w:val="00C00568"/>
    <w:pPr>
      <w:spacing w:before="0"/>
    </w:pPr>
    <w:tblPr>
      <w:tblStyleRowBandSize w:val="1"/>
      <w:tblStyleColBandSize w:val="1"/>
      <w:tblBorders>
        <w:top w:val="single" w:sz="8" w:space="0" w:color="96B4D6" w:themeColor="accent3" w:themeTint="BF"/>
        <w:left w:val="single" w:sz="8" w:space="0" w:color="96B4D6" w:themeColor="accent3" w:themeTint="BF"/>
        <w:bottom w:val="single" w:sz="8" w:space="0" w:color="96B4D6" w:themeColor="accent3" w:themeTint="BF"/>
        <w:right w:val="single" w:sz="8" w:space="0" w:color="96B4D6" w:themeColor="accent3" w:themeTint="BF"/>
        <w:insideH w:val="single" w:sz="8" w:space="0" w:color="96B4D6" w:themeColor="accent3" w:themeTint="BF"/>
        <w:insideV w:val="single" w:sz="8" w:space="0" w:color="96B4D6" w:themeColor="accent3" w:themeTint="BF"/>
      </w:tblBorders>
    </w:tblPr>
    <w:tcPr>
      <w:shd w:val="clear" w:color="auto" w:fill="DCE6F1" w:themeFill="accent3" w:themeFillTint="3F"/>
    </w:tcPr>
    <w:tblStylePr w:type="firstRow">
      <w:rPr>
        <w:b/>
        <w:bCs/>
      </w:rPr>
    </w:tblStylePr>
    <w:tblStylePr w:type="lastRow">
      <w:rPr>
        <w:b/>
        <w:bCs/>
      </w:rPr>
      <w:tblPr/>
      <w:tcPr>
        <w:tcBorders>
          <w:top w:val="single" w:sz="18" w:space="0" w:color="96B4D6" w:themeColor="accent3" w:themeTint="BF"/>
        </w:tcBorders>
      </w:tcPr>
    </w:tblStylePr>
    <w:tblStylePr w:type="firstCol">
      <w:rPr>
        <w:b/>
        <w:bCs/>
      </w:rPr>
    </w:tblStylePr>
    <w:tblStylePr w:type="lastCol">
      <w:rPr>
        <w:b/>
        <w:bCs/>
      </w:rPr>
    </w:tblStylePr>
    <w:tblStylePr w:type="band1Vert">
      <w:tblPr/>
      <w:tcPr>
        <w:shd w:val="clear" w:color="auto" w:fill="B9CDE4" w:themeFill="accent3" w:themeFillTint="7F"/>
      </w:tcPr>
    </w:tblStylePr>
    <w:tblStylePr w:type="band1Horz">
      <w:tblPr/>
      <w:tcPr>
        <w:shd w:val="clear" w:color="auto" w:fill="B9CDE4" w:themeFill="accent3" w:themeFillTint="7F"/>
      </w:tcPr>
    </w:tblStylePr>
  </w:style>
  <w:style w:type="table" w:styleId="MediumGrid1-Accent4">
    <w:name w:val="Medium Grid 1 Accent 4"/>
    <w:basedOn w:val="TableNormal"/>
    <w:uiPriority w:val="67"/>
    <w:rsid w:val="00C00568"/>
    <w:pPr>
      <w:spacing w:before="0"/>
    </w:pPr>
    <w:tblPr>
      <w:tblStyleRowBandSize w:val="1"/>
      <w:tblStyleColBandSize w:val="1"/>
      <w:tblBorders>
        <w:top w:val="single" w:sz="8" w:space="0" w:color="1B99FF" w:themeColor="accent4" w:themeTint="BF"/>
        <w:left w:val="single" w:sz="8" w:space="0" w:color="1B99FF" w:themeColor="accent4" w:themeTint="BF"/>
        <w:bottom w:val="single" w:sz="8" w:space="0" w:color="1B99FF" w:themeColor="accent4" w:themeTint="BF"/>
        <w:right w:val="single" w:sz="8" w:space="0" w:color="1B99FF" w:themeColor="accent4" w:themeTint="BF"/>
        <w:insideH w:val="single" w:sz="8" w:space="0" w:color="1B99FF" w:themeColor="accent4" w:themeTint="BF"/>
        <w:insideV w:val="single" w:sz="8" w:space="0" w:color="1B99FF" w:themeColor="accent4" w:themeTint="BF"/>
      </w:tblBorders>
    </w:tblPr>
    <w:tcPr>
      <w:shd w:val="clear" w:color="auto" w:fill="B3DDFF" w:themeFill="accent4" w:themeFillTint="3F"/>
    </w:tcPr>
    <w:tblStylePr w:type="firstRow">
      <w:rPr>
        <w:b/>
        <w:bCs/>
      </w:rPr>
    </w:tblStylePr>
    <w:tblStylePr w:type="lastRow">
      <w:rPr>
        <w:b/>
        <w:bCs/>
      </w:rPr>
      <w:tblPr/>
      <w:tcPr>
        <w:tcBorders>
          <w:top w:val="single" w:sz="18" w:space="0" w:color="1B99FF" w:themeColor="accent4" w:themeTint="BF"/>
        </w:tcBorders>
      </w:tcPr>
    </w:tblStylePr>
    <w:tblStylePr w:type="firstCol">
      <w:rPr>
        <w:b/>
        <w:bCs/>
      </w:rPr>
    </w:tblStylePr>
    <w:tblStylePr w:type="lastCol">
      <w:rPr>
        <w:b/>
        <w:bCs/>
      </w:rPr>
    </w:tblStylePr>
    <w:tblStylePr w:type="band1Vert">
      <w:tblPr/>
      <w:tcPr>
        <w:shd w:val="clear" w:color="auto" w:fill="67BBFF" w:themeFill="accent4" w:themeFillTint="7F"/>
      </w:tcPr>
    </w:tblStylePr>
    <w:tblStylePr w:type="band1Horz">
      <w:tblPr/>
      <w:tcPr>
        <w:shd w:val="clear" w:color="auto" w:fill="67BBFF" w:themeFill="accent4" w:themeFillTint="7F"/>
      </w:tcPr>
    </w:tblStylePr>
  </w:style>
  <w:style w:type="table" w:styleId="MediumGrid1-Accent5">
    <w:name w:val="Medium Grid 1 Accent 5"/>
    <w:basedOn w:val="TableNormal"/>
    <w:uiPriority w:val="67"/>
    <w:rsid w:val="00C00568"/>
    <w:pPr>
      <w:spacing w:before="0"/>
    </w:pPr>
    <w:tblPr>
      <w:tblStyleRowBandSize w:val="1"/>
      <w:tblStyleColBandSize w:val="1"/>
      <w:tblBorders>
        <w:top w:val="single" w:sz="8" w:space="0" w:color="27BEFF" w:themeColor="accent5" w:themeTint="BF"/>
        <w:left w:val="single" w:sz="8" w:space="0" w:color="27BEFF" w:themeColor="accent5" w:themeTint="BF"/>
        <w:bottom w:val="single" w:sz="8" w:space="0" w:color="27BEFF" w:themeColor="accent5" w:themeTint="BF"/>
        <w:right w:val="single" w:sz="8" w:space="0" w:color="27BEFF" w:themeColor="accent5" w:themeTint="BF"/>
        <w:insideH w:val="single" w:sz="8" w:space="0" w:color="27BEFF" w:themeColor="accent5" w:themeTint="BF"/>
        <w:insideV w:val="single" w:sz="8" w:space="0" w:color="27BEFF" w:themeColor="accent5" w:themeTint="BF"/>
      </w:tblBorders>
    </w:tblPr>
    <w:tcPr>
      <w:shd w:val="clear" w:color="auto" w:fill="B7E9FF" w:themeFill="accent5" w:themeFillTint="3F"/>
    </w:tcPr>
    <w:tblStylePr w:type="firstRow">
      <w:rPr>
        <w:b/>
        <w:bCs/>
      </w:rPr>
    </w:tblStylePr>
    <w:tblStylePr w:type="lastRow">
      <w:rPr>
        <w:b/>
        <w:bCs/>
      </w:rPr>
      <w:tblPr/>
      <w:tcPr>
        <w:tcBorders>
          <w:top w:val="single" w:sz="18" w:space="0" w:color="27BEFF" w:themeColor="accent5" w:themeTint="BF"/>
        </w:tcBorders>
      </w:tcPr>
    </w:tblStylePr>
    <w:tblStylePr w:type="firstCol">
      <w:rPr>
        <w:b/>
        <w:bCs/>
      </w:rPr>
    </w:tblStylePr>
    <w:tblStylePr w:type="lastCol">
      <w:rPr>
        <w:b/>
        <w:bCs/>
      </w:rPr>
    </w:tblStylePr>
    <w:tblStylePr w:type="band1Vert">
      <w:tblPr/>
      <w:tcPr>
        <w:shd w:val="clear" w:color="auto" w:fill="6FD4FF" w:themeFill="accent5" w:themeFillTint="7F"/>
      </w:tcPr>
    </w:tblStylePr>
    <w:tblStylePr w:type="band1Horz">
      <w:tblPr/>
      <w:tcPr>
        <w:shd w:val="clear" w:color="auto" w:fill="6FD4FF" w:themeFill="accent5" w:themeFillTint="7F"/>
      </w:tcPr>
    </w:tblStylePr>
  </w:style>
  <w:style w:type="table" w:styleId="MediumGrid1-Accent6">
    <w:name w:val="Medium Grid 1 Accent 6"/>
    <w:basedOn w:val="TableNormal"/>
    <w:uiPriority w:val="67"/>
    <w:rsid w:val="00C00568"/>
    <w:pPr>
      <w:spacing w:before="0"/>
    </w:pPr>
    <w:tblPr>
      <w:tblStyleRowBandSize w:val="1"/>
      <w:tblStyleColBandSize w:val="1"/>
      <w:tblBorders>
        <w:top w:val="single" w:sz="8" w:space="0" w:color="C54142" w:themeColor="accent6" w:themeTint="BF"/>
        <w:left w:val="single" w:sz="8" w:space="0" w:color="C54142" w:themeColor="accent6" w:themeTint="BF"/>
        <w:bottom w:val="single" w:sz="8" w:space="0" w:color="C54142" w:themeColor="accent6" w:themeTint="BF"/>
        <w:right w:val="single" w:sz="8" w:space="0" w:color="C54142" w:themeColor="accent6" w:themeTint="BF"/>
        <w:insideH w:val="single" w:sz="8" w:space="0" w:color="C54142" w:themeColor="accent6" w:themeTint="BF"/>
        <w:insideV w:val="single" w:sz="8" w:space="0" w:color="C54142" w:themeColor="accent6" w:themeTint="BF"/>
      </w:tblBorders>
    </w:tblPr>
    <w:tcPr>
      <w:shd w:val="clear" w:color="auto" w:fill="ECC0C0" w:themeFill="accent6" w:themeFillTint="3F"/>
    </w:tcPr>
    <w:tblStylePr w:type="firstRow">
      <w:rPr>
        <w:b/>
        <w:bCs/>
      </w:rPr>
    </w:tblStylePr>
    <w:tblStylePr w:type="lastRow">
      <w:rPr>
        <w:b/>
        <w:bCs/>
      </w:rPr>
      <w:tblPr/>
      <w:tcPr>
        <w:tcBorders>
          <w:top w:val="single" w:sz="18" w:space="0" w:color="C54142" w:themeColor="accent6" w:themeTint="BF"/>
        </w:tcBorders>
      </w:tcPr>
    </w:tblStylePr>
    <w:tblStylePr w:type="firstCol">
      <w:rPr>
        <w:b/>
        <w:bCs/>
      </w:rPr>
    </w:tblStylePr>
    <w:tblStylePr w:type="lastCol">
      <w:rPr>
        <w:b/>
        <w:bCs/>
      </w:rPr>
    </w:tblStylePr>
    <w:tblStylePr w:type="band1Vert">
      <w:tblPr/>
      <w:tcPr>
        <w:shd w:val="clear" w:color="auto" w:fill="D88081" w:themeFill="accent6" w:themeFillTint="7F"/>
      </w:tcPr>
    </w:tblStylePr>
    <w:tblStylePr w:type="band1Horz">
      <w:tblPr/>
      <w:tcPr>
        <w:shd w:val="clear" w:color="auto" w:fill="D88081" w:themeFill="accent6" w:themeFillTint="7F"/>
      </w:tcPr>
    </w:tblStylePr>
  </w:style>
  <w:style w:type="table" w:styleId="MediumGrid2">
    <w:name w:val="Medium Grid 2"/>
    <w:basedOn w:val="TableNormal"/>
    <w:uiPriority w:val="68"/>
    <w:rsid w:val="00C00568"/>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00568"/>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0063A6" w:themeColor="accent1"/>
        <w:left w:val="single" w:sz="8" w:space="0" w:color="0063A6" w:themeColor="accent1"/>
        <w:bottom w:val="single" w:sz="8" w:space="0" w:color="0063A6" w:themeColor="accent1"/>
        <w:right w:val="single" w:sz="8" w:space="0" w:color="0063A6" w:themeColor="accent1"/>
        <w:insideH w:val="single" w:sz="8" w:space="0" w:color="0063A6" w:themeColor="accent1"/>
        <w:insideV w:val="single" w:sz="8" w:space="0" w:color="0063A6" w:themeColor="accent1"/>
      </w:tblBorders>
    </w:tblPr>
    <w:tcPr>
      <w:shd w:val="clear" w:color="auto" w:fill="AADCFF" w:themeFill="accent1" w:themeFillTint="3F"/>
    </w:tcPr>
    <w:tblStylePr w:type="firstRow">
      <w:rPr>
        <w:b/>
        <w:bCs/>
        <w:color w:val="000000" w:themeColor="text1"/>
      </w:rPr>
      <w:tblPr/>
      <w:tcPr>
        <w:shd w:val="clear" w:color="auto" w:fill="DDF1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AE3FF" w:themeFill="accent1" w:themeFillTint="33"/>
      </w:tcPr>
    </w:tblStylePr>
    <w:tblStylePr w:type="band1Vert">
      <w:tblPr/>
      <w:tcPr>
        <w:shd w:val="clear" w:color="auto" w:fill="53B9FF" w:themeFill="accent1" w:themeFillTint="7F"/>
      </w:tcPr>
    </w:tblStylePr>
    <w:tblStylePr w:type="band1Horz">
      <w:tblPr/>
      <w:tcPr>
        <w:tcBorders>
          <w:insideH w:val="single" w:sz="6" w:space="0" w:color="0063A6" w:themeColor="accent1"/>
          <w:insideV w:val="single" w:sz="6" w:space="0" w:color="0063A6" w:themeColor="accent1"/>
        </w:tcBorders>
        <w:shd w:val="clear" w:color="auto" w:fill="53B9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00568"/>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00497A" w:themeColor="accent2"/>
        <w:left w:val="single" w:sz="8" w:space="0" w:color="00497A" w:themeColor="accent2"/>
        <w:bottom w:val="single" w:sz="8" w:space="0" w:color="00497A" w:themeColor="accent2"/>
        <w:right w:val="single" w:sz="8" w:space="0" w:color="00497A" w:themeColor="accent2"/>
        <w:insideH w:val="single" w:sz="8" w:space="0" w:color="00497A" w:themeColor="accent2"/>
        <w:insideV w:val="single" w:sz="8" w:space="0" w:color="00497A" w:themeColor="accent2"/>
      </w:tblBorders>
    </w:tblPr>
    <w:tcPr>
      <w:shd w:val="clear" w:color="auto" w:fill="9FD8FF" w:themeFill="accent2" w:themeFillTint="3F"/>
    </w:tcPr>
    <w:tblStylePr w:type="firstRow">
      <w:rPr>
        <w:b/>
        <w:bCs/>
        <w:color w:val="000000" w:themeColor="text1"/>
      </w:rPr>
      <w:tblPr/>
      <w:tcPr>
        <w:shd w:val="clear" w:color="auto" w:fill="D8EF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1DFFF" w:themeFill="accent2" w:themeFillTint="33"/>
      </w:tcPr>
    </w:tblStylePr>
    <w:tblStylePr w:type="band1Vert">
      <w:tblPr/>
      <w:tcPr>
        <w:shd w:val="clear" w:color="auto" w:fill="3DB0FF" w:themeFill="accent2" w:themeFillTint="7F"/>
      </w:tcPr>
    </w:tblStylePr>
    <w:tblStylePr w:type="band1Horz">
      <w:tblPr/>
      <w:tcPr>
        <w:tcBorders>
          <w:insideH w:val="single" w:sz="6" w:space="0" w:color="00497A" w:themeColor="accent2"/>
          <w:insideV w:val="single" w:sz="6" w:space="0" w:color="00497A" w:themeColor="accent2"/>
        </w:tcBorders>
        <w:shd w:val="clear" w:color="auto" w:fill="3DB0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00568"/>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749CC9" w:themeColor="accent3"/>
        <w:left w:val="single" w:sz="8" w:space="0" w:color="749CC9" w:themeColor="accent3"/>
        <w:bottom w:val="single" w:sz="8" w:space="0" w:color="749CC9" w:themeColor="accent3"/>
        <w:right w:val="single" w:sz="8" w:space="0" w:color="749CC9" w:themeColor="accent3"/>
        <w:insideH w:val="single" w:sz="8" w:space="0" w:color="749CC9" w:themeColor="accent3"/>
        <w:insideV w:val="single" w:sz="8" w:space="0" w:color="749CC9" w:themeColor="accent3"/>
      </w:tblBorders>
    </w:tblPr>
    <w:tcPr>
      <w:shd w:val="clear" w:color="auto" w:fill="DCE6F1" w:themeFill="accent3" w:themeFillTint="3F"/>
    </w:tcPr>
    <w:tblStylePr w:type="firstRow">
      <w:rPr>
        <w:b/>
        <w:bCs/>
        <w:color w:val="000000" w:themeColor="text1"/>
      </w:rPr>
      <w:tblPr/>
      <w:tcPr>
        <w:shd w:val="clear" w:color="auto" w:fill="F1F5F9"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BF4" w:themeFill="accent3" w:themeFillTint="33"/>
      </w:tcPr>
    </w:tblStylePr>
    <w:tblStylePr w:type="band1Vert">
      <w:tblPr/>
      <w:tcPr>
        <w:shd w:val="clear" w:color="auto" w:fill="B9CDE4" w:themeFill="accent3" w:themeFillTint="7F"/>
      </w:tcPr>
    </w:tblStylePr>
    <w:tblStylePr w:type="band1Horz">
      <w:tblPr/>
      <w:tcPr>
        <w:tcBorders>
          <w:insideH w:val="single" w:sz="6" w:space="0" w:color="749CC9" w:themeColor="accent3"/>
          <w:insideV w:val="single" w:sz="6" w:space="0" w:color="749CC9" w:themeColor="accent3"/>
        </w:tcBorders>
        <w:shd w:val="clear" w:color="auto" w:fill="B9CDE4"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00568"/>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0072CE" w:themeColor="accent4"/>
        <w:left w:val="single" w:sz="8" w:space="0" w:color="0072CE" w:themeColor="accent4"/>
        <w:bottom w:val="single" w:sz="8" w:space="0" w:color="0072CE" w:themeColor="accent4"/>
        <w:right w:val="single" w:sz="8" w:space="0" w:color="0072CE" w:themeColor="accent4"/>
        <w:insideH w:val="single" w:sz="8" w:space="0" w:color="0072CE" w:themeColor="accent4"/>
        <w:insideV w:val="single" w:sz="8" w:space="0" w:color="0072CE" w:themeColor="accent4"/>
      </w:tblBorders>
    </w:tblPr>
    <w:tcPr>
      <w:shd w:val="clear" w:color="auto" w:fill="B3DDFF" w:themeFill="accent4" w:themeFillTint="3F"/>
    </w:tcPr>
    <w:tblStylePr w:type="firstRow">
      <w:rPr>
        <w:b/>
        <w:bCs/>
        <w:color w:val="000000" w:themeColor="text1"/>
      </w:rPr>
      <w:tblPr/>
      <w:tcPr>
        <w:shd w:val="clear" w:color="auto" w:fill="E1F1F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E3FF" w:themeFill="accent4" w:themeFillTint="33"/>
      </w:tcPr>
    </w:tblStylePr>
    <w:tblStylePr w:type="band1Vert">
      <w:tblPr/>
      <w:tcPr>
        <w:shd w:val="clear" w:color="auto" w:fill="67BBFF" w:themeFill="accent4" w:themeFillTint="7F"/>
      </w:tcPr>
    </w:tblStylePr>
    <w:tblStylePr w:type="band1Horz">
      <w:tblPr/>
      <w:tcPr>
        <w:tcBorders>
          <w:insideH w:val="single" w:sz="6" w:space="0" w:color="0072CE" w:themeColor="accent4"/>
          <w:insideV w:val="single" w:sz="6" w:space="0" w:color="0072CE" w:themeColor="accent4"/>
        </w:tcBorders>
        <w:shd w:val="clear" w:color="auto" w:fill="67BBF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00568"/>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009CDE" w:themeColor="accent5"/>
        <w:left w:val="single" w:sz="8" w:space="0" w:color="009CDE" w:themeColor="accent5"/>
        <w:bottom w:val="single" w:sz="8" w:space="0" w:color="009CDE" w:themeColor="accent5"/>
        <w:right w:val="single" w:sz="8" w:space="0" w:color="009CDE" w:themeColor="accent5"/>
        <w:insideH w:val="single" w:sz="8" w:space="0" w:color="009CDE" w:themeColor="accent5"/>
        <w:insideV w:val="single" w:sz="8" w:space="0" w:color="009CDE" w:themeColor="accent5"/>
      </w:tblBorders>
    </w:tblPr>
    <w:tcPr>
      <w:shd w:val="clear" w:color="auto" w:fill="B7E9FF" w:themeFill="accent5" w:themeFillTint="3F"/>
    </w:tcPr>
    <w:tblStylePr w:type="firstRow">
      <w:rPr>
        <w:b/>
        <w:bCs/>
        <w:color w:val="000000" w:themeColor="text1"/>
      </w:rPr>
      <w:tblPr/>
      <w:tcPr>
        <w:shd w:val="clear" w:color="auto" w:fill="E2F6F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EDFF" w:themeFill="accent5" w:themeFillTint="33"/>
      </w:tcPr>
    </w:tblStylePr>
    <w:tblStylePr w:type="band1Vert">
      <w:tblPr/>
      <w:tcPr>
        <w:shd w:val="clear" w:color="auto" w:fill="6FD4FF" w:themeFill="accent5" w:themeFillTint="7F"/>
      </w:tcPr>
    </w:tblStylePr>
    <w:tblStylePr w:type="band1Horz">
      <w:tblPr/>
      <w:tcPr>
        <w:tcBorders>
          <w:insideH w:val="single" w:sz="6" w:space="0" w:color="009CDE" w:themeColor="accent5"/>
          <w:insideV w:val="single" w:sz="6" w:space="0" w:color="009CDE" w:themeColor="accent5"/>
        </w:tcBorders>
        <w:shd w:val="clear" w:color="auto" w:fill="6FD4F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00568"/>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8A2A2B" w:themeColor="accent6"/>
        <w:left w:val="single" w:sz="8" w:space="0" w:color="8A2A2B" w:themeColor="accent6"/>
        <w:bottom w:val="single" w:sz="8" w:space="0" w:color="8A2A2B" w:themeColor="accent6"/>
        <w:right w:val="single" w:sz="8" w:space="0" w:color="8A2A2B" w:themeColor="accent6"/>
        <w:insideH w:val="single" w:sz="8" w:space="0" w:color="8A2A2B" w:themeColor="accent6"/>
        <w:insideV w:val="single" w:sz="8" w:space="0" w:color="8A2A2B" w:themeColor="accent6"/>
      </w:tblBorders>
    </w:tblPr>
    <w:tcPr>
      <w:shd w:val="clear" w:color="auto" w:fill="ECC0C0" w:themeFill="accent6" w:themeFillTint="3F"/>
    </w:tcPr>
    <w:tblStylePr w:type="firstRow">
      <w:rPr>
        <w:b/>
        <w:bCs/>
        <w:color w:val="000000" w:themeColor="text1"/>
      </w:rPr>
      <w:tblPr/>
      <w:tcPr>
        <w:shd w:val="clear" w:color="auto" w:fill="F7E5E5"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CCCC" w:themeFill="accent6" w:themeFillTint="33"/>
      </w:tcPr>
    </w:tblStylePr>
    <w:tblStylePr w:type="band1Vert">
      <w:tblPr/>
      <w:tcPr>
        <w:shd w:val="clear" w:color="auto" w:fill="D88081" w:themeFill="accent6" w:themeFillTint="7F"/>
      </w:tcPr>
    </w:tblStylePr>
    <w:tblStylePr w:type="band1Horz">
      <w:tblPr/>
      <w:tcPr>
        <w:tcBorders>
          <w:insideH w:val="single" w:sz="6" w:space="0" w:color="8A2A2B" w:themeColor="accent6"/>
          <w:insideV w:val="single" w:sz="6" w:space="0" w:color="8A2A2B" w:themeColor="accent6"/>
        </w:tcBorders>
        <w:shd w:val="clear" w:color="auto" w:fill="D88081"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00568"/>
    <w:pPr>
      <w:spacing w:before="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00568"/>
    <w:pPr>
      <w:spacing w:before="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ADC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63A6"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63A6"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63A6"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63A6"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3B9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3B9FF" w:themeFill="accent1" w:themeFillTint="7F"/>
      </w:tcPr>
    </w:tblStylePr>
  </w:style>
  <w:style w:type="table" w:styleId="MediumGrid3-Accent2">
    <w:name w:val="Medium Grid 3 Accent 2"/>
    <w:basedOn w:val="TableNormal"/>
    <w:uiPriority w:val="69"/>
    <w:rsid w:val="00C00568"/>
    <w:pPr>
      <w:spacing w:before="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FD8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497A"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497A"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497A"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497A"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DB0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DB0FF" w:themeFill="accent2" w:themeFillTint="7F"/>
      </w:tcPr>
    </w:tblStylePr>
  </w:style>
  <w:style w:type="table" w:styleId="MediumGrid3-Accent3">
    <w:name w:val="Medium Grid 3 Accent 3"/>
    <w:basedOn w:val="TableNormal"/>
    <w:uiPriority w:val="69"/>
    <w:rsid w:val="00C00568"/>
    <w:pPr>
      <w:spacing w:before="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CE6F1"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49CC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49CC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49CC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49CC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9CDE4"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9CDE4" w:themeFill="accent3" w:themeFillTint="7F"/>
      </w:tcPr>
    </w:tblStylePr>
  </w:style>
  <w:style w:type="table" w:styleId="MediumGrid3-Accent4">
    <w:name w:val="Medium Grid 3 Accent 4"/>
    <w:basedOn w:val="TableNormal"/>
    <w:uiPriority w:val="69"/>
    <w:rsid w:val="00C00568"/>
    <w:pPr>
      <w:spacing w:before="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DDF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2CE"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2CE"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2CE"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2CE"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BBF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BBFF" w:themeFill="accent4" w:themeFillTint="7F"/>
      </w:tcPr>
    </w:tblStylePr>
  </w:style>
  <w:style w:type="table" w:styleId="MediumGrid3-Accent5">
    <w:name w:val="Medium Grid 3 Accent 5"/>
    <w:basedOn w:val="TableNormal"/>
    <w:uiPriority w:val="69"/>
    <w:rsid w:val="00C00568"/>
    <w:pPr>
      <w:spacing w:before="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E9F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CDE"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CDE"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CDE"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CDE"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FD4F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FD4FF" w:themeFill="accent5" w:themeFillTint="7F"/>
      </w:tcPr>
    </w:tblStylePr>
  </w:style>
  <w:style w:type="table" w:styleId="MediumGrid3-Accent6">
    <w:name w:val="Medium Grid 3 Accent 6"/>
    <w:basedOn w:val="TableNormal"/>
    <w:uiPriority w:val="69"/>
    <w:rsid w:val="00C00568"/>
    <w:pPr>
      <w:spacing w:before="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CC0C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A2A2B"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A2A2B"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A2A2B"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A2A2B"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8081"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8081" w:themeFill="accent6" w:themeFillTint="7F"/>
      </w:tcPr>
    </w:tblStylePr>
  </w:style>
  <w:style w:type="table" w:styleId="MediumList1">
    <w:name w:val="Medium List 1"/>
    <w:basedOn w:val="TableNormal"/>
    <w:uiPriority w:val="65"/>
    <w:rsid w:val="00C00568"/>
    <w:pPr>
      <w:spacing w:before="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201547"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00568"/>
    <w:pPr>
      <w:spacing w:before="0"/>
    </w:pPr>
    <w:rPr>
      <w:color w:val="000000" w:themeColor="text1"/>
    </w:rPr>
    <w:tblPr>
      <w:tblStyleRowBandSize w:val="1"/>
      <w:tblStyleColBandSize w:val="1"/>
      <w:tblBorders>
        <w:top w:val="single" w:sz="8" w:space="0" w:color="0063A6" w:themeColor="accent1"/>
        <w:bottom w:val="single" w:sz="8" w:space="0" w:color="0063A6" w:themeColor="accent1"/>
      </w:tblBorders>
    </w:tblPr>
    <w:tblStylePr w:type="firstRow">
      <w:rPr>
        <w:rFonts w:asciiTheme="majorHAnsi" w:eastAsiaTheme="majorEastAsia" w:hAnsiTheme="majorHAnsi" w:cstheme="majorBidi"/>
      </w:rPr>
      <w:tblPr/>
      <w:tcPr>
        <w:tcBorders>
          <w:top w:val="nil"/>
          <w:bottom w:val="single" w:sz="8" w:space="0" w:color="0063A6" w:themeColor="accent1"/>
        </w:tcBorders>
      </w:tcPr>
    </w:tblStylePr>
    <w:tblStylePr w:type="lastRow">
      <w:rPr>
        <w:b/>
        <w:bCs/>
        <w:color w:val="201547" w:themeColor="text2"/>
      </w:rPr>
      <w:tblPr/>
      <w:tcPr>
        <w:tcBorders>
          <w:top w:val="single" w:sz="8" w:space="0" w:color="0063A6" w:themeColor="accent1"/>
          <w:bottom w:val="single" w:sz="8" w:space="0" w:color="0063A6" w:themeColor="accent1"/>
        </w:tcBorders>
      </w:tcPr>
    </w:tblStylePr>
    <w:tblStylePr w:type="firstCol">
      <w:rPr>
        <w:b/>
        <w:bCs/>
      </w:rPr>
    </w:tblStylePr>
    <w:tblStylePr w:type="lastCol">
      <w:rPr>
        <w:b/>
        <w:bCs/>
      </w:rPr>
      <w:tblPr/>
      <w:tcPr>
        <w:tcBorders>
          <w:top w:val="single" w:sz="8" w:space="0" w:color="0063A6" w:themeColor="accent1"/>
          <w:bottom w:val="single" w:sz="8" w:space="0" w:color="0063A6" w:themeColor="accent1"/>
        </w:tcBorders>
      </w:tcPr>
    </w:tblStylePr>
    <w:tblStylePr w:type="band1Vert">
      <w:tblPr/>
      <w:tcPr>
        <w:shd w:val="clear" w:color="auto" w:fill="AADCFF" w:themeFill="accent1" w:themeFillTint="3F"/>
      </w:tcPr>
    </w:tblStylePr>
    <w:tblStylePr w:type="band1Horz">
      <w:tblPr/>
      <w:tcPr>
        <w:shd w:val="clear" w:color="auto" w:fill="AADCFF" w:themeFill="accent1" w:themeFillTint="3F"/>
      </w:tcPr>
    </w:tblStylePr>
  </w:style>
  <w:style w:type="table" w:styleId="MediumList1-Accent2">
    <w:name w:val="Medium List 1 Accent 2"/>
    <w:basedOn w:val="TableNormal"/>
    <w:uiPriority w:val="65"/>
    <w:rsid w:val="00C00568"/>
    <w:pPr>
      <w:spacing w:before="0"/>
    </w:pPr>
    <w:rPr>
      <w:color w:val="000000" w:themeColor="text1"/>
    </w:rPr>
    <w:tblPr>
      <w:tblStyleRowBandSize w:val="1"/>
      <w:tblStyleColBandSize w:val="1"/>
      <w:tblBorders>
        <w:top w:val="single" w:sz="8" w:space="0" w:color="00497A" w:themeColor="accent2"/>
        <w:bottom w:val="single" w:sz="8" w:space="0" w:color="00497A" w:themeColor="accent2"/>
      </w:tblBorders>
    </w:tblPr>
    <w:tblStylePr w:type="firstRow">
      <w:rPr>
        <w:rFonts w:asciiTheme="majorHAnsi" w:eastAsiaTheme="majorEastAsia" w:hAnsiTheme="majorHAnsi" w:cstheme="majorBidi"/>
      </w:rPr>
      <w:tblPr/>
      <w:tcPr>
        <w:tcBorders>
          <w:top w:val="nil"/>
          <w:bottom w:val="single" w:sz="8" w:space="0" w:color="00497A" w:themeColor="accent2"/>
        </w:tcBorders>
      </w:tcPr>
    </w:tblStylePr>
    <w:tblStylePr w:type="lastRow">
      <w:rPr>
        <w:b/>
        <w:bCs/>
        <w:color w:val="201547" w:themeColor="text2"/>
      </w:rPr>
      <w:tblPr/>
      <w:tcPr>
        <w:tcBorders>
          <w:top w:val="single" w:sz="8" w:space="0" w:color="00497A" w:themeColor="accent2"/>
          <w:bottom w:val="single" w:sz="8" w:space="0" w:color="00497A" w:themeColor="accent2"/>
        </w:tcBorders>
      </w:tcPr>
    </w:tblStylePr>
    <w:tblStylePr w:type="firstCol">
      <w:rPr>
        <w:b/>
        <w:bCs/>
      </w:rPr>
    </w:tblStylePr>
    <w:tblStylePr w:type="lastCol">
      <w:rPr>
        <w:b/>
        <w:bCs/>
      </w:rPr>
      <w:tblPr/>
      <w:tcPr>
        <w:tcBorders>
          <w:top w:val="single" w:sz="8" w:space="0" w:color="00497A" w:themeColor="accent2"/>
          <w:bottom w:val="single" w:sz="8" w:space="0" w:color="00497A" w:themeColor="accent2"/>
        </w:tcBorders>
      </w:tcPr>
    </w:tblStylePr>
    <w:tblStylePr w:type="band1Vert">
      <w:tblPr/>
      <w:tcPr>
        <w:shd w:val="clear" w:color="auto" w:fill="9FD8FF" w:themeFill="accent2" w:themeFillTint="3F"/>
      </w:tcPr>
    </w:tblStylePr>
    <w:tblStylePr w:type="band1Horz">
      <w:tblPr/>
      <w:tcPr>
        <w:shd w:val="clear" w:color="auto" w:fill="9FD8FF" w:themeFill="accent2" w:themeFillTint="3F"/>
      </w:tcPr>
    </w:tblStylePr>
  </w:style>
  <w:style w:type="table" w:styleId="MediumList1-Accent3">
    <w:name w:val="Medium List 1 Accent 3"/>
    <w:basedOn w:val="TableNormal"/>
    <w:uiPriority w:val="65"/>
    <w:rsid w:val="00C00568"/>
    <w:pPr>
      <w:spacing w:before="0"/>
    </w:pPr>
    <w:rPr>
      <w:color w:val="000000" w:themeColor="text1"/>
    </w:rPr>
    <w:tblPr>
      <w:tblStyleRowBandSize w:val="1"/>
      <w:tblStyleColBandSize w:val="1"/>
      <w:tblBorders>
        <w:top w:val="single" w:sz="8" w:space="0" w:color="749CC9" w:themeColor="accent3"/>
        <w:bottom w:val="single" w:sz="8" w:space="0" w:color="749CC9" w:themeColor="accent3"/>
      </w:tblBorders>
    </w:tblPr>
    <w:tblStylePr w:type="firstRow">
      <w:rPr>
        <w:rFonts w:asciiTheme="majorHAnsi" w:eastAsiaTheme="majorEastAsia" w:hAnsiTheme="majorHAnsi" w:cstheme="majorBidi"/>
      </w:rPr>
      <w:tblPr/>
      <w:tcPr>
        <w:tcBorders>
          <w:top w:val="nil"/>
          <w:bottom w:val="single" w:sz="8" w:space="0" w:color="749CC9" w:themeColor="accent3"/>
        </w:tcBorders>
      </w:tcPr>
    </w:tblStylePr>
    <w:tblStylePr w:type="lastRow">
      <w:rPr>
        <w:b/>
        <w:bCs/>
        <w:color w:val="201547" w:themeColor="text2"/>
      </w:rPr>
      <w:tblPr/>
      <w:tcPr>
        <w:tcBorders>
          <w:top w:val="single" w:sz="8" w:space="0" w:color="749CC9" w:themeColor="accent3"/>
          <w:bottom w:val="single" w:sz="8" w:space="0" w:color="749CC9" w:themeColor="accent3"/>
        </w:tcBorders>
      </w:tcPr>
    </w:tblStylePr>
    <w:tblStylePr w:type="firstCol">
      <w:rPr>
        <w:b/>
        <w:bCs/>
      </w:rPr>
    </w:tblStylePr>
    <w:tblStylePr w:type="lastCol">
      <w:rPr>
        <w:b/>
        <w:bCs/>
      </w:rPr>
      <w:tblPr/>
      <w:tcPr>
        <w:tcBorders>
          <w:top w:val="single" w:sz="8" w:space="0" w:color="749CC9" w:themeColor="accent3"/>
          <w:bottom w:val="single" w:sz="8" w:space="0" w:color="749CC9" w:themeColor="accent3"/>
        </w:tcBorders>
      </w:tcPr>
    </w:tblStylePr>
    <w:tblStylePr w:type="band1Vert">
      <w:tblPr/>
      <w:tcPr>
        <w:shd w:val="clear" w:color="auto" w:fill="DCE6F1" w:themeFill="accent3" w:themeFillTint="3F"/>
      </w:tcPr>
    </w:tblStylePr>
    <w:tblStylePr w:type="band1Horz">
      <w:tblPr/>
      <w:tcPr>
        <w:shd w:val="clear" w:color="auto" w:fill="DCE6F1" w:themeFill="accent3" w:themeFillTint="3F"/>
      </w:tcPr>
    </w:tblStylePr>
  </w:style>
  <w:style w:type="table" w:styleId="MediumList1-Accent4">
    <w:name w:val="Medium List 1 Accent 4"/>
    <w:basedOn w:val="TableNormal"/>
    <w:uiPriority w:val="65"/>
    <w:rsid w:val="00C00568"/>
    <w:pPr>
      <w:spacing w:before="0"/>
    </w:pPr>
    <w:rPr>
      <w:color w:val="000000" w:themeColor="text1"/>
    </w:rPr>
    <w:tblPr>
      <w:tblStyleRowBandSize w:val="1"/>
      <w:tblStyleColBandSize w:val="1"/>
      <w:tblBorders>
        <w:top w:val="single" w:sz="8" w:space="0" w:color="0072CE" w:themeColor="accent4"/>
        <w:bottom w:val="single" w:sz="8" w:space="0" w:color="0072CE" w:themeColor="accent4"/>
      </w:tblBorders>
    </w:tblPr>
    <w:tblStylePr w:type="firstRow">
      <w:rPr>
        <w:rFonts w:asciiTheme="majorHAnsi" w:eastAsiaTheme="majorEastAsia" w:hAnsiTheme="majorHAnsi" w:cstheme="majorBidi"/>
      </w:rPr>
      <w:tblPr/>
      <w:tcPr>
        <w:tcBorders>
          <w:top w:val="nil"/>
          <w:bottom w:val="single" w:sz="8" w:space="0" w:color="0072CE" w:themeColor="accent4"/>
        </w:tcBorders>
      </w:tcPr>
    </w:tblStylePr>
    <w:tblStylePr w:type="lastRow">
      <w:rPr>
        <w:b/>
        <w:bCs/>
        <w:color w:val="201547" w:themeColor="text2"/>
      </w:rPr>
      <w:tblPr/>
      <w:tcPr>
        <w:tcBorders>
          <w:top w:val="single" w:sz="8" w:space="0" w:color="0072CE" w:themeColor="accent4"/>
          <w:bottom w:val="single" w:sz="8" w:space="0" w:color="0072CE" w:themeColor="accent4"/>
        </w:tcBorders>
      </w:tcPr>
    </w:tblStylePr>
    <w:tblStylePr w:type="firstCol">
      <w:rPr>
        <w:b/>
        <w:bCs/>
      </w:rPr>
    </w:tblStylePr>
    <w:tblStylePr w:type="lastCol">
      <w:rPr>
        <w:b/>
        <w:bCs/>
      </w:rPr>
      <w:tblPr/>
      <w:tcPr>
        <w:tcBorders>
          <w:top w:val="single" w:sz="8" w:space="0" w:color="0072CE" w:themeColor="accent4"/>
          <w:bottom w:val="single" w:sz="8" w:space="0" w:color="0072CE" w:themeColor="accent4"/>
        </w:tcBorders>
      </w:tcPr>
    </w:tblStylePr>
    <w:tblStylePr w:type="band1Vert">
      <w:tblPr/>
      <w:tcPr>
        <w:shd w:val="clear" w:color="auto" w:fill="B3DDFF" w:themeFill="accent4" w:themeFillTint="3F"/>
      </w:tcPr>
    </w:tblStylePr>
    <w:tblStylePr w:type="band1Horz">
      <w:tblPr/>
      <w:tcPr>
        <w:shd w:val="clear" w:color="auto" w:fill="B3DDFF" w:themeFill="accent4" w:themeFillTint="3F"/>
      </w:tcPr>
    </w:tblStylePr>
  </w:style>
  <w:style w:type="table" w:styleId="MediumList1-Accent5">
    <w:name w:val="Medium List 1 Accent 5"/>
    <w:basedOn w:val="TableNormal"/>
    <w:uiPriority w:val="65"/>
    <w:rsid w:val="00C00568"/>
    <w:pPr>
      <w:spacing w:before="0"/>
    </w:pPr>
    <w:rPr>
      <w:color w:val="000000" w:themeColor="text1"/>
    </w:rPr>
    <w:tblPr>
      <w:tblStyleRowBandSize w:val="1"/>
      <w:tblStyleColBandSize w:val="1"/>
      <w:tblBorders>
        <w:top w:val="single" w:sz="8" w:space="0" w:color="009CDE" w:themeColor="accent5"/>
        <w:bottom w:val="single" w:sz="8" w:space="0" w:color="009CDE" w:themeColor="accent5"/>
      </w:tblBorders>
    </w:tblPr>
    <w:tblStylePr w:type="firstRow">
      <w:rPr>
        <w:rFonts w:asciiTheme="majorHAnsi" w:eastAsiaTheme="majorEastAsia" w:hAnsiTheme="majorHAnsi" w:cstheme="majorBidi"/>
      </w:rPr>
      <w:tblPr/>
      <w:tcPr>
        <w:tcBorders>
          <w:top w:val="nil"/>
          <w:bottom w:val="single" w:sz="8" w:space="0" w:color="009CDE" w:themeColor="accent5"/>
        </w:tcBorders>
      </w:tcPr>
    </w:tblStylePr>
    <w:tblStylePr w:type="lastRow">
      <w:rPr>
        <w:b/>
        <w:bCs/>
        <w:color w:val="201547" w:themeColor="text2"/>
      </w:rPr>
      <w:tblPr/>
      <w:tcPr>
        <w:tcBorders>
          <w:top w:val="single" w:sz="8" w:space="0" w:color="009CDE" w:themeColor="accent5"/>
          <w:bottom w:val="single" w:sz="8" w:space="0" w:color="009CDE" w:themeColor="accent5"/>
        </w:tcBorders>
      </w:tcPr>
    </w:tblStylePr>
    <w:tblStylePr w:type="firstCol">
      <w:rPr>
        <w:b/>
        <w:bCs/>
      </w:rPr>
    </w:tblStylePr>
    <w:tblStylePr w:type="lastCol">
      <w:rPr>
        <w:b/>
        <w:bCs/>
      </w:rPr>
      <w:tblPr/>
      <w:tcPr>
        <w:tcBorders>
          <w:top w:val="single" w:sz="8" w:space="0" w:color="009CDE" w:themeColor="accent5"/>
          <w:bottom w:val="single" w:sz="8" w:space="0" w:color="009CDE" w:themeColor="accent5"/>
        </w:tcBorders>
      </w:tcPr>
    </w:tblStylePr>
    <w:tblStylePr w:type="band1Vert">
      <w:tblPr/>
      <w:tcPr>
        <w:shd w:val="clear" w:color="auto" w:fill="B7E9FF" w:themeFill="accent5" w:themeFillTint="3F"/>
      </w:tcPr>
    </w:tblStylePr>
    <w:tblStylePr w:type="band1Horz">
      <w:tblPr/>
      <w:tcPr>
        <w:shd w:val="clear" w:color="auto" w:fill="B7E9FF" w:themeFill="accent5" w:themeFillTint="3F"/>
      </w:tcPr>
    </w:tblStylePr>
  </w:style>
  <w:style w:type="table" w:styleId="MediumList1-Accent6">
    <w:name w:val="Medium List 1 Accent 6"/>
    <w:basedOn w:val="TableNormal"/>
    <w:uiPriority w:val="65"/>
    <w:rsid w:val="00C00568"/>
    <w:pPr>
      <w:spacing w:before="0"/>
    </w:pPr>
    <w:rPr>
      <w:color w:val="000000" w:themeColor="text1"/>
    </w:rPr>
    <w:tblPr>
      <w:tblStyleRowBandSize w:val="1"/>
      <w:tblStyleColBandSize w:val="1"/>
      <w:tblBorders>
        <w:top w:val="single" w:sz="8" w:space="0" w:color="8A2A2B" w:themeColor="accent6"/>
        <w:bottom w:val="single" w:sz="8" w:space="0" w:color="8A2A2B" w:themeColor="accent6"/>
      </w:tblBorders>
    </w:tblPr>
    <w:tblStylePr w:type="firstRow">
      <w:rPr>
        <w:rFonts w:asciiTheme="majorHAnsi" w:eastAsiaTheme="majorEastAsia" w:hAnsiTheme="majorHAnsi" w:cstheme="majorBidi"/>
      </w:rPr>
      <w:tblPr/>
      <w:tcPr>
        <w:tcBorders>
          <w:top w:val="nil"/>
          <w:bottom w:val="single" w:sz="8" w:space="0" w:color="8A2A2B" w:themeColor="accent6"/>
        </w:tcBorders>
      </w:tcPr>
    </w:tblStylePr>
    <w:tblStylePr w:type="lastRow">
      <w:rPr>
        <w:b/>
        <w:bCs/>
        <w:color w:val="201547" w:themeColor="text2"/>
      </w:rPr>
      <w:tblPr/>
      <w:tcPr>
        <w:tcBorders>
          <w:top w:val="single" w:sz="8" w:space="0" w:color="8A2A2B" w:themeColor="accent6"/>
          <w:bottom w:val="single" w:sz="8" w:space="0" w:color="8A2A2B" w:themeColor="accent6"/>
        </w:tcBorders>
      </w:tcPr>
    </w:tblStylePr>
    <w:tblStylePr w:type="firstCol">
      <w:rPr>
        <w:b/>
        <w:bCs/>
      </w:rPr>
    </w:tblStylePr>
    <w:tblStylePr w:type="lastCol">
      <w:rPr>
        <w:b/>
        <w:bCs/>
      </w:rPr>
      <w:tblPr/>
      <w:tcPr>
        <w:tcBorders>
          <w:top w:val="single" w:sz="8" w:space="0" w:color="8A2A2B" w:themeColor="accent6"/>
          <w:bottom w:val="single" w:sz="8" w:space="0" w:color="8A2A2B" w:themeColor="accent6"/>
        </w:tcBorders>
      </w:tcPr>
    </w:tblStylePr>
    <w:tblStylePr w:type="band1Vert">
      <w:tblPr/>
      <w:tcPr>
        <w:shd w:val="clear" w:color="auto" w:fill="ECC0C0" w:themeFill="accent6" w:themeFillTint="3F"/>
      </w:tcPr>
    </w:tblStylePr>
    <w:tblStylePr w:type="band1Horz">
      <w:tblPr/>
      <w:tcPr>
        <w:shd w:val="clear" w:color="auto" w:fill="ECC0C0" w:themeFill="accent6" w:themeFillTint="3F"/>
      </w:tcPr>
    </w:tblStylePr>
  </w:style>
  <w:style w:type="table" w:styleId="MediumList2">
    <w:name w:val="Medium List 2"/>
    <w:basedOn w:val="TableNormal"/>
    <w:uiPriority w:val="66"/>
    <w:rsid w:val="00C00568"/>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00568"/>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0063A6" w:themeColor="accent1"/>
        <w:left w:val="single" w:sz="8" w:space="0" w:color="0063A6" w:themeColor="accent1"/>
        <w:bottom w:val="single" w:sz="8" w:space="0" w:color="0063A6" w:themeColor="accent1"/>
        <w:right w:val="single" w:sz="8" w:space="0" w:color="0063A6" w:themeColor="accent1"/>
      </w:tblBorders>
    </w:tblPr>
    <w:tblStylePr w:type="firstRow">
      <w:rPr>
        <w:sz w:val="24"/>
        <w:szCs w:val="24"/>
      </w:rPr>
      <w:tblPr/>
      <w:tcPr>
        <w:tcBorders>
          <w:top w:val="nil"/>
          <w:left w:val="nil"/>
          <w:bottom w:val="single" w:sz="24" w:space="0" w:color="0063A6" w:themeColor="accent1"/>
          <w:right w:val="nil"/>
          <w:insideH w:val="nil"/>
          <w:insideV w:val="nil"/>
        </w:tcBorders>
        <w:shd w:val="clear" w:color="auto" w:fill="FFFFFF" w:themeFill="background1"/>
      </w:tcPr>
    </w:tblStylePr>
    <w:tblStylePr w:type="lastRow">
      <w:tblPr/>
      <w:tcPr>
        <w:tcBorders>
          <w:top w:val="single" w:sz="8" w:space="0" w:color="0063A6"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63A6" w:themeColor="accent1"/>
          <w:insideH w:val="nil"/>
          <w:insideV w:val="nil"/>
        </w:tcBorders>
        <w:shd w:val="clear" w:color="auto" w:fill="FFFFFF" w:themeFill="background1"/>
      </w:tcPr>
    </w:tblStylePr>
    <w:tblStylePr w:type="lastCol">
      <w:tblPr/>
      <w:tcPr>
        <w:tcBorders>
          <w:top w:val="nil"/>
          <w:left w:val="single" w:sz="8" w:space="0" w:color="0063A6"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ADCFF" w:themeFill="accent1" w:themeFillTint="3F"/>
      </w:tcPr>
    </w:tblStylePr>
    <w:tblStylePr w:type="band1Horz">
      <w:tblPr/>
      <w:tcPr>
        <w:tcBorders>
          <w:top w:val="nil"/>
          <w:bottom w:val="nil"/>
          <w:insideH w:val="nil"/>
          <w:insideV w:val="nil"/>
        </w:tcBorders>
        <w:shd w:val="clear" w:color="auto" w:fill="AADC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00568"/>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00497A" w:themeColor="accent2"/>
        <w:left w:val="single" w:sz="8" w:space="0" w:color="00497A" w:themeColor="accent2"/>
        <w:bottom w:val="single" w:sz="8" w:space="0" w:color="00497A" w:themeColor="accent2"/>
        <w:right w:val="single" w:sz="8" w:space="0" w:color="00497A" w:themeColor="accent2"/>
      </w:tblBorders>
    </w:tblPr>
    <w:tblStylePr w:type="firstRow">
      <w:rPr>
        <w:sz w:val="24"/>
        <w:szCs w:val="24"/>
      </w:rPr>
      <w:tblPr/>
      <w:tcPr>
        <w:tcBorders>
          <w:top w:val="nil"/>
          <w:left w:val="nil"/>
          <w:bottom w:val="single" w:sz="24" w:space="0" w:color="00497A" w:themeColor="accent2"/>
          <w:right w:val="nil"/>
          <w:insideH w:val="nil"/>
          <w:insideV w:val="nil"/>
        </w:tcBorders>
        <w:shd w:val="clear" w:color="auto" w:fill="FFFFFF" w:themeFill="background1"/>
      </w:tcPr>
    </w:tblStylePr>
    <w:tblStylePr w:type="lastRow">
      <w:tblPr/>
      <w:tcPr>
        <w:tcBorders>
          <w:top w:val="single" w:sz="8" w:space="0" w:color="00497A"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497A" w:themeColor="accent2"/>
          <w:insideH w:val="nil"/>
          <w:insideV w:val="nil"/>
        </w:tcBorders>
        <w:shd w:val="clear" w:color="auto" w:fill="FFFFFF" w:themeFill="background1"/>
      </w:tcPr>
    </w:tblStylePr>
    <w:tblStylePr w:type="lastCol">
      <w:tblPr/>
      <w:tcPr>
        <w:tcBorders>
          <w:top w:val="nil"/>
          <w:left w:val="single" w:sz="8" w:space="0" w:color="00497A"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FD8FF" w:themeFill="accent2" w:themeFillTint="3F"/>
      </w:tcPr>
    </w:tblStylePr>
    <w:tblStylePr w:type="band1Horz">
      <w:tblPr/>
      <w:tcPr>
        <w:tcBorders>
          <w:top w:val="nil"/>
          <w:bottom w:val="nil"/>
          <w:insideH w:val="nil"/>
          <w:insideV w:val="nil"/>
        </w:tcBorders>
        <w:shd w:val="clear" w:color="auto" w:fill="9FD8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00568"/>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749CC9" w:themeColor="accent3"/>
        <w:left w:val="single" w:sz="8" w:space="0" w:color="749CC9" w:themeColor="accent3"/>
        <w:bottom w:val="single" w:sz="8" w:space="0" w:color="749CC9" w:themeColor="accent3"/>
        <w:right w:val="single" w:sz="8" w:space="0" w:color="749CC9" w:themeColor="accent3"/>
      </w:tblBorders>
    </w:tblPr>
    <w:tblStylePr w:type="firstRow">
      <w:rPr>
        <w:sz w:val="24"/>
        <w:szCs w:val="24"/>
      </w:rPr>
      <w:tblPr/>
      <w:tcPr>
        <w:tcBorders>
          <w:top w:val="nil"/>
          <w:left w:val="nil"/>
          <w:bottom w:val="single" w:sz="24" w:space="0" w:color="749CC9" w:themeColor="accent3"/>
          <w:right w:val="nil"/>
          <w:insideH w:val="nil"/>
          <w:insideV w:val="nil"/>
        </w:tcBorders>
        <w:shd w:val="clear" w:color="auto" w:fill="FFFFFF" w:themeFill="background1"/>
      </w:tcPr>
    </w:tblStylePr>
    <w:tblStylePr w:type="lastRow">
      <w:tblPr/>
      <w:tcPr>
        <w:tcBorders>
          <w:top w:val="single" w:sz="8" w:space="0" w:color="749CC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49CC9" w:themeColor="accent3"/>
          <w:insideH w:val="nil"/>
          <w:insideV w:val="nil"/>
        </w:tcBorders>
        <w:shd w:val="clear" w:color="auto" w:fill="FFFFFF" w:themeFill="background1"/>
      </w:tcPr>
    </w:tblStylePr>
    <w:tblStylePr w:type="lastCol">
      <w:tblPr/>
      <w:tcPr>
        <w:tcBorders>
          <w:top w:val="nil"/>
          <w:left w:val="single" w:sz="8" w:space="0" w:color="749CC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CE6F1" w:themeFill="accent3" w:themeFillTint="3F"/>
      </w:tcPr>
    </w:tblStylePr>
    <w:tblStylePr w:type="band1Horz">
      <w:tblPr/>
      <w:tcPr>
        <w:tcBorders>
          <w:top w:val="nil"/>
          <w:bottom w:val="nil"/>
          <w:insideH w:val="nil"/>
          <w:insideV w:val="nil"/>
        </w:tcBorders>
        <w:shd w:val="clear" w:color="auto" w:fill="DCE6F1"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00568"/>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0072CE" w:themeColor="accent4"/>
        <w:left w:val="single" w:sz="8" w:space="0" w:color="0072CE" w:themeColor="accent4"/>
        <w:bottom w:val="single" w:sz="8" w:space="0" w:color="0072CE" w:themeColor="accent4"/>
        <w:right w:val="single" w:sz="8" w:space="0" w:color="0072CE" w:themeColor="accent4"/>
      </w:tblBorders>
    </w:tblPr>
    <w:tblStylePr w:type="firstRow">
      <w:rPr>
        <w:sz w:val="24"/>
        <w:szCs w:val="24"/>
      </w:rPr>
      <w:tblPr/>
      <w:tcPr>
        <w:tcBorders>
          <w:top w:val="nil"/>
          <w:left w:val="nil"/>
          <w:bottom w:val="single" w:sz="24" w:space="0" w:color="0072CE" w:themeColor="accent4"/>
          <w:right w:val="nil"/>
          <w:insideH w:val="nil"/>
          <w:insideV w:val="nil"/>
        </w:tcBorders>
        <w:shd w:val="clear" w:color="auto" w:fill="FFFFFF" w:themeFill="background1"/>
      </w:tcPr>
    </w:tblStylePr>
    <w:tblStylePr w:type="lastRow">
      <w:tblPr/>
      <w:tcPr>
        <w:tcBorders>
          <w:top w:val="single" w:sz="8" w:space="0" w:color="0072CE"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2CE" w:themeColor="accent4"/>
          <w:insideH w:val="nil"/>
          <w:insideV w:val="nil"/>
        </w:tcBorders>
        <w:shd w:val="clear" w:color="auto" w:fill="FFFFFF" w:themeFill="background1"/>
      </w:tcPr>
    </w:tblStylePr>
    <w:tblStylePr w:type="lastCol">
      <w:tblPr/>
      <w:tcPr>
        <w:tcBorders>
          <w:top w:val="nil"/>
          <w:left w:val="single" w:sz="8" w:space="0" w:color="0072CE"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DDFF" w:themeFill="accent4" w:themeFillTint="3F"/>
      </w:tcPr>
    </w:tblStylePr>
    <w:tblStylePr w:type="band1Horz">
      <w:tblPr/>
      <w:tcPr>
        <w:tcBorders>
          <w:top w:val="nil"/>
          <w:bottom w:val="nil"/>
          <w:insideH w:val="nil"/>
          <w:insideV w:val="nil"/>
        </w:tcBorders>
        <w:shd w:val="clear" w:color="auto" w:fill="B3DDF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00568"/>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009CDE" w:themeColor="accent5"/>
        <w:left w:val="single" w:sz="8" w:space="0" w:color="009CDE" w:themeColor="accent5"/>
        <w:bottom w:val="single" w:sz="8" w:space="0" w:color="009CDE" w:themeColor="accent5"/>
        <w:right w:val="single" w:sz="8" w:space="0" w:color="009CDE" w:themeColor="accent5"/>
      </w:tblBorders>
    </w:tblPr>
    <w:tblStylePr w:type="firstRow">
      <w:rPr>
        <w:sz w:val="24"/>
        <w:szCs w:val="24"/>
      </w:rPr>
      <w:tblPr/>
      <w:tcPr>
        <w:tcBorders>
          <w:top w:val="nil"/>
          <w:left w:val="nil"/>
          <w:bottom w:val="single" w:sz="24" w:space="0" w:color="009CDE" w:themeColor="accent5"/>
          <w:right w:val="nil"/>
          <w:insideH w:val="nil"/>
          <w:insideV w:val="nil"/>
        </w:tcBorders>
        <w:shd w:val="clear" w:color="auto" w:fill="FFFFFF" w:themeFill="background1"/>
      </w:tcPr>
    </w:tblStylePr>
    <w:tblStylePr w:type="lastRow">
      <w:tblPr/>
      <w:tcPr>
        <w:tcBorders>
          <w:top w:val="single" w:sz="8" w:space="0" w:color="009CDE"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CDE" w:themeColor="accent5"/>
          <w:insideH w:val="nil"/>
          <w:insideV w:val="nil"/>
        </w:tcBorders>
        <w:shd w:val="clear" w:color="auto" w:fill="FFFFFF" w:themeFill="background1"/>
      </w:tcPr>
    </w:tblStylePr>
    <w:tblStylePr w:type="lastCol">
      <w:tblPr/>
      <w:tcPr>
        <w:tcBorders>
          <w:top w:val="nil"/>
          <w:left w:val="single" w:sz="8" w:space="0" w:color="009CDE"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E9FF" w:themeFill="accent5" w:themeFillTint="3F"/>
      </w:tcPr>
    </w:tblStylePr>
    <w:tblStylePr w:type="band1Horz">
      <w:tblPr/>
      <w:tcPr>
        <w:tcBorders>
          <w:top w:val="nil"/>
          <w:bottom w:val="nil"/>
          <w:insideH w:val="nil"/>
          <w:insideV w:val="nil"/>
        </w:tcBorders>
        <w:shd w:val="clear" w:color="auto" w:fill="B7E9F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00568"/>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8A2A2B" w:themeColor="accent6"/>
        <w:left w:val="single" w:sz="8" w:space="0" w:color="8A2A2B" w:themeColor="accent6"/>
        <w:bottom w:val="single" w:sz="8" w:space="0" w:color="8A2A2B" w:themeColor="accent6"/>
        <w:right w:val="single" w:sz="8" w:space="0" w:color="8A2A2B" w:themeColor="accent6"/>
      </w:tblBorders>
    </w:tblPr>
    <w:tblStylePr w:type="firstRow">
      <w:rPr>
        <w:sz w:val="24"/>
        <w:szCs w:val="24"/>
      </w:rPr>
      <w:tblPr/>
      <w:tcPr>
        <w:tcBorders>
          <w:top w:val="nil"/>
          <w:left w:val="nil"/>
          <w:bottom w:val="single" w:sz="24" w:space="0" w:color="8A2A2B" w:themeColor="accent6"/>
          <w:right w:val="nil"/>
          <w:insideH w:val="nil"/>
          <w:insideV w:val="nil"/>
        </w:tcBorders>
        <w:shd w:val="clear" w:color="auto" w:fill="FFFFFF" w:themeFill="background1"/>
      </w:tcPr>
    </w:tblStylePr>
    <w:tblStylePr w:type="lastRow">
      <w:tblPr/>
      <w:tcPr>
        <w:tcBorders>
          <w:top w:val="single" w:sz="8" w:space="0" w:color="8A2A2B"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A2A2B" w:themeColor="accent6"/>
          <w:insideH w:val="nil"/>
          <w:insideV w:val="nil"/>
        </w:tcBorders>
        <w:shd w:val="clear" w:color="auto" w:fill="FFFFFF" w:themeFill="background1"/>
      </w:tcPr>
    </w:tblStylePr>
    <w:tblStylePr w:type="lastCol">
      <w:tblPr/>
      <w:tcPr>
        <w:tcBorders>
          <w:top w:val="nil"/>
          <w:left w:val="single" w:sz="8" w:space="0" w:color="8A2A2B"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CC0C0" w:themeFill="accent6" w:themeFillTint="3F"/>
      </w:tcPr>
    </w:tblStylePr>
    <w:tblStylePr w:type="band1Horz">
      <w:tblPr/>
      <w:tcPr>
        <w:tcBorders>
          <w:top w:val="nil"/>
          <w:bottom w:val="nil"/>
          <w:insideH w:val="nil"/>
          <w:insideV w:val="nil"/>
        </w:tcBorders>
        <w:shd w:val="clear" w:color="auto" w:fill="ECC0C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C00568"/>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00568"/>
    <w:pPr>
      <w:spacing w:before="0"/>
    </w:pPr>
    <w:tblPr>
      <w:tblStyleRowBandSize w:val="1"/>
      <w:tblStyleColBandSize w:val="1"/>
      <w:tblBorders>
        <w:top w:val="single" w:sz="8" w:space="0" w:color="0096FC" w:themeColor="accent1" w:themeTint="BF"/>
        <w:left w:val="single" w:sz="8" w:space="0" w:color="0096FC" w:themeColor="accent1" w:themeTint="BF"/>
        <w:bottom w:val="single" w:sz="8" w:space="0" w:color="0096FC" w:themeColor="accent1" w:themeTint="BF"/>
        <w:right w:val="single" w:sz="8" w:space="0" w:color="0096FC" w:themeColor="accent1" w:themeTint="BF"/>
        <w:insideH w:val="single" w:sz="8" w:space="0" w:color="0096FC" w:themeColor="accent1" w:themeTint="BF"/>
      </w:tblBorders>
    </w:tblPr>
    <w:tblStylePr w:type="firstRow">
      <w:pPr>
        <w:spacing w:before="0" w:after="0" w:line="240" w:lineRule="auto"/>
      </w:pPr>
      <w:rPr>
        <w:b/>
        <w:bCs/>
        <w:color w:val="FFFFFF" w:themeColor="background1"/>
      </w:rPr>
      <w:tblPr/>
      <w:tcPr>
        <w:tcBorders>
          <w:top w:val="single" w:sz="8" w:space="0" w:color="0096FC" w:themeColor="accent1" w:themeTint="BF"/>
          <w:left w:val="single" w:sz="8" w:space="0" w:color="0096FC" w:themeColor="accent1" w:themeTint="BF"/>
          <w:bottom w:val="single" w:sz="8" w:space="0" w:color="0096FC" w:themeColor="accent1" w:themeTint="BF"/>
          <w:right w:val="single" w:sz="8" w:space="0" w:color="0096FC" w:themeColor="accent1" w:themeTint="BF"/>
          <w:insideH w:val="nil"/>
          <w:insideV w:val="nil"/>
        </w:tcBorders>
        <w:shd w:val="clear" w:color="auto" w:fill="0063A6" w:themeFill="accent1"/>
      </w:tcPr>
    </w:tblStylePr>
    <w:tblStylePr w:type="lastRow">
      <w:pPr>
        <w:spacing w:before="0" w:after="0" w:line="240" w:lineRule="auto"/>
      </w:pPr>
      <w:rPr>
        <w:b/>
        <w:bCs/>
      </w:rPr>
      <w:tblPr/>
      <w:tcPr>
        <w:tcBorders>
          <w:top w:val="double" w:sz="6" w:space="0" w:color="0096FC" w:themeColor="accent1" w:themeTint="BF"/>
          <w:left w:val="single" w:sz="8" w:space="0" w:color="0096FC" w:themeColor="accent1" w:themeTint="BF"/>
          <w:bottom w:val="single" w:sz="8" w:space="0" w:color="0096FC" w:themeColor="accent1" w:themeTint="BF"/>
          <w:right w:val="single" w:sz="8" w:space="0" w:color="0096FC" w:themeColor="accent1" w:themeTint="BF"/>
          <w:insideH w:val="nil"/>
          <w:insideV w:val="nil"/>
        </w:tcBorders>
      </w:tcPr>
    </w:tblStylePr>
    <w:tblStylePr w:type="firstCol">
      <w:rPr>
        <w:b/>
        <w:bCs/>
      </w:rPr>
    </w:tblStylePr>
    <w:tblStylePr w:type="lastCol">
      <w:rPr>
        <w:b/>
        <w:bCs/>
      </w:rPr>
    </w:tblStylePr>
    <w:tblStylePr w:type="band1Vert">
      <w:tblPr/>
      <w:tcPr>
        <w:shd w:val="clear" w:color="auto" w:fill="AADCFF" w:themeFill="accent1" w:themeFillTint="3F"/>
      </w:tcPr>
    </w:tblStylePr>
    <w:tblStylePr w:type="band1Horz">
      <w:tblPr/>
      <w:tcPr>
        <w:tcBorders>
          <w:insideH w:val="nil"/>
          <w:insideV w:val="nil"/>
        </w:tcBorders>
        <w:shd w:val="clear" w:color="auto" w:fill="AAD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00568"/>
    <w:pPr>
      <w:spacing w:before="0"/>
    </w:pPr>
    <w:tblPr>
      <w:tblStyleRowBandSize w:val="1"/>
      <w:tblStyleColBandSize w:val="1"/>
      <w:tblBorders>
        <w:top w:val="single" w:sz="8" w:space="0" w:color="0082DB" w:themeColor="accent2" w:themeTint="BF"/>
        <w:left w:val="single" w:sz="8" w:space="0" w:color="0082DB" w:themeColor="accent2" w:themeTint="BF"/>
        <w:bottom w:val="single" w:sz="8" w:space="0" w:color="0082DB" w:themeColor="accent2" w:themeTint="BF"/>
        <w:right w:val="single" w:sz="8" w:space="0" w:color="0082DB" w:themeColor="accent2" w:themeTint="BF"/>
        <w:insideH w:val="single" w:sz="8" w:space="0" w:color="0082DB" w:themeColor="accent2" w:themeTint="BF"/>
      </w:tblBorders>
    </w:tblPr>
    <w:tblStylePr w:type="firstRow">
      <w:pPr>
        <w:spacing w:before="0" w:after="0" w:line="240" w:lineRule="auto"/>
      </w:pPr>
      <w:rPr>
        <w:b/>
        <w:bCs/>
        <w:color w:val="FFFFFF" w:themeColor="background1"/>
      </w:rPr>
      <w:tblPr/>
      <w:tcPr>
        <w:tcBorders>
          <w:top w:val="single" w:sz="8" w:space="0" w:color="0082DB" w:themeColor="accent2" w:themeTint="BF"/>
          <w:left w:val="single" w:sz="8" w:space="0" w:color="0082DB" w:themeColor="accent2" w:themeTint="BF"/>
          <w:bottom w:val="single" w:sz="8" w:space="0" w:color="0082DB" w:themeColor="accent2" w:themeTint="BF"/>
          <w:right w:val="single" w:sz="8" w:space="0" w:color="0082DB" w:themeColor="accent2" w:themeTint="BF"/>
          <w:insideH w:val="nil"/>
          <w:insideV w:val="nil"/>
        </w:tcBorders>
        <w:shd w:val="clear" w:color="auto" w:fill="00497A" w:themeFill="accent2"/>
      </w:tcPr>
    </w:tblStylePr>
    <w:tblStylePr w:type="lastRow">
      <w:pPr>
        <w:spacing w:before="0" w:after="0" w:line="240" w:lineRule="auto"/>
      </w:pPr>
      <w:rPr>
        <w:b/>
        <w:bCs/>
      </w:rPr>
      <w:tblPr/>
      <w:tcPr>
        <w:tcBorders>
          <w:top w:val="double" w:sz="6" w:space="0" w:color="0082DB" w:themeColor="accent2" w:themeTint="BF"/>
          <w:left w:val="single" w:sz="8" w:space="0" w:color="0082DB" w:themeColor="accent2" w:themeTint="BF"/>
          <w:bottom w:val="single" w:sz="8" w:space="0" w:color="0082DB" w:themeColor="accent2" w:themeTint="BF"/>
          <w:right w:val="single" w:sz="8" w:space="0" w:color="0082DB" w:themeColor="accent2" w:themeTint="BF"/>
          <w:insideH w:val="nil"/>
          <w:insideV w:val="nil"/>
        </w:tcBorders>
      </w:tcPr>
    </w:tblStylePr>
    <w:tblStylePr w:type="firstCol">
      <w:rPr>
        <w:b/>
        <w:bCs/>
      </w:rPr>
    </w:tblStylePr>
    <w:tblStylePr w:type="lastCol">
      <w:rPr>
        <w:b/>
        <w:bCs/>
      </w:rPr>
    </w:tblStylePr>
    <w:tblStylePr w:type="band1Vert">
      <w:tblPr/>
      <w:tcPr>
        <w:shd w:val="clear" w:color="auto" w:fill="9FD8FF" w:themeFill="accent2" w:themeFillTint="3F"/>
      </w:tcPr>
    </w:tblStylePr>
    <w:tblStylePr w:type="band1Horz">
      <w:tblPr/>
      <w:tcPr>
        <w:tcBorders>
          <w:insideH w:val="nil"/>
          <w:insideV w:val="nil"/>
        </w:tcBorders>
        <w:shd w:val="clear" w:color="auto" w:fill="9FD8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00568"/>
    <w:pPr>
      <w:spacing w:before="0"/>
    </w:pPr>
    <w:tblPr>
      <w:tblStyleRowBandSize w:val="1"/>
      <w:tblStyleColBandSize w:val="1"/>
      <w:tblBorders>
        <w:top w:val="single" w:sz="8" w:space="0" w:color="96B4D6" w:themeColor="accent3" w:themeTint="BF"/>
        <w:left w:val="single" w:sz="8" w:space="0" w:color="96B4D6" w:themeColor="accent3" w:themeTint="BF"/>
        <w:bottom w:val="single" w:sz="8" w:space="0" w:color="96B4D6" w:themeColor="accent3" w:themeTint="BF"/>
        <w:right w:val="single" w:sz="8" w:space="0" w:color="96B4D6" w:themeColor="accent3" w:themeTint="BF"/>
        <w:insideH w:val="single" w:sz="8" w:space="0" w:color="96B4D6" w:themeColor="accent3" w:themeTint="BF"/>
      </w:tblBorders>
    </w:tblPr>
    <w:tblStylePr w:type="firstRow">
      <w:pPr>
        <w:spacing w:before="0" w:after="0" w:line="240" w:lineRule="auto"/>
      </w:pPr>
      <w:rPr>
        <w:b/>
        <w:bCs/>
        <w:color w:val="FFFFFF" w:themeColor="background1"/>
      </w:rPr>
      <w:tblPr/>
      <w:tcPr>
        <w:tcBorders>
          <w:top w:val="single" w:sz="8" w:space="0" w:color="96B4D6" w:themeColor="accent3" w:themeTint="BF"/>
          <w:left w:val="single" w:sz="8" w:space="0" w:color="96B4D6" w:themeColor="accent3" w:themeTint="BF"/>
          <w:bottom w:val="single" w:sz="8" w:space="0" w:color="96B4D6" w:themeColor="accent3" w:themeTint="BF"/>
          <w:right w:val="single" w:sz="8" w:space="0" w:color="96B4D6" w:themeColor="accent3" w:themeTint="BF"/>
          <w:insideH w:val="nil"/>
          <w:insideV w:val="nil"/>
        </w:tcBorders>
        <w:shd w:val="clear" w:color="auto" w:fill="749CC9" w:themeFill="accent3"/>
      </w:tcPr>
    </w:tblStylePr>
    <w:tblStylePr w:type="lastRow">
      <w:pPr>
        <w:spacing w:before="0" w:after="0" w:line="240" w:lineRule="auto"/>
      </w:pPr>
      <w:rPr>
        <w:b/>
        <w:bCs/>
      </w:rPr>
      <w:tblPr/>
      <w:tcPr>
        <w:tcBorders>
          <w:top w:val="double" w:sz="6" w:space="0" w:color="96B4D6" w:themeColor="accent3" w:themeTint="BF"/>
          <w:left w:val="single" w:sz="8" w:space="0" w:color="96B4D6" w:themeColor="accent3" w:themeTint="BF"/>
          <w:bottom w:val="single" w:sz="8" w:space="0" w:color="96B4D6" w:themeColor="accent3" w:themeTint="BF"/>
          <w:right w:val="single" w:sz="8" w:space="0" w:color="96B4D6" w:themeColor="accent3" w:themeTint="BF"/>
          <w:insideH w:val="nil"/>
          <w:insideV w:val="nil"/>
        </w:tcBorders>
      </w:tcPr>
    </w:tblStylePr>
    <w:tblStylePr w:type="firstCol">
      <w:rPr>
        <w:b/>
        <w:bCs/>
      </w:rPr>
    </w:tblStylePr>
    <w:tblStylePr w:type="lastCol">
      <w:rPr>
        <w:b/>
        <w:bCs/>
      </w:rPr>
    </w:tblStylePr>
    <w:tblStylePr w:type="band1Vert">
      <w:tblPr/>
      <w:tcPr>
        <w:shd w:val="clear" w:color="auto" w:fill="DCE6F1" w:themeFill="accent3" w:themeFillTint="3F"/>
      </w:tcPr>
    </w:tblStylePr>
    <w:tblStylePr w:type="band1Horz">
      <w:tblPr/>
      <w:tcPr>
        <w:tcBorders>
          <w:insideH w:val="nil"/>
          <w:insideV w:val="nil"/>
        </w:tcBorders>
        <w:shd w:val="clear" w:color="auto" w:fill="DCE6F1"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00568"/>
    <w:pPr>
      <w:spacing w:before="0"/>
    </w:pPr>
    <w:tblPr>
      <w:tblStyleRowBandSize w:val="1"/>
      <w:tblStyleColBandSize w:val="1"/>
      <w:tblBorders>
        <w:top w:val="single" w:sz="8" w:space="0" w:color="1B99FF" w:themeColor="accent4" w:themeTint="BF"/>
        <w:left w:val="single" w:sz="8" w:space="0" w:color="1B99FF" w:themeColor="accent4" w:themeTint="BF"/>
        <w:bottom w:val="single" w:sz="8" w:space="0" w:color="1B99FF" w:themeColor="accent4" w:themeTint="BF"/>
        <w:right w:val="single" w:sz="8" w:space="0" w:color="1B99FF" w:themeColor="accent4" w:themeTint="BF"/>
        <w:insideH w:val="single" w:sz="8" w:space="0" w:color="1B99FF" w:themeColor="accent4" w:themeTint="BF"/>
      </w:tblBorders>
    </w:tblPr>
    <w:tblStylePr w:type="firstRow">
      <w:pPr>
        <w:spacing w:before="0" w:after="0" w:line="240" w:lineRule="auto"/>
      </w:pPr>
      <w:rPr>
        <w:b/>
        <w:bCs/>
        <w:color w:val="FFFFFF" w:themeColor="background1"/>
      </w:rPr>
      <w:tblPr/>
      <w:tcPr>
        <w:tcBorders>
          <w:top w:val="single" w:sz="8" w:space="0" w:color="1B99FF" w:themeColor="accent4" w:themeTint="BF"/>
          <w:left w:val="single" w:sz="8" w:space="0" w:color="1B99FF" w:themeColor="accent4" w:themeTint="BF"/>
          <w:bottom w:val="single" w:sz="8" w:space="0" w:color="1B99FF" w:themeColor="accent4" w:themeTint="BF"/>
          <w:right w:val="single" w:sz="8" w:space="0" w:color="1B99FF" w:themeColor="accent4" w:themeTint="BF"/>
          <w:insideH w:val="nil"/>
          <w:insideV w:val="nil"/>
        </w:tcBorders>
        <w:shd w:val="clear" w:color="auto" w:fill="0072CE" w:themeFill="accent4"/>
      </w:tcPr>
    </w:tblStylePr>
    <w:tblStylePr w:type="lastRow">
      <w:pPr>
        <w:spacing w:before="0" w:after="0" w:line="240" w:lineRule="auto"/>
      </w:pPr>
      <w:rPr>
        <w:b/>
        <w:bCs/>
      </w:rPr>
      <w:tblPr/>
      <w:tcPr>
        <w:tcBorders>
          <w:top w:val="double" w:sz="6" w:space="0" w:color="1B99FF" w:themeColor="accent4" w:themeTint="BF"/>
          <w:left w:val="single" w:sz="8" w:space="0" w:color="1B99FF" w:themeColor="accent4" w:themeTint="BF"/>
          <w:bottom w:val="single" w:sz="8" w:space="0" w:color="1B99FF" w:themeColor="accent4" w:themeTint="BF"/>
          <w:right w:val="single" w:sz="8" w:space="0" w:color="1B99FF" w:themeColor="accent4" w:themeTint="BF"/>
          <w:insideH w:val="nil"/>
          <w:insideV w:val="nil"/>
        </w:tcBorders>
      </w:tcPr>
    </w:tblStylePr>
    <w:tblStylePr w:type="firstCol">
      <w:rPr>
        <w:b/>
        <w:bCs/>
      </w:rPr>
    </w:tblStylePr>
    <w:tblStylePr w:type="lastCol">
      <w:rPr>
        <w:b/>
        <w:bCs/>
      </w:rPr>
    </w:tblStylePr>
    <w:tblStylePr w:type="band1Vert">
      <w:tblPr/>
      <w:tcPr>
        <w:shd w:val="clear" w:color="auto" w:fill="B3DDFF" w:themeFill="accent4" w:themeFillTint="3F"/>
      </w:tcPr>
    </w:tblStylePr>
    <w:tblStylePr w:type="band1Horz">
      <w:tblPr/>
      <w:tcPr>
        <w:tcBorders>
          <w:insideH w:val="nil"/>
          <w:insideV w:val="nil"/>
        </w:tcBorders>
        <w:shd w:val="clear" w:color="auto" w:fill="B3DDF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00568"/>
    <w:pPr>
      <w:spacing w:before="0"/>
    </w:pPr>
    <w:tblPr>
      <w:tblStyleRowBandSize w:val="1"/>
      <w:tblStyleColBandSize w:val="1"/>
      <w:tblBorders>
        <w:top w:val="single" w:sz="8" w:space="0" w:color="27BEFF" w:themeColor="accent5" w:themeTint="BF"/>
        <w:left w:val="single" w:sz="8" w:space="0" w:color="27BEFF" w:themeColor="accent5" w:themeTint="BF"/>
        <w:bottom w:val="single" w:sz="8" w:space="0" w:color="27BEFF" w:themeColor="accent5" w:themeTint="BF"/>
        <w:right w:val="single" w:sz="8" w:space="0" w:color="27BEFF" w:themeColor="accent5" w:themeTint="BF"/>
        <w:insideH w:val="single" w:sz="8" w:space="0" w:color="27BEFF" w:themeColor="accent5" w:themeTint="BF"/>
      </w:tblBorders>
    </w:tblPr>
    <w:tblStylePr w:type="firstRow">
      <w:pPr>
        <w:spacing w:before="0" w:after="0" w:line="240" w:lineRule="auto"/>
      </w:pPr>
      <w:rPr>
        <w:b/>
        <w:bCs/>
        <w:color w:val="FFFFFF" w:themeColor="background1"/>
      </w:rPr>
      <w:tblPr/>
      <w:tcPr>
        <w:tcBorders>
          <w:top w:val="single" w:sz="8" w:space="0" w:color="27BEFF" w:themeColor="accent5" w:themeTint="BF"/>
          <w:left w:val="single" w:sz="8" w:space="0" w:color="27BEFF" w:themeColor="accent5" w:themeTint="BF"/>
          <w:bottom w:val="single" w:sz="8" w:space="0" w:color="27BEFF" w:themeColor="accent5" w:themeTint="BF"/>
          <w:right w:val="single" w:sz="8" w:space="0" w:color="27BEFF" w:themeColor="accent5" w:themeTint="BF"/>
          <w:insideH w:val="nil"/>
          <w:insideV w:val="nil"/>
        </w:tcBorders>
        <w:shd w:val="clear" w:color="auto" w:fill="009CDE" w:themeFill="accent5"/>
      </w:tcPr>
    </w:tblStylePr>
    <w:tblStylePr w:type="lastRow">
      <w:pPr>
        <w:spacing w:before="0" w:after="0" w:line="240" w:lineRule="auto"/>
      </w:pPr>
      <w:rPr>
        <w:b/>
        <w:bCs/>
      </w:rPr>
      <w:tblPr/>
      <w:tcPr>
        <w:tcBorders>
          <w:top w:val="double" w:sz="6" w:space="0" w:color="27BEFF" w:themeColor="accent5" w:themeTint="BF"/>
          <w:left w:val="single" w:sz="8" w:space="0" w:color="27BEFF" w:themeColor="accent5" w:themeTint="BF"/>
          <w:bottom w:val="single" w:sz="8" w:space="0" w:color="27BEFF" w:themeColor="accent5" w:themeTint="BF"/>
          <w:right w:val="single" w:sz="8" w:space="0" w:color="27BEFF" w:themeColor="accent5" w:themeTint="BF"/>
          <w:insideH w:val="nil"/>
          <w:insideV w:val="nil"/>
        </w:tcBorders>
      </w:tcPr>
    </w:tblStylePr>
    <w:tblStylePr w:type="firstCol">
      <w:rPr>
        <w:b/>
        <w:bCs/>
      </w:rPr>
    </w:tblStylePr>
    <w:tblStylePr w:type="lastCol">
      <w:rPr>
        <w:b/>
        <w:bCs/>
      </w:rPr>
    </w:tblStylePr>
    <w:tblStylePr w:type="band1Vert">
      <w:tblPr/>
      <w:tcPr>
        <w:shd w:val="clear" w:color="auto" w:fill="B7E9FF" w:themeFill="accent5" w:themeFillTint="3F"/>
      </w:tcPr>
    </w:tblStylePr>
    <w:tblStylePr w:type="band1Horz">
      <w:tblPr/>
      <w:tcPr>
        <w:tcBorders>
          <w:insideH w:val="nil"/>
          <w:insideV w:val="nil"/>
        </w:tcBorders>
        <w:shd w:val="clear" w:color="auto" w:fill="B7E9F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00568"/>
    <w:pPr>
      <w:spacing w:before="0"/>
    </w:pPr>
    <w:tblPr>
      <w:tblStyleRowBandSize w:val="1"/>
      <w:tblStyleColBandSize w:val="1"/>
      <w:tblBorders>
        <w:top w:val="single" w:sz="8" w:space="0" w:color="C54142" w:themeColor="accent6" w:themeTint="BF"/>
        <w:left w:val="single" w:sz="8" w:space="0" w:color="C54142" w:themeColor="accent6" w:themeTint="BF"/>
        <w:bottom w:val="single" w:sz="8" w:space="0" w:color="C54142" w:themeColor="accent6" w:themeTint="BF"/>
        <w:right w:val="single" w:sz="8" w:space="0" w:color="C54142" w:themeColor="accent6" w:themeTint="BF"/>
        <w:insideH w:val="single" w:sz="8" w:space="0" w:color="C54142" w:themeColor="accent6" w:themeTint="BF"/>
      </w:tblBorders>
    </w:tblPr>
    <w:tblStylePr w:type="firstRow">
      <w:pPr>
        <w:spacing w:before="0" w:after="0" w:line="240" w:lineRule="auto"/>
      </w:pPr>
      <w:rPr>
        <w:b/>
        <w:bCs/>
        <w:color w:val="FFFFFF" w:themeColor="background1"/>
      </w:rPr>
      <w:tblPr/>
      <w:tcPr>
        <w:tcBorders>
          <w:top w:val="single" w:sz="8" w:space="0" w:color="C54142" w:themeColor="accent6" w:themeTint="BF"/>
          <w:left w:val="single" w:sz="8" w:space="0" w:color="C54142" w:themeColor="accent6" w:themeTint="BF"/>
          <w:bottom w:val="single" w:sz="8" w:space="0" w:color="C54142" w:themeColor="accent6" w:themeTint="BF"/>
          <w:right w:val="single" w:sz="8" w:space="0" w:color="C54142" w:themeColor="accent6" w:themeTint="BF"/>
          <w:insideH w:val="nil"/>
          <w:insideV w:val="nil"/>
        </w:tcBorders>
        <w:shd w:val="clear" w:color="auto" w:fill="8A2A2B" w:themeFill="accent6"/>
      </w:tcPr>
    </w:tblStylePr>
    <w:tblStylePr w:type="lastRow">
      <w:pPr>
        <w:spacing w:before="0" w:after="0" w:line="240" w:lineRule="auto"/>
      </w:pPr>
      <w:rPr>
        <w:b/>
        <w:bCs/>
      </w:rPr>
      <w:tblPr/>
      <w:tcPr>
        <w:tcBorders>
          <w:top w:val="double" w:sz="6" w:space="0" w:color="C54142" w:themeColor="accent6" w:themeTint="BF"/>
          <w:left w:val="single" w:sz="8" w:space="0" w:color="C54142" w:themeColor="accent6" w:themeTint="BF"/>
          <w:bottom w:val="single" w:sz="8" w:space="0" w:color="C54142" w:themeColor="accent6" w:themeTint="BF"/>
          <w:right w:val="single" w:sz="8" w:space="0" w:color="C54142" w:themeColor="accent6" w:themeTint="BF"/>
          <w:insideH w:val="nil"/>
          <w:insideV w:val="nil"/>
        </w:tcBorders>
      </w:tcPr>
    </w:tblStylePr>
    <w:tblStylePr w:type="firstCol">
      <w:rPr>
        <w:b/>
        <w:bCs/>
      </w:rPr>
    </w:tblStylePr>
    <w:tblStylePr w:type="lastCol">
      <w:rPr>
        <w:b/>
        <w:bCs/>
      </w:rPr>
    </w:tblStylePr>
    <w:tblStylePr w:type="band1Vert">
      <w:tblPr/>
      <w:tcPr>
        <w:shd w:val="clear" w:color="auto" w:fill="ECC0C0" w:themeFill="accent6" w:themeFillTint="3F"/>
      </w:tcPr>
    </w:tblStylePr>
    <w:tblStylePr w:type="band1Horz">
      <w:tblPr/>
      <w:tcPr>
        <w:tcBorders>
          <w:insideH w:val="nil"/>
          <w:insideV w:val="nil"/>
        </w:tcBorders>
        <w:shd w:val="clear" w:color="auto" w:fill="ECC0C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00568"/>
    <w:pPr>
      <w:spacing w:before="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00568"/>
    <w:pPr>
      <w:spacing w:before="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63A6"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63A6" w:themeFill="accent1"/>
      </w:tcPr>
    </w:tblStylePr>
    <w:tblStylePr w:type="lastCol">
      <w:rPr>
        <w:b/>
        <w:bCs/>
        <w:color w:val="FFFFFF" w:themeColor="background1"/>
      </w:rPr>
      <w:tblPr/>
      <w:tcPr>
        <w:tcBorders>
          <w:left w:val="nil"/>
          <w:right w:val="nil"/>
          <w:insideH w:val="nil"/>
          <w:insideV w:val="nil"/>
        </w:tcBorders>
        <w:shd w:val="clear" w:color="auto" w:fill="0063A6"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00568"/>
    <w:pPr>
      <w:spacing w:before="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497A"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497A" w:themeFill="accent2"/>
      </w:tcPr>
    </w:tblStylePr>
    <w:tblStylePr w:type="lastCol">
      <w:rPr>
        <w:b/>
        <w:bCs/>
        <w:color w:val="FFFFFF" w:themeColor="background1"/>
      </w:rPr>
      <w:tblPr/>
      <w:tcPr>
        <w:tcBorders>
          <w:left w:val="nil"/>
          <w:right w:val="nil"/>
          <w:insideH w:val="nil"/>
          <w:insideV w:val="nil"/>
        </w:tcBorders>
        <w:shd w:val="clear" w:color="auto" w:fill="00497A"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00568"/>
    <w:pPr>
      <w:spacing w:before="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49CC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49CC9" w:themeFill="accent3"/>
      </w:tcPr>
    </w:tblStylePr>
    <w:tblStylePr w:type="lastCol">
      <w:rPr>
        <w:b/>
        <w:bCs/>
        <w:color w:val="FFFFFF" w:themeColor="background1"/>
      </w:rPr>
      <w:tblPr/>
      <w:tcPr>
        <w:tcBorders>
          <w:left w:val="nil"/>
          <w:right w:val="nil"/>
          <w:insideH w:val="nil"/>
          <w:insideV w:val="nil"/>
        </w:tcBorders>
        <w:shd w:val="clear" w:color="auto" w:fill="749CC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00568"/>
    <w:pPr>
      <w:spacing w:before="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2CE"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2CE" w:themeFill="accent4"/>
      </w:tcPr>
    </w:tblStylePr>
    <w:tblStylePr w:type="lastCol">
      <w:rPr>
        <w:b/>
        <w:bCs/>
        <w:color w:val="FFFFFF" w:themeColor="background1"/>
      </w:rPr>
      <w:tblPr/>
      <w:tcPr>
        <w:tcBorders>
          <w:left w:val="nil"/>
          <w:right w:val="nil"/>
          <w:insideH w:val="nil"/>
          <w:insideV w:val="nil"/>
        </w:tcBorders>
        <w:shd w:val="clear" w:color="auto" w:fill="0072CE"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00568"/>
    <w:pPr>
      <w:spacing w:before="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A2A2B"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A2A2B" w:themeFill="accent6"/>
      </w:tcPr>
    </w:tblStylePr>
    <w:tblStylePr w:type="lastCol">
      <w:rPr>
        <w:b/>
        <w:bCs/>
        <w:color w:val="FFFFFF" w:themeColor="background1"/>
      </w:rPr>
      <w:tblPr/>
      <w:tcPr>
        <w:tcBorders>
          <w:left w:val="nil"/>
          <w:right w:val="nil"/>
          <w:insideH w:val="nil"/>
          <w:insideV w:val="nil"/>
        </w:tcBorders>
        <w:shd w:val="clear" w:color="auto" w:fill="8A2A2B"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rsid w:val="00C00568"/>
    <w:pPr>
      <w:pBdr>
        <w:top w:val="single" w:sz="6" w:space="1" w:color="auto"/>
        <w:left w:val="single" w:sz="6" w:space="1" w:color="auto"/>
        <w:bottom w:val="single" w:sz="6" w:space="1" w:color="auto"/>
        <w:right w:val="single" w:sz="6" w:space="1" w:color="auto"/>
      </w:pBdr>
      <w:shd w:val="pct20" w:color="auto" w:fill="auto"/>
      <w:spacing w:before="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C00568"/>
    <w:rPr>
      <w:rFonts w:asciiTheme="majorHAnsi" w:eastAsiaTheme="majorEastAsia" w:hAnsiTheme="majorHAnsi" w:cstheme="majorBidi"/>
      <w:sz w:val="24"/>
      <w:szCs w:val="24"/>
      <w:shd w:val="pct20" w:color="auto" w:fill="auto"/>
    </w:rPr>
  </w:style>
  <w:style w:type="paragraph" w:styleId="NoSpacing">
    <w:name w:val="No Spacing"/>
    <w:uiPriority w:val="1"/>
    <w:semiHidden/>
    <w:rsid w:val="00C00568"/>
    <w:pPr>
      <w:keepLines/>
      <w:spacing w:before="0"/>
    </w:pPr>
  </w:style>
  <w:style w:type="paragraph" w:styleId="NormalWeb">
    <w:name w:val="Normal (Web)"/>
    <w:basedOn w:val="Normal"/>
    <w:uiPriority w:val="99"/>
    <w:semiHidden/>
    <w:unhideWhenUsed/>
    <w:rsid w:val="00C00568"/>
    <w:rPr>
      <w:rFonts w:ascii="Times New Roman" w:hAnsi="Times New Roman" w:cs="Times New Roman"/>
      <w:sz w:val="24"/>
      <w:szCs w:val="24"/>
    </w:rPr>
  </w:style>
  <w:style w:type="paragraph" w:styleId="NormalIndent">
    <w:name w:val="Normal Indent"/>
    <w:basedOn w:val="Normal"/>
    <w:uiPriority w:val="99"/>
    <w:semiHidden/>
    <w:unhideWhenUsed/>
    <w:rsid w:val="00C00568"/>
    <w:pPr>
      <w:ind w:left="720"/>
    </w:pPr>
  </w:style>
  <w:style w:type="paragraph" w:styleId="NoteHeading">
    <w:name w:val="Note Heading"/>
    <w:basedOn w:val="Normal"/>
    <w:next w:val="Normal"/>
    <w:link w:val="NoteHeadingChar"/>
    <w:uiPriority w:val="99"/>
    <w:semiHidden/>
    <w:unhideWhenUsed/>
    <w:rsid w:val="00C00568"/>
    <w:pPr>
      <w:spacing w:before="0"/>
    </w:pPr>
  </w:style>
  <w:style w:type="character" w:customStyle="1" w:styleId="NoteHeadingChar">
    <w:name w:val="Note Heading Char"/>
    <w:basedOn w:val="DefaultParagraphFont"/>
    <w:link w:val="NoteHeading"/>
    <w:uiPriority w:val="99"/>
    <w:semiHidden/>
    <w:rsid w:val="00C00568"/>
  </w:style>
  <w:style w:type="character" w:styleId="PlaceholderText">
    <w:name w:val="Placeholder Text"/>
    <w:basedOn w:val="DefaultParagraphFont"/>
    <w:uiPriority w:val="99"/>
    <w:semiHidden/>
    <w:rsid w:val="00C00568"/>
    <w:rPr>
      <w:color w:val="808080"/>
    </w:rPr>
  </w:style>
  <w:style w:type="paragraph" w:styleId="PlainText">
    <w:name w:val="Plain Text"/>
    <w:basedOn w:val="Normal"/>
    <w:link w:val="PlainTextChar"/>
    <w:uiPriority w:val="99"/>
    <w:semiHidden/>
    <w:unhideWhenUsed/>
    <w:rsid w:val="00C00568"/>
    <w:pPr>
      <w:spacing w:before="0"/>
    </w:pPr>
    <w:rPr>
      <w:rFonts w:ascii="Consolas" w:hAnsi="Consolas" w:cs="Consolas"/>
      <w:sz w:val="21"/>
      <w:szCs w:val="21"/>
    </w:rPr>
  </w:style>
  <w:style w:type="character" w:customStyle="1" w:styleId="PlainTextChar">
    <w:name w:val="Plain Text Char"/>
    <w:basedOn w:val="DefaultParagraphFont"/>
    <w:link w:val="PlainText"/>
    <w:uiPriority w:val="99"/>
    <w:semiHidden/>
    <w:rsid w:val="00C00568"/>
    <w:rPr>
      <w:rFonts w:ascii="Consolas" w:hAnsi="Consolas" w:cs="Consolas"/>
      <w:sz w:val="21"/>
      <w:szCs w:val="21"/>
    </w:rPr>
  </w:style>
  <w:style w:type="paragraph" w:styleId="Quote">
    <w:name w:val="Quote"/>
    <w:basedOn w:val="Normal"/>
    <w:next w:val="Normal"/>
    <w:link w:val="QuoteChar"/>
    <w:uiPriority w:val="29"/>
    <w:semiHidden/>
    <w:rsid w:val="00C00568"/>
    <w:rPr>
      <w:i/>
      <w:iCs/>
      <w:color w:val="000000" w:themeColor="text1"/>
    </w:rPr>
  </w:style>
  <w:style w:type="character" w:customStyle="1" w:styleId="QuoteChar">
    <w:name w:val="Quote Char"/>
    <w:basedOn w:val="DefaultParagraphFont"/>
    <w:link w:val="Quote"/>
    <w:uiPriority w:val="29"/>
    <w:semiHidden/>
    <w:rsid w:val="00C00568"/>
    <w:rPr>
      <w:i/>
      <w:iCs/>
      <w:color w:val="000000" w:themeColor="text1"/>
    </w:rPr>
  </w:style>
  <w:style w:type="paragraph" w:styleId="Salutation">
    <w:name w:val="Salutation"/>
    <w:basedOn w:val="Normal"/>
    <w:next w:val="Normal"/>
    <w:link w:val="SalutationChar"/>
    <w:uiPriority w:val="99"/>
    <w:semiHidden/>
    <w:unhideWhenUsed/>
    <w:rsid w:val="00C00568"/>
  </w:style>
  <w:style w:type="character" w:customStyle="1" w:styleId="SalutationChar">
    <w:name w:val="Salutation Char"/>
    <w:basedOn w:val="DefaultParagraphFont"/>
    <w:link w:val="Salutation"/>
    <w:uiPriority w:val="99"/>
    <w:semiHidden/>
    <w:rsid w:val="00C00568"/>
  </w:style>
  <w:style w:type="paragraph" w:styleId="Signature">
    <w:name w:val="Signature"/>
    <w:basedOn w:val="Normal"/>
    <w:link w:val="SignatureChar"/>
    <w:uiPriority w:val="99"/>
    <w:semiHidden/>
    <w:unhideWhenUsed/>
    <w:rsid w:val="00C00568"/>
    <w:pPr>
      <w:spacing w:before="0"/>
      <w:ind w:left="4252"/>
    </w:pPr>
  </w:style>
  <w:style w:type="character" w:customStyle="1" w:styleId="SignatureChar">
    <w:name w:val="Signature Char"/>
    <w:basedOn w:val="DefaultParagraphFont"/>
    <w:link w:val="Signature"/>
    <w:uiPriority w:val="99"/>
    <w:semiHidden/>
    <w:rsid w:val="00C00568"/>
  </w:style>
  <w:style w:type="character" w:styleId="Strong">
    <w:name w:val="Strong"/>
    <w:basedOn w:val="DefaultParagraphFont"/>
    <w:uiPriority w:val="98"/>
    <w:semiHidden/>
    <w:rsid w:val="00C00568"/>
    <w:rPr>
      <w:b/>
      <w:bCs/>
    </w:rPr>
  </w:style>
  <w:style w:type="paragraph" w:styleId="Subtitle">
    <w:name w:val="Subtitle"/>
    <w:basedOn w:val="Normal"/>
    <w:next w:val="Normal"/>
    <w:link w:val="SubtitleChar"/>
    <w:uiPriority w:val="11"/>
    <w:semiHidden/>
    <w:rsid w:val="00C00568"/>
    <w:pPr>
      <w:numPr>
        <w:ilvl w:val="1"/>
      </w:numPr>
    </w:pPr>
    <w:rPr>
      <w:rFonts w:asciiTheme="majorHAnsi" w:eastAsiaTheme="majorEastAsia" w:hAnsiTheme="majorHAnsi" w:cstheme="majorBidi"/>
      <w:i/>
      <w:iCs/>
      <w:color w:val="0063A6" w:themeColor="accent1"/>
      <w:spacing w:val="15"/>
      <w:sz w:val="24"/>
      <w:szCs w:val="24"/>
    </w:rPr>
  </w:style>
  <w:style w:type="character" w:customStyle="1" w:styleId="SubtitleChar">
    <w:name w:val="Subtitle Char"/>
    <w:basedOn w:val="DefaultParagraphFont"/>
    <w:link w:val="Subtitle"/>
    <w:uiPriority w:val="11"/>
    <w:semiHidden/>
    <w:rsid w:val="00C00568"/>
    <w:rPr>
      <w:rFonts w:asciiTheme="majorHAnsi" w:eastAsiaTheme="majorEastAsia" w:hAnsiTheme="majorHAnsi" w:cstheme="majorBidi"/>
      <w:i/>
      <w:iCs/>
      <w:color w:val="0063A6" w:themeColor="accent1"/>
      <w:spacing w:val="15"/>
      <w:sz w:val="24"/>
      <w:szCs w:val="24"/>
    </w:rPr>
  </w:style>
  <w:style w:type="character" w:styleId="SubtleReference">
    <w:name w:val="Subtle Reference"/>
    <w:basedOn w:val="DefaultParagraphFont"/>
    <w:uiPriority w:val="31"/>
    <w:semiHidden/>
    <w:rsid w:val="00C00568"/>
    <w:rPr>
      <w:smallCaps/>
      <w:color w:val="00497A" w:themeColor="accent2"/>
      <w:u w:val="single"/>
    </w:rPr>
  </w:style>
  <w:style w:type="table" w:styleId="Table3Deffects1">
    <w:name w:val="Table 3D effects 1"/>
    <w:basedOn w:val="TableNormal"/>
    <w:uiPriority w:val="99"/>
    <w:semiHidden/>
    <w:unhideWhenUsed/>
    <w:rsid w:val="00C00568"/>
    <w:pPr>
      <w:keepLines/>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C00568"/>
    <w:pPr>
      <w:keepLines/>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C00568"/>
    <w:pPr>
      <w:keepLines/>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C00568"/>
    <w:pPr>
      <w:keepLines/>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C00568"/>
    <w:pPr>
      <w:keepLines/>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C00568"/>
    <w:pPr>
      <w:keepLines/>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C00568"/>
    <w:pPr>
      <w:keepLines/>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C00568"/>
    <w:pPr>
      <w:keepLines/>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C00568"/>
    <w:pPr>
      <w:keepLines/>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C00568"/>
    <w:pPr>
      <w:keepLines/>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C00568"/>
    <w:pPr>
      <w:keepLines/>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C00568"/>
    <w:pPr>
      <w:keepLines/>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C00568"/>
    <w:pPr>
      <w:keepLines/>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C00568"/>
    <w:pPr>
      <w:keepLines/>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C00568"/>
    <w:pPr>
      <w:keepLines/>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C00568"/>
    <w:pPr>
      <w:keepLines/>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C00568"/>
    <w:pPr>
      <w:keepLines/>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C00568"/>
    <w:pPr>
      <w:keepLine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C00568"/>
    <w:pPr>
      <w:keepLines/>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C00568"/>
    <w:pPr>
      <w:keepLines/>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C00568"/>
    <w:pPr>
      <w:keepLines/>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C00568"/>
    <w:pPr>
      <w:keepLines/>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C00568"/>
    <w:pPr>
      <w:keepLines/>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C00568"/>
    <w:pPr>
      <w:keepLines/>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C00568"/>
    <w:pPr>
      <w:keepLines/>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C00568"/>
    <w:pPr>
      <w:keepLines/>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C00568"/>
    <w:pPr>
      <w:keepLines/>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C00568"/>
    <w:pPr>
      <w:keepLines/>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C00568"/>
    <w:pPr>
      <w:keepLines/>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C00568"/>
    <w:pPr>
      <w:keepLines/>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C00568"/>
    <w:pPr>
      <w:keepLines/>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C00568"/>
    <w:pPr>
      <w:keepLines/>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C00568"/>
    <w:pPr>
      <w:keepLines/>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C00568"/>
    <w:pPr>
      <w:ind w:left="220" w:hanging="220"/>
    </w:pPr>
  </w:style>
  <w:style w:type="paragraph" w:styleId="TableofFigures">
    <w:name w:val="table of figures"/>
    <w:basedOn w:val="Normal"/>
    <w:next w:val="Normal"/>
    <w:uiPriority w:val="99"/>
    <w:semiHidden/>
    <w:unhideWhenUsed/>
    <w:rsid w:val="00C00568"/>
  </w:style>
  <w:style w:type="table" w:styleId="TableProfessional">
    <w:name w:val="Table Professional"/>
    <w:basedOn w:val="TableNormal"/>
    <w:uiPriority w:val="99"/>
    <w:semiHidden/>
    <w:unhideWhenUsed/>
    <w:rsid w:val="00C00568"/>
    <w:pPr>
      <w:keepLine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C00568"/>
    <w:pPr>
      <w:keepLines/>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C00568"/>
    <w:pPr>
      <w:keepLines/>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C00568"/>
    <w:pPr>
      <w:keepLines/>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C00568"/>
    <w:pPr>
      <w:keepLines/>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C00568"/>
    <w:pPr>
      <w:keepLines/>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C00568"/>
    <w:pPr>
      <w:keepLine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C00568"/>
    <w:pPr>
      <w:keepLines/>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C00568"/>
    <w:pPr>
      <w:keepLines/>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C00568"/>
    <w:pPr>
      <w:keepLines/>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semiHidden/>
    <w:rsid w:val="00C00568"/>
    <w:pPr>
      <w:pBdr>
        <w:bottom w:val="single" w:sz="8" w:space="4" w:color="0063A6" w:themeColor="accent1"/>
      </w:pBdr>
      <w:spacing w:before="0" w:after="300"/>
      <w:contextualSpacing/>
    </w:pPr>
    <w:rPr>
      <w:rFonts w:asciiTheme="majorHAnsi" w:eastAsiaTheme="majorEastAsia" w:hAnsiTheme="majorHAnsi" w:cstheme="majorBidi"/>
      <w:color w:val="170F34" w:themeColor="text2" w:themeShade="BF"/>
      <w:spacing w:val="5"/>
      <w:kern w:val="28"/>
      <w:sz w:val="52"/>
      <w:szCs w:val="52"/>
    </w:rPr>
  </w:style>
  <w:style w:type="character" w:customStyle="1" w:styleId="TitleChar">
    <w:name w:val="Title Char"/>
    <w:basedOn w:val="DefaultParagraphFont"/>
    <w:link w:val="Title"/>
    <w:uiPriority w:val="10"/>
    <w:semiHidden/>
    <w:rsid w:val="00C00568"/>
    <w:rPr>
      <w:rFonts w:asciiTheme="majorHAnsi" w:eastAsiaTheme="majorEastAsia" w:hAnsiTheme="majorHAnsi" w:cstheme="majorBidi"/>
      <w:color w:val="170F34" w:themeColor="text2" w:themeShade="BF"/>
      <w:spacing w:val="5"/>
      <w:kern w:val="28"/>
      <w:sz w:val="52"/>
      <w:szCs w:val="52"/>
    </w:rPr>
  </w:style>
  <w:style w:type="paragraph" w:styleId="TOAHeading">
    <w:name w:val="toa heading"/>
    <w:basedOn w:val="Normal"/>
    <w:next w:val="Normal"/>
    <w:uiPriority w:val="99"/>
    <w:semiHidden/>
    <w:unhideWhenUsed/>
    <w:rsid w:val="00C00568"/>
    <w:rPr>
      <w:rFonts w:asciiTheme="majorHAnsi" w:eastAsiaTheme="majorEastAsia" w:hAnsiTheme="majorHAnsi" w:cstheme="majorBidi"/>
      <w:b/>
      <w:bCs/>
      <w:sz w:val="24"/>
      <w:szCs w:val="24"/>
    </w:rPr>
  </w:style>
  <w:style w:type="paragraph" w:styleId="TOC5">
    <w:name w:val="toc 5"/>
    <w:basedOn w:val="Normal"/>
    <w:next w:val="Normal"/>
    <w:autoRedefine/>
    <w:uiPriority w:val="96"/>
    <w:semiHidden/>
    <w:rsid w:val="00C00568"/>
    <w:pPr>
      <w:spacing w:after="100"/>
      <w:ind w:left="880"/>
    </w:pPr>
  </w:style>
  <w:style w:type="paragraph" w:styleId="TOC6">
    <w:name w:val="toc 6"/>
    <w:basedOn w:val="Normal"/>
    <w:next w:val="Normal"/>
    <w:autoRedefine/>
    <w:uiPriority w:val="96"/>
    <w:semiHidden/>
    <w:rsid w:val="00C00568"/>
    <w:pPr>
      <w:spacing w:after="100"/>
      <w:ind w:left="1100"/>
    </w:pPr>
  </w:style>
  <w:style w:type="paragraph" w:styleId="TOC8">
    <w:name w:val="toc 8"/>
    <w:basedOn w:val="Normal"/>
    <w:next w:val="Normal"/>
    <w:autoRedefine/>
    <w:uiPriority w:val="96"/>
    <w:semiHidden/>
    <w:rsid w:val="00C00568"/>
    <w:pPr>
      <w:spacing w:after="100"/>
      <w:ind w:left="1540"/>
    </w:pPr>
  </w:style>
  <w:style w:type="paragraph" w:styleId="TOCHeading">
    <w:name w:val="TOC Heading"/>
    <w:basedOn w:val="Heading10"/>
    <w:next w:val="Normal"/>
    <w:uiPriority w:val="90"/>
    <w:semiHidden/>
    <w:unhideWhenUsed/>
    <w:rsid w:val="00C00568"/>
    <w:pPr>
      <w:spacing w:before="480"/>
      <w:outlineLvl w:val="9"/>
    </w:pPr>
    <w:rPr>
      <w:caps w:val="0"/>
      <w:color w:val="004A7C" w:themeColor="accent1" w:themeShade="BF"/>
      <w:spacing w:val="0"/>
      <w:sz w:val="28"/>
    </w:rPr>
  </w:style>
  <w:style w:type="table" w:customStyle="1" w:styleId="DTFTextTable">
    <w:name w:val="DTF Text Table"/>
    <w:basedOn w:val="DTFTable"/>
    <w:uiPriority w:val="99"/>
    <w:rsid w:val="00917D22"/>
    <w:pPr>
      <w:spacing w:after="120" w:line="216" w:lineRule="auto"/>
      <w:jc w:val="left"/>
    </w:pPr>
    <w:rPr>
      <w:sz w:val="20"/>
    </w:rPr>
    <w:tblPr/>
    <w:tblStylePr w:type="firstRow">
      <w:pPr>
        <w:wordWrap/>
        <w:spacing w:beforeLines="0" w:before="20" w:beforeAutospacing="0" w:afterLines="0" w:after="20" w:afterAutospacing="0" w:line="216" w:lineRule="auto"/>
        <w:jc w:val="left"/>
      </w:pPr>
      <w:rPr>
        <w:i/>
      </w:rPr>
      <w:tblPr/>
      <w:trPr>
        <w:cantSplit w:val="0"/>
      </w:trPr>
      <w:tcPr>
        <w:shd w:val="clear" w:color="auto" w:fill="000000" w:themeFill="text1"/>
        <w:vAlign w:val="bottom"/>
      </w:tcPr>
    </w:tblStylePr>
    <w:tblStylePr w:type="lastRow">
      <w:rPr>
        <w:b w:val="0"/>
      </w:rPr>
      <w:tblPr/>
      <w:tcPr>
        <w:tcBorders>
          <w:top w:val="single" w:sz="6" w:space="0" w:color="000000" w:themeColor="text1"/>
          <w:left w:val="nil"/>
          <w:bottom w:val="single" w:sz="12" w:space="0" w:color="000000" w:themeColor="text1"/>
          <w:right w:val="nil"/>
          <w:insideH w:val="nil"/>
          <w:insideV w:val="nil"/>
          <w:tl2br w:val="nil"/>
          <w:tr2bl w:val="nil"/>
        </w:tcBorders>
      </w:tcPr>
    </w:tblStylePr>
    <w:tblStylePr w:type="firstCol">
      <w:pPr>
        <w:wordWrap/>
        <w:spacing w:line="240" w:lineRule="auto"/>
        <w:ind w:leftChars="0" w:left="170" w:rightChars="0" w:right="0" w:firstLineChars="0" w:hanging="170"/>
        <w:jc w:val="left"/>
      </w:pPr>
    </w:tblStylePr>
    <w:tblStylePr w:type="lastCol">
      <w:rPr>
        <w:b/>
      </w:rPr>
      <w:tblPr/>
      <w:tcPr>
        <w:shd w:val="clear" w:color="auto" w:fill="F2F2F2" w:themeFill="background1" w:themeFillShade="F2"/>
      </w:tcPr>
    </w:tblStylePr>
    <w:tblStylePr w:type="band1Vert">
      <w:tblPr/>
      <w:tcPr>
        <w:shd w:val="clear" w:color="auto" w:fill="EBEBEB" w:themeFill="background2"/>
      </w:tcPr>
    </w:tblStylePr>
    <w:tblStylePr w:type="band1Horz">
      <w:tblPr/>
      <w:tcPr>
        <w:tcBorders>
          <w:top w:val="nil"/>
          <w:left w:val="nil"/>
          <w:bottom w:val="single" w:sz="6" w:space="0" w:color="auto"/>
          <w:right w:val="nil"/>
          <w:insideH w:val="nil"/>
          <w:insideV w:val="nil"/>
          <w:tl2br w:val="nil"/>
          <w:tr2bl w:val="nil"/>
        </w:tcBorders>
        <w:shd w:val="clear" w:color="auto" w:fill="EBEBEB" w:themeFill="background2"/>
      </w:tcPr>
    </w:tblStylePr>
    <w:tblStylePr w:type="band2Horz">
      <w:tblPr/>
      <w:tcPr>
        <w:tcBorders>
          <w:top w:val="nil"/>
          <w:left w:val="nil"/>
          <w:bottom w:val="single" w:sz="6" w:space="0" w:color="auto"/>
          <w:right w:val="nil"/>
          <w:insideH w:val="nil"/>
          <w:insideV w:val="nil"/>
          <w:tl2br w:val="nil"/>
          <w:tr2bl w:val="nil"/>
        </w:tcBorders>
        <w:shd w:val="clear" w:color="auto" w:fill="FFFFFF" w:themeFill="background1"/>
      </w:tcPr>
    </w:tblStylePr>
  </w:style>
  <w:style w:type="character" w:customStyle="1" w:styleId="FooterevenChar">
    <w:name w:val="Footer (even) Char"/>
    <w:basedOn w:val="FooterChar"/>
    <w:link w:val="Footereven"/>
    <w:uiPriority w:val="84"/>
    <w:rsid w:val="00036280"/>
    <w:rPr>
      <w:rFonts w:asciiTheme="majorHAnsi" w:hAnsiTheme="majorHAnsi"/>
      <w:sz w:val="18"/>
    </w:rPr>
  </w:style>
  <w:style w:type="paragraph" w:customStyle="1" w:styleId="ObjectiveHeading">
    <w:name w:val="Objective Heading"/>
    <w:basedOn w:val="Normal"/>
    <w:next w:val="Normal"/>
    <w:uiPriority w:val="62"/>
    <w:qFormat/>
    <w:rsid w:val="00EB0619"/>
    <w:pPr>
      <w:keepNext/>
      <w:pBdr>
        <w:top w:val="single" w:sz="6" w:space="3" w:color="auto"/>
        <w:left w:val="single" w:sz="6" w:space="5" w:color="auto"/>
        <w:bottom w:val="single" w:sz="6" w:space="3" w:color="auto"/>
        <w:right w:val="single" w:sz="6" w:space="5" w:color="auto"/>
      </w:pBdr>
      <w:shd w:val="clear" w:color="auto" w:fill="F2F2F2" w:themeFill="background1" w:themeFillShade="F2"/>
    </w:pPr>
    <w:rPr>
      <w:rFonts w:asciiTheme="majorHAnsi" w:hAnsiTheme="majorHAnsi"/>
      <w:b/>
      <w:sz w:val="24"/>
    </w:rPr>
  </w:style>
  <w:style w:type="paragraph" w:customStyle="1" w:styleId="TableUnits">
    <w:name w:val="Table Units"/>
    <w:basedOn w:val="Normal"/>
    <w:next w:val="Normal"/>
    <w:link w:val="TableUnitsChar"/>
    <w:uiPriority w:val="50"/>
    <w:qFormat/>
    <w:rsid w:val="0083463B"/>
    <w:pPr>
      <w:keepNext/>
      <w:tabs>
        <w:tab w:val="left" w:pos="567"/>
        <w:tab w:val="right" w:pos="9639"/>
        <w:tab w:val="right" w:pos="14742"/>
      </w:tabs>
      <w:spacing w:before="0" w:after="60"/>
      <w:ind w:left="1134" w:hanging="1134"/>
      <w:jc w:val="right"/>
    </w:pPr>
    <w:rPr>
      <w:rFonts w:asciiTheme="majorHAnsi" w:hAnsiTheme="majorHAnsi"/>
      <w:b/>
      <w:sz w:val="20"/>
      <w:szCs w:val="20"/>
    </w:rPr>
  </w:style>
  <w:style w:type="table" w:customStyle="1" w:styleId="DTFPerformanceMeasuresTable">
    <w:name w:val="DTF Performance Measures Table"/>
    <w:basedOn w:val="DTFTable"/>
    <w:uiPriority w:val="99"/>
    <w:rsid w:val="00F8170E"/>
    <w:pPr>
      <w:spacing w:before="0"/>
    </w:pPr>
    <w:tblPr>
      <w:tblStyleRowBandSize w:val="0"/>
    </w:tblPr>
    <w:tblStylePr w:type="firstRow">
      <w:rPr>
        <w:i/>
      </w:rPr>
      <w:tblPr/>
      <w:trPr>
        <w:cantSplit w:val="0"/>
      </w:trPr>
      <w:tcPr>
        <w:shd w:val="clear" w:color="auto" w:fill="000000" w:themeFill="text1"/>
        <w:vAlign w:val="bottom"/>
      </w:tcPr>
    </w:tblStylePr>
    <w:tblStylePr w:type="lastRow">
      <w:rPr>
        <w:b/>
      </w:rPr>
      <w:tblPr/>
      <w:tcPr>
        <w:tcBorders>
          <w:top w:val="single" w:sz="6" w:space="0" w:color="000000" w:themeColor="text1"/>
          <w:left w:val="nil"/>
          <w:bottom w:val="single" w:sz="12" w:space="0" w:color="000000" w:themeColor="text1"/>
          <w:right w:val="nil"/>
          <w:insideH w:val="nil"/>
          <w:insideV w:val="nil"/>
          <w:tl2br w:val="nil"/>
          <w:tr2bl w:val="nil"/>
        </w:tcBorders>
      </w:tcPr>
    </w:tblStylePr>
    <w:tblStylePr w:type="firstCol">
      <w:pPr>
        <w:wordWrap/>
        <w:spacing w:line="240" w:lineRule="auto"/>
        <w:ind w:leftChars="0" w:left="144" w:rightChars="0" w:right="0" w:firstLineChars="0" w:firstLine="0"/>
        <w:jc w:val="left"/>
      </w:pPr>
    </w:tblStylePr>
    <w:tblStylePr w:type="lastCol">
      <w:rPr>
        <w:b/>
      </w:rPr>
      <w:tblPr/>
      <w:tcPr>
        <w:shd w:val="clear" w:color="auto" w:fill="F2F2F2" w:themeFill="background1" w:themeFillShade="F2"/>
      </w:tcPr>
    </w:tblStylePr>
    <w:tblStylePr w:type="band1Vert">
      <w:tblPr/>
      <w:tcPr>
        <w:shd w:val="clear" w:color="auto" w:fill="EBEBEB" w:themeFill="background2"/>
      </w:tcPr>
    </w:tblStylePr>
    <w:tblStylePr w:type="band1Horz">
      <w:tblPr/>
      <w:tcPr>
        <w:shd w:val="clear" w:color="auto" w:fill="EBEBEB" w:themeFill="background2"/>
      </w:tcPr>
    </w:tblStylePr>
    <w:tblStylePr w:type="band2Horz">
      <w:tblPr/>
      <w:tcPr>
        <w:shd w:val="clear" w:color="auto" w:fill="FFFFFF" w:themeFill="background1"/>
      </w:tcPr>
    </w:tblStylePr>
  </w:style>
  <w:style w:type="character" w:customStyle="1" w:styleId="TableHeadingChar">
    <w:name w:val="Table Heading Char"/>
    <w:basedOn w:val="DefaultParagraphFont"/>
    <w:link w:val="TableHeading"/>
    <w:uiPriority w:val="49"/>
    <w:rsid w:val="002D3FE4"/>
    <w:rPr>
      <w:rFonts w:asciiTheme="majorHAnsi" w:hAnsiTheme="majorHAnsi"/>
      <w:b/>
      <w:sz w:val="20"/>
      <w:szCs w:val="20"/>
    </w:rPr>
  </w:style>
  <w:style w:type="character" w:customStyle="1" w:styleId="SourceChar">
    <w:name w:val="Source Char"/>
    <w:link w:val="Source"/>
    <w:uiPriority w:val="51"/>
    <w:locked/>
    <w:rsid w:val="00400B44"/>
    <w:rPr>
      <w:rFonts w:asciiTheme="majorHAnsi" w:hAnsiTheme="majorHAnsi"/>
      <w:i/>
      <w:spacing w:val="-2"/>
      <w:sz w:val="14"/>
    </w:rPr>
  </w:style>
  <w:style w:type="table" w:customStyle="1" w:styleId="DTFFinancialTable">
    <w:name w:val="DTF Financial Table"/>
    <w:basedOn w:val="TableNormal"/>
    <w:uiPriority w:val="99"/>
    <w:rsid w:val="00400B44"/>
    <w:pPr>
      <w:spacing w:before="20" w:after="20"/>
      <w:jc w:val="right"/>
    </w:pPr>
    <w:rPr>
      <w:rFonts w:asciiTheme="majorHAnsi" w:hAnsiTheme="majorHAnsi"/>
      <w:spacing w:val="4"/>
      <w:sz w:val="17"/>
    </w:rPr>
    <w:tblPr>
      <w:tblStyleRowBandSize w:val="1"/>
      <w:tblStyleColBandSize w:val="1"/>
      <w:tblInd w:w="28" w:type="dxa"/>
      <w:tblBorders>
        <w:bottom w:val="single" w:sz="12" w:space="0" w:color="auto"/>
      </w:tblBorders>
      <w:tblCellMar>
        <w:left w:w="57" w:type="dxa"/>
        <w:right w:w="57" w:type="dxa"/>
      </w:tblCellMar>
    </w:tblPr>
    <w:trPr>
      <w:cantSplit/>
    </w:trPr>
    <w:tblStylePr w:type="firstRow">
      <w:rPr>
        <w:i/>
      </w:rPr>
      <w:tblPr/>
      <w:trPr>
        <w:cantSplit w:val="0"/>
      </w:trPr>
      <w:tcPr>
        <w:shd w:val="clear" w:color="auto" w:fill="000000" w:themeFill="text1"/>
        <w:vAlign w:val="bottom"/>
      </w:tcPr>
    </w:tblStylePr>
    <w:tblStylePr w:type="lastRow">
      <w:rPr>
        <w:b/>
      </w:rPr>
      <w:tblPr/>
      <w:tcPr>
        <w:tcBorders>
          <w:top w:val="single" w:sz="6" w:space="0" w:color="000000" w:themeColor="text1"/>
          <w:left w:val="nil"/>
          <w:bottom w:val="single" w:sz="12" w:space="0" w:color="000000" w:themeColor="text1"/>
          <w:right w:val="nil"/>
          <w:insideH w:val="nil"/>
          <w:insideV w:val="nil"/>
          <w:tl2br w:val="nil"/>
          <w:tr2bl w:val="nil"/>
        </w:tcBorders>
      </w:tcPr>
    </w:tblStylePr>
    <w:tblStylePr w:type="firstCol">
      <w:pPr>
        <w:wordWrap/>
        <w:spacing w:line="240" w:lineRule="auto"/>
        <w:ind w:leftChars="0" w:left="170" w:rightChars="0" w:right="0" w:firstLineChars="0" w:hanging="170"/>
        <w:jc w:val="left"/>
      </w:pPr>
    </w:tblStylePr>
    <w:tblStylePr w:type="lastCol">
      <w:rPr>
        <w:b/>
      </w:rPr>
      <w:tblPr/>
      <w:tcPr>
        <w:shd w:val="clear" w:color="auto" w:fill="F2F2F2" w:themeFill="background1" w:themeFillShade="F2"/>
      </w:tcPr>
    </w:tblStylePr>
    <w:tblStylePr w:type="band1Vert">
      <w:tblPr/>
      <w:tcPr>
        <w:shd w:val="clear" w:color="auto" w:fill="EBEBEB" w:themeFill="background2"/>
      </w:tcPr>
    </w:tblStylePr>
    <w:tblStylePr w:type="band1Horz">
      <w:tblPr/>
      <w:tcPr>
        <w:shd w:val="clear" w:color="auto" w:fill="EBEBEB" w:themeFill="background2"/>
      </w:tcPr>
    </w:tblStylePr>
    <w:tblStylePr w:type="band2Horz">
      <w:tblPr/>
      <w:tcPr>
        <w:shd w:val="clear" w:color="auto" w:fill="FFFFFF" w:themeFill="background1"/>
      </w:tcPr>
    </w:tblStylePr>
  </w:style>
  <w:style w:type="numbering" w:customStyle="1" w:styleId="Headingstyles">
    <w:name w:val="Heading styles"/>
    <w:uiPriority w:val="99"/>
    <w:rsid w:val="00400B44"/>
    <w:pPr>
      <w:numPr>
        <w:numId w:val="15"/>
      </w:numPr>
    </w:pPr>
  </w:style>
  <w:style w:type="paragraph" w:customStyle="1" w:styleId="BulletText">
    <w:name w:val="Bullet Text"/>
    <w:basedOn w:val="Normal"/>
    <w:link w:val="BulletTextChar"/>
    <w:uiPriority w:val="2"/>
    <w:qFormat/>
    <w:rsid w:val="00400B44"/>
    <w:pPr>
      <w:keepLines w:val="0"/>
      <w:tabs>
        <w:tab w:val="num" w:pos="360"/>
      </w:tabs>
      <w:spacing w:before="0" w:after="120"/>
      <w:ind w:left="360" w:hanging="360"/>
    </w:pPr>
    <w:rPr>
      <w:rFonts w:eastAsia="Times New Roman" w:cs="Times New Roman"/>
      <w:lang w:eastAsia="en-AU"/>
    </w:rPr>
  </w:style>
  <w:style w:type="character" w:customStyle="1" w:styleId="BulletTextChar">
    <w:name w:val="Bullet Text Char"/>
    <w:link w:val="BulletText"/>
    <w:uiPriority w:val="2"/>
    <w:locked/>
    <w:rsid w:val="00400B44"/>
    <w:rPr>
      <w:rFonts w:eastAsia="Times New Roman" w:cs="Times New Roman"/>
      <w:lang w:eastAsia="en-AU"/>
    </w:rPr>
  </w:style>
  <w:style w:type="character" w:customStyle="1" w:styleId="TableUnitsChar">
    <w:name w:val="Table Units Char"/>
    <w:basedOn w:val="DefaultParagraphFont"/>
    <w:link w:val="TableUnits"/>
    <w:uiPriority w:val="50"/>
    <w:rsid w:val="00400B44"/>
    <w:rPr>
      <w:rFonts w:asciiTheme="majorHAnsi" w:hAnsiTheme="majorHAnsi"/>
      <w:b/>
      <w:sz w:val="20"/>
      <w:szCs w:val="20"/>
    </w:rPr>
  </w:style>
  <w:style w:type="paragraph" w:customStyle="1" w:styleId="Notes">
    <w:name w:val="Notes"/>
    <w:basedOn w:val="Normal"/>
    <w:link w:val="NotesChar"/>
    <w:qFormat/>
    <w:rsid w:val="00400B44"/>
    <w:pPr>
      <w:keepLines w:val="0"/>
      <w:tabs>
        <w:tab w:val="left" w:pos="454"/>
      </w:tabs>
      <w:spacing w:before="0"/>
      <w:ind w:left="397" w:hanging="397"/>
    </w:pPr>
    <w:rPr>
      <w:rFonts w:asciiTheme="majorHAnsi" w:eastAsia="Times New Roman" w:hAnsiTheme="majorHAnsi" w:cs="Times New Roman"/>
      <w:i/>
      <w:sz w:val="15"/>
      <w:lang w:eastAsia="en-AU"/>
    </w:rPr>
  </w:style>
  <w:style w:type="character" w:customStyle="1" w:styleId="NotesChar">
    <w:name w:val="Notes Char"/>
    <w:link w:val="Notes"/>
    <w:locked/>
    <w:rsid w:val="00400B44"/>
    <w:rPr>
      <w:rFonts w:asciiTheme="majorHAnsi" w:eastAsia="Times New Roman" w:hAnsiTheme="majorHAnsi" w:cs="Times New Roman"/>
      <w:i/>
      <w:sz w:val="15"/>
      <w:lang w:eastAsia="en-AU"/>
    </w:rPr>
  </w:style>
  <w:style w:type="paragraph" w:customStyle="1" w:styleId="ControlledEntitiesDepartment">
    <w:name w:val="Controlled Entities Department"/>
    <w:basedOn w:val="Normal"/>
    <w:next w:val="Normal"/>
    <w:uiPriority w:val="97"/>
    <w:qFormat/>
    <w:rsid w:val="00400B44"/>
    <w:pPr>
      <w:shd w:val="clear" w:color="auto" w:fill="D9D9D9" w:themeFill="background1" w:themeFillShade="D9"/>
      <w:spacing w:before="40"/>
    </w:pPr>
    <w:rPr>
      <w:rFonts w:asciiTheme="majorHAnsi" w:eastAsia="Times New Roman" w:hAnsiTheme="majorHAnsi" w:cs="Times New Roman"/>
      <w:b/>
      <w:bCs/>
      <w:color w:val="000000" w:themeColor="text1"/>
      <w:sz w:val="18"/>
      <w:szCs w:val="18"/>
      <w:lang w:eastAsia="en-AU"/>
    </w:rPr>
  </w:style>
  <w:style w:type="paragraph" w:customStyle="1" w:styleId="ControlledEntitiesSector">
    <w:name w:val="Controlled Entities Sector"/>
    <w:basedOn w:val="Normal"/>
    <w:next w:val="ControlledEntitiesDepartment"/>
    <w:uiPriority w:val="98"/>
    <w:qFormat/>
    <w:rsid w:val="00400B44"/>
    <w:pPr>
      <w:shd w:val="clear" w:color="auto" w:fill="000000" w:themeFill="text1"/>
      <w:spacing w:before="20" w:after="60"/>
      <w:jc w:val="center"/>
    </w:pPr>
    <w:rPr>
      <w:rFonts w:asciiTheme="majorHAnsi" w:eastAsia="Times New Roman" w:hAnsiTheme="majorHAnsi" w:cstheme="minorHAnsi"/>
      <w:b/>
      <w:i/>
      <w:color w:val="FFFFFF" w:themeColor="background1"/>
      <w:sz w:val="18"/>
      <w:lang w:eastAsia="en-AU"/>
    </w:rPr>
  </w:style>
  <w:style w:type="character" w:customStyle="1" w:styleId="ListBulletChar">
    <w:name w:val="List Bullet Char"/>
    <w:basedOn w:val="DefaultParagraphFont"/>
    <w:link w:val="ListBullet"/>
    <w:uiPriority w:val="19"/>
    <w:rsid w:val="00400B4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semiHidden="0" w:uiPriority="9" w:unhideWhenUsed="0"/>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91" w:unhideWhenUsed="0"/>
    <w:lsdException w:name="toc 4" w:uiPriority="96" w:unhideWhenUsed="0"/>
    <w:lsdException w:name="toc 5" w:uiPriority="96" w:unhideWhenUsed="0"/>
    <w:lsdException w:name="toc 6" w:uiPriority="96" w:unhideWhenUsed="0"/>
    <w:lsdException w:name="toc 7" w:uiPriority="96" w:unhideWhenUsed="0"/>
    <w:lsdException w:name="toc 8" w:uiPriority="96" w:unhideWhenUsed="0"/>
    <w:lsdException w:name="toc 9" w:uiPriority="91"/>
    <w:lsdException w:name="header" w:uiPriority="85"/>
    <w:lsdException w:name="footer" w:uiPriority="84"/>
    <w:lsdException w:name="caption" w:uiPriority="35"/>
    <w:lsdException w:name="page number" w:uiPriority="0"/>
    <w:lsdException w:name="List" w:semiHidden="0" w:uiPriority="29" w:unhideWhenUsed="0"/>
    <w:lsdException w:name="List Bullet" w:uiPriority="19" w:qFormat="1"/>
    <w:lsdException w:name="List Number" w:semiHidden="0" w:uiPriority="19" w:unhideWhenUsed="0" w:qFormat="1"/>
    <w:lsdException w:name="List 2" w:uiPriority="29" w:unhideWhenUsed="0"/>
    <w:lsdException w:name="List 3" w:uiPriority="29"/>
    <w:lsdException w:name="List 4" w:uiPriority="29"/>
    <w:lsdException w:name="List 5" w:uiPriority="29"/>
    <w:lsdException w:name="List Bullet 2" w:uiPriority="19"/>
    <w:lsdException w:name="List Bullet 3" w:uiPriority="19"/>
    <w:lsdException w:name="List Bullet 4" w:uiPriority="19"/>
    <w:lsdException w:name="List Bullet 5" w:uiPriority="19"/>
    <w:lsdException w:name="List Number 2" w:semiHidden="0" w:uiPriority="19" w:unhideWhenUsed="0"/>
    <w:lsdException w:name="List Number 3" w:uiPriority="19"/>
    <w:lsdException w:name="List Number 4" w:uiPriority="19"/>
    <w:lsdException w:name="List Number 5" w:uiPriority="19"/>
    <w:lsdException w:name="Title" w:uiPriority="10" w:unhideWhenUsed="0"/>
    <w:lsdException w:name="Default Paragraph Font" w:uiPriority="1"/>
    <w:lsdException w:name="Body Text" w:uiPriority="4"/>
    <w:lsdException w:name="List Continue" w:semiHidden="0" w:uiPriority="24" w:unhideWhenUsed="0" w:qFormat="1"/>
    <w:lsdException w:name="List Continue 2" w:semiHidden="0" w:uiPriority="24" w:unhideWhenUsed="0"/>
    <w:lsdException w:name="List Continue 3" w:uiPriority="24"/>
    <w:lsdException w:name="List Continue 4" w:uiPriority="24"/>
    <w:lsdException w:name="List Continue 5" w:uiPriority="24"/>
    <w:lsdException w:name="Subtitle" w:uiPriority="11" w:unhideWhenUsed="0"/>
    <w:lsdException w:name="Strong" w:uiPriority="98" w:unhideWhenUsed="0"/>
    <w:lsdException w:name="Emphasis" w:uiPriority="98" w:unhideWhenUsed="0"/>
    <w:lsdException w:name="Table Grid" w:semiHidden="0" w:uiPriority="59" w:unhideWhenUsed="0"/>
    <w:lsdException w:name="Placeholder Text" w:unhideWhenUsed="0"/>
    <w:lsdException w:name="No Spacing"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unhideWhenUsed="0"/>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98" w:unhideWhenUsed="0"/>
    <w:lsdException w:name="Intense Emphasis" w:uiPriority="98" w:unhideWhenUsed="0"/>
    <w:lsdException w:name="Subtle Reference" w:uiPriority="31" w:unhideWhenUsed="0"/>
    <w:lsdException w:name="Intense Reference" w:uiPriority="32" w:unhideWhenUsed="0"/>
    <w:lsdException w:name="Book Title" w:uiPriority="33" w:unhideWhenUsed="0"/>
    <w:lsdException w:name="Bibliography" w:uiPriority="37"/>
    <w:lsdException w:name="TOC Heading" w:uiPriority="90"/>
  </w:latentStyles>
  <w:style w:type="paragraph" w:default="1" w:styleId="Normal">
    <w:name w:val="Normal"/>
    <w:qFormat/>
    <w:rsid w:val="00A2031D"/>
    <w:pPr>
      <w:keepLines/>
    </w:pPr>
  </w:style>
  <w:style w:type="paragraph" w:styleId="Heading10">
    <w:name w:val="heading 1"/>
    <w:next w:val="Normal"/>
    <w:link w:val="Heading1Char"/>
    <w:uiPriority w:val="9"/>
    <w:qFormat/>
    <w:rsid w:val="002E2498"/>
    <w:pPr>
      <w:keepNext/>
      <w:keepLines/>
      <w:spacing w:before="360"/>
      <w:outlineLvl w:val="0"/>
    </w:pPr>
    <w:rPr>
      <w:rFonts w:asciiTheme="majorHAnsi" w:eastAsiaTheme="majorEastAsia" w:hAnsiTheme="majorHAnsi" w:cstheme="majorBidi"/>
      <w:b/>
      <w:bCs/>
      <w:caps/>
      <w:spacing w:val="-2"/>
      <w:sz w:val="26"/>
      <w:szCs w:val="28"/>
    </w:rPr>
  </w:style>
  <w:style w:type="paragraph" w:styleId="Heading20">
    <w:name w:val="heading 2"/>
    <w:basedOn w:val="Heading10"/>
    <w:next w:val="Normal"/>
    <w:link w:val="Heading2Char"/>
    <w:uiPriority w:val="9"/>
    <w:qFormat/>
    <w:rsid w:val="00287535"/>
    <w:pPr>
      <w:numPr>
        <w:ilvl w:val="1"/>
      </w:numPr>
      <w:tabs>
        <w:tab w:val="right" w:pos="9582"/>
      </w:tabs>
      <w:spacing w:before="240"/>
      <w:outlineLvl w:val="1"/>
    </w:pPr>
    <w:rPr>
      <w:bCs w:val="0"/>
      <w:caps w:val="0"/>
      <w:szCs w:val="26"/>
    </w:rPr>
  </w:style>
  <w:style w:type="paragraph" w:styleId="Heading30">
    <w:name w:val="heading 3"/>
    <w:basedOn w:val="Heading20"/>
    <w:next w:val="Normal"/>
    <w:link w:val="Heading3Char"/>
    <w:uiPriority w:val="9"/>
    <w:qFormat/>
    <w:rsid w:val="00496047"/>
    <w:pPr>
      <w:numPr>
        <w:ilvl w:val="2"/>
      </w:numPr>
      <w:outlineLvl w:val="2"/>
    </w:pPr>
    <w:rPr>
      <w:bCs/>
      <w:sz w:val="22"/>
    </w:rPr>
  </w:style>
  <w:style w:type="paragraph" w:styleId="Heading4">
    <w:name w:val="heading 4"/>
    <w:basedOn w:val="Heading30"/>
    <w:next w:val="Normal"/>
    <w:link w:val="Heading4Char"/>
    <w:uiPriority w:val="9"/>
    <w:rsid w:val="00287535"/>
    <w:pPr>
      <w:numPr>
        <w:ilvl w:val="3"/>
      </w:numPr>
      <w:spacing w:before="180"/>
      <w:outlineLvl w:val="3"/>
    </w:pPr>
    <w:rPr>
      <w:b w:val="0"/>
      <w:bCs w:val="0"/>
      <w:i/>
      <w:iCs/>
      <w:spacing w:val="0"/>
    </w:rPr>
  </w:style>
  <w:style w:type="paragraph" w:styleId="Heading5">
    <w:name w:val="heading 5"/>
    <w:basedOn w:val="Heading4"/>
    <w:next w:val="Normal"/>
    <w:link w:val="Heading5Char"/>
    <w:uiPriority w:val="9"/>
    <w:unhideWhenUsed/>
    <w:rsid w:val="00EB0619"/>
    <w:pPr>
      <w:numPr>
        <w:ilvl w:val="4"/>
      </w:numPr>
      <w:outlineLvl w:val="4"/>
    </w:pPr>
    <w:rPr>
      <w:b/>
      <w:i w:val="0"/>
      <w:sz w:val="21"/>
    </w:rPr>
  </w:style>
  <w:style w:type="paragraph" w:styleId="Heading6">
    <w:name w:val="heading 6"/>
    <w:basedOn w:val="Normal"/>
    <w:next w:val="Normal"/>
    <w:link w:val="Heading6Char"/>
    <w:uiPriority w:val="9"/>
    <w:semiHidden/>
    <w:unhideWhenUsed/>
    <w:rsid w:val="00E36DAC"/>
    <w:pPr>
      <w:keepNext/>
      <w:numPr>
        <w:ilvl w:val="5"/>
        <w:numId w:val="4"/>
      </w:numPr>
      <w:spacing w:before="200"/>
      <w:outlineLvl w:val="5"/>
    </w:pPr>
    <w:rPr>
      <w:rFonts w:asciiTheme="majorHAnsi" w:eastAsiaTheme="majorEastAsia" w:hAnsiTheme="majorHAnsi" w:cstheme="majorBidi"/>
      <w:i/>
      <w:iCs/>
      <w:color w:val="003152" w:themeColor="accent1" w:themeShade="7F"/>
    </w:rPr>
  </w:style>
  <w:style w:type="paragraph" w:styleId="Heading7">
    <w:name w:val="heading 7"/>
    <w:basedOn w:val="Normal"/>
    <w:next w:val="Normal"/>
    <w:link w:val="Heading7Char"/>
    <w:uiPriority w:val="9"/>
    <w:semiHidden/>
    <w:unhideWhenUsed/>
    <w:rsid w:val="00E36DAC"/>
    <w:pPr>
      <w:keepNext/>
      <w:numPr>
        <w:ilvl w:val="6"/>
        <w:numId w:val="4"/>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rsid w:val="00E36DAC"/>
    <w:pPr>
      <w:keepNext/>
      <w:numPr>
        <w:ilvl w:val="7"/>
        <w:numId w:val="4"/>
      </w:numPr>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rsid w:val="00E36DAC"/>
    <w:pPr>
      <w:keepNext/>
      <w:numPr>
        <w:ilvl w:val="8"/>
        <w:numId w:val="4"/>
      </w:numPr>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2E2498"/>
    <w:rPr>
      <w:rFonts w:asciiTheme="majorHAnsi" w:eastAsiaTheme="majorEastAsia" w:hAnsiTheme="majorHAnsi" w:cstheme="majorBidi"/>
      <w:b/>
      <w:bCs/>
      <w:caps/>
      <w:spacing w:val="-2"/>
      <w:sz w:val="26"/>
      <w:szCs w:val="28"/>
    </w:rPr>
  </w:style>
  <w:style w:type="paragraph" w:customStyle="1" w:styleId="Chapterheading">
    <w:name w:val="Chapter heading"/>
    <w:basedOn w:val="Normal"/>
    <w:next w:val="Heading10"/>
    <w:uiPriority w:val="89"/>
    <w:rsid w:val="00400B44"/>
    <w:pPr>
      <w:keepNext/>
      <w:pageBreakBefore/>
      <w:pBdr>
        <w:bottom w:val="single" w:sz="12" w:space="1" w:color="auto"/>
      </w:pBdr>
      <w:spacing w:before="1440" w:after="360"/>
      <w:outlineLvl w:val="0"/>
    </w:pPr>
    <w:rPr>
      <w:rFonts w:asciiTheme="majorHAnsi" w:eastAsiaTheme="majorEastAsia" w:hAnsiTheme="majorHAnsi" w:cstheme="majorBidi"/>
      <w:b/>
      <w:bCs/>
      <w:caps/>
      <w:spacing w:val="-2"/>
      <w:sz w:val="36"/>
      <w:szCs w:val="28"/>
    </w:rPr>
  </w:style>
  <w:style w:type="character" w:customStyle="1" w:styleId="Heading3Char">
    <w:name w:val="Heading 3 Char"/>
    <w:basedOn w:val="DefaultParagraphFont"/>
    <w:link w:val="Heading30"/>
    <w:uiPriority w:val="9"/>
    <w:rsid w:val="00496047"/>
    <w:rPr>
      <w:rFonts w:asciiTheme="majorHAnsi" w:eastAsiaTheme="majorEastAsia" w:hAnsiTheme="majorHAnsi" w:cstheme="majorBidi"/>
      <w:b/>
      <w:bCs/>
      <w:spacing w:val="-2"/>
      <w:szCs w:val="26"/>
    </w:rPr>
  </w:style>
  <w:style w:type="character" w:customStyle="1" w:styleId="Heading2Char">
    <w:name w:val="Heading 2 Char"/>
    <w:basedOn w:val="DefaultParagraphFont"/>
    <w:link w:val="Heading20"/>
    <w:uiPriority w:val="9"/>
    <w:rsid w:val="00287535"/>
    <w:rPr>
      <w:rFonts w:asciiTheme="majorHAnsi" w:eastAsiaTheme="majorEastAsia" w:hAnsiTheme="majorHAnsi" w:cstheme="majorBidi"/>
      <w:b/>
      <w:spacing w:val="-2"/>
      <w:sz w:val="26"/>
      <w:szCs w:val="26"/>
    </w:rPr>
  </w:style>
  <w:style w:type="character" w:customStyle="1" w:styleId="Heading4Char">
    <w:name w:val="Heading 4 Char"/>
    <w:basedOn w:val="DefaultParagraphFont"/>
    <w:link w:val="Heading4"/>
    <w:uiPriority w:val="9"/>
    <w:rsid w:val="00287535"/>
    <w:rPr>
      <w:rFonts w:asciiTheme="majorHAnsi" w:eastAsiaTheme="majorEastAsia" w:hAnsiTheme="majorHAnsi" w:cstheme="majorBidi"/>
      <w:i/>
      <w:iCs/>
      <w:sz w:val="23"/>
      <w:szCs w:val="26"/>
    </w:rPr>
  </w:style>
  <w:style w:type="character" w:customStyle="1" w:styleId="Heading2Char0">
    <w:name w:val="Heading 2 (#) Char"/>
    <w:basedOn w:val="Heading2Char"/>
    <w:link w:val="Heading2"/>
    <w:uiPriority w:val="14"/>
    <w:rsid w:val="0037430B"/>
    <w:rPr>
      <w:rFonts w:asciiTheme="majorHAnsi" w:eastAsiaTheme="majorEastAsia" w:hAnsiTheme="majorHAnsi" w:cstheme="majorBidi"/>
      <w:b/>
      <w:spacing w:val="-2"/>
      <w:sz w:val="26"/>
      <w:szCs w:val="26"/>
    </w:rPr>
  </w:style>
  <w:style w:type="paragraph" w:customStyle="1" w:styleId="Source">
    <w:name w:val="Source"/>
    <w:basedOn w:val="Normal"/>
    <w:next w:val="Note"/>
    <w:link w:val="SourceChar"/>
    <w:uiPriority w:val="51"/>
    <w:qFormat/>
    <w:rsid w:val="006F23B1"/>
    <w:pPr>
      <w:spacing w:before="20" w:after="60"/>
    </w:pPr>
    <w:rPr>
      <w:rFonts w:asciiTheme="majorHAnsi" w:hAnsiTheme="majorHAnsi"/>
      <w:i/>
      <w:spacing w:val="-2"/>
      <w:sz w:val="14"/>
    </w:rPr>
  </w:style>
  <w:style w:type="paragraph" w:customStyle="1" w:styleId="Note">
    <w:name w:val="Note"/>
    <w:basedOn w:val="Normal"/>
    <w:link w:val="NoteChar"/>
    <w:uiPriority w:val="52"/>
    <w:qFormat/>
    <w:rsid w:val="006F23B1"/>
    <w:pPr>
      <w:spacing w:before="20"/>
      <w:ind w:left="284" w:hanging="284"/>
      <w:contextualSpacing/>
    </w:pPr>
    <w:rPr>
      <w:rFonts w:asciiTheme="majorHAnsi" w:hAnsiTheme="majorHAnsi"/>
      <w:i/>
      <w:spacing w:val="-2"/>
      <w:sz w:val="14"/>
    </w:rPr>
  </w:style>
  <w:style w:type="numbering" w:customStyle="1" w:styleId="A">
    <w:name w:val="(A)"/>
    <w:uiPriority w:val="99"/>
    <w:rsid w:val="00ED06E6"/>
    <w:pPr>
      <w:numPr>
        <w:numId w:val="1"/>
      </w:numPr>
    </w:pPr>
  </w:style>
  <w:style w:type="paragraph" w:customStyle="1" w:styleId="HighlightBoxText">
    <w:name w:val="Highlight Box Text"/>
    <w:basedOn w:val="Normal"/>
    <w:uiPriority w:val="60"/>
    <w:qFormat/>
    <w:rsid w:val="00EB0619"/>
    <w:pPr>
      <w:pBdr>
        <w:top w:val="single" w:sz="6" w:space="3" w:color="auto"/>
        <w:left w:val="single" w:sz="6" w:space="5" w:color="auto"/>
        <w:bottom w:val="single" w:sz="6" w:space="3" w:color="auto"/>
        <w:right w:val="single" w:sz="6" w:space="5" w:color="auto"/>
      </w:pBdr>
      <w:shd w:val="clear" w:color="auto" w:fill="F2F2F2" w:themeFill="background1" w:themeFillShade="F2"/>
    </w:pPr>
  </w:style>
  <w:style w:type="table" w:styleId="TableGrid">
    <w:name w:val="Table Grid"/>
    <w:basedOn w:val="TableNormal"/>
    <w:uiPriority w:val="59"/>
    <w:rsid w:val="00AF50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357C4E"/>
    <w:rPr>
      <w:color w:val="004A7C" w:themeColor="accent1" w:themeShade="BF"/>
    </w:rPr>
    <w:tblPr>
      <w:tblStyleRowBandSize w:val="1"/>
      <w:tblStyleColBandSize w:val="1"/>
      <w:tblBorders>
        <w:top w:val="single" w:sz="8" w:space="0" w:color="0063A6" w:themeColor="accent1"/>
        <w:bottom w:val="single" w:sz="8" w:space="0" w:color="0063A6" w:themeColor="accent1"/>
      </w:tblBorders>
    </w:tblPr>
    <w:tblStylePr w:type="firstRow">
      <w:pPr>
        <w:spacing w:before="0" w:after="0" w:line="240" w:lineRule="auto"/>
      </w:pPr>
      <w:rPr>
        <w:b/>
        <w:bCs/>
      </w:rPr>
      <w:tblPr/>
      <w:tcPr>
        <w:tcBorders>
          <w:top w:val="single" w:sz="8" w:space="0" w:color="0063A6" w:themeColor="accent1"/>
          <w:left w:val="nil"/>
          <w:bottom w:val="single" w:sz="8" w:space="0" w:color="0063A6" w:themeColor="accent1"/>
          <w:right w:val="nil"/>
          <w:insideH w:val="nil"/>
          <w:insideV w:val="nil"/>
        </w:tcBorders>
      </w:tcPr>
    </w:tblStylePr>
    <w:tblStylePr w:type="lastRow">
      <w:pPr>
        <w:spacing w:before="0" w:after="0" w:line="240" w:lineRule="auto"/>
      </w:pPr>
      <w:rPr>
        <w:b/>
        <w:bCs/>
      </w:rPr>
      <w:tblPr/>
      <w:tcPr>
        <w:tcBorders>
          <w:top w:val="single" w:sz="8" w:space="0" w:color="0063A6" w:themeColor="accent1"/>
          <w:left w:val="nil"/>
          <w:bottom w:val="single" w:sz="8" w:space="0" w:color="0063A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ADCFF" w:themeFill="accent1" w:themeFillTint="3F"/>
      </w:tcPr>
    </w:tblStylePr>
    <w:tblStylePr w:type="band1Horz">
      <w:tblPr/>
      <w:tcPr>
        <w:tcBorders>
          <w:left w:val="nil"/>
          <w:right w:val="nil"/>
          <w:insideH w:val="nil"/>
          <w:insideV w:val="nil"/>
        </w:tcBorders>
        <w:shd w:val="clear" w:color="auto" w:fill="AADCFF" w:themeFill="accent1" w:themeFillTint="3F"/>
      </w:tcPr>
    </w:tblStylePr>
  </w:style>
  <w:style w:type="table" w:styleId="LightShading">
    <w:name w:val="Light Shading"/>
    <w:basedOn w:val="TableNormal"/>
    <w:uiPriority w:val="60"/>
    <w:rsid w:val="00113667"/>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4">
    <w:name w:val="Light Shading Accent 4"/>
    <w:basedOn w:val="TableNormal"/>
    <w:uiPriority w:val="60"/>
    <w:rsid w:val="00113667"/>
    <w:rPr>
      <w:color w:val="00559A" w:themeColor="accent4" w:themeShade="BF"/>
    </w:rPr>
    <w:tblPr>
      <w:tblStyleRowBandSize w:val="1"/>
      <w:tblStyleColBandSize w:val="1"/>
      <w:tblBorders>
        <w:top w:val="single" w:sz="8" w:space="0" w:color="0072CE" w:themeColor="accent4"/>
        <w:bottom w:val="single" w:sz="8" w:space="0" w:color="0072CE" w:themeColor="accent4"/>
      </w:tblBorders>
    </w:tblPr>
    <w:tblStylePr w:type="firstRow">
      <w:pPr>
        <w:spacing w:before="0" w:after="0" w:line="240" w:lineRule="auto"/>
      </w:pPr>
      <w:rPr>
        <w:b/>
        <w:bCs/>
      </w:rPr>
      <w:tblPr/>
      <w:tcPr>
        <w:tcBorders>
          <w:top w:val="single" w:sz="8" w:space="0" w:color="0072CE" w:themeColor="accent4"/>
          <w:left w:val="nil"/>
          <w:bottom w:val="single" w:sz="8" w:space="0" w:color="0072CE" w:themeColor="accent4"/>
          <w:right w:val="nil"/>
          <w:insideH w:val="nil"/>
          <w:insideV w:val="nil"/>
        </w:tcBorders>
      </w:tcPr>
    </w:tblStylePr>
    <w:tblStylePr w:type="lastRow">
      <w:pPr>
        <w:spacing w:before="0" w:after="0" w:line="240" w:lineRule="auto"/>
      </w:pPr>
      <w:rPr>
        <w:b/>
        <w:bCs/>
      </w:rPr>
      <w:tblPr/>
      <w:tcPr>
        <w:tcBorders>
          <w:top w:val="single" w:sz="8" w:space="0" w:color="0072CE" w:themeColor="accent4"/>
          <w:left w:val="nil"/>
          <w:bottom w:val="single" w:sz="8" w:space="0" w:color="0072CE"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DDFF" w:themeFill="accent4" w:themeFillTint="3F"/>
      </w:tcPr>
    </w:tblStylePr>
    <w:tblStylePr w:type="band1Horz">
      <w:tblPr/>
      <w:tcPr>
        <w:tcBorders>
          <w:left w:val="nil"/>
          <w:right w:val="nil"/>
          <w:insideH w:val="nil"/>
          <w:insideV w:val="nil"/>
        </w:tcBorders>
        <w:shd w:val="clear" w:color="auto" w:fill="B3DDFF" w:themeFill="accent4" w:themeFillTint="3F"/>
      </w:tcPr>
    </w:tblStylePr>
  </w:style>
  <w:style w:type="paragraph" w:customStyle="1" w:styleId="DecimalAligned">
    <w:name w:val="Decimal Aligned"/>
    <w:basedOn w:val="Normal"/>
    <w:uiPriority w:val="40"/>
    <w:semiHidden/>
    <w:rsid w:val="00363B60"/>
    <w:pPr>
      <w:tabs>
        <w:tab w:val="decimal" w:pos="360"/>
      </w:tabs>
      <w:spacing w:after="200" w:line="276" w:lineRule="auto"/>
    </w:pPr>
    <w:rPr>
      <w:lang w:val="en-US" w:eastAsia="ja-JP"/>
    </w:rPr>
  </w:style>
  <w:style w:type="paragraph" w:styleId="FootnoteText">
    <w:name w:val="footnote text"/>
    <w:basedOn w:val="Normal"/>
    <w:link w:val="FootnoteTextChar"/>
    <w:uiPriority w:val="99"/>
    <w:semiHidden/>
    <w:rsid w:val="007A11BE"/>
    <w:pPr>
      <w:spacing w:before="40"/>
    </w:pPr>
    <w:rPr>
      <w:rFonts w:eastAsiaTheme="minorEastAsia"/>
      <w:sz w:val="20"/>
      <w:lang w:val="en-US" w:eastAsia="ja-JP"/>
    </w:rPr>
  </w:style>
  <w:style w:type="character" w:customStyle="1" w:styleId="FootnoteTextChar">
    <w:name w:val="Footnote Text Char"/>
    <w:basedOn w:val="DefaultParagraphFont"/>
    <w:link w:val="FootnoteText"/>
    <w:uiPriority w:val="99"/>
    <w:semiHidden/>
    <w:rsid w:val="007A11BE"/>
    <w:rPr>
      <w:rFonts w:eastAsiaTheme="minorEastAsia"/>
      <w:sz w:val="20"/>
      <w:lang w:val="en-US" w:eastAsia="ja-JP"/>
    </w:rPr>
  </w:style>
  <w:style w:type="character" w:styleId="SubtleEmphasis">
    <w:name w:val="Subtle Emphasis"/>
    <w:basedOn w:val="DefaultParagraphFont"/>
    <w:uiPriority w:val="98"/>
    <w:semiHidden/>
    <w:rsid w:val="00363B60"/>
    <w:rPr>
      <w:i/>
      <w:iCs/>
      <w:color w:val="7F7F7F" w:themeColor="text1" w:themeTint="80"/>
    </w:rPr>
  </w:style>
  <w:style w:type="table" w:styleId="MediumShading2-Accent5">
    <w:name w:val="Medium Shading 2 Accent 5"/>
    <w:basedOn w:val="TableNormal"/>
    <w:uiPriority w:val="64"/>
    <w:rsid w:val="00363B60"/>
    <w:rPr>
      <w:rFonts w:eastAsiaTheme="minorEastAsia"/>
      <w:lang w:val="en-US"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CD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9CDE" w:themeFill="accent5"/>
      </w:tcPr>
    </w:tblStylePr>
    <w:tblStylePr w:type="lastCol">
      <w:rPr>
        <w:b/>
        <w:bCs/>
        <w:color w:val="FFFFFF" w:themeColor="background1"/>
      </w:rPr>
      <w:tblPr/>
      <w:tcPr>
        <w:tcBorders>
          <w:left w:val="nil"/>
          <w:right w:val="nil"/>
          <w:insideH w:val="nil"/>
          <w:insideV w:val="nil"/>
        </w:tcBorders>
        <w:shd w:val="clear" w:color="auto" w:fill="009CD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Header">
    <w:name w:val="header"/>
    <w:link w:val="HeaderChar"/>
    <w:uiPriority w:val="85"/>
    <w:rsid w:val="00CA41CF"/>
    <w:pPr>
      <w:spacing w:after="180"/>
    </w:pPr>
    <w:rPr>
      <w:rFonts w:asciiTheme="majorHAnsi" w:hAnsiTheme="majorHAnsi"/>
      <w:b/>
      <w:caps/>
      <w:color w:val="53565A"/>
    </w:rPr>
  </w:style>
  <w:style w:type="character" w:customStyle="1" w:styleId="HeaderChar">
    <w:name w:val="Header Char"/>
    <w:basedOn w:val="DefaultParagraphFont"/>
    <w:link w:val="Header"/>
    <w:uiPriority w:val="97"/>
    <w:rsid w:val="00CA41CF"/>
    <w:rPr>
      <w:rFonts w:asciiTheme="majorHAnsi" w:hAnsiTheme="majorHAnsi"/>
      <w:b/>
      <w:caps/>
      <w:color w:val="53565A"/>
    </w:rPr>
  </w:style>
  <w:style w:type="numbering" w:styleId="111111">
    <w:name w:val="Outline List 2"/>
    <w:basedOn w:val="NoList"/>
    <w:uiPriority w:val="99"/>
    <w:semiHidden/>
    <w:unhideWhenUsed/>
    <w:rsid w:val="00C00568"/>
    <w:pPr>
      <w:numPr>
        <w:numId w:val="11"/>
      </w:numPr>
    </w:pPr>
  </w:style>
  <w:style w:type="character" w:customStyle="1" w:styleId="FooteroddChar">
    <w:name w:val="Footer (odd) Char"/>
    <w:basedOn w:val="DefaultParagraphFont"/>
    <w:link w:val="Footerodd"/>
    <w:uiPriority w:val="84"/>
    <w:rsid w:val="00036280"/>
    <w:rPr>
      <w:rFonts w:asciiTheme="majorHAnsi" w:hAnsiTheme="majorHAnsi"/>
      <w:sz w:val="18"/>
    </w:rPr>
  </w:style>
  <w:style w:type="paragraph" w:customStyle="1" w:styleId="Footerodd">
    <w:name w:val="Footer (odd)"/>
    <w:basedOn w:val="Footer"/>
    <w:link w:val="FooteroddChar"/>
    <w:uiPriority w:val="84"/>
    <w:rsid w:val="00036280"/>
    <w:pPr>
      <w:pBdr>
        <w:top w:val="single" w:sz="6" w:space="1" w:color="auto"/>
      </w:pBdr>
      <w:tabs>
        <w:tab w:val="clear" w:pos="4513"/>
        <w:tab w:val="clear" w:pos="9026"/>
        <w:tab w:val="center" w:pos="4536"/>
        <w:tab w:val="right" w:pos="7711"/>
        <w:tab w:val="right" w:pos="9639"/>
        <w:tab w:val="right" w:pos="14742"/>
      </w:tabs>
    </w:pPr>
    <w:rPr>
      <w:rFonts w:asciiTheme="majorHAnsi" w:hAnsiTheme="majorHAnsi"/>
      <w:sz w:val="18"/>
    </w:rPr>
  </w:style>
  <w:style w:type="paragraph" w:customStyle="1" w:styleId="NoteDash">
    <w:name w:val="Note Dash"/>
    <w:basedOn w:val="Note"/>
    <w:next w:val="Note"/>
    <w:uiPriority w:val="53"/>
    <w:rsid w:val="00E46DD4"/>
    <w:pPr>
      <w:numPr>
        <w:numId w:val="3"/>
      </w:numPr>
      <w:ind w:left="568" w:hanging="284"/>
    </w:pPr>
  </w:style>
  <w:style w:type="character" w:customStyle="1" w:styleId="NoteChar">
    <w:name w:val="Note Char"/>
    <w:basedOn w:val="DefaultParagraphFont"/>
    <w:link w:val="Note"/>
    <w:uiPriority w:val="52"/>
    <w:rsid w:val="006F23B1"/>
    <w:rPr>
      <w:rFonts w:asciiTheme="majorHAnsi" w:hAnsiTheme="majorHAnsi"/>
      <w:i/>
      <w:spacing w:val="-2"/>
      <w:sz w:val="14"/>
    </w:rPr>
  </w:style>
  <w:style w:type="paragraph" w:styleId="TOC1">
    <w:name w:val="toc 1"/>
    <w:basedOn w:val="Normal"/>
    <w:next w:val="Normal"/>
    <w:uiPriority w:val="39"/>
    <w:rsid w:val="00526B73"/>
    <w:pPr>
      <w:tabs>
        <w:tab w:val="right" w:leader="dot" w:pos="7711"/>
        <w:tab w:val="right" w:leader="dot" w:pos="9639"/>
      </w:tabs>
    </w:pPr>
    <w:rPr>
      <w:rFonts w:asciiTheme="majorHAnsi" w:hAnsiTheme="majorHAnsi"/>
      <w:b/>
      <w:spacing w:val="-2"/>
      <w:szCs w:val="19"/>
    </w:rPr>
  </w:style>
  <w:style w:type="paragraph" w:styleId="ListNumber2">
    <w:name w:val="List Number 2"/>
    <w:basedOn w:val="ListNumber"/>
    <w:uiPriority w:val="19"/>
    <w:rsid w:val="00D451B9"/>
    <w:pPr>
      <w:numPr>
        <w:ilvl w:val="1"/>
      </w:numPr>
    </w:pPr>
  </w:style>
  <w:style w:type="numbering" w:customStyle="1" w:styleId="Bullet">
    <w:name w:val="Bullet"/>
    <w:uiPriority w:val="99"/>
    <w:rsid w:val="00CE5CF8"/>
    <w:pPr>
      <w:numPr>
        <w:numId w:val="2"/>
      </w:numPr>
    </w:pPr>
  </w:style>
  <w:style w:type="paragraph" w:styleId="ListParagraph">
    <w:name w:val="List Paragraph"/>
    <w:basedOn w:val="Normal"/>
    <w:uiPriority w:val="34"/>
    <w:qFormat/>
    <w:rsid w:val="006C505F"/>
    <w:pPr>
      <w:ind w:left="720"/>
      <w:contextualSpacing/>
    </w:pPr>
  </w:style>
  <w:style w:type="paragraph" w:styleId="ListBullet2">
    <w:name w:val="List Bullet 2"/>
    <w:basedOn w:val="ListBullet"/>
    <w:uiPriority w:val="19"/>
    <w:rsid w:val="003805EF"/>
    <w:pPr>
      <w:numPr>
        <w:ilvl w:val="1"/>
      </w:numPr>
    </w:pPr>
  </w:style>
  <w:style w:type="character" w:customStyle="1" w:styleId="Heading5Char">
    <w:name w:val="Heading 5 Char"/>
    <w:basedOn w:val="DefaultParagraphFont"/>
    <w:link w:val="Heading5"/>
    <w:uiPriority w:val="9"/>
    <w:rsid w:val="00EB0619"/>
    <w:rPr>
      <w:rFonts w:asciiTheme="majorHAnsi" w:eastAsiaTheme="majorEastAsia" w:hAnsiTheme="majorHAnsi" w:cstheme="majorBidi"/>
      <w:b/>
      <w:iCs/>
      <w:sz w:val="21"/>
      <w:szCs w:val="26"/>
    </w:rPr>
  </w:style>
  <w:style w:type="paragraph" w:styleId="ListBullet">
    <w:name w:val="List Bullet"/>
    <w:basedOn w:val="Normal"/>
    <w:link w:val="ListBulletChar"/>
    <w:uiPriority w:val="19"/>
    <w:qFormat/>
    <w:rsid w:val="00CE5CF8"/>
    <w:pPr>
      <w:numPr>
        <w:numId w:val="7"/>
      </w:numPr>
      <w:spacing w:before="60"/>
    </w:pPr>
  </w:style>
  <w:style w:type="paragraph" w:styleId="List">
    <w:name w:val="List"/>
    <w:basedOn w:val="Normal"/>
    <w:uiPriority w:val="29"/>
    <w:unhideWhenUsed/>
    <w:rsid w:val="008A5A91"/>
    <w:pPr>
      <w:keepLines w:val="0"/>
      <w:tabs>
        <w:tab w:val="left" w:pos="284"/>
        <w:tab w:val="left" w:pos="567"/>
        <w:tab w:val="left" w:pos="851"/>
      </w:tabs>
    </w:pPr>
  </w:style>
  <w:style w:type="paragraph" w:styleId="ListContinue">
    <w:name w:val="List Continue"/>
    <w:basedOn w:val="Normal"/>
    <w:uiPriority w:val="24"/>
    <w:qFormat/>
    <w:rsid w:val="006C00EB"/>
    <w:pPr>
      <w:spacing w:before="60"/>
      <w:ind w:left="284"/>
    </w:pPr>
  </w:style>
  <w:style w:type="paragraph" w:styleId="ListContinue2">
    <w:name w:val="List Continue 2"/>
    <w:basedOn w:val="Normal"/>
    <w:uiPriority w:val="24"/>
    <w:rsid w:val="006C00EB"/>
    <w:pPr>
      <w:spacing w:before="60"/>
      <w:ind w:left="567"/>
    </w:pPr>
  </w:style>
  <w:style w:type="paragraph" w:styleId="ListNumber">
    <w:name w:val="List Number"/>
    <w:basedOn w:val="Normal"/>
    <w:uiPriority w:val="19"/>
    <w:qFormat/>
    <w:rsid w:val="00CE5CF8"/>
    <w:pPr>
      <w:numPr>
        <w:numId w:val="8"/>
      </w:numPr>
      <w:spacing w:before="60"/>
    </w:pPr>
  </w:style>
  <w:style w:type="paragraph" w:styleId="Footer">
    <w:name w:val="footer"/>
    <w:basedOn w:val="Normal"/>
    <w:link w:val="FooterChar"/>
    <w:uiPriority w:val="84"/>
    <w:rsid w:val="004419CD"/>
    <w:pPr>
      <w:tabs>
        <w:tab w:val="center" w:pos="4513"/>
        <w:tab w:val="right" w:pos="9026"/>
      </w:tabs>
      <w:spacing w:before="0"/>
    </w:pPr>
  </w:style>
  <w:style w:type="paragraph" w:styleId="TOC2">
    <w:name w:val="toc 2"/>
    <w:basedOn w:val="TOC1"/>
    <w:next w:val="Normal"/>
    <w:uiPriority w:val="39"/>
    <w:rsid w:val="008D37BD"/>
    <w:pPr>
      <w:spacing w:before="60" w:after="60" w:line="264" w:lineRule="auto"/>
      <w:ind w:left="284" w:right="567"/>
    </w:pPr>
    <w:rPr>
      <w:b w:val="0"/>
      <w:noProof/>
    </w:rPr>
  </w:style>
  <w:style w:type="character" w:styleId="PageNumber">
    <w:name w:val="page number"/>
    <w:semiHidden/>
    <w:rsid w:val="000A03F9"/>
    <w:rPr>
      <w:rFonts w:asciiTheme="minorHAnsi" w:hAnsiTheme="minorHAnsi"/>
      <w:sz w:val="18"/>
    </w:rPr>
  </w:style>
  <w:style w:type="paragraph" w:styleId="TOC3">
    <w:name w:val="toc 3"/>
    <w:basedOn w:val="Normal"/>
    <w:next w:val="Normal"/>
    <w:uiPriority w:val="91"/>
    <w:semiHidden/>
    <w:rsid w:val="00402880"/>
    <w:pPr>
      <w:spacing w:after="100"/>
      <w:ind w:left="420"/>
    </w:pPr>
  </w:style>
  <w:style w:type="paragraph" w:styleId="TOC4">
    <w:name w:val="toc 4"/>
    <w:next w:val="Normal"/>
    <w:uiPriority w:val="96"/>
    <w:semiHidden/>
    <w:rsid w:val="000E2126"/>
    <w:pPr>
      <w:tabs>
        <w:tab w:val="left" w:pos="1021"/>
        <w:tab w:val="right" w:leader="dot" w:pos="9072"/>
      </w:tabs>
      <w:spacing w:after="100"/>
    </w:pPr>
    <w:rPr>
      <w:rFonts w:asciiTheme="majorHAnsi" w:hAnsiTheme="majorHAnsi"/>
      <w:spacing w:val="2"/>
    </w:rPr>
  </w:style>
  <w:style w:type="character" w:styleId="Hyperlink">
    <w:name w:val="Hyperlink"/>
    <w:uiPriority w:val="99"/>
    <w:rsid w:val="00924B15"/>
    <w:rPr>
      <w:color w:val="0000FF"/>
      <w:u w:val="single"/>
    </w:rPr>
  </w:style>
  <w:style w:type="paragraph" w:styleId="BalloonText">
    <w:name w:val="Balloon Text"/>
    <w:basedOn w:val="Normal"/>
    <w:link w:val="BalloonTextChar"/>
    <w:uiPriority w:val="99"/>
    <w:semiHidden/>
    <w:unhideWhenUsed/>
    <w:rsid w:val="00924B15"/>
    <w:rPr>
      <w:rFonts w:ascii="Tahoma" w:hAnsi="Tahoma" w:cs="Tahoma"/>
      <w:sz w:val="16"/>
      <w:szCs w:val="16"/>
    </w:rPr>
  </w:style>
  <w:style w:type="character" w:customStyle="1" w:styleId="BalloonTextChar">
    <w:name w:val="Balloon Text Char"/>
    <w:basedOn w:val="DefaultParagraphFont"/>
    <w:link w:val="BalloonText"/>
    <w:uiPriority w:val="99"/>
    <w:semiHidden/>
    <w:rsid w:val="00924B15"/>
    <w:rPr>
      <w:rFonts w:ascii="Tahoma" w:hAnsi="Tahoma" w:cs="Tahoma"/>
      <w:spacing w:val="2"/>
      <w:sz w:val="16"/>
      <w:szCs w:val="16"/>
    </w:rPr>
  </w:style>
  <w:style w:type="paragraph" w:customStyle="1" w:styleId="HighlightBoxHeading">
    <w:name w:val="Highlight Box Heading"/>
    <w:basedOn w:val="HighlightBoxText"/>
    <w:next w:val="HighlightBoxText"/>
    <w:uiPriority w:val="59"/>
    <w:qFormat/>
    <w:rsid w:val="00EB0619"/>
    <w:pPr>
      <w:keepNext/>
    </w:pPr>
    <w:rPr>
      <w:rFonts w:asciiTheme="majorHAnsi" w:hAnsiTheme="majorHAnsi"/>
      <w:b/>
    </w:rPr>
  </w:style>
  <w:style w:type="paragraph" w:customStyle="1" w:styleId="HighlightBoxBullet">
    <w:name w:val="Highlight Box Bullet"/>
    <w:basedOn w:val="ListBullet"/>
    <w:uiPriority w:val="61"/>
    <w:qFormat/>
    <w:rsid w:val="00EB0619"/>
    <w:pPr>
      <w:pBdr>
        <w:top w:val="single" w:sz="6" w:space="3" w:color="auto"/>
        <w:left w:val="single" w:sz="6" w:space="5" w:color="auto"/>
        <w:bottom w:val="single" w:sz="6" w:space="3" w:color="auto"/>
        <w:right w:val="single" w:sz="6" w:space="5" w:color="auto"/>
      </w:pBdr>
      <w:shd w:val="clear" w:color="auto" w:fill="F2F2F2" w:themeFill="background1" w:themeFillShade="F2"/>
    </w:pPr>
  </w:style>
  <w:style w:type="character" w:customStyle="1" w:styleId="Heading6Char">
    <w:name w:val="Heading 6 Char"/>
    <w:basedOn w:val="DefaultParagraphFont"/>
    <w:link w:val="Heading6"/>
    <w:uiPriority w:val="9"/>
    <w:semiHidden/>
    <w:rsid w:val="00E36DAC"/>
    <w:rPr>
      <w:rFonts w:asciiTheme="majorHAnsi" w:eastAsiaTheme="majorEastAsia" w:hAnsiTheme="majorHAnsi" w:cstheme="majorBidi"/>
      <w:i/>
      <w:iCs/>
      <w:color w:val="003152" w:themeColor="accent1" w:themeShade="7F"/>
    </w:rPr>
  </w:style>
  <w:style w:type="character" w:customStyle="1" w:styleId="Heading7Char">
    <w:name w:val="Heading 7 Char"/>
    <w:basedOn w:val="DefaultParagraphFont"/>
    <w:link w:val="Heading7"/>
    <w:uiPriority w:val="9"/>
    <w:semiHidden/>
    <w:rsid w:val="00E36DA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E36DA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E36DAC"/>
    <w:rPr>
      <w:rFonts w:asciiTheme="majorHAnsi" w:eastAsiaTheme="majorEastAsia" w:hAnsiTheme="majorHAnsi" w:cstheme="majorBidi"/>
      <w:i/>
      <w:iCs/>
      <w:color w:val="404040" w:themeColor="text1" w:themeTint="BF"/>
    </w:rPr>
  </w:style>
  <w:style w:type="paragraph" w:customStyle="1" w:styleId="TableHeading">
    <w:name w:val="Table Heading"/>
    <w:basedOn w:val="Normal"/>
    <w:next w:val="Normal"/>
    <w:link w:val="TableHeadingChar"/>
    <w:uiPriority w:val="49"/>
    <w:qFormat/>
    <w:rsid w:val="002D3FE4"/>
    <w:pPr>
      <w:keepNext/>
      <w:tabs>
        <w:tab w:val="left" w:pos="1134"/>
        <w:tab w:val="right" w:pos="7711"/>
        <w:tab w:val="right" w:pos="9639"/>
        <w:tab w:val="right" w:pos="14742"/>
      </w:tabs>
      <w:spacing w:before="240" w:after="60"/>
      <w:ind w:left="1134" w:hanging="1134"/>
    </w:pPr>
    <w:rPr>
      <w:rFonts w:asciiTheme="majorHAnsi" w:hAnsiTheme="majorHAnsi"/>
      <w:b/>
      <w:sz w:val="20"/>
      <w:szCs w:val="20"/>
    </w:rPr>
  </w:style>
  <w:style w:type="table" w:styleId="LightShading-Accent2">
    <w:name w:val="Light Shading Accent 2"/>
    <w:basedOn w:val="TableNormal"/>
    <w:uiPriority w:val="60"/>
    <w:rsid w:val="00A9345E"/>
    <w:rPr>
      <w:color w:val="00365B" w:themeColor="accent2" w:themeShade="BF"/>
    </w:rPr>
    <w:tblPr>
      <w:tblStyleRowBandSize w:val="1"/>
      <w:tblStyleColBandSize w:val="1"/>
      <w:tblBorders>
        <w:top w:val="single" w:sz="8" w:space="0" w:color="00497A" w:themeColor="accent2"/>
        <w:bottom w:val="single" w:sz="8" w:space="0" w:color="00497A" w:themeColor="accent2"/>
      </w:tblBorders>
    </w:tblPr>
    <w:tblStylePr w:type="firstRow">
      <w:pPr>
        <w:spacing w:before="0" w:after="0" w:line="240" w:lineRule="auto"/>
      </w:pPr>
      <w:rPr>
        <w:b/>
        <w:bCs/>
      </w:rPr>
      <w:tblPr/>
      <w:tcPr>
        <w:tcBorders>
          <w:top w:val="single" w:sz="8" w:space="0" w:color="00497A" w:themeColor="accent2"/>
          <w:left w:val="nil"/>
          <w:bottom w:val="single" w:sz="8" w:space="0" w:color="00497A" w:themeColor="accent2"/>
          <w:right w:val="nil"/>
          <w:insideH w:val="nil"/>
          <w:insideV w:val="nil"/>
        </w:tcBorders>
      </w:tcPr>
    </w:tblStylePr>
    <w:tblStylePr w:type="lastRow">
      <w:pPr>
        <w:spacing w:before="0" w:after="0" w:line="240" w:lineRule="auto"/>
      </w:pPr>
      <w:rPr>
        <w:b/>
        <w:bCs/>
      </w:rPr>
      <w:tblPr/>
      <w:tcPr>
        <w:tcBorders>
          <w:top w:val="single" w:sz="8" w:space="0" w:color="00497A" w:themeColor="accent2"/>
          <w:left w:val="nil"/>
          <w:bottom w:val="single" w:sz="8" w:space="0" w:color="00497A"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FD8FF" w:themeFill="accent2" w:themeFillTint="3F"/>
      </w:tcPr>
    </w:tblStylePr>
    <w:tblStylePr w:type="band1Horz">
      <w:tblPr/>
      <w:tcPr>
        <w:tcBorders>
          <w:left w:val="nil"/>
          <w:right w:val="nil"/>
          <w:insideH w:val="nil"/>
          <w:insideV w:val="nil"/>
        </w:tcBorders>
        <w:shd w:val="clear" w:color="auto" w:fill="9FD8FF" w:themeFill="accent2" w:themeFillTint="3F"/>
      </w:tcPr>
    </w:tblStylePr>
  </w:style>
  <w:style w:type="paragraph" w:styleId="ListBullet3">
    <w:name w:val="List Bullet 3"/>
    <w:basedOn w:val="ListBullet2"/>
    <w:uiPriority w:val="19"/>
    <w:unhideWhenUsed/>
    <w:rsid w:val="00D451B9"/>
    <w:pPr>
      <w:numPr>
        <w:ilvl w:val="2"/>
      </w:numPr>
    </w:pPr>
  </w:style>
  <w:style w:type="numbering" w:customStyle="1" w:styleId="Number">
    <w:name w:val="Number"/>
    <w:uiPriority w:val="99"/>
    <w:rsid w:val="00CE5CF8"/>
    <w:pPr>
      <w:numPr>
        <w:numId w:val="5"/>
      </w:numPr>
    </w:pPr>
  </w:style>
  <w:style w:type="character" w:customStyle="1" w:styleId="Heading1Char0">
    <w:name w:val="Heading 1 (#) Char"/>
    <w:basedOn w:val="Heading1Char"/>
    <w:link w:val="Heading1"/>
    <w:uiPriority w:val="14"/>
    <w:rsid w:val="00287535"/>
    <w:rPr>
      <w:rFonts w:asciiTheme="majorHAnsi" w:eastAsiaTheme="majorEastAsia" w:hAnsiTheme="majorHAnsi" w:cstheme="majorBidi"/>
      <w:b/>
      <w:bCs/>
      <w:caps/>
      <w:spacing w:val="-2"/>
      <w:sz w:val="26"/>
      <w:szCs w:val="28"/>
    </w:rPr>
  </w:style>
  <w:style w:type="table" w:styleId="LightList">
    <w:name w:val="Light List"/>
    <w:basedOn w:val="TableNormal"/>
    <w:uiPriority w:val="61"/>
    <w:rsid w:val="0065194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TOC9">
    <w:name w:val="toc 9"/>
    <w:basedOn w:val="Normal"/>
    <w:next w:val="Normal"/>
    <w:autoRedefine/>
    <w:uiPriority w:val="91"/>
    <w:rsid w:val="00B56C73"/>
    <w:pPr>
      <w:tabs>
        <w:tab w:val="left" w:pos="567"/>
        <w:tab w:val="right" w:leader="dot" w:pos="3629"/>
      </w:tabs>
      <w:spacing w:after="100"/>
      <w:ind w:left="567" w:right="340" w:hanging="567"/>
    </w:pPr>
    <w:rPr>
      <w:spacing w:val="-2"/>
    </w:rPr>
  </w:style>
  <w:style w:type="paragraph" w:customStyle="1" w:styleId="Footereven">
    <w:name w:val="Footer (even)"/>
    <w:basedOn w:val="Footer"/>
    <w:link w:val="FooterevenChar"/>
    <w:uiPriority w:val="84"/>
    <w:rsid w:val="00036280"/>
    <w:pPr>
      <w:pBdr>
        <w:top w:val="single" w:sz="6" w:space="1" w:color="auto"/>
      </w:pBdr>
      <w:tabs>
        <w:tab w:val="clear" w:pos="4513"/>
        <w:tab w:val="clear" w:pos="9026"/>
        <w:tab w:val="center" w:pos="3119"/>
        <w:tab w:val="right" w:pos="7711"/>
        <w:tab w:val="right" w:pos="9639"/>
        <w:tab w:val="right" w:pos="14742"/>
      </w:tabs>
    </w:pPr>
    <w:rPr>
      <w:rFonts w:asciiTheme="majorHAnsi" w:hAnsiTheme="majorHAnsi"/>
      <w:sz w:val="18"/>
    </w:rPr>
  </w:style>
  <w:style w:type="table" w:customStyle="1" w:styleId="DTFTable">
    <w:name w:val="DTF Table"/>
    <w:basedOn w:val="TableNormal"/>
    <w:uiPriority w:val="99"/>
    <w:rsid w:val="00A637FA"/>
    <w:pPr>
      <w:spacing w:before="20" w:after="20"/>
      <w:jc w:val="right"/>
    </w:pPr>
    <w:rPr>
      <w:rFonts w:asciiTheme="majorHAnsi" w:hAnsiTheme="majorHAnsi"/>
      <w:sz w:val="17"/>
    </w:rPr>
    <w:tblPr>
      <w:tblStyleRowBandSize w:val="1"/>
      <w:tblStyleColBandSize w:val="1"/>
      <w:tblInd w:w="28" w:type="dxa"/>
      <w:tblBorders>
        <w:bottom w:val="single" w:sz="12" w:space="0" w:color="auto"/>
      </w:tblBorders>
      <w:tblCellMar>
        <w:left w:w="57" w:type="dxa"/>
        <w:right w:w="57" w:type="dxa"/>
      </w:tblCellMar>
    </w:tblPr>
    <w:trPr>
      <w:cantSplit/>
    </w:trPr>
    <w:tblStylePr w:type="firstRow">
      <w:rPr>
        <w:i/>
      </w:rPr>
      <w:tblPr/>
      <w:trPr>
        <w:cantSplit w:val="0"/>
      </w:trPr>
      <w:tcPr>
        <w:shd w:val="clear" w:color="auto" w:fill="000000" w:themeFill="text1"/>
        <w:vAlign w:val="bottom"/>
      </w:tcPr>
    </w:tblStylePr>
    <w:tblStylePr w:type="lastRow">
      <w:rPr>
        <w:b/>
      </w:rPr>
      <w:tblPr/>
      <w:tcPr>
        <w:tcBorders>
          <w:top w:val="single" w:sz="6" w:space="0" w:color="000000" w:themeColor="text1"/>
          <w:left w:val="nil"/>
          <w:bottom w:val="single" w:sz="12" w:space="0" w:color="000000" w:themeColor="text1"/>
          <w:right w:val="nil"/>
          <w:insideH w:val="nil"/>
          <w:insideV w:val="nil"/>
          <w:tl2br w:val="nil"/>
          <w:tr2bl w:val="nil"/>
        </w:tcBorders>
      </w:tcPr>
    </w:tblStylePr>
    <w:tblStylePr w:type="firstCol">
      <w:pPr>
        <w:wordWrap/>
        <w:spacing w:line="240" w:lineRule="auto"/>
        <w:ind w:leftChars="0" w:left="170" w:rightChars="0" w:right="0" w:firstLineChars="0" w:hanging="170"/>
        <w:jc w:val="left"/>
      </w:pPr>
    </w:tblStylePr>
    <w:tblStylePr w:type="lastCol">
      <w:rPr>
        <w:b/>
      </w:rPr>
      <w:tblPr/>
      <w:tcPr>
        <w:shd w:val="clear" w:color="auto" w:fill="F2F2F2" w:themeFill="background1" w:themeFillShade="F2"/>
      </w:tcPr>
    </w:tblStylePr>
    <w:tblStylePr w:type="band1Vert">
      <w:tblPr/>
      <w:tcPr>
        <w:shd w:val="clear" w:color="auto" w:fill="EBEBEB" w:themeFill="background2"/>
      </w:tcPr>
    </w:tblStylePr>
    <w:tblStylePr w:type="band1Horz">
      <w:tblPr/>
      <w:tcPr>
        <w:shd w:val="clear" w:color="auto" w:fill="EBEBEB" w:themeFill="background2"/>
      </w:tcPr>
    </w:tblStylePr>
    <w:tblStylePr w:type="band2Horz">
      <w:tblPr/>
      <w:tcPr>
        <w:shd w:val="clear" w:color="auto" w:fill="FFFFFF" w:themeFill="background1"/>
      </w:tcPr>
    </w:tblStylePr>
  </w:style>
  <w:style w:type="paragraph" w:styleId="ListNumber3">
    <w:name w:val="List Number 3"/>
    <w:basedOn w:val="Normal"/>
    <w:uiPriority w:val="19"/>
    <w:unhideWhenUsed/>
    <w:rsid w:val="002C3386"/>
    <w:pPr>
      <w:numPr>
        <w:ilvl w:val="2"/>
        <w:numId w:val="8"/>
      </w:numPr>
      <w:spacing w:before="60"/>
      <w:ind w:left="851"/>
    </w:pPr>
  </w:style>
  <w:style w:type="paragraph" w:styleId="ListNumber4">
    <w:name w:val="List Number 4"/>
    <w:basedOn w:val="Normal"/>
    <w:uiPriority w:val="19"/>
    <w:semiHidden/>
    <w:unhideWhenUsed/>
    <w:rsid w:val="00CE5CF8"/>
    <w:pPr>
      <w:numPr>
        <w:ilvl w:val="3"/>
        <w:numId w:val="8"/>
      </w:numPr>
      <w:contextualSpacing/>
    </w:pPr>
  </w:style>
  <w:style w:type="paragraph" w:styleId="ListNumber5">
    <w:name w:val="List Number 5"/>
    <w:basedOn w:val="Normal"/>
    <w:uiPriority w:val="19"/>
    <w:semiHidden/>
    <w:unhideWhenUsed/>
    <w:rsid w:val="00CE5CF8"/>
    <w:pPr>
      <w:numPr>
        <w:ilvl w:val="4"/>
        <w:numId w:val="8"/>
      </w:numPr>
      <w:contextualSpacing/>
    </w:pPr>
  </w:style>
  <w:style w:type="paragraph" w:styleId="ListContinue3">
    <w:name w:val="List Continue 3"/>
    <w:basedOn w:val="ListContinue2"/>
    <w:uiPriority w:val="24"/>
    <w:semiHidden/>
    <w:unhideWhenUsed/>
    <w:rsid w:val="000915C9"/>
    <w:pPr>
      <w:ind w:left="1191"/>
    </w:pPr>
  </w:style>
  <w:style w:type="paragraph" w:customStyle="1" w:styleId="Heading1">
    <w:name w:val="Heading 1 (#)"/>
    <w:basedOn w:val="Heading10"/>
    <w:link w:val="Heading1Char0"/>
    <w:uiPriority w:val="14"/>
    <w:qFormat/>
    <w:rsid w:val="00287535"/>
    <w:pPr>
      <w:numPr>
        <w:numId w:val="14"/>
      </w:numPr>
    </w:pPr>
  </w:style>
  <w:style w:type="paragraph" w:customStyle="1" w:styleId="Heading2">
    <w:name w:val="Heading 2 (#)"/>
    <w:basedOn w:val="Heading20"/>
    <w:link w:val="Heading2Char0"/>
    <w:uiPriority w:val="14"/>
    <w:qFormat/>
    <w:rsid w:val="00771A05"/>
    <w:pPr>
      <w:numPr>
        <w:numId w:val="14"/>
      </w:numPr>
    </w:pPr>
  </w:style>
  <w:style w:type="numbering" w:customStyle="1" w:styleId="NumberedHeadings">
    <w:name w:val="Numbered Headings"/>
    <w:uiPriority w:val="99"/>
    <w:rsid w:val="004B1258"/>
    <w:pPr>
      <w:numPr>
        <w:numId w:val="6"/>
      </w:numPr>
    </w:pPr>
  </w:style>
  <w:style w:type="paragraph" w:customStyle="1" w:styleId="Heading3">
    <w:name w:val="Heading 3 (#)"/>
    <w:basedOn w:val="Heading30"/>
    <w:next w:val="Normal"/>
    <w:link w:val="Heading3Char0"/>
    <w:uiPriority w:val="14"/>
    <w:rsid w:val="00287535"/>
    <w:pPr>
      <w:numPr>
        <w:numId w:val="14"/>
      </w:numPr>
      <w:spacing w:after="120"/>
    </w:pPr>
  </w:style>
  <w:style w:type="character" w:customStyle="1" w:styleId="Heading3Char0">
    <w:name w:val="Heading 3 (#) Char"/>
    <w:basedOn w:val="Heading3Char"/>
    <w:link w:val="Heading3"/>
    <w:uiPriority w:val="14"/>
    <w:rsid w:val="00287535"/>
    <w:rPr>
      <w:rFonts w:asciiTheme="majorHAnsi" w:eastAsiaTheme="majorEastAsia" w:hAnsiTheme="majorHAnsi" w:cstheme="majorBidi"/>
      <w:b/>
      <w:bCs/>
      <w:spacing w:val="-2"/>
      <w:szCs w:val="26"/>
    </w:rPr>
  </w:style>
  <w:style w:type="paragraph" w:styleId="ListBullet4">
    <w:name w:val="List Bullet 4"/>
    <w:basedOn w:val="Normal"/>
    <w:uiPriority w:val="19"/>
    <w:semiHidden/>
    <w:unhideWhenUsed/>
    <w:rsid w:val="002F7BBC"/>
    <w:pPr>
      <w:numPr>
        <w:numId w:val="9"/>
      </w:numPr>
      <w:contextualSpacing/>
    </w:pPr>
  </w:style>
  <w:style w:type="paragraph" w:styleId="ListBullet5">
    <w:name w:val="List Bullet 5"/>
    <w:basedOn w:val="Normal"/>
    <w:uiPriority w:val="19"/>
    <w:semiHidden/>
    <w:unhideWhenUsed/>
    <w:rsid w:val="002F7BBC"/>
    <w:pPr>
      <w:numPr>
        <w:numId w:val="10"/>
      </w:numPr>
      <w:contextualSpacing/>
    </w:pPr>
  </w:style>
  <w:style w:type="paragraph" w:styleId="ListContinue4">
    <w:name w:val="List Continue 4"/>
    <w:basedOn w:val="Normal"/>
    <w:uiPriority w:val="24"/>
    <w:semiHidden/>
    <w:unhideWhenUsed/>
    <w:rsid w:val="002F7BBC"/>
    <w:pPr>
      <w:spacing w:after="120"/>
      <w:ind w:left="1132"/>
      <w:contextualSpacing/>
    </w:pPr>
  </w:style>
  <w:style w:type="paragraph" w:styleId="ListContinue5">
    <w:name w:val="List Continue 5"/>
    <w:basedOn w:val="Normal"/>
    <w:uiPriority w:val="24"/>
    <w:semiHidden/>
    <w:unhideWhenUsed/>
    <w:rsid w:val="002F7BBC"/>
    <w:pPr>
      <w:spacing w:after="120"/>
      <w:ind w:left="1415"/>
      <w:contextualSpacing/>
    </w:pPr>
  </w:style>
  <w:style w:type="character" w:customStyle="1" w:styleId="FooterChar">
    <w:name w:val="Footer Char"/>
    <w:basedOn w:val="DefaultParagraphFont"/>
    <w:link w:val="Footer"/>
    <w:uiPriority w:val="84"/>
    <w:rsid w:val="00644B4A"/>
  </w:style>
  <w:style w:type="paragraph" w:styleId="TOC7">
    <w:name w:val="toc 7"/>
    <w:basedOn w:val="Normal"/>
    <w:next w:val="Normal"/>
    <w:autoRedefine/>
    <w:uiPriority w:val="96"/>
    <w:semiHidden/>
    <w:rsid w:val="001213D6"/>
    <w:pPr>
      <w:spacing w:after="100"/>
      <w:ind w:left="1320"/>
    </w:pPr>
  </w:style>
  <w:style w:type="numbering" w:styleId="1ai">
    <w:name w:val="Outline List 1"/>
    <w:basedOn w:val="NoList"/>
    <w:uiPriority w:val="99"/>
    <w:semiHidden/>
    <w:unhideWhenUsed/>
    <w:rsid w:val="00C00568"/>
    <w:pPr>
      <w:numPr>
        <w:numId w:val="12"/>
      </w:numPr>
    </w:pPr>
  </w:style>
  <w:style w:type="numbering" w:styleId="ArticleSection">
    <w:name w:val="Outline List 3"/>
    <w:basedOn w:val="NoList"/>
    <w:uiPriority w:val="99"/>
    <w:semiHidden/>
    <w:unhideWhenUsed/>
    <w:rsid w:val="00C00568"/>
    <w:pPr>
      <w:numPr>
        <w:numId w:val="13"/>
      </w:numPr>
    </w:pPr>
  </w:style>
  <w:style w:type="paragraph" w:styleId="Bibliography">
    <w:name w:val="Bibliography"/>
    <w:basedOn w:val="Normal"/>
    <w:next w:val="Normal"/>
    <w:uiPriority w:val="37"/>
    <w:semiHidden/>
    <w:unhideWhenUsed/>
    <w:rsid w:val="00C00568"/>
  </w:style>
  <w:style w:type="paragraph" w:styleId="BlockText">
    <w:name w:val="Block Text"/>
    <w:basedOn w:val="Normal"/>
    <w:uiPriority w:val="99"/>
    <w:semiHidden/>
    <w:unhideWhenUsed/>
    <w:rsid w:val="00C00568"/>
    <w:pPr>
      <w:pBdr>
        <w:top w:val="single" w:sz="2" w:space="10" w:color="0063A6" w:themeColor="accent1" w:shadow="1"/>
        <w:left w:val="single" w:sz="2" w:space="10" w:color="0063A6" w:themeColor="accent1" w:shadow="1"/>
        <w:bottom w:val="single" w:sz="2" w:space="10" w:color="0063A6" w:themeColor="accent1" w:shadow="1"/>
        <w:right w:val="single" w:sz="2" w:space="10" w:color="0063A6" w:themeColor="accent1" w:shadow="1"/>
      </w:pBdr>
      <w:ind w:left="1152" w:right="1152"/>
    </w:pPr>
    <w:rPr>
      <w:rFonts w:eastAsiaTheme="minorEastAsia"/>
      <w:i/>
      <w:iCs/>
      <w:color w:val="0063A6" w:themeColor="accent1"/>
    </w:rPr>
  </w:style>
  <w:style w:type="paragraph" w:styleId="BodyText">
    <w:name w:val="Body Text"/>
    <w:basedOn w:val="Normal"/>
    <w:link w:val="BodyTextChar"/>
    <w:uiPriority w:val="4"/>
    <w:semiHidden/>
    <w:unhideWhenUsed/>
    <w:rsid w:val="00C00568"/>
    <w:pPr>
      <w:spacing w:after="120"/>
    </w:pPr>
  </w:style>
  <w:style w:type="character" w:customStyle="1" w:styleId="BodyTextChar">
    <w:name w:val="Body Text Char"/>
    <w:basedOn w:val="DefaultParagraphFont"/>
    <w:link w:val="BodyText"/>
    <w:uiPriority w:val="4"/>
    <w:semiHidden/>
    <w:rsid w:val="00C00568"/>
  </w:style>
  <w:style w:type="paragraph" w:styleId="BodyText2">
    <w:name w:val="Body Text 2"/>
    <w:basedOn w:val="Normal"/>
    <w:link w:val="BodyText2Char"/>
    <w:uiPriority w:val="99"/>
    <w:semiHidden/>
    <w:unhideWhenUsed/>
    <w:rsid w:val="00C00568"/>
    <w:pPr>
      <w:spacing w:after="120" w:line="480" w:lineRule="auto"/>
    </w:pPr>
  </w:style>
  <w:style w:type="character" w:customStyle="1" w:styleId="BodyText2Char">
    <w:name w:val="Body Text 2 Char"/>
    <w:basedOn w:val="DefaultParagraphFont"/>
    <w:link w:val="BodyText2"/>
    <w:uiPriority w:val="99"/>
    <w:semiHidden/>
    <w:rsid w:val="00C00568"/>
  </w:style>
  <w:style w:type="paragraph" w:styleId="BodyText3">
    <w:name w:val="Body Text 3"/>
    <w:basedOn w:val="Normal"/>
    <w:link w:val="BodyText3Char"/>
    <w:uiPriority w:val="99"/>
    <w:semiHidden/>
    <w:unhideWhenUsed/>
    <w:rsid w:val="00C00568"/>
    <w:pPr>
      <w:spacing w:after="120"/>
    </w:pPr>
    <w:rPr>
      <w:sz w:val="16"/>
      <w:szCs w:val="16"/>
    </w:rPr>
  </w:style>
  <w:style w:type="character" w:customStyle="1" w:styleId="BodyText3Char">
    <w:name w:val="Body Text 3 Char"/>
    <w:basedOn w:val="DefaultParagraphFont"/>
    <w:link w:val="BodyText3"/>
    <w:uiPriority w:val="99"/>
    <w:semiHidden/>
    <w:rsid w:val="00C00568"/>
    <w:rPr>
      <w:sz w:val="16"/>
      <w:szCs w:val="16"/>
    </w:rPr>
  </w:style>
  <w:style w:type="paragraph" w:styleId="BodyTextFirstIndent">
    <w:name w:val="Body Text First Indent"/>
    <w:basedOn w:val="BodyText"/>
    <w:link w:val="BodyTextFirstIndentChar"/>
    <w:uiPriority w:val="99"/>
    <w:semiHidden/>
    <w:unhideWhenUsed/>
    <w:rsid w:val="00C00568"/>
    <w:pPr>
      <w:spacing w:after="0"/>
      <w:ind w:firstLine="360"/>
    </w:pPr>
  </w:style>
  <w:style w:type="character" w:customStyle="1" w:styleId="BodyTextFirstIndentChar">
    <w:name w:val="Body Text First Indent Char"/>
    <w:basedOn w:val="BodyTextChar"/>
    <w:link w:val="BodyTextFirstIndent"/>
    <w:uiPriority w:val="99"/>
    <w:semiHidden/>
    <w:rsid w:val="00C00568"/>
  </w:style>
  <w:style w:type="paragraph" w:styleId="BodyTextIndent">
    <w:name w:val="Body Text Indent"/>
    <w:basedOn w:val="Normal"/>
    <w:link w:val="BodyTextIndentChar"/>
    <w:uiPriority w:val="99"/>
    <w:semiHidden/>
    <w:unhideWhenUsed/>
    <w:rsid w:val="00C00568"/>
    <w:pPr>
      <w:spacing w:after="120"/>
      <w:ind w:left="283"/>
    </w:pPr>
  </w:style>
  <w:style w:type="character" w:customStyle="1" w:styleId="BodyTextIndentChar">
    <w:name w:val="Body Text Indent Char"/>
    <w:basedOn w:val="DefaultParagraphFont"/>
    <w:link w:val="BodyTextIndent"/>
    <w:uiPriority w:val="99"/>
    <w:semiHidden/>
    <w:rsid w:val="00C00568"/>
  </w:style>
  <w:style w:type="paragraph" w:styleId="BodyTextFirstIndent2">
    <w:name w:val="Body Text First Indent 2"/>
    <w:basedOn w:val="BodyTextIndent"/>
    <w:link w:val="BodyTextFirstIndent2Char"/>
    <w:uiPriority w:val="99"/>
    <w:semiHidden/>
    <w:unhideWhenUsed/>
    <w:rsid w:val="00C00568"/>
    <w:pPr>
      <w:spacing w:after="0"/>
      <w:ind w:left="360" w:firstLine="360"/>
    </w:pPr>
  </w:style>
  <w:style w:type="character" w:customStyle="1" w:styleId="BodyTextFirstIndent2Char">
    <w:name w:val="Body Text First Indent 2 Char"/>
    <w:basedOn w:val="BodyTextIndentChar"/>
    <w:link w:val="BodyTextFirstIndent2"/>
    <w:uiPriority w:val="99"/>
    <w:semiHidden/>
    <w:rsid w:val="00C00568"/>
  </w:style>
  <w:style w:type="paragraph" w:styleId="BodyTextIndent2">
    <w:name w:val="Body Text Indent 2"/>
    <w:basedOn w:val="Normal"/>
    <w:link w:val="BodyTextIndent2Char"/>
    <w:uiPriority w:val="99"/>
    <w:semiHidden/>
    <w:unhideWhenUsed/>
    <w:rsid w:val="00C00568"/>
    <w:pPr>
      <w:spacing w:after="120" w:line="480" w:lineRule="auto"/>
      <w:ind w:left="283"/>
    </w:pPr>
  </w:style>
  <w:style w:type="character" w:customStyle="1" w:styleId="BodyTextIndent2Char">
    <w:name w:val="Body Text Indent 2 Char"/>
    <w:basedOn w:val="DefaultParagraphFont"/>
    <w:link w:val="BodyTextIndent2"/>
    <w:uiPriority w:val="99"/>
    <w:semiHidden/>
    <w:rsid w:val="00C00568"/>
  </w:style>
  <w:style w:type="paragraph" w:styleId="BodyTextIndent3">
    <w:name w:val="Body Text Indent 3"/>
    <w:basedOn w:val="Normal"/>
    <w:link w:val="BodyTextIndent3Char"/>
    <w:uiPriority w:val="99"/>
    <w:semiHidden/>
    <w:unhideWhenUsed/>
    <w:rsid w:val="00C0056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C00568"/>
    <w:rPr>
      <w:sz w:val="16"/>
      <w:szCs w:val="16"/>
    </w:rPr>
  </w:style>
  <w:style w:type="character" w:styleId="BookTitle">
    <w:name w:val="Book Title"/>
    <w:basedOn w:val="DefaultParagraphFont"/>
    <w:uiPriority w:val="33"/>
    <w:semiHidden/>
    <w:rsid w:val="00C00568"/>
    <w:rPr>
      <w:b/>
      <w:bCs/>
      <w:smallCaps/>
      <w:spacing w:val="5"/>
    </w:rPr>
  </w:style>
  <w:style w:type="paragraph" w:styleId="Caption">
    <w:name w:val="caption"/>
    <w:basedOn w:val="Normal"/>
    <w:next w:val="Normal"/>
    <w:uiPriority w:val="35"/>
    <w:semiHidden/>
    <w:unhideWhenUsed/>
    <w:rsid w:val="00C00568"/>
    <w:pPr>
      <w:spacing w:before="0" w:after="200"/>
    </w:pPr>
    <w:rPr>
      <w:b/>
      <w:bCs/>
      <w:color w:val="0063A6" w:themeColor="accent1"/>
      <w:sz w:val="18"/>
      <w:szCs w:val="18"/>
    </w:rPr>
  </w:style>
  <w:style w:type="paragraph" w:styleId="Closing">
    <w:name w:val="Closing"/>
    <w:basedOn w:val="Normal"/>
    <w:link w:val="ClosingChar"/>
    <w:uiPriority w:val="99"/>
    <w:semiHidden/>
    <w:unhideWhenUsed/>
    <w:rsid w:val="00C00568"/>
    <w:pPr>
      <w:spacing w:before="0"/>
      <w:ind w:left="4252"/>
    </w:pPr>
  </w:style>
  <w:style w:type="character" w:customStyle="1" w:styleId="ClosingChar">
    <w:name w:val="Closing Char"/>
    <w:basedOn w:val="DefaultParagraphFont"/>
    <w:link w:val="Closing"/>
    <w:uiPriority w:val="99"/>
    <w:semiHidden/>
    <w:rsid w:val="00C00568"/>
  </w:style>
  <w:style w:type="table" w:styleId="ColorfulGrid">
    <w:name w:val="Colorful Grid"/>
    <w:basedOn w:val="TableNormal"/>
    <w:uiPriority w:val="73"/>
    <w:rsid w:val="00C00568"/>
    <w:pPr>
      <w:spacing w:before="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00568"/>
    <w:pPr>
      <w:spacing w:before="0"/>
    </w:pPr>
    <w:rPr>
      <w:color w:val="000000" w:themeColor="text1"/>
    </w:rPr>
    <w:tblPr>
      <w:tblStyleRowBandSize w:val="1"/>
      <w:tblStyleColBandSize w:val="1"/>
      <w:tblBorders>
        <w:insideH w:val="single" w:sz="4" w:space="0" w:color="FFFFFF" w:themeColor="background1"/>
      </w:tblBorders>
    </w:tblPr>
    <w:tcPr>
      <w:shd w:val="clear" w:color="auto" w:fill="BAE3FF" w:themeFill="accent1" w:themeFillTint="33"/>
    </w:tcPr>
    <w:tblStylePr w:type="firstRow">
      <w:rPr>
        <w:b/>
        <w:bCs/>
      </w:rPr>
      <w:tblPr/>
      <w:tcPr>
        <w:shd w:val="clear" w:color="auto" w:fill="75C7FF" w:themeFill="accent1" w:themeFillTint="66"/>
      </w:tcPr>
    </w:tblStylePr>
    <w:tblStylePr w:type="lastRow">
      <w:rPr>
        <w:b/>
        <w:bCs/>
        <w:color w:val="000000" w:themeColor="text1"/>
      </w:rPr>
      <w:tblPr/>
      <w:tcPr>
        <w:shd w:val="clear" w:color="auto" w:fill="75C7FF" w:themeFill="accent1" w:themeFillTint="66"/>
      </w:tcPr>
    </w:tblStylePr>
    <w:tblStylePr w:type="firstCol">
      <w:rPr>
        <w:color w:val="FFFFFF" w:themeColor="background1"/>
      </w:rPr>
      <w:tblPr/>
      <w:tcPr>
        <w:shd w:val="clear" w:color="auto" w:fill="004A7C" w:themeFill="accent1" w:themeFillShade="BF"/>
      </w:tcPr>
    </w:tblStylePr>
    <w:tblStylePr w:type="lastCol">
      <w:rPr>
        <w:color w:val="FFFFFF" w:themeColor="background1"/>
      </w:rPr>
      <w:tblPr/>
      <w:tcPr>
        <w:shd w:val="clear" w:color="auto" w:fill="004A7C" w:themeFill="accent1" w:themeFillShade="BF"/>
      </w:tcPr>
    </w:tblStylePr>
    <w:tblStylePr w:type="band1Vert">
      <w:tblPr/>
      <w:tcPr>
        <w:shd w:val="clear" w:color="auto" w:fill="53B9FF" w:themeFill="accent1" w:themeFillTint="7F"/>
      </w:tcPr>
    </w:tblStylePr>
    <w:tblStylePr w:type="band1Horz">
      <w:tblPr/>
      <w:tcPr>
        <w:shd w:val="clear" w:color="auto" w:fill="53B9FF" w:themeFill="accent1" w:themeFillTint="7F"/>
      </w:tcPr>
    </w:tblStylePr>
  </w:style>
  <w:style w:type="table" w:styleId="ColorfulGrid-Accent2">
    <w:name w:val="Colorful Grid Accent 2"/>
    <w:basedOn w:val="TableNormal"/>
    <w:uiPriority w:val="73"/>
    <w:rsid w:val="00C00568"/>
    <w:pPr>
      <w:spacing w:before="0"/>
    </w:pPr>
    <w:rPr>
      <w:color w:val="000000" w:themeColor="text1"/>
    </w:rPr>
    <w:tblPr>
      <w:tblStyleRowBandSize w:val="1"/>
      <w:tblStyleColBandSize w:val="1"/>
      <w:tblBorders>
        <w:insideH w:val="single" w:sz="4" w:space="0" w:color="FFFFFF" w:themeColor="background1"/>
      </w:tblBorders>
    </w:tblPr>
    <w:tcPr>
      <w:shd w:val="clear" w:color="auto" w:fill="B1DFFF" w:themeFill="accent2" w:themeFillTint="33"/>
    </w:tcPr>
    <w:tblStylePr w:type="firstRow">
      <w:rPr>
        <w:b/>
        <w:bCs/>
      </w:rPr>
      <w:tblPr/>
      <w:tcPr>
        <w:shd w:val="clear" w:color="auto" w:fill="63C0FF" w:themeFill="accent2" w:themeFillTint="66"/>
      </w:tcPr>
    </w:tblStylePr>
    <w:tblStylePr w:type="lastRow">
      <w:rPr>
        <w:b/>
        <w:bCs/>
        <w:color w:val="000000" w:themeColor="text1"/>
      </w:rPr>
      <w:tblPr/>
      <w:tcPr>
        <w:shd w:val="clear" w:color="auto" w:fill="63C0FF" w:themeFill="accent2" w:themeFillTint="66"/>
      </w:tcPr>
    </w:tblStylePr>
    <w:tblStylePr w:type="firstCol">
      <w:rPr>
        <w:color w:val="FFFFFF" w:themeColor="background1"/>
      </w:rPr>
      <w:tblPr/>
      <w:tcPr>
        <w:shd w:val="clear" w:color="auto" w:fill="00365B" w:themeFill="accent2" w:themeFillShade="BF"/>
      </w:tcPr>
    </w:tblStylePr>
    <w:tblStylePr w:type="lastCol">
      <w:rPr>
        <w:color w:val="FFFFFF" w:themeColor="background1"/>
      </w:rPr>
      <w:tblPr/>
      <w:tcPr>
        <w:shd w:val="clear" w:color="auto" w:fill="00365B" w:themeFill="accent2" w:themeFillShade="BF"/>
      </w:tcPr>
    </w:tblStylePr>
    <w:tblStylePr w:type="band1Vert">
      <w:tblPr/>
      <w:tcPr>
        <w:shd w:val="clear" w:color="auto" w:fill="3DB0FF" w:themeFill="accent2" w:themeFillTint="7F"/>
      </w:tcPr>
    </w:tblStylePr>
    <w:tblStylePr w:type="band1Horz">
      <w:tblPr/>
      <w:tcPr>
        <w:shd w:val="clear" w:color="auto" w:fill="3DB0FF" w:themeFill="accent2" w:themeFillTint="7F"/>
      </w:tcPr>
    </w:tblStylePr>
  </w:style>
  <w:style w:type="table" w:styleId="ColorfulGrid-Accent3">
    <w:name w:val="Colorful Grid Accent 3"/>
    <w:basedOn w:val="TableNormal"/>
    <w:uiPriority w:val="73"/>
    <w:rsid w:val="00C00568"/>
    <w:pPr>
      <w:spacing w:before="0"/>
    </w:pPr>
    <w:rPr>
      <w:color w:val="000000" w:themeColor="text1"/>
    </w:rPr>
    <w:tblPr>
      <w:tblStyleRowBandSize w:val="1"/>
      <w:tblStyleColBandSize w:val="1"/>
      <w:tblBorders>
        <w:insideH w:val="single" w:sz="4" w:space="0" w:color="FFFFFF" w:themeColor="background1"/>
      </w:tblBorders>
    </w:tblPr>
    <w:tcPr>
      <w:shd w:val="clear" w:color="auto" w:fill="E3EBF4" w:themeFill="accent3" w:themeFillTint="33"/>
    </w:tcPr>
    <w:tblStylePr w:type="firstRow">
      <w:rPr>
        <w:b/>
        <w:bCs/>
      </w:rPr>
      <w:tblPr/>
      <w:tcPr>
        <w:shd w:val="clear" w:color="auto" w:fill="C7D7E9" w:themeFill="accent3" w:themeFillTint="66"/>
      </w:tcPr>
    </w:tblStylePr>
    <w:tblStylePr w:type="lastRow">
      <w:rPr>
        <w:b/>
        <w:bCs/>
        <w:color w:val="000000" w:themeColor="text1"/>
      </w:rPr>
      <w:tblPr/>
      <w:tcPr>
        <w:shd w:val="clear" w:color="auto" w:fill="C7D7E9" w:themeFill="accent3" w:themeFillTint="66"/>
      </w:tcPr>
    </w:tblStylePr>
    <w:tblStylePr w:type="firstCol">
      <w:rPr>
        <w:color w:val="FFFFFF" w:themeColor="background1"/>
      </w:rPr>
      <w:tblPr/>
      <w:tcPr>
        <w:shd w:val="clear" w:color="auto" w:fill="4273AA" w:themeFill="accent3" w:themeFillShade="BF"/>
      </w:tcPr>
    </w:tblStylePr>
    <w:tblStylePr w:type="lastCol">
      <w:rPr>
        <w:color w:val="FFFFFF" w:themeColor="background1"/>
      </w:rPr>
      <w:tblPr/>
      <w:tcPr>
        <w:shd w:val="clear" w:color="auto" w:fill="4273AA" w:themeFill="accent3" w:themeFillShade="BF"/>
      </w:tcPr>
    </w:tblStylePr>
    <w:tblStylePr w:type="band1Vert">
      <w:tblPr/>
      <w:tcPr>
        <w:shd w:val="clear" w:color="auto" w:fill="B9CDE4" w:themeFill="accent3" w:themeFillTint="7F"/>
      </w:tcPr>
    </w:tblStylePr>
    <w:tblStylePr w:type="band1Horz">
      <w:tblPr/>
      <w:tcPr>
        <w:shd w:val="clear" w:color="auto" w:fill="B9CDE4" w:themeFill="accent3" w:themeFillTint="7F"/>
      </w:tcPr>
    </w:tblStylePr>
  </w:style>
  <w:style w:type="table" w:styleId="ColorfulGrid-Accent4">
    <w:name w:val="Colorful Grid Accent 4"/>
    <w:basedOn w:val="TableNormal"/>
    <w:uiPriority w:val="73"/>
    <w:rsid w:val="00C00568"/>
    <w:pPr>
      <w:spacing w:before="0"/>
    </w:pPr>
    <w:rPr>
      <w:color w:val="000000" w:themeColor="text1"/>
    </w:rPr>
    <w:tblPr>
      <w:tblStyleRowBandSize w:val="1"/>
      <w:tblStyleColBandSize w:val="1"/>
      <w:tblBorders>
        <w:insideH w:val="single" w:sz="4" w:space="0" w:color="FFFFFF" w:themeColor="background1"/>
      </w:tblBorders>
    </w:tblPr>
    <w:tcPr>
      <w:shd w:val="clear" w:color="auto" w:fill="C2E3FF" w:themeFill="accent4" w:themeFillTint="33"/>
    </w:tcPr>
    <w:tblStylePr w:type="firstRow">
      <w:rPr>
        <w:b/>
        <w:bCs/>
      </w:rPr>
      <w:tblPr/>
      <w:tcPr>
        <w:shd w:val="clear" w:color="auto" w:fill="85C8FF" w:themeFill="accent4" w:themeFillTint="66"/>
      </w:tcPr>
    </w:tblStylePr>
    <w:tblStylePr w:type="lastRow">
      <w:rPr>
        <w:b/>
        <w:bCs/>
        <w:color w:val="000000" w:themeColor="text1"/>
      </w:rPr>
      <w:tblPr/>
      <w:tcPr>
        <w:shd w:val="clear" w:color="auto" w:fill="85C8FF" w:themeFill="accent4" w:themeFillTint="66"/>
      </w:tcPr>
    </w:tblStylePr>
    <w:tblStylePr w:type="firstCol">
      <w:rPr>
        <w:color w:val="FFFFFF" w:themeColor="background1"/>
      </w:rPr>
      <w:tblPr/>
      <w:tcPr>
        <w:shd w:val="clear" w:color="auto" w:fill="00559A" w:themeFill="accent4" w:themeFillShade="BF"/>
      </w:tcPr>
    </w:tblStylePr>
    <w:tblStylePr w:type="lastCol">
      <w:rPr>
        <w:color w:val="FFFFFF" w:themeColor="background1"/>
      </w:rPr>
      <w:tblPr/>
      <w:tcPr>
        <w:shd w:val="clear" w:color="auto" w:fill="00559A" w:themeFill="accent4" w:themeFillShade="BF"/>
      </w:tcPr>
    </w:tblStylePr>
    <w:tblStylePr w:type="band1Vert">
      <w:tblPr/>
      <w:tcPr>
        <w:shd w:val="clear" w:color="auto" w:fill="67BBFF" w:themeFill="accent4" w:themeFillTint="7F"/>
      </w:tcPr>
    </w:tblStylePr>
    <w:tblStylePr w:type="band1Horz">
      <w:tblPr/>
      <w:tcPr>
        <w:shd w:val="clear" w:color="auto" w:fill="67BBFF" w:themeFill="accent4" w:themeFillTint="7F"/>
      </w:tcPr>
    </w:tblStylePr>
  </w:style>
  <w:style w:type="table" w:styleId="ColorfulGrid-Accent5">
    <w:name w:val="Colorful Grid Accent 5"/>
    <w:basedOn w:val="TableNormal"/>
    <w:uiPriority w:val="73"/>
    <w:rsid w:val="00C00568"/>
    <w:pPr>
      <w:spacing w:before="0"/>
    </w:pPr>
    <w:rPr>
      <w:color w:val="000000" w:themeColor="text1"/>
    </w:rPr>
    <w:tblPr>
      <w:tblStyleRowBandSize w:val="1"/>
      <w:tblStyleColBandSize w:val="1"/>
      <w:tblBorders>
        <w:insideH w:val="single" w:sz="4" w:space="0" w:color="FFFFFF" w:themeColor="background1"/>
      </w:tblBorders>
    </w:tblPr>
    <w:tcPr>
      <w:shd w:val="clear" w:color="auto" w:fill="C5EDFF" w:themeFill="accent5" w:themeFillTint="33"/>
    </w:tcPr>
    <w:tblStylePr w:type="firstRow">
      <w:rPr>
        <w:b/>
        <w:bCs/>
      </w:rPr>
      <w:tblPr/>
      <w:tcPr>
        <w:shd w:val="clear" w:color="auto" w:fill="8BDCFF" w:themeFill="accent5" w:themeFillTint="66"/>
      </w:tcPr>
    </w:tblStylePr>
    <w:tblStylePr w:type="lastRow">
      <w:rPr>
        <w:b/>
        <w:bCs/>
        <w:color w:val="000000" w:themeColor="text1"/>
      </w:rPr>
      <w:tblPr/>
      <w:tcPr>
        <w:shd w:val="clear" w:color="auto" w:fill="8BDCFF" w:themeFill="accent5" w:themeFillTint="66"/>
      </w:tcPr>
    </w:tblStylePr>
    <w:tblStylePr w:type="firstCol">
      <w:rPr>
        <w:color w:val="FFFFFF" w:themeColor="background1"/>
      </w:rPr>
      <w:tblPr/>
      <w:tcPr>
        <w:shd w:val="clear" w:color="auto" w:fill="0074A6" w:themeFill="accent5" w:themeFillShade="BF"/>
      </w:tcPr>
    </w:tblStylePr>
    <w:tblStylePr w:type="lastCol">
      <w:rPr>
        <w:color w:val="FFFFFF" w:themeColor="background1"/>
      </w:rPr>
      <w:tblPr/>
      <w:tcPr>
        <w:shd w:val="clear" w:color="auto" w:fill="0074A6" w:themeFill="accent5" w:themeFillShade="BF"/>
      </w:tcPr>
    </w:tblStylePr>
    <w:tblStylePr w:type="band1Vert">
      <w:tblPr/>
      <w:tcPr>
        <w:shd w:val="clear" w:color="auto" w:fill="6FD4FF" w:themeFill="accent5" w:themeFillTint="7F"/>
      </w:tcPr>
    </w:tblStylePr>
    <w:tblStylePr w:type="band1Horz">
      <w:tblPr/>
      <w:tcPr>
        <w:shd w:val="clear" w:color="auto" w:fill="6FD4FF" w:themeFill="accent5" w:themeFillTint="7F"/>
      </w:tcPr>
    </w:tblStylePr>
  </w:style>
  <w:style w:type="table" w:styleId="ColorfulGrid-Accent6">
    <w:name w:val="Colorful Grid Accent 6"/>
    <w:basedOn w:val="TableNormal"/>
    <w:uiPriority w:val="73"/>
    <w:rsid w:val="00C00568"/>
    <w:pPr>
      <w:spacing w:before="0"/>
    </w:pPr>
    <w:rPr>
      <w:color w:val="000000" w:themeColor="text1"/>
    </w:rPr>
    <w:tblPr>
      <w:tblStyleRowBandSize w:val="1"/>
      <w:tblStyleColBandSize w:val="1"/>
      <w:tblBorders>
        <w:insideH w:val="single" w:sz="4" w:space="0" w:color="FFFFFF" w:themeColor="background1"/>
      </w:tblBorders>
    </w:tblPr>
    <w:tcPr>
      <w:shd w:val="clear" w:color="auto" w:fill="EFCCCC" w:themeFill="accent6" w:themeFillTint="33"/>
    </w:tcPr>
    <w:tblStylePr w:type="firstRow">
      <w:rPr>
        <w:b/>
        <w:bCs/>
      </w:rPr>
      <w:tblPr/>
      <w:tcPr>
        <w:shd w:val="clear" w:color="auto" w:fill="E0999A" w:themeFill="accent6" w:themeFillTint="66"/>
      </w:tcPr>
    </w:tblStylePr>
    <w:tblStylePr w:type="lastRow">
      <w:rPr>
        <w:b/>
        <w:bCs/>
        <w:color w:val="000000" w:themeColor="text1"/>
      </w:rPr>
      <w:tblPr/>
      <w:tcPr>
        <w:shd w:val="clear" w:color="auto" w:fill="E0999A" w:themeFill="accent6" w:themeFillTint="66"/>
      </w:tcPr>
    </w:tblStylePr>
    <w:tblStylePr w:type="firstCol">
      <w:rPr>
        <w:color w:val="FFFFFF" w:themeColor="background1"/>
      </w:rPr>
      <w:tblPr/>
      <w:tcPr>
        <w:shd w:val="clear" w:color="auto" w:fill="671F20" w:themeFill="accent6" w:themeFillShade="BF"/>
      </w:tcPr>
    </w:tblStylePr>
    <w:tblStylePr w:type="lastCol">
      <w:rPr>
        <w:color w:val="FFFFFF" w:themeColor="background1"/>
      </w:rPr>
      <w:tblPr/>
      <w:tcPr>
        <w:shd w:val="clear" w:color="auto" w:fill="671F20" w:themeFill="accent6" w:themeFillShade="BF"/>
      </w:tcPr>
    </w:tblStylePr>
    <w:tblStylePr w:type="band1Vert">
      <w:tblPr/>
      <w:tcPr>
        <w:shd w:val="clear" w:color="auto" w:fill="D88081" w:themeFill="accent6" w:themeFillTint="7F"/>
      </w:tcPr>
    </w:tblStylePr>
    <w:tblStylePr w:type="band1Horz">
      <w:tblPr/>
      <w:tcPr>
        <w:shd w:val="clear" w:color="auto" w:fill="D88081" w:themeFill="accent6" w:themeFillTint="7F"/>
      </w:tcPr>
    </w:tblStylePr>
  </w:style>
  <w:style w:type="table" w:styleId="ColorfulList">
    <w:name w:val="Colorful List"/>
    <w:basedOn w:val="TableNormal"/>
    <w:uiPriority w:val="72"/>
    <w:rsid w:val="00C00568"/>
    <w:pPr>
      <w:spacing w:before="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3A61" w:themeFill="accent2" w:themeFillShade="CC"/>
      </w:tcPr>
    </w:tblStylePr>
    <w:tblStylePr w:type="lastRow">
      <w:rPr>
        <w:b/>
        <w:bCs/>
        <w:color w:val="003A6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00568"/>
    <w:pPr>
      <w:spacing w:before="0"/>
    </w:pPr>
    <w:rPr>
      <w:color w:val="000000" w:themeColor="text1"/>
    </w:rPr>
    <w:tblPr>
      <w:tblStyleRowBandSize w:val="1"/>
      <w:tblStyleColBandSize w:val="1"/>
    </w:tblPr>
    <w:tcPr>
      <w:shd w:val="clear" w:color="auto" w:fill="DDF1FF" w:themeFill="accent1" w:themeFillTint="19"/>
    </w:tcPr>
    <w:tblStylePr w:type="firstRow">
      <w:rPr>
        <w:b/>
        <w:bCs/>
        <w:color w:val="FFFFFF" w:themeColor="background1"/>
      </w:rPr>
      <w:tblPr/>
      <w:tcPr>
        <w:tcBorders>
          <w:bottom w:val="single" w:sz="12" w:space="0" w:color="FFFFFF" w:themeColor="background1"/>
        </w:tcBorders>
        <w:shd w:val="clear" w:color="auto" w:fill="003A61" w:themeFill="accent2" w:themeFillShade="CC"/>
      </w:tcPr>
    </w:tblStylePr>
    <w:tblStylePr w:type="lastRow">
      <w:rPr>
        <w:b/>
        <w:bCs/>
        <w:color w:val="003A6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ADCFF" w:themeFill="accent1" w:themeFillTint="3F"/>
      </w:tcPr>
    </w:tblStylePr>
    <w:tblStylePr w:type="band1Horz">
      <w:tblPr/>
      <w:tcPr>
        <w:shd w:val="clear" w:color="auto" w:fill="BAE3FF" w:themeFill="accent1" w:themeFillTint="33"/>
      </w:tcPr>
    </w:tblStylePr>
  </w:style>
  <w:style w:type="table" w:styleId="ColorfulList-Accent2">
    <w:name w:val="Colorful List Accent 2"/>
    <w:basedOn w:val="TableNormal"/>
    <w:uiPriority w:val="72"/>
    <w:rsid w:val="00C00568"/>
    <w:pPr>
      <w:spacing w:before="0"/>
    </w:pPr>
    <w:rPr>
      <w:color w:val="000000" w:themeColor="text1"/>
    </w:rPr>
    <w:tblPr>
      <w:tblStyleRowBandSize w:val="1"/>
      <w:tblStyleColBandSize w:val="1"/>
    </w:tblPr>
    <w:tcPr>
      <w:shd w:val="clear" w:color="auto" w:fill="D8EFFF" w:themeFill="accent2" w:themeFillTint="19"/>
    </w:tcPr>
    <w:tblStylePr w:type="firstRow">
      <w:rPr>
        <w:b/>
        <w:bCs/>
        <w:color w:val="FFFFFF" w:themeColor="background1"/>
      </w:rPr>
      <w:tblPr/>
      <w:tcPr>
        <w:tcBorders>
          <w:bottom w:val="single" w:sz="12" w:space="0" w:color="FFFFFF" w:themeColor="background1"/>
        </w:tcBorders>
        <w:shd w:val="clear" w:color="auto" w:fill="003A61" w:themeFill="accent2" w:themeFillShade="CC"/>
      </w:tcPr>
    </w:tblStylePr>
    <w:tblStylePr w:type="lastRow">
      <w:rPr>
        <w:b/>
        <w:bCs/>
        <w:color w:val="003A6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FD8FF" w:themeFill="accent2" w:themeFillTint="3F"/>
      </w:tcPr>
    </w:tblStylePr>
    <w:tblStylePr w:type="band1Horz">
      <w:tblPr/>
      <w:tcPr>
        <w:shd w:val="clear" w:color="auto" w:fill="B1DFFF" w:themeFill="accent2" w:themeFillTint="33"/>
      </w:tcPr>
    </w:tblStylePr>
  </w:style>
  <w:style w:type="table" w:styleId="ColorfulList-Accent3">
    <w:name w:val="Colorful List Accent 3"/>
    <w:basedOn w:val="TableNormal"/>
    <w:uiPriority w:val="72"/>
    <w:rsid w:val="00C00568"/>
    <w:pPr>
      <w:spacing w:before="0"/>
    </w:pPr>
    <w:rPr>
      <w:color w:val="000000" w:themeColor="text1"/>
    </w:rPr>
    <w:tblPr>
      <w:tblStyleRowBandSize w:val="1"/>
      <w:tblStyleColBandSize w:val="1"/>
    </w:tblPr>
    <w:tcPr>
      <w:shd w:val="clear" w:color="auto" w:fill="F1F5F9" w:themeFill="accent3" w:themeFillTint="19"/>
    </w:tcPr>
    <w:tblStylePr w:type="firstRow">
      <w:rPr>
        <w:b/>
        <w:bCs/>
        <w:color w:val="FFFFFF" w:themeColor="background1"/>
      </w:rPr>
      <w:tblPr/>
      <w:tcPr>
        <w:tcBorders>
          <w:bottom w:val="single" w:sz="12" w:space="0" w:color="FFFFFF" w:themeColor="background1"/>
        </w:tcBorders>
        <w:shd w:val="clear" w:color="auto" w:fill="005BA4" w:themeFill="accent4" w:themeFillShade="CC"/>
      </w:tcPr>
    </w:tblStylePr>
    <w:tblStylePr w:type="lastRow">
      <w:rPr>
        <w:b/>
        <w:bCs/>
        <w:color w:val="005BA4"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CE6F1" w:themeFill="accent3" w:themeFillTint="3F"/>
      </w:tcPr>
    </w:tblStylePr>
    <w:tblStylePr w:type="band1Horz">
      <w:tblPr/>
      <w:tcPr>
        <w:shd w:val="clear" w:color="auto" w:fill="E3EBF4" w:themeFill="accent3" w:themeFillTint="33"/>
      </w:tcPr>
    </w:tblStylePr>
  </w:style>
  <w:style w:type="table" w:styleId="ColorfulList-Accent4">
    <w:name w:val="Colorful List Accent 4"/>
    <w:basedOn w:val="TableNormal"/>
    <w:uiPriority w:val="72"/>
    <w:rsid w:val="00C00568"/>
    <w:pPr>
      <w:spacing w:before="0"/>
    </w:pPr>
    <w:rPr>
      <w:color w:val="000000" w:themeColor="text1"/>
    </w:rPr>
    <w:tblPr>
      <w:tblStyleRowBandSize w:val="1"/>
      <w:tblStyleColBandSize w:val="1"/>
    </w:tblPr>
    <w:tcPr>
      <w:shd w:val="clear" w:color="auto" w:fill="E1F1FF" w:themeFill="accent4" w:themeFillTint="19"/>
    </w:tcPr>
    <w:tblStylePr w:type="firstRow">
      <w:rPr>
        <w:b/>
        <w:bCs/>
        <w:color w:val="FFFFFF" w:themeColor="background1"/>
      </w:rPr>
      <w:tblPr/>
      <w:tcPr>
        <w:tcBorders>
          <w:bottom w:val="single" w:sz="12" w:space="0" w:color="FFFFFF" w:themeColor="background1"/>
        </w:tcBorders>
        <w:shd w:val="clear" w:color="auto" w:fill="477BB6" w:themeFill="accent3" w:themeFillShade="CC"/>
      </w:tcPr>
    </w:tblStylePr>
    <w:tblStylePr w:type="lastRow">
      <w:rPr>
        <w:b/>
        <w:bCs/>
        <w:color w:val="477BB6"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DDFF" w:themeFill="accent4" w:themeFillTint="3F"/>
      </w:tcPr>
    </w:tblStylePr>
    <w:tblStylePr w:type="band1Horz">
      <w:tblPr/>
      <w:tcPr>
        <w:shd w:val="clear" w:color="auto" w:fill="C2E3FF" w:themeFill="accent4" w:themeFillTint="33"/>
      </w:tcPr>
    </w:tblStylePr>
  </w:style>
  <w:style w:type="table" w:styleId="ColorfulList-Accent5">
    <w:name w:val="Colorful List Accent 5"/>
    <w:basedOn w:val="TableNormal"/>
    <w:uiPriority w:val="72"/>
    <w:rsid w:val="00C00568"/>
    <w:pPr>
      <w:spacing w:before="0"/>
    </w:pPr>
    <w:rPr>
      <w:color w:val="000000" w:themeColor="text1"/>
    </w:rPr>
    <w:tblPr>
      <w:tblStyleRowBandSize w:val="1"/>
      <w:tblStyleColBandSize w:val="1"/>
    </w:tblPr>
    <w:tcPr>
      <w:shd w:val="clear" w:color="auto" w:fill="E2F6FF" w:themeFill="accent5" w:themeFillTint="19"/>
    </w:tcPr>
    <w:tblStylePr w:type="firstRow">
      <w:rPr>
        <w:b/>
        <w:bCs/>
        <w:color w:val="FFFFFF" w:themeColor="background1"/>
      </w:rPr>
      <w:tblPr/>
      <w:tcPr>
        <w:tcBorders>
          <w:bottom w:val="single" w:sz="12" w:space="0" w:color="FFFFFF" w:themeColor="background1"/>
        </w:tcBorders>
        <w:shd w:val="clear" w:color="auto" w:fill="6E2122" w:themeFill="accent6" w:themeFillShade="CC"/>
      </w:tcPr>
    </w:tblStylePr>
    <w:tblStylePr w:type="lastRow">
      <w:rPr>
        <w:b/>
        <w:bCs/>
        <w:color w:val="6E2122"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E9FF" w:themeFill="accent5" w:themeFillTint="3F"/>
      </w:tcPr>
    </w:tblStylePr>
    <w:tblStylePr w:type="band1Horz">
      <w:tblPr/>
      <w:tcPr>
        <w:shd w:val="clear" w:color="auto" w:fill="C5EDFF" w:themeFill="accent5" w:themeFillTint="33"/>
      </w:tcPr>
    </w:tblStylePr>
  </w:style>
  <w:style w:type="table" w:styleId="ColorfulList-Accent6">
    <w:name w:val="Colorful List Accent 6"/>
    <w:basedOn w:val="TableNormal"/>
    <w:uiPriority w:val="72"/>
    <w:rsid w:val="00C00568"/>
    <w:pPr>
      <w:spacing w:before="0"/>
    </w:pPr>
    <w:rPr>
      <w:color w:val="000000" w:themeColor="text1"/>
    </w:rPr>
    <w:tblPr>
      <w:tblStyleRowBandSize w:val="1"/>
      <w:tblStyleColBandSize w:val="1"/>
    </w:tblPr>
    <w:tcPr>
      <w:shd w:val="clear" w:color="auto" w:fill="F7E5E5" w:themeFill="accent6" w:themeFillTint="19"/>
    </w:tcPr>
    <w:tblStylePr w:type="firstRow">
      <w:rPr>
        <w:b/>
        <w:bCs/>
        <w:color w:val="FFFFFF" w:themeColor="background1"/>
      </w:rPr>
      <w:tblPr/>
      <w:tcPr>
        <w:tcBorders>
          <w:bottom w:val="single" w:sz="12" w:space="0" w:color="FFFFFF" w:themeColor="background1"/>
        </w:tcBorders>
        <w:shd w:val="clear" w:color="auto" w:fill="007CB1" w:themeFill="accent5" w:themeFillShade="CC"/>
      </w:tcPr>
    </w:tblStylePr>
    <w:tblStylePr w:type="lastRow">
      <w:rPr>
        <w:b/>
        <w:bCs/>
        <w:color w:val="007CB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CC0C0" w:themeFill="accent6" w:themeFillTint="3F"/>
      </w:tcPr>
    </w:tblStylePr>
    <w:tblStylePr w:type="band1Horz">
      <w:tblPr/>
      <w:tcPr>
        <w:shd w:val="clear" w:color="auto" w:fill="EFCCCC" w:themeFill="accent6" w:themeFillTint="33"/>
      </w:tcPr>
    </w:tblStylePr>
  </w:style>
  <w:style w:type="table" w:styleId="ColorfulShading">
    <w:name w:val="Colorful Shading"/>
    <w:basedOn w:val="TableNormal"/>
    <w:uiPriority w:val="71"/>
    <w:rsid w:val="00C00568"/>
    <w:pPr>
      <w:spacing w:before="0"/>
    </w:pPr>
    <w:rPr>
      <w:color w:val="000000" w:themeColor="text1"/>
    </w:rPr>
    <w:tblPr>
      <w:tblStyleRowBandSize w:val="1"/>
      <w:tblStyleColBandSize w:val="1"/>
      <w:tblBorders>
        <w:top w:val="single" w:sz="24" w:space="0" w:color="00497A"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497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00568"/>
    <w:pPr>
      <w:spacing w:before="0"/>
    </w:pPr>
    <w:rPr>
      <w:color w:val="000000" w:themeColor="text1"/>
    </w:rPr>
    <w:tblPr>
      <w:tblStyleRowBandSize w:val="1"/>
      <w:tblStyleColBandSize w:val="1"/>
      <w:tblBorders>
        <w:top w:val="single" w:sz="24" w:space="0" w:color="00497A" w:themeColor="accent2"/>
        <w:left w:val="single" w:sz="4" w:space="0" w:color="0063A6" w:themeColor="accent1"/>
        <w:bottom w:val="single" w:sz="4" w:space="0" w:color="0063A6" w:themeColor="accent1"/>
        <w:right w:val="single" w:sz="4" w:space="0" w:color="0063A6" w:themeColor="accent1"/>
        <w:insideH w:val="single" w:sz="4" w:space="0" w:color="FFFFFF" w:themeColor="background1"/>
        <w:insideV w:val="single" w:sz="4" w:space="0" w:color="FFFFFF" w:themeColor="background1"/>
      </w:tblBorders>
    </w:tblPr>
    <w:tcPr>
      <w:shd w:val="clear" w:color="auto" w:fill="DDF1FF" w:themeFill="accent1" w:themeFillTint="19"/>
    </w:tcPr>
    <w:tblStylePr w:type="firstRow">
      <w:rPr>
        <w:b/>
        <w:bCs/>
      </w:rPr>
      <w:tblPr/>
      <w:tcPr>
        <w:tcBorders>
          <w:top w:val="nil"/>
          <w:left w:val="nil"/>
          <w:bottom w:val="single" w:sz="24" w:space="0" w:color="00497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B63" w:themeFill="accent1" w:themeFillShade="99"/>
      </w:tcPr>
    </w:tblStylePr>
    <w:tblStylePr w:type="firstCol">
      <w:rPr>
        <w:color w:val="FFFFFF" w:themeColor="background1"/>
      </w:rPr>
      <w:tblPr/>
      <w:tcPr>
        <w:tcBorders>
          <w:top w:val="nil"/>
          <w:left w:val="nil"/>
          <w:bottom w:val="nil"/>
          <w:right w:val="nil"/>
          <w:insideH w:val="single" w:sz="4" w:space="0" w:color="003B63" w:themeColor="accent1" w:themeShade="99"/>
          <w:insideV w:val="nil"/>
        </w:tcBorders>
        <w:shd w:val="clear" w:color="auto" w:fill="003B63"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3B63" w:themeFill="accent1" w:themeFillShade="99"/>
      </w:tcPr>
    </w:tblStylePr>
    <w:tblStylePr w:type="band1Vert">
      <w:tblPr/>
      <w:tcPr>
        <w:shd w:val="clear" w:color="auto" w:fill="75C7FF" w:themeFill="accent1" w:themeFillTint="66"/>
      </w:tcPr>
    </w:tblStylePr>
    <w:tblStylePr w:type="band1Horz">
      <w:tblPr/>
      <w:tcPr>
        <w:shd w:val="clear" w:color="auto" w:fill="53B9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00568"/>
    <w:pPr>
      <w:spacing w:before="0"/>
    </w:pPr>
    <w:rPr>
      <w:color w:val="000000" w:themeColor="text1"/>
    </w:rPr>
    <w:tblPr>
      <w:tblStyleRowBandSize w:val="1"/>
      <w:tblStyleColBandSize w:val="1"/>
      <w:tblBorders>
        <w:top w:val="single" w:sz="24" w:space="0" w:color="00497A" w:themeColor="accent2"/>
        <w:left w:val="single" w:sz="4" w:space="0" w:color="00497A" w:themeColor="accent2"/>
        <w:bottom w:val="single" w:sz="4" w:space="0" w:color="00497A" w:themeColor="accent2"/>
        <w:right w:val="single" w:sz="4" w:space="0" w:color="00497A" w:themeColor="accent2"/>
        <w:insideH w:val="single" w:sz="4" w:space="0" w:color="FFFFFF" w:themeColor="background1"/>
        <w:insideV w:val="single" w:sz="4" w:space="0" w:color="FFFFFF" w:themeColor="background1"/>
      </w:tblBorders>
    </w:tblPr>
    <w:tcPr>
      <w:shd w:val="clear" w:color="auto" w:fill="D8EFFF" w:themeFill="accent2" w:themeFillTint="19"/>
    </w:tcPr>
    <w:tblStylePr w:type="firstRow">
      <w:rPr>
        <w:b/>
        <w:bCs/>
      </w:rPr>
      <w:tblPr/>
      <w:tcPr>
        <w:tcBorders>
          <w:top w:val="nil"/>
          <w:left w:val="nil"/>
          <w:bottom w:val="single" w:sz="24" w:space="0" w:color="00497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B49" w:themeFill="accent2" w:themeFillShade="99"/>
      </w:tcPr>
    </w:tblStylePr>
    <w:tblStylePr w:type="firstCol">
      <w:rPr>
        <w:color w:val="FFFFFF" w:themeColor="background1"/>
      </w:rPr>
      <w:tblPr/>
      <w:tcPr>
        <w:tcBorders>
          <w:top w:val="nil"/>
          <w:left w:val="nil"/>
          <w:bottom w:val="nil"/>
          <w:right w:val="nil"/>
          <w:insideH w:val="single" w:sz="4" w:space="0" w:color="002B49" w:themeColor="accent2" w:themeShade="99"/>
          <w:insideV w:val="nil"/>
        </w:tcBorders>
        <w:shd w:val="clear" w:color="auto" w:fill="002B4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2B49" w:themeFill="accent2" w:themeFillShade="99"/>
      </w:tcPr>
    </w:tblStylePr>
    <w:tblStylePr w:type="band1Vert">
      <w:tblPr/>
      <w:tcPr>
        <w:shd w:val="clear" w:color="auto" w:fill="63C0FF" w:themeFill="accent2" w:themeFillTint="66"/>
      </w:tcPr>
    </w:tblStylePr>
    <w:tblStylePr w:type="band1Horz">
      <w:tblPr/>
      <w:tcPr>
        <w:shd w:val="clear" w:color="auto" w:fill="3DB0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00568"/>
    <w:pPr>
      <w:spacing w:before="0"/>
    </w:pPr>
    <w:rPr>
      <w:color w:val="000000" w:themeColor="text1"/>
    </w:rPr>
    <w:tblPr>
      <w:tblStyleRowBandSize w:val="1"/>
      <w:tblStyleColBandSize w:val="1"/>
      <w:tblBorders>
        <w:top w:val="single" w:sz="24" w:space="0" w:color="0072CE" w:themeColor="accent4"/>
        <w:left w:val="single" w:sz="4" w:space="0" w:color="749CC9" w:themeColor="accent3"/>
        <w:bottom w:val="single" w:sz="4" w:space="0" w:color="749CC9" w:themeColor="accent3"/>
        <w:right w:val="single" w:sz="4" w:space="0" w:color="749CC9" w:themeColor="accent3"/>
        <w:insideH w:val="single" w:sz="4" w:space="0" w:color="FFFFFF" w:themeColor="background1"/>
        <w:insideV w:val="single" w:sz="4" w:space="0" w:color="FFFFFF" w:themeColor="background1"/>
      </w:tblBorders>
    </w:tblPr>
    <w:tcPr>
      <w:shd w:val="clear" w:color="auto" w:fill="F1F5F9" w:themeFill="accent3" w:themeFillTint="19"/>
    </w:tcPr>
    <w:tblStylePr w:type="firstRow">
      <w:rPr>
        <w:b/>
        <w:bCs/>
      </w:rPr>
      <w:tblPr/>
      <w:tcPr>
        <w:tcBorders>
          <w:top w:val="nil"/>
          <w:left w:val="nil"/>
          <w:bottom w:val="single" w:sz="24" w:space="0" w:color="0072CE"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5C88" w:themeFill="accent3" w:themeFillShade="99"/>
      </w:tcPr>
    </w:tblStylePr>
    <w:tblStylePr w:type="firstCol">
      <w:rPr>
        <w:color w:val="FFFFFF" w:themeColor="background1"/>
      </w:rPr>
      <w:tblPr/>
      <w:tcPr>
        <w:tcBorders>
          <w:top w:val="nil"/>
          <w:left w:val="nil"/>
          <w:bottom w:val="nil"/>
          <w:right w:val="nil"/>
          <w:insideH w:val="single" w:sz="4" w:space="0" w:color="355C88" w:themeColor="accent3" w:themeShade="99"/>
          <w:insideV w:val="nil"/>
        </w:tcBorders>
        <w:shd w:val="clear" w:color="auto" w:fill="355C88"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55C88" w:themeFill="accent3" w:themeFillShade="99"/>
      </w:tcPr>
    </w:tblStylePr>
    <w:tblStylePr w:type="band1Vert">
      <w:tblPr/>
      <w:tcPr>
        <w:shd w:val="clear" w:color="auto" w:fill="C7D7E9" w:themeFill="accent3" w:themeFillTint="66"/>
      </w:tcPr>
    </w:tblStylePr>
    <w:tblStylePr w:type="band1Horz">
      <w:tblPr/>
      <w:tcPr>
        <w:shd w:val="clear" w:color="auto" w:fill="B9CDE4" w:themeFill="accent3" w:themeFillTint="7F"/>
      </w:tcPr>
    </w:tblStylePr>
  </w:style>
  <w:style w:type="table" w:styleId="ColorfulShading-Accent4">
    <w:name w:val="Colorful Shading Accent 4"/>
    <w:basedOn w:val="TableNormal"/>
    <w:uiPriority w:val="71"/>
    <w:rsid w:val="00C00568"/>
    <w:pPr>
      <w:spacing w:before="0"/>
    </w:pPr>
    <w:rPr>
      <w:color w:val="000000" w:themeColor="text1"/>
    </w:rPr>
    <w:tblPr>
      <w:tblStyleRowBandSize w:val="1"/>
      <w:tblStyleColBandSize w:val="1"/>
      <w:tblBorders>
        <w:top w:val="single" w:sz="24" w:space="0" w:color="749CC9" w:themeColor="accent3"/>
        <w:left w:val="single" w:sz="4" w:space="0" w:color="0072CE" w:themeColor="accent4"/>
        <w:bottom w:val="single" w:sz="4" w:space="0" w:color="0072CE" w:themeColor="accent4"/>
        <w:right w:val="single" w:sz="4" w:space="0" w:color="0072CE" w:themeColor="accent4"/>
        <w:insideH w:val="single" w:sz="4" w:space="0" w:color="FFFFFF" w:themeColor="background1"/>
        <w:insideV w:val="single" w:sz="4" w:space="0" w:color="FFFFFF" w:themeColor="background1"/>
      </w:tblBorders>
    </w:tblPr>
    <w:tcPr>
      <w:shd w:val="clear" w:color="auto" w:fill="E1F1FF" w:themeFill="accent4" w:themeFillTint="19"/>
    </w:tcPr>
    <w:tblStylePr w:type="firstRow">
      <w:rPr>
        <w:b/>
        <w:bCs/>
      </w:rPr>
      <w:tblPr/>
      <w:tcPr>
        <w:tcBorders>
          <w:top w:val="nil"/>
          <w:left w:val="nil"/>
          <w:bottom w:val="single" w:sz="24" w:space="0" w:color="749CC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47B" w:themeFill="accent4" w:themeFillShade="99"/>
      </w:tcPr>
    </w:tblStylePr>
    <w:tblStylePr w:type="firstCol">
      <w:rPr>
        <w:color w:val="FFFFFF" w:themeColor="background1"/>
      </w:rPr>
      <w:tblPr/>
      <w:tcPr>
        <w:tcBorders>
          <w:top w:val="nil"/>
          <w:left w:val="nil"/>
          <w:bottom w:val="nil"/>
          <w:right w:val="nil"/>
          <w:insideH w:val="single" w:sz="4" w:space="0" w:color="00447B" w:themeColor="accent4" w:themeShade="99"/>
          <w:insideV w:val="nil"/>
        </w:tcBorders>
        <w:shd w:val="clear" w:color="auto" w:fill="00447B"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447B" w:themeFill="accent4" w:themeFillShade="99"/>
      </w:tcPr>
    </w:tblStylePr>
    <w:tblStylePr w:type="band1Vert">
      <w:tblPr/>
      <w:tcPr>
        <w:shd w:val="clear" w:color="auto" w:fill="85C8FF" w:themeFill="accent4" w:themeFillTint="66"/>
      </w:tcPr>
    </w:tblStylePr>
    <w:tblStylePr w:type="band1Horz">
      <w:tblPr/>
      <w:tcPr>
        <w:shd w:val="clear" w:color="auto" w:fill="67BBF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00568"/>
    <w:pPr>
      <w:spacing w:before="0"/>
    </w:pPr>
    <w:rPr>
      <w:color w:val="000000" w:themeColor="text1"/>
    </w:rPr>
    <w:tblPr>
      <w:tblStyleRowBandSize w:val="1"/>
      <w:tblStyleColBandSize w:val="1"/>
      <w:tblBorders>
        <w:top w:val="single" w:sz="24" w:space="0" w:color="8A2A2B" w:themeColor="accent6"/>
        <w:left w:val="single" w:sz="4" w:space="0" w:color="009CDE" w:themeColor="accent5"/>
        <w:bottom w:val="single" w:sz="4" w:space="0" w:color="009CDE" w:themeColor="accent5"/>
        <w:right w:val="single" w:sz="4" w:space="0" w:color="009CDE" w:themeColor="accent5"/>
        <w:insideH w:val="single" w:sz="4" w:space="0" w:color="FFFFFF" w:themeColor="background1"/>
        <w:insideV w:val="single" w:sz="4" w:space="0" w:color="FFFFFF" w:themeColor="background1"/>
      </w:tblBorders>
    </w:tblPr>
    <w:tcPr>
      <w:shd w:val="clear" w:color="auto" w:fill="E2F6FF" w:themeFill="accent5" w:themeFillTint="19"/>
    </w:tcPr>
    <w:tblStylePr w:type="firstRow">
      <w:rPr>
        <w:b/>
        <w:bCs/>
      </w:rPr>
      <w:tblPr/>
      <w:tcPr>
        <w:tcBorders>
          <w:top w:val="nil"/>
          <w:left w:val="nil"/>
          <w:bottom w:val="single" w:sz="24" w:space="0" w:color="8A2A2B"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D85" w:themeFill="accent5" w:themeFillShade="99"/>
      </w:tcPr>
    </w:tblStylePr>
    <w:tblStylePr w:type="firstCol">
      <w:rPr>
        <w:color w:val="FFFFFF" w:themeColor="background1"/>
      </w:rPr>
      <w:tblPr/>
      <w:tcPr>
        <w:tcBorders>
          <w:top w:val="nil"/>
          <w:left w:val="nil"/>
          <w:bottom w:val="nil"/>
          <w:right w:val="nil"/>
          <w:insideH w:val="single" w:sz="4" w:space="0" w:color="005D85" w:themeColor="accent5" w:themeShade="99"/>
          <w:insideV w:val="nil"/>
        </w:tcBorders>
        <w:shd w:val="clear" w:color="auto" w:fill="005D85"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05D85" w:themeFill="accent5" w:themeFillShade="99"/>
      </w:tcPr>
    </w:tblStylePr>
    <w:tblStylePr w:type="band1Vert">
      <w:tblPr/>
      <w:tcPr>
        <w:shd w:val="clear" w:color="auto" w:fill="8BDCFF" w:themeFill="accent5" w:themeFillTint="66"/>
      </w:tcPr>
    </w:tblStylePr>
    <w:tblStylePr w:type="band1Horz">
      <w:tblPr/>
      <w:tcPr>
        <w:shd w:val="clear" w:color="auto" w:fill="6FD4F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00568"/>
    <w:pPr>
      <w:spacing w:before="0"/>
    </w:pPr>
    <w:rPr>
      <w:color w:val="000000" w:themeColor="text1"/>
    </w:rPr>
    <w:tblPr>
      <w:tblStyleRowBandSize w:val="1"/>
      <w:tblStyleColBandSize w:val="1"/>
      <w:tblBorders>
        <w:top w:val="single" w:sz="24" w:space="0" w:color="009CDE" w:themeColor="accent5"/>
        <w:left w:val="single" w:sz="4" w:space="0" w:color="8A2A2B" w:themeColor="accent6"/>
        <w:bottom w:val="single" w:sz="4" w:space="0" w:color="8A2A2B" w:themeColor="accent6"/>
        <w:right w:val="single" w:sz="4" w:space="0" w:color="8A2A2B" w:themeColor="accent6"/>
        <w:insideH w:val="single" w:sz="4" w:space="0" w:color="FFFFFF" w:themeColor="background1"/>
        <w:insideV w:val="single" w:sz="4" w:space="0" w:color="FFFFFF" w:themeColor="background1"/>
      </w:tblBorders>
    </w:tblPr>
    <w:tcPr>
      <w:shd w:val="clear" w:color="auto" w:fill="F7E5E5" w:themeFill="accent6" w:themeFillTint="19"/>
    </w:tcPr>
    <w:tblStylePr w:type="firstRow">
      <w:rPr>
        <w:b/>
        <w:bCs/>
      </w:rPr>
      <w:tblPr/>
      <w:tcPr>
        <w:tcBorders>
          <w:top w:val="nil"/>
          <w:left w:val="nil"/>
          <w:bottom w:val="single" w:sz="24" w:space="0" w:color="009CDE"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21919" w:themeFill="accent6" w:themeFillShade="99"/>
      </w:tcPr>
    </w:tblStylePr>
    <w:tblStylePr w:type="firstCol">
      <w:rPr>
        <w:color w:val="FFFFFF" w:themeColor="background1"/>
      </w:rPr>
      <w:tblPr/>
      <w:tcPr>
        <w:tcBorders>
          <w:top w:val="nil"/>
          <w:left w:val="nil"/>
          <w:bottom w:val="nil"/>
          <w:right w:val="nil"/>
          <w:insideH w:val="single" w:sz="4" w:space="0" w:color="521919" w:themeColor="accent6" w:themeShade="99"/>
          <w:insideV w:val="nil"/>
        </w:tcBorders>
        <w:shd w:val="clear" w:color="auto" w:fill="521919"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21919" w:themeFill="accent6" w:themeFillShade="99"/>
      </w:tcPr>
    </w:tblStylePr>
    <w:tblStylePr w:type="band1Vert">
      <w:tblPr/>
      <w:tcPr>
        <w:shd w:val="clear" w:color="auto" w:fill="E0999A" w:themeFill="accent6" w:themeFillTint="66"/>
      </w:tcPr>
    </w:tblStylePr>
    <w:tblStylePr w:type="band1Horz">
      <w:tblPr/>
      <w:tcPr>
        <w:shd w:val="clear" w:color="auto" w:fill="D88081"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C00568"/>
    <w:rPr>
      <w:sz w:val="16"/>
      <w:szCs w:val="16"/>
    </w:rPr>
  </w:style>
  <w:style w:type="paragraph" w:styleId="CommentText">
    <w:name w:val="annotation text"/>
    <w:basedOn w:val="Normal"/>
    <w:link w:val="CommentTextChar"/>
    <w:uiPriority w:val="99"/>
    <w:semiHidden/>
    <w:unhideWhenUsed/>
    <w:rsid w:val="00C00568"/>
    <w:rPr>
      <w:sz w:val="20"/>
      <w:szCs w:val="20"/>
    </w:rPr>
  </w:style>
  <w:style w:type="character" w:customStyle="1" w:styleId="CommentTextChar">
    <w:name w:val="Comment Text Char"/>
    <w:basedOn w:val="DefaultParagraphFont"/>
    <w:link w:val="CommentText"/>
    <w:uiPriority w:val="99"/>
    <w:semiHidden/>
    <w:rsid w:val="00C00568"/>
    <w:rPr>
      <w:sz w:val="20"/>
      <w:szCs w:val="20"/>
    </w:rPr>
  </w:style>
  <w:style w:type="paragraph" w:styleId="CommentSubject">
    <w:name w:val="annotation subject"/>
    <w:basedOn w:val="CommentText"/>
    <w:next w:val="CommentText"/>
    <w:link w:val="CommentSubjectChar"/>
    <w:uiPriority w:val="99"/>
    <w:semiHidden/>
    <w:unhideWhenUsed/>
    <w:rsid w:val="00C00568"/>
    <w:rPr>
      <w:b/>
      <w:bCs/>
    </w:rPr>
  </w:style>
  <w:style w:type="character" w:customStyle="1" w:styleId="CommentSubjectChar">
    <w:name w:val="Comment Subject Char"/>
    <w:basedOn w:val="CommentTextChar"/>
    <w:link w:val="CommentSubject"/>
    <w:uiPriority w:val="99"/>
    <w:semiHidden/>
    <w:rsid w:val="00C00568"/>
    <w:rPr>
      <w:b/>
      <w:bCs/>
      <w:sz w:val="20"/>
      <w:szCs w:val="20"/>
    </w:rPr>
  </w:style>
  <w:style w:type="table" w:styleId="DarkList">
    <w:name w:val="Dark List"/>
    <w:basedOn w:val="TableNormal"/>
    <w:uiPriority w:val="70"/>
    <w:rsid w:val="00C00568"/>
    <w:pPr>
      <w:spacing w:before="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00568"/>
    <w:pPr>
      <w:spacing w:before="0"/>
    </w:pPr>
    <w:rPr>
      <w:color w:val="FFFFFF" w:themeColor="background1"/>
    </w:rPr>
    <w:tblPr>
      <w:tblStyleRowBandSize w:val="1"/>
      <w:tblStyleColBandSize w:val="1"/>
    </w:tblPr>
    <w:tcPr>
      <w:shd w:val="clear" w:color="auto" w:fill="0063A6"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152"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4A7C"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4A7C" w:themeFill="accent1" w:themeFillShade="BF"/>
      </w:tcPr>
    </w:tblStylePr>
    <w:tblStylePr w:type="band1Vert">
      <w:tblPr/>
      <w:tcPr>
        <w:tcBorders>
          <w:top w:val="nil"/>
          <w:left w:val="nil"/>
          <w:bottom w:val="nil"/>
          <w:right w:val="nil"/>
          <w:insideH w:val="nil"/>
          <w:insideV w:val="nil"/>
        </w:tcBorders>
        <w:shd w:val="clear" w:color="auto" w:fill="004A7C" w:themeFill="accent1" w:themeFillShade="BF"/>
      </w:tcPr>
    </w:tblStylePr>
    <w:tblStylePr w:type="band1Horz">
      <w:tblPr/>
      <w:tcPr>
        <w:tcBorders>
          <w:top w:val="nil"/>
          <w:left w:val="nil"/>
          <w:bottom w:val="nil"/>
          <w:right w:val="nil"/>
          <w:insideH w:val="nil"/>
          <w:insideV w:val="nil"/>
        </w:tcBorders>
        <w:shd w:val="clear" w:color="auto" w:fill="004A7C" w:themeFill="accent1" w:themeFillShade="BF"/>
      </w:tcPr>
    </w:tblStylePr>
  </w:style>
  <w:style w:type="table" w:styleId="DarkList-Accent2">
    <w:name w:val="Dark List Accent 2"/>
    <w:basedOn w:val="TableNormal"/>
    <w:uiPriority w:val="70"/>
    <w:rsid w:val="00C00568"/>
    <w:pPr>
      <w:spacing w:before="0"/>
    </w:pPr>
    <w:rPr>
      <w:color w:val="FFFFFF" w:themeColor="background1"/>
    </w:rPr>
    <w:tblPr>
      <w:tblStyleRowBandSize w:val="1"/>
      <w:tblStyleColBandSize w:val="1"/>
    </w:tblPr>
    <w:tcPr>
      <w:shd w:val="clear" w:color="auto" w:fill="00497A"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43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365B"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365B" w:themeFill="accent2" w:themeFillShade="BF"/>
      </w:tcPr>
    </w:tblStylePr>
    <w:tblStylePr w:type="band1Vert">
      <w:tblPr/>
      <w:tcPr>
        <w:tcBorders>
          <w:top w:val="nil"/>
          <w:left w:val="nil"/>
          <w:bottom w:val="nil"/>
          <w:right w:val="nil"/>
          <w:insideH w:val="nil"/>
          <w:insideV w:val="nil"/>
        </w:tcBorders>
        <w:shd w:val="clear" w:color="auto" w:fill="00365B" w:themeFill="accent2" w:themeFillShade="BF"/>
      </w:tcPr>
    </w:tblStylePr>
    <w:tblStylePr w:type="band1Horz">
      <w:tblPr/>
      <w:tcPr>
        <w:tcBorders>
          <w:top w:val="nil"/>
          <w:left w:val="nil"/>
          <w:bottom w:val="nil"/>
          <w:right w:val="nil"/>
          <w:insideH w:val="nil"/>
          <w:insideV w:val="nil"/>
        </w:tcBorders>
        <w:shd w:val="clear" w:color="auto" w:fill="00365B" w:themeFill="accent2" w:themeFillShade="BF"/>
      </w:tcPr>
    </w:tblStylePr>
  </w:style>
  <w:style w:type="table" w:styleId="DarkList-Accent3">
    <w:name w:val="Dark List Accent 3"/>
    <w:basedOn w:val="TableNormal"/>
    <w:uiPriority w:val="70"/>
    <w:rsid w:val="00C00568"/>
    <w:pPr>
      <w:spacing w:before="0"/>
    </w:pPr>
    <w:rPr>
      <w:color w:val="FFFFFF" w:themeColor="background1"/>
    </w:rPr>
    <w:tblPr>
      <w:tblStyleRowBandSize w:val="1"/>
      <w:tblStyleColBandSize w:val="1"/>
    </w:tblPr>
    <w:tcPr>
      <w:shd w:val="clear" w:color="auto" w:fill="749CC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C4C7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273A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273AA" w:themeFill="accent3" w:themeFillShade="BF"/>
      </w:tcPr>
    </w:tblStylePr>
    <w:tblStylePr w:type="band1Vert">
      <w:tblPr/>
      <w:tcPr>
        <w:tcBorders>
          <w:top w:val="nil"/>
          <w:left w:val="nil"/>
          <w:bottom w:val="nil"/>
          <w:right w:val="nil"/>
          <w:insideH w:val="nil"/>
          <w:insideV w:val="nil"/>
        </w:tcBorders>
        <w:shd w:val="clear" w:color="auto" w:fill="4273AA" w:themeFill="accent3" w:themeFillShade="BF"/>
      </w:tcPr>
    </w:tblStylePr>
    <w:tblStylePr w:type="band1Horz">
      <w:tblPr/>
      <w:tcPr>
        <w:tcBorders>
          <w:top w:val="nil"/>
          <w:left w:val="nil"/>
          <w:bottom w:val="nil"/>
          <w:right w:val="nil"/>
          <w:insideH w:val="nil"/>
          <w:insideV w:val="nil"/>
        </w:tcBorders>
        <w:shd w:val="clear" w:color="auto" w:fill="4273AA" w:themeFill="accent3" w:themeFillShade="BF"/>
      </w:tcPr>
    </w:tblStylePr>
  </w:style>
  <w:style w:type="table" w:styleId="DarkList-Accent4">
    <w:name w:val="Dark List Accent 4"/>
    <w:basedOn w:val="TableNormal"/>
    <w:uiPriority w:val="70"/>
    <w:rsid w:val="00C00568"/>
    <w:pPr>
      <w:spacing w:before="0"/>
    </w:pPr>
    <w:rPr>
      <w:color w:val="FFFFFF" w:themeColor="background1"/>
    </w:rPr>
    <w:tblPr>
      <w:tblStyleRowBandSize w:val="1"/>
      <w:tblStyleColBandSize w:val="1"/>
    </w:tblPr>
    <w:tcPr>
      <w:shd w:val="clear" w:color="auto" w:fill="0072CE"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866"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559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559A" w:themeFill="accent4" w:themeFillShade="BF"/>
      </w:tcPr>
    </w:tblStylePr>
    <w:tblStylePr w:type="band1Vert">
      <w:tblPr/>
      <w:tcPr>
        <w:tcBorders>
          <w:top w:val="nil"/>
          <w:left w:val="nil"/>
          <w:bottom w:val="nil"/>
          <w:right w:val="nil"/>
          <w:insideH w:val="nil"/>
          <w:insideV w:val="nil"/>
        </w:tcBorders>
        <w:shd w:val="clear" w:color="auto" w:fill="00559A" w:themeFill="accent4" w:themeFillShade="BF"/>
      </w:tcPr>
    </w:tblStylePr>
    <w:tblStylePr w:type="band1Horz">
      <w:tblPr/>
      <w:tcPr>
        <w:tcBorders>
          <w:top w:val="nil"/>
          <w:left w:val="nil"/>
          <w:bottom w:val="nil"/>
          <w:right w:val="nil"/>
          <w:insideH w:val="nil"/>
          <w:insideV w:val="nil"/>
        </w:tcBorders>
        <w:shd w:val="clear" w:color="auto" w:fill="00559A" w:themeFill="accent4" w:themeFillShade="BF"/>
      </w:tcPr>
    </w:tblStylePr>
  </w:style>
  <w:style w:type="table" w:styleId="DarkList-Accent5">
    <w:name w:val="Dark List Accent 5"/>
    <w:basedOn w:val="TableNormal"/>
    <w:uiPriority w:val="70"/>
    <w:rsid w:val="00C00568"/>
    <w:pPr>
      <w:spacing w:before="0"/>
    </w:pPr>
    <w:rPr>
      <w:color w:val="FFFFFF" w:themeColor="background1"/>
    </w:rPr>
    <w:tblPr>
      <w:tblStyleRowBandSize w:val="1"/>
      <w:tblStyleColBandSize w:val="1"/>
    </w:tblPr>
    <w:tcPr>
      <w:shd w:val="clear" w:color="auto" w:fill="009CDE"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D6E"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0074A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0074A6" w:themeFill="accent5" w:themeFillShade="BF"/>
      </w:tcPr>
    </w:tblStylePr>
    <w:tblStylePr w:type="band1Vert">
      <w:tblPr/>
      <w:tcPr>
        <w:tcBorders>
          <w:top w:val="nil"/>
          <w:left w:val="nil"/>
          <w:bottom w:val="nil"/>
          <w:right w:val="nil"/>
          <w:insideH w:val="nil"/>
          <w:insideV w:val="nil"/>
        </w:tcBorders>
        <w:shd w:val="clear" w:color="auto" w:fill="0074A6" w:themeFill="accent5" w:themeFillShade="BF"/>
      </w:tcPr>
    </w:tblStylePr>
    <w:tblStylePr w:type="band1Horz">
      <w:tblPr/>
      <w:tcPr>
        <w:tcBorders>
          <w:top w:val="nil"/>
          <w:left w:val="nil"/>
          <w:bottom w:val="nil"/>
          <w:right w:val="nil"/>
          <w:insideH w:val="nil"/>
          <w:insideV w:val="nil"/>
        </w:tcBorders>
        <w:shd w:val="clear" w:color="auto" w:fill="0074A6" w:themeFill="accent5" w:themeFillShade="BF"/>
      </w:tcPr>
    </w:tblStylePr>
  </w:style>
  <w:style w:type="table" w:styleId="DarkList-Accent6">
    <w:name w:val="Dark List Accent 6"/>
    <w:basedOn w:val="TableNormal"/>
    <w:uiPriority w:val="70"/>
    <w:rsid w:val="00C00568"/>
    <w:pPr>
      <w:spacing w:before="0"/>
    </w:pPr>
    <w:rPr>
      <w:color w:val="FFFFFF" w:themeColor="background1"/>
    </w:rPr>
    <w:tblPr>
      <w:tblStyleRowBandSize w:val="1"/>
      <w:tblStyleColBandSize w:val="1"/>
    </w:tblPr>
    <w:tcPr>
      <w:shd w:val="clear" w:color="auto" w:fill="8A2A2B"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4151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71F2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71F20" w:themeFill="accent6" w:themeFillShade="BF"/>
      </w:tcPr>
    </w:tblStylePr>
    <w:tblStylePr w:type="band1Vert">
      <w:tblPr/>
      <w:tcPr>
        <w:tcBorders>
          <w:top w:val="nil"/>
          <w:left w:val="nil"/>
          <w:bottom w:val="nil"/>
          <w:right w:val="nil"/>
          <w:insideH w:val="nil"/>
          <w:insideV w:val="nil"/>
        </w:tcBorders>
        <w:shd w:val="clear" w:color="auto" w:fill="671F20" w:themeFill="accent6" w:themeFillShade="BF"/>
      </w:tcPr>
    </w:tblStylePr>
    <w:tblStylePr w:type="band1Horz">
      <w:tblPr/>
      <w:tcPr>
        <w:tcBorders>
          <w:top w:val="nil"/>
          <w:left w:val="nil"/>
          <w:bottom w:val="nil"/>
          <w:right w:val="nil"/>
          <w:insideH w:val="nil"/>
          <w:insideV w:val="nil"/>
        </w:tcBorders>
        <w:shd w:val="clear" w:color="auto" w:fill="671F20" w:themeFill="accent6" w:themeFillShade="BF"/>
      </w:tcPr>
    </w:tblStylePr>
  </w:style>
  <w:style w:type="paragraph" w:styleId="Date">
    <w:name w:val="Date"/>
    <w:basedOn w:val="Normal"/>
    <w:next w:val="Normal"/>
    <w:link w:val="DateChar"/>
    <w:uiPriority w:val="99"/>
    <w:semiHidden/>
    <w:unhideWhenUsed/>
    <w:rsid w:val="00C00568"/>
  </w:style>
  <w:style w:type="character" w:customStyle="1" w:styleId="DateChar">
    <w:name w:val="Date Char"/>
    <w:basedOn w:val="DefaultParagraphFont"/>
    <w:link w:val="Date"/>
    <w:uiPriority w:val="99"/>
    <w:semiHidden/>
    <w:rsid w:val="00C00568"/>
  </w:style>
  <w:style w:type="paragraph" w:styleId="DocumentMap">
    <w:name w:val="Document Map"/>
    <w:basedOn w:val="Normal"/>
    <w:link w:val="DocumentMapChar"/>
    <w:uiPriority w:val="99"/>
    <w:semiHidden/>
    <w:unhideWhenUsed/>
    <w:rsid w:val="00C00568"/>
    <w:pPr>
      <w:spacing w:before="0"/>
    </w:pPr>
    <w:rPr>
      <w:rFonts w:ascii="Tahoma" w:hAnsi="Tahoma" w:cs="Tahoma"/>
      <w:sz w:val="16"/>
      <w:szCs w:val="16"/>
    </w:rPr>
  </w:style>
  <w:style w:type="character" w:customStyle="1" w:styleId="DocumentMapChar">
    <w:name w:val="Document Map Char"/>
    <w:basedOn w:val="DefaultParagraphFont"/>
    <w:link w:val="DocumentMap"/>
    <w:uiPriority w:val="99"/>
    <w:semiHidden/>
    <w:rsid w:val="00C00568"/>
    <w:rPr>
      <w:rFonts w:ascii="Tahoma" w:hAnsi="Tahoma" w:cs="Tahoma"/>
      <w:sz w:val="16"/>
      <w:szCs w:val="16"/>
    </w:rPr>
  </w:style>
  <w:style w:type="paragraph" w:styleId="E-mailSignature">
    <w:name w:val="E-mail Signature"/>
    <w:basedOn w:val="Normal"/>
    <w:link w:val="E-mailSignatureChar"/>
    <w:uiPriority w:val="99"/>
    <w:semiHidden/>
    <w:unhideWhenUsed/>
    <w:rsid w:val="00C00568"/>
    <w:pPr>
      <w:spacing w:before="0"/>
    </w:pPr>
  </w:style>
  <w:style w:type="character" w:customStyle="1" w:styleId="E-mailSignatureChar">
    <w:name w:val="E-mail Signature Char"/>
    <w:basedOn w:val="DefaultParagraphFont"/>
    <w:link w:val="E-mailSignature"/>
    <w:uiPriority w:val="99"/>
    <w:semiHidden/>
    <w:rsid w:val="00C00568"/>
  </w:style>
  <w:style w:type="character" w:styleId="Emphasis">
    <w:name w:val="Emphasis"/>
    <w:basedOn w:val="DefaultParagraphFont"/>
    <w:uiPriority w:val="98"/>
    <w:semiHidden/>
    <w:rsid w:val="00C00568"/>
    <w:rPr>
      <w:i/>
      <w:iCs/>
    </w:rPr>
  </w:style>
  <w:style w:type="character" w:styleId="EndnoteReference">
    <w:name w:val="endnote reference"/>
    <w:basedOn w:val="DefaultParagraphFont"/>
    <w:uiPriority w:val="99"/>
    <w:semiHidden/>
    <w:unhideWhenUsed/>
    <w:rsid w:val="00C00568"/>
    <w:rPr>
      <w:vertAlign w:val="superscript"/>
    </w:rPr>
  </w:style>
  <w:style w:type="paragraph" w:styleId="EndnoteText">
    <w:name w:val="endnote text"/>
    <w:basedOn w:val="Normal"/>
    <w:link w:val="EndnoteTextChar"/>
    <w:uiPriority w:val="99"/>
    <w:semiHidden/>
    <w:unhideWhenUsed/>
    <w:rsid w:val="00C00568"/>
    <w:pPr>
      <w:spacing w:before="0"/>
    </w:pPr>
    <w:rPr>
      <w:sz w:val="20"/>
      <w:szCs w:val="20"/>
    </w:rPr>
  </w:style>
  <w:style w:type="character" w:customStyle="1" w:styleId="EndnoteTextChar">
    <w:name w:val="Endnote Text Char"/>
    <w:basedOn w:val="DefaultParagraphFont"/>
    <w:link w:val="EndnoteText"/>
    <w:uiPriority w:val="99"/>
    <w:semiHidden/>
    <w:rsid w:val="00C00568"/>
    <w:rPr>
      <w:sz w:val="20"/>
      <w:szCs w:val="20"/>
    </w:rPr>
  </w:style>
  <w:style w:type="paragraph" w:styleId="EnvelopeAddress">
    <w:name w:val="envelope address"/>
    <w:basedOn w:val="Normal"/>
    <w:uiPriority w:val="99"/>
    <w:semiHidden/>
    <w:unhideWhenUsed/>
    <w:rsid w:val="00C00568"/>
    <w:pPr>
      <w:framePr w:w="7920" w:h="1980" w:hRule="exact" w:hSpace="180" w:wrap="auto" w:hAnchor="page" w:xAlign="center" w:yAlign="bottom"/>
      <w:spacing w:before="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C00568"/>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C00568"/>
    <w:rPr>
      <w:color w:val="8A2A2B" w:themeColor="followedHyperlink"/>
      <w:u w:val="single"/>
    </w:rPr>
  </w:style>
  <w:style w:type="character" w:styleId="FootnoteReference">
    <w:name w:val="footnote reference"/>
    <w:basedOn w:val="DefaultParagraphFont"/>
    <w:uiPriority w:val="99"/>
    <w:semiHidden/>
    <w:unhideWhenUsed/>
    <w:rsid w:val="00C00568"/>
    <w:rPr>
      <w:vertAlign w:val="superscript"/>
    </w:rPr>
  </w:style>
  <w:style w:type="character" w:styleId="HTMLAcronym">
    <w:name w:val="HTML Acronym"/>
    <w:basedOn w:val="DefaultParagraphFont"/>
    <w:uiPriority w:val="99"/>
    <w:semiHidden/>
    <w:unhideWhenUsed/>
    <w:rsid w:val="00C00568"/>
  </w:style>
  <w:style w:type="paragraph" w:styleId="HTMLAddress">
    <w:name w:val="HTML Address"/>
    <w:basedOn w:val="Normal"/>
    <w:link w:val="HTMLAddressChar"/>
    <w:uiPriority w:val="99"/>
    <w:semiHidden/>
    <w:unhideWhenUsed/>
    <w:rsid w:val="00C00568"/>
    <w:pPr>
      <w:spacing w:before="0"/>
    </w:pPr>
    <w:rPr>
      <w:i/>
      <w:iCs/>
    </w:rPr>
  </w:style>
  <w:style w:type="character" w:customStyle="1" w:styleId="HTMLAddressChar">
    <w:name w:val="HTML Address Char"/>
    <w:basedOn w:val="DefaultParagraphFont"/>
    <w:link w:val="HTMLAddress"/>
    <w:uiPriority w:val="99"/>
    <w:semiHidden/>
    <w:rsid w:val="00C00568"/>
    <w:rPr>
      <w:i/>
      <w:iCs/>
    </w:rPr>
  </w:style>
  <w:style w:type="character" w:styleId="HTMLCite">
    <w:name w:val="HTML Cite"/>
    <w:basedOn w:val="DefaultParagraphFont"/>
    <w:uiPriority w:val="99"/>
    <w:semiHidden/>
    <w:unhideWhenUsed/>
    <w:rsid w:val="00C00568"/>
    <w:rPr>
      <w:i/>
      <w:iCs/>
    </w:rPr>
  </w:style>
  <w:style w:type="character" w:styleId="HTMLCode">
    <w:name w:val="HTML Code"/>
    <w:basedOn w:val="DefaultParagraphFont"/>
    <w:uiPriority w:val="99"/>
    <w:semiHidden/>
    <w:unhideWhenUsed/>
    <w:rsid w:val="00C00568"/>
    <w:rPr>
      <w:rFonts w:ascii="Consolas" w:hAnsi="Consolas" w:cs="Consolas"/>
      <w:sz w:val="20"/>
      <w:szCs w:val="20"/>
    </w:rPr>
  </w:style>
  <w:style w:type="character" w:styleId="HTMLDefinition">
    <w:name w:val="HTML Definition"/>
    <w:basedOn w:val="DefaultParagraphFont"/>
    <w:uiPriority w:val="99"/>
    <w:semiHidden/>
    <w:unhideWhenUsed/>
    <w:rsid w:val="00C00568"/>
    <w:rPr>
      <w:i/>
      <w:iCs/>
    </w:rPr>
  </w:style>
  <w:style w:type="character" w:styleId="HTMLKeyboard">
    <w:name w:val="HTML Keyboard"/>
    <w:basedOn w:val="DefaultParagraphFont"/>
    <w:uiPriority w:val="99"/>
    <w:semiHidden/>
    <w:unhideWhenUsed/>
    <w:rsid w:val="00C00568"/>
    <w:rPr>
      <w:rFonts w:ascii="Consolas" w:hAnsi="Consolas" w:cs="Consolas"/>
      <w:sz w:val="20"/>
      <w:szCs w:val="20"/>
    </w:rPr>
  </w:style>
  <w:style w:type="paragraph" w:styleId="HTMLPreformatted">
    <w:name w:val="HTML Preformatted"/>
    <w:basedOn w:val="Normal"/>
    <w:link w:val="HTMLPreformattedChar"/>
    <w:uiPriority w:val="99"/>
    <w:semiHidden/>
    <w:unhideWhenUsed/>
    <w:rsid w:val="00C00568"/>
    <w:pPr>
      <w:spacing w:before="0"/>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C00568"/>
    <w:rPr>
      <w:rFonts w:ascii="Consolas" w:hAnsi="Consolas" w:cs="Consolas"/>
      <w:sz w:val="20"/>
      <w:szCs w:val="20"/>
    </w:rPr>
  </w:style>
  <w:style w:type="character" w:styleId="HTMLSample">
    <w:name w:val="HTML Sample"/>
    <w:basedOn w:val="DefaultParagraphFont"/>
    <w:uiPriority w:val="99"/>
    <w:semiHidden/>
    <w:unhideWhenUsed/>
    <w:rsid w:val="00C00568"/>
    <w:rPr>
      <w:rFonts w:ascii="Consolas" w:hAnsi="Consolas" w:cs="Consolas"/>
      <w:sz w:val="24"/>
      <w:szCs w:val="24"/>
    </w:rPr>
  </w:style>
  <w:style w:type="character" w:styleId="HTMLTypewriter">
    <w:name w:val="HTML Typewriter"/>
    <w:basedOn w:val="DefaultParagraphFont"/>
    <w:uiPriority w:val="99"/>
    <w:semiHidden/>
    <w:unhideWhenUsed/>
    <w:rsid w:val="00C00568"/>
    <w:rPr>
      <w:rFonts w:ascii="Consolas" w:hAnsi="Consolas" w:cs="Consolas"/>
      <w:sz w:val="20"/>
      <w:szCs w:val="20"/>
    </w:rPr>
  </w:style>
  <w:style w:type="character" w:styleId="HTMLVariable">
    <w:name w:val="HTML Variable"/>
    <w:basedOn w:val="DefaultParagraphFont"/>
    <w:uiPriority w:val="99"/>
    <w:semiHidden/>
    <w:unhideWhenUsed/>
    <w:rsid w:val="00C00568"/>
    <w:rPr>
      <w:i/>
      <w:iCs/>
    </w:rPr>
  </w:style>
  <w:style w:type="paragraph" w:styleId="Index1">
    <w:name w:val="index 1"/>
    <w:basedOn w:val="Normal"/>
    <w:next w:val="Normal"/>
    <w:autoRedefine/>
    <w:uiPriority w:val="99"/>
    <w:semiHidden/>
    <w:unhideWhenUsed/>
    <w:rsid w:val="00C00568"/>
    <w:pPr>
      <w:spacing w:before="0"/>
      <w:ind w:left="220" w:hanging="220"/>
    </w:pPr>
  </w:style>
  <w:style w:type="paragraph" w:styleId="Index2">
    <w:name w:val="index 2"/>
    <w:basedOn w:val="Normal"/>
    <w:next w:val="Normal"/>
    <w:autoRedefine/>
    <w:uiPriority w:val="99"/>
    <w:semiHidden/>
    <w:unhideWhenUsed/>
    <w:rsid w:val="00C00568"/>
    <w:pPr>
      <w:spacing w:before="0"/>
      <w:ind w:left="440" w:hanging="220"/>
    </w:pPr>
  </w:style>
  <w:style w:type="paragraph" w:styleId="Index3">
    <w:name w:val="index 3"/>
    <w:basedOn w:val="Normal"/>
    <w:next w:val="Normal"/>
    <w:autoRedefine/>
    <w:uiPriority w:val="99"/>
    <w:semiHidden/>
    <w:unhideWhenUsed/>
    <w:rsid w:val="00C00568"/>
    <w:pPr>
      <w:spacing w:before="0"/>
      <w:ind w:left="660" w:hanging="220"/>
    </w:pPr>
  </w:style>
  <w:style w:type="paragraph" w:styleId="Index4">
    <w:name w:val="index 4"/>
    <w:basedOn w:val="Normal"/>
    <w:next w:val="Normal"/>
    <w:autoRedefine/>
    <w:uiPriority w:val="99"/>
    <w:semiHidden/>
    <w:unhideWhenUsed/>
    <w:rsid w:val="00C00568"/>
    <w:pPr>
      <w:spacing w:before="0"/>
      <w:ind w:left="880" w:hanging="220"/>
    </w:pPr>
  </w:style>
  <w:style w:type="paragraph" w:styleId="Index5">
    <w:name w:val="index 5"/>
    <w:basedOn w:val="Normal"/>
    <w:next w:val="Normal"/>
    <w:autoRedefine/>
    <w:uiPriority w:val="99"/>
    <w:semiHidden/>
    <w:unhideWhenUsed/>
    <w:rsid w:val="00C00568"/>
    <w:pPr>
      <w:spacing w:before="0"/>
      <w:ind w:left="1100" w:hanging="220"/>
    </w:pPr>
  </w:style>
  <w:style w:type="paragraph" w:styleId="Index6">
    <w:name w:val="index 6"/>
    <w:basedOn w:val="Normal"/>
    <w:next w:val="Normal"/>
    <w:autoRedefine/>
    <w:uiPriority w:val="99"/>
    <w:semiHidden/>
    <w:unhideWhenUsed/>
    <w:rsid w:val="00C00568"/>
    <w:pPr>
      <w:spacing w:before="0"/>
      <w:ind w:left="1320" w:hanging="220"/>
    </w:pPr>
  </w:style>
  <w:style w:type="paragraph" w:styleId="Index7">
    <w:name w:val="index 7"/>
    <w:basedOn w:val="Normal"/>
    <w:next w:val="Normal"/>
    <w:autoRedefine/>
    <w:uiPriority w:val="99"/>
    <w:semiHidden/>
    <w:unhideWhenUsed/>
    <w:rsid w:val="00C00568"/>
    <w:pPr>
      <w:spacing w:before="0"/>
      <w:ind w:left="1540" w:hanging="220"/>
    </w:pPr>
  </w:style>
  <w:style w:type="paragraph" w:styleId="Index8">
    <w:name w:val="index 8"/>
    <w:basedOn w:val="Normal"/>
    <w:next w:val="Normal"/>
    <w:autoRedefine/>
    <w:uiPriority w:val="99"/>
    <w:semiHidden/>
    <w:unhideWhenUsed/>
    <w:rsid w:val="00C00568"/>
    <w:pPr>
      <w:spacing w:before="0"/>
      <w:ind w:left="1760" w:hanging="220"/>
    </w:pPr>
  </w:style>
  <w:style w:type="paragraph" w:styleId="Index9">
    <w:name w:val="index 9"/>
    <w:basedOn w:val="Normal"/>
    <w:next w:val="Normal"/>
    <w:autoRedefine/>
    <w:uiPriority w:val="99"/>
    <w:semiHidden/>
    <w:unhideWhenUsed/>
    <w:rsid w:val="00C00568"/>
    <w:pPr>
      <w:spacing w:before="0"/>
      <w:ind w:left="1980" w:hanging="220"/>
    </w:pPr>
  </w:style>
  <w:style w:type="paragraph" w:styleId="IndexHeading">
    <w:name w:val="index heading"/>
    <w:basedOn w:val="Normal"/>
    <w:next w:val="Index1"/>
    <w:uiPriority w:val="99"/>
    <w:semiHidden/>
    <w:unhideWhenUsed/>
    <w:rsid w:val="00C00568"/>
    <w:rPr>
      <w:rFonts w:asciiTheme="majorHAnsi" w:eastAsiaTheme="majorEastAsia" w:hAnsiTheme="majorHAnsi" w:cstheme="majorBidi"/>
      <w:b/>
      <w:bCs/>
    </w:rPr>
  </w:style>
  <w:style w:type="character" w:styleId="IntenseEmphasis">
    <w:name w:val="Intense Emphasis"/>
    <w:basedOn w:val="DefaultParagraphFont"/>
    <w:uiPriority w:val="98"/>
    <w:semiHidden/>
    <w:rsid w:val="00C00568"/>
    <w:rPr>
      <w:b/>
      <w:bCs/>
      <w:i/>
      <w:iCs/>
      <w:color w:val="0063A6" w:themeColor="accent1"/>
    </w:rPr>
  </w:style>
  <w:style w:type="paragraph" w:styleId="IntenseQuote">
    <w:name w:val="Intense Quote"/>
    <w:basedOn w:val="Normal"/>
    <w:next w:val="Normal"/>
    <w:link w:val="IntenseQuoteChar"/>
    <w:uiPriority w:val="30"/>
    <w:semiHidden/>
    <w:rsid w:val="00C00568"/>
    <w:pPr>
      <w:pBdr>
        <w:bottom w:val="single" w:sz="4" w:space="4" w:color="0063A6" w:themeColor="accent1"/>
      </w:pBdr>
      <w:spacing w:before="200" w:after="280"/>
      <w:ind w:left="936" w:right="936"/>
    </w:pPr>
    <w:rPr>
      <w:b/>
      <w:bCs/>
      <w:i/>
      <w:iCs/>
      <w:color w:val="0063A6" w:themeColor="accent1"/>
    </w:rPr>
  </w:style>
  <w:style w:type="character" w:customStyle="1" w:styleId="IntenseQuoteChar">
    <w:name w:val="Intense Quote Char"/>
    <w:basedOn w:val="DefaultParagraphFont"/>
    <w:link w:val="IntenseQuote"/>
    <w:uiPriority w:val="30"/>
    <w:semiHidden/>
    <w:rsid w:val="00C00568"/>
    <w:rPr>
      <w:b/>
      <w:bCs/>
      <w:i/>
      <w:iCs/>
      <w:color w:val="0063A6" w:themeColor="accent1"/>
    </w:rPr>
  </w:style>
  <w:style w:type="character" w:styleId="IntenseReference">
    <w:name w:val="Intense Reference"/>
    <w:basedOn w:val="DefaultParagraphFont"/>
    <w:uiPriority w:val="32"/>
    <w:semiHidden/>
    <w:rsid w:val="00C00568"/>
    <w:rPr>
      <w:b/>
      <w:bCs/>
      <w:smallCaps/>
      <w:color w:val="00497A" w:themeColor="accent2"/>
      <w:spacing w:val="5"/>
      <w:u w:val="single"/>
    </w:rPr>
  </w:style>
  <w:style w:type="table" w:styleId="LightGrid">
    <w:name w:val="Light Grid"/>
    <w:basedOn w:val="TableNormal"/>
    <w:uiPriority w:val="62"/>
    <w:rsid w:val="00C00568"/>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00568"/>
    <w:pPr>
      <w:spacing w:before="0"/>
    </w:pPr>
    <w:tblPr>
      <w:tblStyleRowBandSize w:val="1"/>
      <w:tblStyleColBandSize w:val="1"/>
      <w:tblBorders>
        <w:top w:val="single" w:sz="8" w:space="0" w:color="0063A6" w:themeColor="accent1"/>
        <w:left w:val="single" w:sz="8" w:space="0" w:color="0063A6" w:themeColor="accent1"/>
        <w:bottom w:val="single" w:sz="8" w:space="0" w:color="0063A6" w:themeColor="accent1"/>
        <w:right w:val="single" w:sz="8" w:space="0" w:color="0063A6" w:themeColor="accent1"/>
        <w:insideH w:val="single" w:sz="8" w:space="0" w:color="0063A6" w:themeColor="accent1"/>
        <w:insideV w:val="single" w:sz="8" w:space="0" w:color="0063A6"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63A6" w:themeColor="accent1"/>
          <w:left w:val="single" w:sz="8" w:space="0" w:color="0063A6" w:themeColor="accent1"/>
          <w:bottom w:val="single" w:sz="18" w:space="0" w:color="0063A6" w:themeColor="accent1"/>
          <w:right w:val="single" w:sz="8" w:space="0" w:color="0063A6" w:themeColor="accent1"/>
          <w:insideH w:val="nil"/>
          <w:insideV w:val="single" w:sz="8" w:space="0" w:color="0063A6"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63A6" w:themeColor="accent1"/>
          <w:left w:val="single" w:sz="8" w:space="0" w:color="0063A6" w:themeColor="accent1"/>
          <w:bottom w:val="single" w:sz="8" w:space="0" w:color="0063A6" w:themeColor="accent1"/>
          <w:right w:val="single" w:sz="8" w:space="0" w:color="0063A6" w:themeColor="accent1"/>
          <w:insideH w:val="nil"/>
          <w:insideV w:val="single" w:sz="8" w:space="0" w:color="0063A6"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tcPr>
    </w:tblStylePr>
    <w:tblStylePr w:type="band1Vert">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shd w:val="clear" w:color="auto" w:fill="AADCFF" w:themeFill="accent1" w:themeFillTint="3F"/>
      </w:tcPr>
    </w:tblStylePr>
    <w:tblStylePr w:type="band1Horz">
      <w:tblPr/>
      <w:tcPr>
        <w:tcBorders>
          <w:top w:val="single" w:sz="8" w:space="0" w:color="0063A6" w:themeColor="accent1"/>
          <w:left w:val="single" w:sz="8" w:space="0" w:color="0063A6" w:themeColor="accent1"/>
          <w:bottom w:val="single" w:sz="8" w:space="0" w:color="0063A6" w:themeColor="accent1"/>
          <w:right w:val="single" w:sz="8" w:space="0" w:color="0063A6" w:themeColor="accent1"/>
          <w:insideV w:val="single" w:sz="8" w:space="0" w:color="0063A6" w:themeColor="accent1"/>
        </w:tcBorders>
        <w:shd w:val="clear" w:color="auto" w:fill="AADCFF" w:themeFill="accent1" w:themeFillTint="3F"/>
      </w:tcPr>
    </w:tblStylePr>
    <w:tblStylePr w:type="band2Horz">
      <w:tblPr/>
      <w:tcPr>
        <w:tcBorders>
          <w:top w:val="single" w:sz="8" w:space="0" w:color="0063A6" w:themeColor="accent1"/>
          <w:left w:val="single" w:sz="8" w:space="0" w:color="0063A6" w:themeColor="accent1"/>
          <w:bottom w:val="single" w:sz="8" w:space="0" w:color="0063A6" w:themeColor="accent1"/>
          <w:right w:val="single" w:sz="8" w:space="0" w:color="0063A6" w:themeColor="accent1"/>
          <w:insideV w:val="single" w:sz="8" w:space="0" w:color="0063A6" w:themeColor="accent1"/>
        </w:tcBorders>
      </w:tcPr>
    </w:tblStylePr>
  </w:style>
  <w:style w:type="table" w:styleId="LightGrid-Accent2">
    <w:name w:val="Light Grid Accent 2"/>
    <w:basedOn w:val="TableNormal"/>
    <w:uiPriority w:val="62"/>
    <w:rsid w:val="00C00568"/>
    <w:pPr>
      <w:spacing w:before="0"/>
    </w:pPr>
    <w:tblPr>
      <w:tblStyleRowBandSize w:val="1"/>
      <w:tblStyleColBandSize w:val="1"/>
      <w:tblBorders>
        <w:top w:val="single" w:sz="8" w:space="0" w:color="00497A" w:themeColor="accent2"/>
        <w:left w:val="single" w:sz="8" w:space="0" w:color="00497A" w:themeColor="accent2"/>
        <w:bottom w:val="single" w:sz="8" w:space="0" w:color="00497A" w:themeColor="accent2"/>
        <w:right w:val="single" w:sz="8" w:space="0" w:color="00497A" w:themeColor="accent2"/>
        <w:insideH w:val="single" w:sz="8" w:space="0" w:color="00497A" w:themeColor="accent2"/>
        <w:insideV w:val="single" w:sz="8" w:space="0" w:color="00497A"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497A" w:themeColor="accent2"/>
          <w:left w:val="single" w:sz="8" w:space="0" w:color="00497A" w:themeColor="accent2"/>
          <w:bottom w:val="single" w:sz="18" w:space="0" w:color="00497A" w:themeColor="accent2"/>
          <w:right w:val="single" w:sz="8" w:space="0" w:color="00497A" w:themeColor="accent2"/>
          <w:insideH w:val="nil"/>
          <w:insideV w:val="single" w:sz="8" w:space="0" w:color="00497A"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97A" w:themeColor="accent2"/>
          <w:left w:val="single" w:sz="8" w:space="0" w:color="00497A" w:themeColor="accent2"/>
          <w:bottom w:val="single" w:sz="8" w:space="0" w:color="00497A" w:themeColor="accent2"/>
          <w:right w:val="single" w:sz="8" w:space="0" w:color="00497A" w:themeColor="accent2"/>
          <w:insideH w:val="nil"/>
          <w:insideV w:val="single" w:sz="8" w:space="0" w:color="00497A"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97A" w:themeColor="accent2"/>
          <w:left w:val="single" w:sz="8" w:space="0" w:color="00497A" w:themeColor="accent2"/>
          <w:bottom w:val="single" w:sz="8" w:space="0" w:color="00497A" w:themeColor="accent2"/>
          <w:right w:val="single" w:sz="8" w:space="0" w:color="00497A" w:themeColor="accent2"/>
        </w:tcBorders>
      </w:tcPr>
    </w:tblStylePr>
    <w:tblStylePr w:type="band1Vert">
      <w:tblPr/>
      <w:tcPr>
        <w:tcBorders>
          <w:top w:val="single" w:sz="8" w:space="0" w:color="00497A" w:themeColor="accent2"/>
          <w:left w:val="single" w:sz="8" w:space="0" w:color="00497A" w:themeColor="accent2"/>
          <w:bottom w:val="single" w:sz="8" w:space="0" w:color="00497A" w:themeColor="accent2"/>
          <w:right w:val="single" w:sz="8" w:space="0" w:color="00497A" w:themeColor="accent2"/>
        </w:tcBorders>
        <w:shd w:val="clear" w:color="auto" w:fill="9FD8FF" w:themeFill="accent2" w:themeFillTint="3F"/>
      </w:tcPr>
    </w:tblStylePr>
    <w:tblStylePr w:type="band1Horz">
      <w:tblPr/>
      <w:tcPr>
        <w:tcBorders>
          <w:top w:val="single" w:sz="8" w:space="0" w:color="00497A" w:themeColor="accent2"/>
          <w:left w:val="single" w:sz="8" w:space="0" w:color="00497A" w:themeColor="accent2"/>
          <w:bottom w:val="single" w:sz="8" w:space="0" w:color="00497A" w:themeColor="accent2"/>
          <w:right w:val="single" w:sz="8" w:space="0" w:color="00497A" w:themeColor="accent2"/>
          <w:insideV w:val="single" w:sz="8" w:space="0" w:color="00497A" w:themeColor="accent2"/>
        </w:tcBorders>
        <w:shd w:val="clear" w:color="auto" w:fill="9FD8FF" w:themeFill="accent2" w:themeFillTint="3F"/>
      </w:tcPr>
    </w:tblStylePr>
    <w:tblStylePr w:type="band2Horz">
      <w:tblPr/>
      <w:tcPr>
        <w:tcBorders>
          <w:top w:val="single" w:sz="8" w:space="0" w:color="00497A" w:themeColor="accent2"/>
          <w:left w:val="single" w:sz="8" w:space="0" w:color="00497A" w:themeColor="accent2"/>
          <w:bottom w:val="single" w:sz="8" w:space="0" w:color="00497A" w:themeColor="accent2"/>
          <w:right w:val="single" w:sz="8" w:space="0" w:color="00497A" w:themeColor="accent2"/>
          <w:insideV w:val="single" w:sz="8" w:space="0" w:color="00497A" w:themeColor="accent2"/>
        </w:tcBorders>
      </w:tcPr>
    </w:tblStylePr>
  </w:style>
  <w:style w:type="table" w:styleId="LightGrid-Accent3">
    <w:name w:val="Light Grid Accent 3"/>
    <w:basedOn w:val="TableNormal"/>
    <w:uiPriority w:val="62"/>
    <w:rsid w:val="00C00568"/>
    <w:pPr>
      <w:spacing w:before="0"/>
    </w:pPr>
    <w:tblPr>
      <w:tblStyleRowBandSize w:val="1"/>
      <w:tblStyleColBandSize w:val="1"/>
      <w:tblBorders>
        <w:top w:val="single" w:sz="8" w:space="0" w:color="749CC9" w:themeColor="accent3"/>
        <w:left w:val="single" w:sz="8" w:space="0" w:color="749CC9" w:themeColor="accent3"/>
        <w:bottom w:val="single" w:sz="8" w:space="0" w:color="749CC9" w:themeColor="accent3"/>
        <w:right w:val="single" w:sz="8" w:space="0" w:color="749CC9" w:themeColor="accent3"/>
        <w:insideH w:val="single" w:sz="8" w:space="0" w:color="749CC9" w:themeColor="accent3"/>
        <w:insideV w:val="single" w:sz="8" w:space="0" w:color="749CC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49CC9" w:themeColor="accent3"/>
          <w:left w:val="single" w:sz="8" w:space="0" w:color="749CC9" w:themeColor="accent3"/>
          <w:bottom w:val="single" w:sz="18" w:space="0" w:color="749CC9" w:themeColor="accent3"/>
          <w:right w:val="single" w:sz="8" w:space="0" w:color="749CC9" w:themeColor="accent3"/>
          <w:insideH w:val="nil"/>
          <w:insideV w:val="single" w:sz="8" w:space="0" w:color="749CC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49CC9" w:themeColor="accent3"/>
          <w:left w:val="single" w:sz="8" w:space="0" w:color="749CC9" w:themeColor="accent3"/>
          <w:bottom w:val="single" w:sz="8" w:space="0" w:color="749CC9" w:themeColor="accent3"/>
          <w:right w:val="single" w:sz="8" w:space="0" w:color="749CC9" w:themeColor="accent3"/>
          <w:insideH w:val="nil"/>
          <w:insideV w:val="single" w:sz="8" w:space="0" w:color="749CC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49CC9" w:themeColor="accent3"/>
          <w:left w:val="single" w:sz="8" w:space="0" w:color="749CC9" w:themeColor="accent3"/>
          <w:bottom w:val="single" w:sz="8" w:space="0" w:color="749CC9" w:themeColor="accent3"/>
          <w:right w:val="single" w:sz="8" w:space="0" w:color="749CC9" w:themeColor="accent3"/>
        </w:tcBorders>
      </w:tcPr>
    </w:tblStylePr>
    <w:tblStylePr w:type="band1Vert">
      <w:tblPr/>
      <w:tcPr>
        <w:tcBorders>
          <w:top w:val="single" w:sz="8" w:space="0" w:color="749CC9" w:themeColor="accent3"/>
          <w:left w:val="single" w:sz="8" w:space="0" w:color="749CC9" w:themeColor="accent3"/>
          <w:bottom w:val="single" w:sz="8" w:space="0" w:color="749CC9" w:themeColor="accent3"/>
          <w:right w:val="single" w:sz="8" w:space="0" w:color="749CC9" w:themeColor="accent3"/>
        </w:tcBorders>
        <w:shd w:val="clear" w:color="auto" w:fill="DCE6F1" w:themeFill="accent3" w:themeFillTint="3F"/>
      </w:tcPr>
    </w:tblStylePr>
    <w:tblStylePr w:type="band1Horz">
      <w:tblPr/>
      <w:tcPr>
        <w:tcBorders>
          <w:top w:val="single" w:sz="8" w:space="0" w:color="749CC9" w:themeColor="accent3"/>
          <w:left w:val="single" w:sz="8" w:space="0" w:color="749CC9" w:themeColor="accent3"/>
          <w:bottom w:val="single" w:sz="8" w:space="0" w:color="749CC9" w:themeColor="accent3"/>
          <w:right w:val="single" w:sz="8" w:space="0" w:color="749CC9" w:themeColor="accent3"/>
          <w:insideV w:val="single" w:sz="8" w:space="0" w:color="749CC9" w:themeColor="accent3"/>
        </w:tcBorders>
        <w:shd w:val="clear" w:color="auto" w:fill="DCE6F1" w:themeFill="accent3" w:themeFillTint="3F"/>
      </w:tcPr>
    </w:tblStylePr>
    <w:tblStylePr w:type="band2Horz">
      <w:tblPr/>
      <w:tcPr>
        <w:tcBorders>
          <w:top w:val="single" w:sz="8" w:space="0" w:color="749CC9" w:themeColor="accent3"/>
          <w:left w:val="single" w:sz="8" w:space="0" w:color="749CC9" w:themeColor="accent3"/>
          <w:bottom w:val="single" w:sz="8" w:space="0" w:color="749CC9" w:themeColor="accent3"/>
          <w:right w:val="single" w:sz="8" w:space="0" w:color="749CC9" w:themeColor="accent3"/>
          <w:insideV w:val="single" w:sz="8" w:space="0" w:color="749CC9" w:themeColor="accent3"/>
        </w:tcBorders>
      </w:tcPr>
    </w:tblStylePr>
  </w:style>
  <w:style w:type="table" w:styleId="LightGrid-Accent4">
    <w:name w:val="Light Grid Accent 4"/>
    <w:basedOn w:val="TableNormal"/>
    <w:uiPriority w:val="62"/>
    <w:rsid w:val="00C00568"/>
    <w:pPr>
      <w:spacing w:before="0"/>
    </w:pPr>
    <w:tblPr>
      <w:tblStyleRowBandSize w:val="1"/>
      <w:tblStyleColBandSize w:val="1"/>
      <w:tblBorders>
        <w:top w:val="single" w:sz="8" w:space="0" w:color="0072CE" w:themeColor="accent4"/>
        <w:left w:val="single" w:sz="8" w:space="0" w:color="0072CE" w:themeColor="accent4"/>
        <w:bottom w:val="single" w:sz="8" w:space="0" w:color="0072CE" w:themeColor="accent4"/>
        <w:right w:val="single" w:sz="8" w:space="0" w:color="0072CE" w:themeColor="accent4"/>
        <w:insideH w:val="single" w:sz="8" w:space="0" w:color="0072CE" w:themeColor="accent4"/>
        <w:insideV w:val="single" w:sz="8" w:space="0" w:color="0072CE"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CE" w:themeColor="accent4"/>
          <w:left w:val="single" w:sz="8" w:space="0" w:color="0072CE" w:themeColor="accent4"/>
          <w:bottom w:val="single" w:sz="18" w:space="0" w:color="0072CE" w:themeColor="accent4"/>
          <w:right w:val="single" w:sz="8" w:space="0" w:color="0072CE" w:themeColor="accent4"/>
          <w:insideH w:val="nil"/>
          <w:insideV w:val="single" w:sz="8" w:space="0" w:color="0072CE"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CE" w:themeColor="accent4"/>
          <w:left w:val="single" w:sz="8" w:space="0" w:color="0072CE" w:themeColor="accent4"/>
          <w:bottom w:val="single" w:sz="8" w:space="0" w:color="0072CE" w:themeColor="accent4"/>
          <w:right w:val="single" w:sz="8" w:space="0" w:color="0072CE" w:themeColor="accent4"/>
          <w:insideH w:val="nil"/>
          <w:insideV w:val="single" w:sz="8" w:space="0" w:color="0072CE"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tcPr>
    </w:tblStylePr>
    <w:tblStylePr w:type="band1Vert">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shd w:val="clear" w:color="auto" w:fill="B3DDFF" w:themeFill="accent4" w:themeFillTint="3F"/>
      </w:tcPr>
    </w:tblStylePr>
    <w:tblStylePr w:type="band1Horz">
      <w:tblPr/>
      <w:tcPr>
        <w:tcBorders>
          <w:top w:val="single" w:sz="8" w:space="0" w:color="0072CE" w:themeColor="accent4"/>
          <w:left w:val="single" w:sz="8" w:space="0" w:color="0072CE" w:themeColor="accent4"/>
          <w:bottom w:val="single" w:sz="8" w:space="0" w:color="0072CE" w:themeColor="accent4"/>
          <w:right w:val="single" w:sz="8" w:space="0" w:color="0072CE" w:themeColor="accent4"/>
          <w:insideV w:val="single" w:sz="8" w:space="0" w:color="0072CE" w:themeColor="accent4"/>
        </w:tcBorders>
        <w:shd w:val="clear" w:color="auto" w:fill="B3DDFF" w:themeFill="accent4" w:themeFillTint="3F"/>
      </w:tcPr>
    </w:tblStylePr>
    <w:tblStylePr w:type="band2Horz">
      <w:tblPr/>
      <w:tcPr>
        <w:tcBorders>
          <w:top w:val="single" w:sz="8" w:space="0" w:color="0072CE" w:themeColor="accent4"/>
          <w:left w:val="single" w:sz="8" w:space="0" w:color="0072CE" w:themeColor="accent4"/>
          <w:bottom w:val="single" w:sz="8" w:space="0" w:color="0072CE" w:themeColor="accent4"/>
          <w:right w:val="single" w:sz="8" w:space="0" w:color="0072CE" w:themeColor="accent4"/>
          <w:insideV w:val="single" w:sz="8" w:space="0" w:color="0072CE" w:themeColor="accent4"/>
        </w:tcBorders>
      </w:tcPr>
    </w:tblStylePr>
  </w:style>
  <w:style w:type="table" w:styleId="LightGrid-Accent5">
    <w:name w:val="Light Grid Accent 5"/>
    <w:basedOn w:val="TableNormal"/>
    <w:uiPriority w:val="62"/>
    <w:rsid w:val="00C00568"/>
    <w:pPr>
      <w:spacing w:before="0"/>
    </w:pPr>
    <w:tblPr>
      <w:tblStyleRowBandSize w:val="1"/>
      <w:tblStyleColBandSize w:val="1"/>
      <w:tblBorders>
        <w:top w:val="single" w:sz="8" w:space="0" w:color="009CDE" w:themeColor="accent5"/>
        <w:left w:val="single" w:sz="8" w:space="0" w:color="009CDE" w:themeColor="accent5"/>
        <w:bottom w:val="single" w:sz="8" w:space="0" w:color="009CDE" w:themeColor="accent5"/>
        <w:right w:val="single" w:sz="8" w:space="0" w:color="009CDE" w:themeColor="accent5"/>
        <w:insideH w:val="single" w:sz="8" w:space="0" w:color="009CDE" w:themeColor="accent5"/>
        <w:insideV w:val="single" w:sz="8" w:space="0" w:color="009CDE"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CDE" w:themeColor="accent5"/>
          <w:left w:val="single" w:sz="8" w:space="0" w:color="009CDE" w:themeColor="accent5"/>
          <w:bottom w:val="single" w:sz="18" w:space="0" w:color="009CDE" w:themeColor="accent5"/>
          <w:right w:val="single" w:sz="8" w:space="0" w:color="009CDE" w:themeColor="accent5"/>
          <w:insideH w:val="nil"/>
          <w:insideV w:val="single" w:sz="8" w:space="0" w:color="009CDE"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CDE" w:themeColor="accent5"/>
          <w:left w:val="single" w:sz="8" w:space="0" w:color="009CDE" w:themeColor="accent5"/>
          <w:bottom w:val="single" w:sz="8" w:space="0" w:color="009CDE" w:themeColor="accent5"/>
          <w:right w:val="single" w:sz="8" w:space="0" w:color="009CDE" w:themeColor="accent5"/>
          <w:insideH w:val="nil"/>
          <w:insideV w:val="single" w:sz="8" w:space="0" w:color="009CDE"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CDE" w:themeColor="accent5"/>
          <w:left w:val="single" w:sz="8" w:space="0" w:color="009CDE" w:themeColor="accent5"/>
          <w:bottom w:val="single" w:sz="8" w:space="0" w:color="009CDE" w:themeColor="accent5"/>
          <w:right w:val="single" w:sz="8" w:space="0" w:color="009CDE" w:themeColor="accent5"/>
        </w:tcBorders>
      </w:tcPr>
    </w:tblStylePr>
    <w:tblStylePr w:type="band1Vert">
      <w:tblPr/>
      <w:tcPr>
        <w:tcBorders>
          <w:top w:val="single" w:sz="8" w:space="0" w:color="009CDE" w:themeColor="accent5"/>
          <w:left w:val="single" w:sz="8" w:space="0" w:color="009CDE" w:themeColor="accent5"/>
          <w:bottom w:val="single" w:sz="8" w:space="0" w:color="009CDE" w:themeColor="accent5"/>
          <w:right w:val="single" w:sz="8" w:space="0" w:color="009CDE" w:themeColor="accent5"/>
        </w:tcBorders>
        <w:shd w:val="clear" w:color="auto" w:fill="B7E9FF" w:themeFill="accent5" w:themeFillTint="3F"/>
      </w:tcPr>
    </w:tblStylePr>
    <w:tblStylePr w:type="band1Horz">
      <w:tblPr/>
      <w:tcPr>
        <w:tcBorders>
          <w:top w:val="single" w:sz="8" w:space="0" w:color="009CDE" w:themeColor="accent5"/>
          <w:left w:val="single" w:sz="8" w:space="0" w:color="009CDE" w:themeColor="accent5"/>
          <w:bottom w:val="single" w:sz="8" w:space="0" w:color="009CDE" w:themeColor="accent5"/>
          <w:right w:val="single" w:sz="8" w:space="0" w:color="009CDE" w:themeColor="accent5"/>
          <w:insideV w:val="single" w:sz="8" w:space="0" w:color="009CDE" w:themeColor="accent5"/>
        </w:tcBorders>
        <w:shd w:val="clear" w:color="auto" w:fill="B7E9FF" w:themeFill="accent5" w:themeFillTint="3F"/>
      </w:tcPr>
    </w:tblStylePr>
    <w:tblStylePr w:type="band2Horz">
      <w:tblPr/>
      <w:tcPr>
        <w:tcBorders>
          <w:top w:val="single" w:sz="8" w:space="0" w:color="009CDE" w:themeColor="accent5"/>
          <w:left w:val="single" w:sz="8" w:space="0" w:color="009CDE" w:themeColor="accent5"/>
          <w:bottom w:val="single" w:sz="8" w:space="0" w:color="009CDE" w:themeColor="accent5"/>
          <w:right w:val="single" w:sz="8" w:space="0" w:color="009CDE" w:themeColor="accent5"/>
          <w:insideV w:val="single" w:sz="8" w:space="0" w:color="009CDE" w:themeColor="accent5"/>
        </w:tcBorders>
      </w:tcPr>
    </w:tblStylePr>
  </w:style>
  <w:style w:type="table" w:styleId="LightGrid-Accent6">
    <w:name w:val="Light Grid Accent 6"/>
    <w:basedOn w:val="TableNormal"/>
    <w:uiPriority w:val="62"/>
    <w:rsid w:val="00C00568"/>
    <w:pPr>
      <w:spacing w:before="0"/>
    </w:pPr>
    <w:tblPr>
      <w:tblStyleRowBandSize w:val="1"/>
      <w:tblStyleColBandSize w:val="1"/>
      <w:tblBorders>
        <w:top w:val="single" w:sz="8" w:space="0" w:color="8A2A2B" w:themeColor="accent6"/>
        <w:left w:val="single" w:sz="8" w:space="0" w:color="8A2A2B" w:themeColor="accent6"/>
        <w:bottom w:val="single" w:sz="8" w:space="0" w:color="8A2A2B" w:themeColor="accent6"/>
        <w:right w:val="single" w:sz="8" w:space="0" w:color="8A2A2B" w:themeColor="accent6"/>
        <w:insideH w:val="single" w:sz="8" w:space="0" w:color="8A2A2B" w:themeColor="accent6"/>
        <w:insideV w:val="single" w:sz="8" w:space="0" w:color="8A2A2B"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A2A2B" w:themeColor="accent6"/>
          <w:left w:val="single" w:sz="8" w:space="0" w:color="8A2A2B" w:themeColor="accent6"/>
          <w:bottom w:val="single" w:sz="18" w:space="0" w:color="8A2A2B" w:themeColor="accent6"/>
          <w:right w:val="single" w:sz="8" w:space="0" w:color="8A2A2B" w:themeColor="accent6"/>
          <w:insideH w:val="nil"/>
          <w:insideV w:val="single" w:sz="8" w:space="0" w:color="8A2A2B"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A2A2B" w:themeColor="accent6"/>
          <w:left w:val="single" w:sz="8" w:space="0" w:color="8A2A2B" w:themeColor="accent6"/>
          <w:bottom w:val="single" w:sz="8" w:space="0" w:color="8A2A2B" w:themeColor="accent6"/>
          <w:right w:val="single" w:sz="8" w:space="0" w:color="8A2A2B" w:themeColor="accent6"/>
          <w:insideH w:val="nil"/>
          <w:insideV w:val="single" w:sz="8" w:space="0" w:color="8A2A2B"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A2A2B" w:themeColor="accent6"/>
          <w:left w:val="single" w:sz="8" w:space="0" w:color="8A2A2B" w:themeColor="accent6"/>
          <w:bottom w:val="single" w:sz="8" w:space="0" w:color="8A2A2B" w:themeColor="accent6"/>
          <w:right w:val="single" w:sz="8" w:space="0" w:color="8A2A2B" w:themeColor="accent6"/>
        </w:tcBorders>
      </w:tcPr>
    </w:tblStylePr>
    <w:tblStylePr w:type="band1Vert">
      <w:tblPr/>
      <w:tcPr>
        <w:tcBorders>
          <w:top w:val="single" w:sz="8" w:space="0" w:color="8A2A2B" w:themeColor="accent6"/>
          <w:left w:val="single" w:sz="8" w:space="0" w:color="8A2A2B" w:themeColor="accent6"/>
          <w:bottom w:val="single" w:sz="8" w:space="0" w:color="8A2A2B" w:themeColor="accent6"/>
          <w:right w:val="single" w:sz="8" w:space="0" w:color="8A2A2B" w:themeColor="accent6"/>
        </w:tcBorders>
        <w:shd w:val="clear" w:color="auto" w:fill="ECC0C0" w:themeFill="accent6" w:themeFillTint="3F"/>
      </w:tcPr>
    </w:tblStylePr>
    <w:tblStylePr w:type="band1Horz">
      <w:tblPr/>
      <w:tcPr>
        <w:tcBorders>
          <w:top w:val="single" w:sz="8" w:space="0" w:color="8A2A2B" w:themeColor="accent6"/>
          <w:left w:val="single" w:sz="8" w:space="0" w:color="8A2A2B" w:themeColor="accent6"/>
          <w:bottom w:val="single" w:sz="8" w:space="0" w:color="8A2A2B" w:themeColor="accent6"/>
          <w:right w:val="single" w:sz="8" w:space="0" w:color="8A2A2B" w:themeColor="accent6"/>
          <w:insideV w:val="single" w:sz="8" w:space="0" w:color="8A2A2B" w:themeColor="accent6"/>
        </w:tcBorders>
        <w:shd w:val="clear" w:color="auto" w:fill="ECC0C0" w:themeFill="accent6" w:themeFillTint="3F"/>
      </w:tcPr>
    </w:tblStylePr>
    <w:tblStylePr w:type="band2Horz">
      <w:tblPr/>
      <w:tcPr>
        <w:tcBorders>
          <w:top w:val="single" w:sz="8" w:space="0" w:color="8A2A2B" w:themeColor="accent6"/>
          <w:left w:val="single" w:sz="8" w:space="0" w:color="8A2A2B" w:themeColor="accent6"/>
          <w:bottom w:val="single" w:sz="8" w:space="0" w:color="8A2A2B" w:themeColor="accent6"/>
          <w:right w:val="single" w:sz="8" w:space="0" w:color="8A2A2B" w:themeColor="accent6"/>
          <w:insideV w:val="single" w:sz="8" w:space="0" w:color="8A2A2B" w:themeColor="accent6"/>
        </w:tcBorders>
      </w:tcPr>
    </w:tblStylePr>
  </w:style>
  <w:style w:type="table" w:styleId="LightList-Accent1">
    <w:name w:val="Light List Accent 1"/>
    <w:basedOn w:val="TableNormal"/>
    <w:uiPriority w:val="61"/>
    <w:rsid w:val="00C00568"/>
    <w:pPr>
      <w:spacing w:before="0"/>
    </w:pPr>
    <w:tblPr>
      <w:tblStyleRowBandSize w:val="1"/>
      <w:tblStyleColBandSize w:val="1"/>
      <w:tblBorders>
        <w:top w:val="single" w:sz="8" w:space="0" w:color="0063A6" w:themeColor="accent1"/>
        <w:left w:val="single" w:sz="8" w:space="0" w:color="0063A6" w:themeColor="accent1"/>
        <w:bottom w:val="single" w:sz="8" w:space="0" w:color="0063A6" w:themeColor="accent1"/>
        <w:right w:val="single" w:sz="8" w:space="0" w:color="0063A6" w:themeColor="accent1"/>
      </w:tblBorders>
    </w:tblPr>
    <w:tblStylePr w:type="firstRow">
      <w:pPr>
        <w:spacing w:before="0" w:after="0" w:line="240" w:lineRule="auto"/>
      </w:pPr>
      <w:rPr>
        <w:b/>
        <w:bCs/>
        <w:color w:val="FFFFFF" w:themeColor="background1"/>
      </w:rPr>
      <w:tblPr/>
      <w:tcPr>
        <w:shd w:val="clear" w:color="auto" w:fill="0063A6" w:themeFill="accent1"/>
      </w:tcPr>
    </w:tblStylePr>
    <w:tblStylePr w:type="lastRow">
      <w:pPr>
        <w:spacing w:before="0" w:after="0" w:line="240" w:lineRule="auto"/>
      </w:pPr>
      <w:rPr>
        <w:b/>
        <w:bCs/>
      </w:rPr>
      <w:tblPr/>
      <w:tcPr>
        <w:tcBorders>
          <w:top w:val="double" w:sz="6" w:space="0" w:color="0063A6" w:themeColor="accent1"/>
          <w:left w:val="single" w:sz="8" w:space="0" w:color="0063A6" w:themeColor="accent1"/>
          <w:bottom w:val="single" w:sz="8" w:space="0" w:color="0063A6" w:themeColor="accent1"/>
          <w:right w:val="single" w:sz="8" w:space="0" w:color="0063A6" w:themeColor="accent1"/>
        </w:tcBorders>
      </w:tcPr>
    </w:tblStylePr>
    <w:tblStylePr w:type="firstCol">
      <w:rPr>
        <w:b/>
        <w:bCs/>
      </w:rPr>
    </w:tblStylePr>
    <w:tblStylePr w:type="lastCol">
      <w:rPr>
        <w:b/>
        <w:bCs/>
      </w:rPr>
    </w:tblStylePr>
    <w:tblStylePr w:type="band1Vert">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tcPr>
    </w:tblStylePr>
    <w:tblStylePr w:type="band1Horz">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tcPr>
    </w:tblStylePr>
  </w:style>
  <w:style w:type="table" w:styleId="LightList-Accent2">
    <w:name w:val="Light List Accent 2"/>
    <w:basedOn w:val="TableNormal"/>
    <w:uiPriority w:val="61"/>
    <w:rsid w:val="00C00568"/>
    <w:pPr>
      <w:spacing w:before="0"/>
    </w:pPr>
    <w:tblPr>
      <w:tblStyleRowBandSize w:val="1"/>
      <w:tblStyleColBandSize w:val="1"/>
      <w:tblBorders>
        <w:top w:val="single" w:sz="8" w:space="0" w:color="00497A" w:themeColor="accent2"/>
        <w:left w:val="single" w:sz="8" w:space="0" w:color="00497A" w:themeColor="accent2"/>
        <w:bottom w:val="single" w:sz="8" w:space="0" w:color="00497A" w:themeColor="accent2"/>
        <w:right w:val="single" w:sz="8" w:space="0" w:color="00497A" w:themeColor="accent2"/>
      </w:tblBorders>
    </w:tblPr>
    <w:tblStylePr w:type="firstRow">
      <w:pPr>
        <w:spacing w:before="0" w:after="0" w:line="240" w:lineRule="auto"/>
      </w:pPr>
      <w:rPr>
        <w:b/>
        <w:bCs/>
        <w:color w:val="FFFFFF" w:themeColor="background1"/>
      </w:rPr>
      <w:tblPr/>
      <w:tcPr>
        <w:shd w:val="clear" w:color="auto" w:fill="00497A" w:themeFill="accent2"/>
      </w:tcPr>
    </w:tblStylePr>
    <w:tblStylePr w:type="lastRow">
      <w:pPr>
        <w:spacing w:before="0" w:after="0" w:line="240" w:lineRule="auto"/>
      </w:pPr>
      <w:rPr>
        <w:b/>
        <w:bCs/>
      </w:rPr>
      <w:tblPr/>
      <w:tcPr>
        <w:tcBorders>
          <w:top w:val="double" w:sz="6" w:space="0" w:color="00497A" w:themeColor="accent2"/>
          <w:left w:val="single" w:sz="8" w:space="0" w:color="00497A" w:themeColor="accent2"/>
          <w:bottom w:val="single" w:sz="8" w:space="0" w:color="00497A" w:themeColor="accent2"/>
          <w:right w:val="single" w:sz="8" w:space="0" w:color="00497A" w:themeColor="accent2"/>
        </w:tcBorders>
      </w:tcPr>
    </w:tblStylePr>
    <w:tblStylePr w:type="firstCol">
      <w:rPr>
        <w:b/>
        <w:bCs/>
      </w:rPr>
    </w:tblStylePr>
    <w:tblStylePr w:type="lastCol">
      <w:rPr>
        <w:b/>
        <w:bCs/>
      </w:rPr>
    </w:tblStylePr>
    <w:tblStylePr w:type="band1Vert">
      <w:tblPr/>
      <w:tcPr>
        <w:tcBorders>
          <w:top w:val="single" w:sz="8" w:space="0" w:color="00497A" w:themeColor="accent2"/>
          <w:left w:val="single" w:sz="8" w:space="0" w:color="00497A" w:themeColor="accent2"/>
          <w:bottom w:val="single" w:sz="8" w:space="0" w:color="00497A" w:themeColor="accent2"/>
          <w:right w:val="single" w:sz="8" w:space="0" w:color="00497A" w:themeColor="accent2"/>
        </w:tcBorders>
      </w:tcPr>
    </w:tblStylePr>
    <w:tblStylePr w:type="band1Horz">
      <w:tblPr/>
      <w:tcPr>
        <w:tcBorders>
          <w:top w:val="single" w:sz="8" w:space="0" w:color="00497A" w:themeColor="accent2"/>
          <w:left w:val="single" w:sz="8" w:space="0" w:color="00497A" w:themeColor="accent2"/>
          <w:bottom w:val="single" w:sz="8" w:space="0" w:color="00497A" w:themeColor="accent2"/>
          <w:right w:val="single" w:sz="8" w:space="0" w:color="00497A" w:themeColor="accent2"/>
        </w:tcBorders>
      </w:tcPr>
    </w:tblStylePr>
  </w:style>
  <w:style w:type="table" w:styleId="LightList-Accent3">
    <w:name w:val="Light List Accent 3"/>
    <w:basedOn w:val="TableNormal"/>
    <w:uiPriority w:val="61"/>
    <w:rsid w:val="00C00568"/>
    <w:pPr>
      <w:spacing w:before="0"/>
    </w:pPr>
    <w:tblPr>
      <w:tblStyleRowBandSize w:val="1"/>
      <w:tblStyleColBandSize w:val="1"/>
      <w:tblBorders>
        <w:top w:val="single" w:sz="8" w:space="0" w:color="749CC9" w:themeColor="accent3"/>
        <w:left w:val="single" w:sz="8" w:space="0" w:color="749CC9" w:themeColor="accent3"/>
        <w:bottom w:val="single" w:sz="8" w:space="0" w:color="749CC9" w:themeColor="accent3"/>
        <w:right w:val="single" w:sz="8" w:space="0" w:color="749CC9" w:themeColor="accent3"/>
      </w:tblBorders>
    </w:tblPr>
    <w:tblStylePr w:type="firstRow">
      <w:pPr>
        <w:spacing w:before="0" w:after="0" w:line="240" w:lineRule="auto"/>
      </w:pPr>
      <w:rPr>
        <w:b/>
        <w:bCs/>
        <w:color w:val="FFFFFF" w:themeColor="background1"/>
      </w:rPr>
      <w:tblPr/>
      <w:tcPr>
        <w:shd w:val="clear" w:color="auto" w:fill="749CC9" w:themeFill="accent3"/>
      </w:tcPr>
    </w:tblStylePr>
    <w:tblStylePr w:type="lastRow">
      <w:pPr>
        <w:spacing w:before="0" w:after="0" w:line="240" w:lineRule="auto"/>
      </w:pPr>
      <w:rPr>
        <w:b/>
        <w:bCs/>
      </w:rPr>
      <w:tblPr/>
      <w:tcPr>
        <w:tcBorders>
          <w:top w:val="double" w:sz="6" w:space="0" w:color="749CC9" w:themeColor="accent3"/>
          <w:left w:val="single" w:sz="8" w:space="0" w:color="749CC9" w:themeColor="accent3"/>
          <w:bottom w:val="single" w:sz="8" w:space="0" w:color="749CC9" w:themeColor="accent3"/>
          <w:right w:val="single" w:sz="8" w:space="0" w:color="749CC9" w:themeColor="accent3"/>
        </w:tcBorders>
      </w:tcPr>
    </w:tblStylePr>
    <w:tblStylePr w:type="firstCol">
      <w:rPr>
        <w:b/>
        <w:bCs/>
      </w:rPr>
    </w:tblStylePr>
    <w:tblStylePr w:type="lastCol">
      <w:rPr>
        <w:b/>
        <w:bCs/>
      </w:rPr>
    </w:tblStylePr>
    <w:tblStylePr w:type="band1Vert">
      <w:tblPr/>
      <w:tcPr>
        <w:tcBorders>
          <w:top w:val="single" w:sz="8" w:space="0" w:color="749CC9" w:themeColor="accent3"/>
          <w:left w:val="single" w:sz="8" w:space="0" w:color="749CC9" w:themeColor="accent3"/>
          <w:bottom w:val="single" w:sz="8" w:space="0" w:color="749CC9" w:themeColor="accent3"/>
          <w:right w:val="single" w:sz="8" w:space="0" w:color="749CC9" w:themeColor="accent3"/>
        </w:tcBorders>
      </w:tcPr>
    </w:tblStylePr>
    <w:tblStylePr w:type="band1Horz">
      <w:tblPr/>
      <w:tcPr>
        <w:tcBorders>
          <w:top w:val="single" w:sz="8" w:space="0" w:color="749CC9" w:themeColor="accent3"/>
          <w:left w:val="single" w:sz="8" w:space="0" w:color="749CC9" w:themeColor="accent3"/>
          <w:bottom w:val="single" w:sz="8" w:space="0" w:color="749CC9" w:themeColor="accent3"/>
          <w:right w:val="single" w:sz="8" w:space="0" w:color="749CC9" w:themeColor="accent3"/>
        </w:tcBorders>
      </w:tcPr>
    </w:tblStylePr>
  </w:style>
  <w:style w:type="table" w:styleId="LightList-Accent4">
    <w:name w:val="Light List Accent 4"/>
    <w:basedOn w:val="TableNormal"/>
    <w:uiPriority w:val="61"/>
    <w:rsid w:val="00C00568"/>
    <w:pPr>
      <w:spacing w:before="0"/>
    </w:pPr>
    <w:tblPr>
      <w:tblStyleRowBandSize w:val="1"/>
      <w:tblStyleColBandSize w:val="1"/>
      <w:tblBorders>
        <w:top w:val="single" w:sz="8" w:space="0" w:color="0072CE" w:themeColor="accent4"/>
        <w:left w:val="single" w:sz="8" w:space="0" w:color="0072CE" w:themeColor="accent4"/>
        <w:bottom w:val="single" w:sz="8" w:space="0" w:color="0072CE" w:themeColor="accent4"/>
        <w:right w:val="single" w:sz="8" w:space="0" w:color="0072CE" w:themeColor="accent4"/>
      </w:tblBorders>
    </w:tblPr>
    <w:tblStylePr w:type="firstRow">
      <w:pPr>
        <w:spacing w:before="0" w:after="0" w:line="240" w:lineRule="auto"/>
      </w:pPr>
      <w:rPr>
        <w:b/>
        <w:bCs/>
        <w:color w:val="FFFFFF" w:themeColor="background1"/>
      </w:rPr>
      <w:tblPr/>
      <w:tcPr>
        <w:shd w:val="clear" w:color="auto" w:fill="0072CE" w:themeFill="accent4"/>
      </w:tcPr>
    </w:tblStylePr>
    <w:tblStylePr w:type="lastRow">
      <w:pPr>
        <w:spacing w:before="0" w:after="0" w:line="240" w:lineRule="auto"/>
      </w:pPr>
      <w:rPr>
        <w:b/>
        <w:bCs/>
      </w:rPr>
      <w:tblPr/>
      <w:tcPr>
        <w:tcBorders>
          <w:top w:val="double" w:sz="6" w:space="0" w:color="0072CE" w:themeColor="accent4"/>
          <w:left w:val="single" w:sz="8" w:space="0" w:color="0072CE" w:themeColor="accent4"/>
          <w:bottom w:val="single" w:sz="8" w:space="0" w:color="0072CE" w:themeColor="accent4"/>
          <w:right w:val="single" w:sz="8" w:space="0" w:color="0072CE" w:themeColor="accent4"/>
        </w:tcBorders>
      </w:tcPr>
    </w:tblStylePr>
    <w:tblStylePr w:type="firstCol">
      <w:rPr>
        <w:b/>
        <w:bCs/>
      </w:rPr>
    </w:tblStylePr>
    <w:tblStylePr w:type="lastCol">
      <w:rPr>
        <w:b/>
        <w:bCs/>
      </w:rPr>
    </w:tblStylePr>
    <w:tblStylePr w:type="band1Vert">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tcPr>
    </w:tblStylePr>
    <w:tblStylePr w:type="band1Horz">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tcPr>
    </w:tblStylePr>
  </w:style>
  <w:style w:type="table" w:styleId="LightList-Accent5">
    <w:name w:val="Light List Accent 5"/>
    <w:basedOn w:val="TableNormal"/>
    <w:uiPriority w:val="61"/>
    <w:rsid w:val="00C00568"/>
    <w:pPr>
      <w:spacing w:before="0"/>
    </w:pPr>
    <w:tblPr>
      <w:tblStyleRowBandSize w:val="1"/>
      <w:tblStyleColBandSize w:val="1"/>
      <w:tblBorders>
        <w:top w:val="single" w:sz="8" w:space="0" w:color="009CDE" w:themeColor="accent5"/>
        <w:left w:val="single" w:sz="8" w:space="0" w:color="009CDE" w:themeColor="accent5"/>
        <w:bottom w:val="single" w:sz="8" w:space="0" w:color="009CDE" w:themeColor="accent5"/>
        <w:right w:val="single" w:sz="8" w:space="0" w:color="009CDE" w:themeColor="accent5"/>
      </w:tblBorders>
    </w:tblPr>
    <w:tblStylePr w:type="firstRow">
      <w:pPr>
        <w:spacing w:before="0" w:after="0" w:line="240" w:lineRule="auto"/>
      </w:pPr>
      <w:rPr>
        <w:b/>
        <w:bCs/>
        <w:color w:val="FFFFFF" w:themeColor="background1"/>
      </w:rPr>
      <w:tblPr/>
      <w:tcPr>
        <w:shd w:val="clear" w:color="auto" w:fill="009CDE" w:themeFill="accent5"/>
      </w:tcPr>
    </w:tblStylePr>
    <w:tblStylePr w:type="lastRow">
      <w:pPr>
        <w:spacing w:before="0" w:after="0" w:line="240" w:lineRule="auto"/>
      </w:pPr>
      <w:rPr>
        <w:b/>
        <w:bCs/>
      </w:rPr>
      <w:tblPr/>
      <w:tcPr>
        <w:tcBorders>
          <w:top w:val="double" w:sz="6" w:space="0" w:color="009CDE" w:themeColor="accent5"/>
          <w:left w:val="single" w:sz="8" w:space="0" w:color="009CDE" w:themeColor="accent5"/>
          <w:bottom w:val="single" w:sz="8" w:space="0" w:color="009CDE" w:themeColor="accent5"/>
          <w:right w:val="single" w:sz="8" w:space="0" w:color="009CDE" w:themeColor="accent5"/>
        </w:tcBorders>
      </w:tcPr>
    </w:tblStylePr>
    <w:tblStylePr w:type="firstCol">
      <w:rPr>
        <w:b/>
        <w:bCs/>
      </w:rPr>
    </w:tblStylePr>
    <w:tblStylePr w:type="lastCol">
      <w:rPr>
        <w:b/>
        <w:bCs/>
      </w:rPr>
    </w:tblStylePr>
    <w:tblStylePr w:type="band1Vert">
      <w:tblPr/>
      <w:tcPr>
        <w:tcBorders>
          <w:top w:val="single" w:sz="8" w:space="0" w:color="009CDE" w:themeColor="accent5"/>
          <w:left w:val="single" w:sz="8" w:space="0" w:color="009CDE" w:themeColor="accent5"/>
          <w:bottom w:val="single" w:sz="8" w:space="0" w:color="009CDE" w:themeColor="accent5"/>
          <w:right w:val="single" w:sz="8" w:space="0" w:color="009CDE" w:themeColor="accent5"/>
        </w:tcBorders>
      </w:tcPr>
    </w:tblStylePr>
    <w:tblStylePr w:type="band1Horz">
      <w:tblPr/>
      <w:tcPr>
        <w:tcBorders>
          <w:top w:val="single" w:sz="8" w:space="0" w:color="009CDE" w:themeColor="accent5"/>
          <w:left w:val="single" w:sz="8" w:space="0" w:color="009CDE" w:themeColor="accent5"/>
          <w:bottom w:val="single" w:sz="8" w:space="0" w:color="009CDE" w:themeColor="accent5"/>
          <w:right w:val="single" w:sz="8" w:space="0" w:color="009CDE" w:themeColor="accent5"/>
        </w:tcBorders>
      </w:tcPr>
    </w:tblStylePr>
  </w:style>
  <w:style w:type="table" w:styleId="LightList-Accent6">
    <w:name w:val="Light List Accent 6"/>
    <w:basedOn w:val="TableNormal"/>
    <w:uiPriority w:val="61"/>
    <w:rsid w:val="00C00568"/>
    <w:pPr>
      <w:spacing w:before="0"/>
    </w:pPr>
    <w:tblPr>
      <w:tblStyleRowBandSize w:val="1"/>
      <w:tblStyleColBandSize w:val="1"/>
      <w:tblBorders>
        <w:top w:val="single" w:sz="8" w:space="0" w:color="8A2A2B" w:themeColor="accent6"/>
        <w:left w:val="single" w:sz="8" w:space="0" w:color="8A2A2B" w:themeColor="accent6"/>
        <w:bottom w:val="single" w:sz="8" w:space="0" w:color="8A2A2B" w:themeColor="accent6"/>
        <w:right w:val="single" w:sz="8" w:space="0" w:color="8A2A2B" w:themeColor="accent6"/>
      </w:tblBorders>
    </w:tblPr>
    <w:tblStylePr w:type="firstRow">
      <w:pPr>
        <w:spacing w:before="0" w:after="0" w:line="240" w:lineRule="auto"/>
      </w:pPr>
      <w:rPr>
        <w:b/>
        <w:bCs/>
        <w:color w:val="FFFFFF" w:themeColor="background1"/>
      </w:rPr>
      <w:tblPr/>
      <w:tcPr>
        <w:shd w:val="clear" w:color="auto" w:fill="8A2A2B" w:themeFill="accent6"/>
      </w:tcPr>
    </w:tblStylePr>
    <w:tblStylePr w:type="lastRow">
      <w:pPr>
        <w:spacing w:before="0" w:after="0" w:line="240" w:lineRule="auto"/>
      </w:pPr>
      <w:rPr>
        <w:b/>
        <w:bCs/>
      </w:rPr>
      <w:tblPr/>
      <w:tcPr>
        <w:tcBorders>
          <w:top w:val="double" w:sz="6" w:space="0" w:color="8A2A2B" w:themeColor="accent6"/>
          <w:left w:val="single" w:sz="8" w:space="0" w:color="8A2A2B" w:themeColor="accent6"/>
          <w:bottom w:val="single" w:sz="8" w:space="0" w:color="8A2A2B" w:themeColor="accent6"/>
          <w:right w:val="single" w:sz="8" w:space="0" w:color="8A2A2B" w:themeColor="accent6"/>
        </w:tcBorders>
      </w:tcPr>
    </w:tblStylePr>
    <w:tblStylePr w:type="firstCol">
      <w:rPr>
        <w:b/>
        <w:bCs/>
      </w:rPr>
    </w:tblStylePr>
    <w:tblStylePr w:type="lastCol">
      <w:rPr>
        <w:b/>
        <w:bCs/>
      </w:rPr>
    </w:tblStylePr>
    <w:tblStylePr w:type="band1Vert">
      <w:tblPr/>
      <w:tcPr>
        <w:tcBorders>
          <w:top w:val="single" w:sz="8" w:space="0" w:color="8A2A2B" w:themeColor="accent6"/>
          <w:left w:val="single" w:sz="8" w:space="0" w:color="8A2A2B" w:themeColor="accent6"/>
          <w:bottom w:val="single" w:sz="8" w:space="0" w:color="8A2A2B" w:themeColor="accent6"/>
          <w:right w:val="single" w:sz="8" w:space="0" w:color="8A2A2B" w:themeColor="accent6"/>
        </w:tcBorders>
      </w:tcPr>
    </w:tblStylePr>
    <w:tblStylePr w:type="band1Horz">
      <w:tblPr/>
      <w:tcPr>
        <w:tcBorders>
          <w:top w:val="single" w:sz="8" w:space="0" w:color="8A2A2B" w:themeColor="accent6"/>
          <w:left w:val="single" w:sz="8" w:space="0" w:color="8A2A2B" w:themeColor="accent6"/>
          <w:bottom w:val="single" w:sz="8" w:space="0" w:color="8A2A2B" w:themeColor="accent6"/>
          <w:right w:val="single" w:sz="8" w:space="0" w:color="8A2A2B" w:themeColor="accent6"/>
        </w:tcBorders>
      </w:tcPr>
    </w:tblStylePr>
  </w:style>
  <w:style w:type="table" w:styleId="LightShading-Accent3">
    <w:name w:val="Light Shading Accent 3"/>
    <w:basedOn w:val="TableNormal"/>
    <w:uiPriority w:val="60"/>
    <w:rsid w:val="00C00568"/>
    <w:pPr>
      <w:spacing w:before="0"/>
    </w:pPr>
    <w:rPr>
      <w:color w:val="4273AA" w:themeColor="accent3" w:themeShade="BF"/>
    </w:rPr>
    <w:tblPr>
      <w:tblStyleRowBandSize w:val="1"/>
      <w:tblStyleColBandSize w:val="1"/>
      <w:tblBorders>
        <w:top w:val="single" w:sz="8" w:space="0" w:color="749CC9" w:themeColor="accent3"/>
        <w:bottom w:val="single" w:sz="8" w:space="0" w:color="749CC9" w:themeColor="accent3"/>
      </w:tblBorders>
    </w:tblPr>
    <w:tblStylePr w:type="firstRow">
      <w:pPr>
        <w:spacing w:before="0" w:after="0" w:line="240" w:lineRule="auto"/>
      </w:pPr>
      <w:rPr>
        <w:b/>
        <w:bCs/>
      </w:rPr>
      <w:tblPr/>
      <w:tcPr>
        <w:tcBorders>
          <w:top w:val="single" w:sz="8" w:space="0" w:color="749CC9" w:themeColor="accent3"/>
          <w:left w:val="nil"/>
          <w:bottom w:val="single" w:sz="8" w:space="0" w:color="749CC9" w:themeColor="accent3"/>
          <w:right w:val="nil"/>
          <w:insideH w:val="nil"/>
          <w:insideV w:val="nil"/>
        </w:tcBorders>
      </w:tcPr>
    </w:tblStylePr>
    <w:tblStylePr w:type="lastRow">
      <w:pPr>
        <w:spacing w:before="0" w:after="0" w:line="240" w:lineRule="auto"/>
      </w:pPr>
      <w:rPr>
        <w:b/>
        <w:bCs/>
      </w:rPr>
      <w:tblPr/>
      <w:tcPr>
        <w:tcBorders>
          <w:top w:val="single" w:sz="8" w:space="0" w:color="749CC9" w:themeColor="accent3"/>
          <w:left w:val="nil"/>
          <w:bottom w:val="single" w:sz="8" w:space="0" w:color="749CC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CE6F1" w:themeFill="accent3" w:themeFillTint="3F"/>
      </w:tcPr>
    </w:tblStylePr>
    <w:tblStylePr w:type="band1Horz">
      <w:tblPr/>
      <w:tcPr>
        <w:tcBorders>
          <w:left w:val="nil"/>
          <w:right w:val="nil"/>
          <w:insideH w:val="nil"/>
          <w:insideV w:val="nil"/>
        </w:tcBorders>
        <w:shd w:val="clear" w:color="auto" w:fill="DCE6F1" w:themeFill="accent3" w:themeFillTint="3F"/>
      </w:tcPr>
    </w:tblStylePr>
  </w:style>
  <w:style w:type="table" w:styleId="LightShading-Accent5">
    <w:name w:val="Light Shading Accent 5"/>
    <w:basedOn w:val="TableNormal"/>
    <w:uiPriority w:val="60"/>
    <w:rsid w:val="00C00568"/>
    <w:pPr>
      <w:spacing w:before="0"/>
    </w:pPr>
    <w:rPr>
      <w:color w:val="0074A6" w:themeColor="accent5" w:themeShade="BF"/>
    </w:rPr>
    <w:tblPr>
      <w:tblStyleRowBandSize w:val="1"/>
      <w:tblStyleColBandSize w:val="1"/>
      <w:tblBorders>
        <w:top w:val="single" w:sz="8" w:space="0" w:color="009CDE" w:themeColor="accent5"/>
        <w:bottom w:val="single" w:sz="8" w:space="0" w:color="009CDE" w:themeColor="accent5"/>
      </w:tblBorders>
    </w:tblPr>
    <w:tblStylePr w:type="firstRow">
      <w:pPr>
        <w:spacing w:before="0" w:after="0" w:line="240" w:lineRule="auto"/>
      </w:pPr>
      <w:rPr>
        <w:b/>
        <w:bCs/>
      </w:rPr>
      <w:tblPr/>
      <w:tcPr>
        <w:tcBorders>
          <w:top w:val="single" w:sz="8" w:space="0" w:color="009CDE" w:themeColor="accent5"/>
          <w:left w:val="nil"/>
          <w:bottom w:val="single" w:sz="8" w:space="0" w:color="009CDE" w:themeColor="accent5"/>
          <w:right w:val="nil"/>
          <w:insideH w:val="nil"/>
          <w:insideV w:val="nil"/>
        </w:tcBorders>
      </w:tcPr>
    </w:tblStylePr>
    <w:tblStylePr w:type="lastRow">
      <w:pPr>
        <w:spacing w:before="0" w:after="0" w:line="240" w:lineRule="auto"/>
      </w:pPr>
      <w:rPr>
        <w:b/>
        <w:bCs/>
      </w:rPr>
      <w:tblPr/>
      <w:tcPr>
        <w:tcBorders>
          <w:top w:val="single" w:sz="8" w:space="0" w:color="009CDE" w:themeColor="accent5"/>
          <w:left w:val="nil"/>
          <w:bottom w:val="single" w:sz="8" w:space="0" w:color="009CD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E9FF" w:themeFill="accent5" w:themeFillTint="3F"/>
      </w:tcPr>
    </w:tblStylePr>
    <w:tblStylePr w:type="band1Horz">
      <w:tblPr/>
      <w:tcPr>
        <w:tcBorders>
          <w:left w:val="nil"/>
          <w:right w:val="nil"/>
          <w:insideH w:val="nil"/>
          <w:insideV w:val="nil"/>
        </w:tcBorders>
        <w:shd w:val="clear" w:color="auto" w:fill="B7E9FF" w:themeFill="accent5" w:themeFillTint="3F"/>
      </w:tcPr>
    </w:tblStylePr>
  </w:style>
  <w:style w:type="table" w:styleId="LightShading-Accent6">
    <w:name w:val="Light Shading Accent 6"/>
    <w:basedOn w:val="TableNormal"/>
    <w:uiPriority w:val="60"/>
    <w:rsid w:val="00C00568"/>
    <w:pPr>
      <w:spacing w:before="0"/>
    </w:pPr>
    <w:rPr>
      <w:color w:val="671F20" w:themeColor="accent6" w:themeShade="BF"/>
    </w:rPr>
    <w:tblPr>
      <w:tblStyleRowBandSize w:val="1"/>
      <w:tblStyleColBandSize w:val="1"/>
      <w:tblBorders>
        <w:top w:val="single" w:sz="8" w:space="0" w:color="8A2A2B" w:themeColor="accent6"/>
        <w:bottom w:val="single" w:sz="8" w:space="0" w:color="8A2A2B" w:themeColor="accent6"/>
      </w:tblBorders>
    </w:tblPr>
    <w:tblStylePr w:type="firstRow">
      <w:pPr>
        <w:spacing w:before="0" w:after="0" w:line="240" w:lineRule="auto"/>
      </w:pPr>
      <w:rPr>
        <w:b/>
        <w:bCs/>
      </w:rPr>
      <w:tblPr/>
      <w:tcPr>
        <w:tcBorders>
          <w:top w:val="single" w:sz="8" w:space="0" w:color="8A2A2B" w:themeColor="accent6"/>
          <w:left w:val="nil"/>
          <w:bottom w:val="single" w:sz="8" w:space="0" w:color="8A2A2B" w:themeColor="accent6"/>
          <w:right w:val="nil"/>
          <w:insideH w:val="nil"/>
          <w:insideV w:val="nil"/>
        </w:tcBorders>
      </w:tcPr>
    </w:tblStylePr>
    <w:tblStylePr w:type="lastRow">
      <w:pPr>
        <w:spacing w:before="0" w:after="0" w:line="240" w:lineRule="auto"/>
      </w:pPr>
      <w:rPr>
        <w:b/>
        <w:bCs/>
      </w:rPr>
      <w:tblPr/>
      <w:tcPr>
        <w:tcBorders>
          <w:top w:val="single" w:sz="8" w:space="0" w:color="8A2A2B" w:themeColor="accent6"/>
          <w:left w:val="nil"/>
          <w:bottom w:val="single" w:sz="8" w:space="0" w:color="8A2A2B"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CC0C0" w:themeFill="accent6" w:themeFillTint="3F"/>
      </w:tcPr>
    </w:tblStylePr>
    <w:tblStylePr w:type="band1Horz">
      <w:tblPr/>
      <w:tcPr>
        <w:tcBorders>
          <w:left w:val="nil"/>
          <w:right w:val="nil"/>
          <w:insideH w:val="nil"/>
          <w:insideV w:val="nil"/>
        </w:tcBorders>
        <w:shd w:val="clear" w:color="auto" w:fill="ECC0C0" w:themeFill="accent6" w:themeFillTint="3F"/>
      </w:tcPr>
    </w:tblStylePr>
  </w:style>
  <w:style w:type="character" w:styleId="LineNumber">
    <w:name w:val="line number"/>
    <w:basedOn w:val="DefaultParagraphFont"/>
    <w:uiPriority w:val="99"/>
    <w:semiHidden/>
    <w:unhideWhenUsed/>
    <w:rsid w:val="00C00568"/>
  </w:style>
  <w:style w:type="paragraph" w:styleId="List2">
    <w:name w:val="List 2"/>
    <w:basedOn w:val="Normal"/>
    <w:uiPriority w:val="29"/>
    <w:semiHidden/>
    <w:rsid w:val="00C00568"/>
    <w:pPr>
      <w:ind w:left="566" w:hanging="283"/>
      <w:contextualSpacing/>
    </w:pPr>
  </w:style>
  <w:style w:type="paragraph" w:styleId="List3">
    <w:name w:val="List 3"/>
    <w:basedOn w:val="Normal"/>
    <w:uiPriority w:val="29"/>
    <w:semiHidden/>
    <w:unhideWhenUsed/>
    <w:rsid w:val="00C00568"/>
    <w:pPr>
      <w:ind w:left="849" w:hanging="283"/>
      <w:contextualSpacing/>
    </w:pPr>
  </w:style>
  <w:style w:type="paragraph" w:styleId="List4">
    <w:name w:val="List 4"/>
    <w:basedOn w:val="Normal"/>
    <w:uiPriority w:val="29"/>
    <w:semiHidden/>
    <w:unhideWhenUsed/>
    <w:rsid w:val="00C00568"/>
    <w:pPr>
      <w:ind w:left="1132" w:hanging="283"/>
      <w:contextualSpacing/>
    </w:pPr>
  </w:style>
  <w:style w:type="paragraph" w:styleId="List5">
    <w:name w:val="List 5"/>
    <w:basedOn w:val="Normal"/>
    <w:uiPriority w:val="29"/>
    <w:semiHidden/>
    <w:unhideWhenUsed/>
    <w:rsid w:val="00C00568"/>
    <w:pPr>
      <w:ind w:left="1415" w:hanging="283"/>
      <w:contextualSpacing/>
    </w:pPr>
  </w:style>
  <w:style w:type="paragraph" w:styleId="MacroText">
    <w:name w:val="macro"/>
    <w:link w:val="MacroTextChar"/>
    <w:uiPriority w:val="99"/>
    <w:semiHidden/>
    <w:unhideWhenUsed/>
    <w:rsid w:val="00C00568"/>
    <w:pPr>
      <w:keepLines/>
      <w:tabs>
        <w:tab w:val="left" w:pos="480"/>
        <w:tab w:val="left" w:pos="960"/>
        <w:tab w:val="left" w:pos="1440"/>
        <w:tab w:val="left" w:pos="1920"/>
        <w:tab w:val="left" w:pos="2400"/>
        <w:tab w:val="left" w:pos="2880"/>
        <w:tab w:val="left" w:pos="3360"/>
        <w:tab w:val="left" w:pos="3840"/>
        <w:tab w:val="left" w:pos="4320"/>
      </w:tabs>
    </w:pPr>
    <w:rPr>
      <w:rFonts w:ascii="Consolas" w:hAnsi="Consolas" w:cs="Consolas"/>
      <w:sz w:val="20"/>
      <w:szCs w:val="20"/>
    </w:rPr>
  </w:style>
  <w:style w:type="character" w:customStyle="1" w:styleId="MacroTextChar">
    <w:name w:val="Macro Text Char"/>
    <w:basedOn w:val="DefaultParagraphFont"/>
    <w:link w:val="MacroText"/>
    <w:uiPriority w:val="99"/>
    <w:semiHidden/>
    <w:rsid w:val="00C00568"/>
    <w:rPr>
      <w:rFonts w:ascii="Consolas" w:hAnsi="Consolas" w:cs="Consolas"/>
      <w:sz w:val="20"/>
      <w:szCs w:val="20"/>
    </w:rPr>
  </w:style>
  <w:style w:type="table" w:styleId="MediumGrid1">
    <w:name w:val="Medium Grid 1"/>
    <w:basedOn w:val="TableNormal"/>
    <w:uiPriority w:val="67"/>
    <w:rsid w:val="00C00568"/>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00568"/>
    <w:pPr>
      <w:spacing w:before="0"/>
    </w:pPr>
    <w:tblPr>
      <w:tblStyleRowBandSize w:val="1"/>
      <w:tblStyleColBandSize w:val="1"/>
      <w:tblBorders>
        <w:top w:val="single" w:sz="8" w:space="0" w:color="0096FC" w:themeColor="accent1" w:themeTint="BF"/>
        <w:left w:val="single" w:sz="8" w:space="0" w:color="0096FC" w:themeColor="accent1" w:themeTint="BF"/>
        <w:bottom w:val="single" w:sz="8" w:space="0" w:color="0096FC" w:themeColor="accent1" w:themeTint="BF"/>
        <w:right w:val="single" w:sz="8" w:space="0" w:color="0096FC" w:themeColor="accent1" w:themeTint="BF"/>
        <w:insideH w:val="single" w:sz="8" w:space="0" w:color="0096FC" w:themeColor="accent1" w:themeTint="BF"/>
        <w:insideV w:val="single" w:sz="8" w:space="0" w:color="0096FC" w:themeColor="accent1" w:themeTint="BF"/>
      </w:tblBorders>
    </w:tblPr>
    <w:tcPr>
      <w:shd w:val="clear" w:color="auto" w:fill="AADCFF" w:themeFill="accent1" w:themeFillTint="3F"/>
    </w:tcPr>
    <w:tblStylePr w:type="firstRow">
      <w:rPr>
        <w:b/>
        <w:bCs/>
      </w:rPr>
    </w:tblStylePr>
    <w:tblStylePr w:type="lastRow">
      <w:rPr>
        <w:b/>
        <w:bCs/>
      </w:rPr>
      <w:tblPr/>
      <w:tcPr>
        <w:tcBorders>
          <w:top w:val="single" w:sz="18" w:space="0" w:color="0096FC" w:themeColor="accent1" w:themeTint="BF"/>
        </w:tcBorders>
      </w:tcPr>
    </w:tblStylePr>
    <w:tblStylePr w:type="firstCol">
      <w:rPr>
        <w:b/>
        <w:bCs/>
      </w:rPr>
    </w:tblStylePr>
    <w:tblStylePr w:type="lastCol">
      <w:rPr>
        <w:b/>
        <w:bCs/>
      </w:rPr>
    </w:tblStylePr>
    <w:tblStylePr w:type="band1Vert">
      <w:tblPr/>
      <w:tcPr>
        <w:shd w:val="clear" w:color="auto" w:fill="53B9FF" w:themeFill="accent1" w:themeFillTint="7F"/>
      </w:tcPr>
    </w:tblStylePr>
    <w:tblStylePr w:type="band1Horz">
      <w:tblPr/>
      <w:tcPr>
        <w:shd w:val="clear" w:color="auto" w:fill="53B9FF" w:themeFill="accent1" w:themeFillTint="7F"/>
      </w:tcPr>
    </w:tblStylePr>
  </w:style>
  <w:style w:type="table" w:styleId="MediumGrid1-Accent2">
    <w:name w:val="Medium Grid 1 Accent 2"/>
    <w:basedOn w:val="TableNormal"/>
    <w:uiPriority w:val="67"/>
    <w:rsid w:val="00C00568"/>
    <w:pPr>
      <w:spacing w:before="0"/>
    </w:pPr>
    <w:tblPr>
      <w:tblStyleRowBandSize w:val="1"/>
      <w:tblStyleColBandSize w:val="1"/>
      <w:tblBorders>
        <w:top w:val="single" w:sz="8" w:space="0" w:color="0082DB" w:themeColor="accent2" w:themeTint="BF"/>
        <w:left w:val="single" w:sz="8" w:space="0" w:color="0082DB" w:themeColor="accent2" w:themeTint="BF"/>
        <w:bottom w:val="single" w:sz="8" w:space="0" w:color="0082DB" w:themeColor="accent2" w:themeTint="BF"/>
        <w:right w:val="single" w:sz="8" w:space="0" w:color="0082DB" w:themeColor="accent2" w:themeTint="BF"/>
        <w:insideH w:val="single" w:sz="8" w:space="0" w:color="0082DB" w:themeColor="accent2" w:themeTint="BF"/>
        <w:insideV w:val="single" w:sz="8" w:space="0" w:color="0082DB" w:themeColor="accent2" w:themeTint="BF"/>
      </w:tblBorders>
    </w:tblPr>
    <w:tcPr>
      <w:shd w:val="clear" w:color="auto" w:fill="9FD8FF" w:themeFill="accent2" w:themeFillTint="3F"/>
    </w:tcPr>
    <w:tblStylePr w:type="firstRow">
      <w:rPr>
        <w:b/>
        <w:bCs/>
      </w:rPr>
    </w:tblStylePr>
    <w:tblStylePr w:type="lastRow">
      <w:rPr>
        <w:b/>
        <w:bCs/>
      </w:rPr>
      <w:tblPr/>
      <w:tcPr>
        <w:tcBorders>
          <w:top w:val="single" w:sz="18" w:space="0" w:color="0082DB" w:themeColor="accent2" w:themeTint="BF"/>
        </w:tcBorders>
      </w:tcPr>
    </w:tblStylePr>
    <w:tblStylePr w:type="firstCol">
      <w:rPr>
        <w:b/>
        <w:bCs/>
      </w:rPr>
    </w:tblStylePr>
    <w:tblStylePr w:type="lastCol">
      <w:rPr>
        <w:b/>
        <w:bCs/>
      </w:rPr>
    </w:tblStylePr>
    <w:tblStylePr w:type="band1Vert">
      <w:tblPr/>
      <w:tcPr>
        <w:shd w:val="clear" w:color="auto" w:fill="3DB0FF" w:themeFill="accent2" w:themeFillTint="7F"/>
      </w:tcPr>
    </w:tblStylePr>
    <w:tblStylePr w:type="band1Horz">
      <w:tblPr/>
      <w:tcPr>
        <w:shd w:val="clear" w:color="auto" w:fill="3DB0FF" w:themeFill="accent2" w:themeFillTint="7F"/>
      </w:tcPr>
    </w:tblStylePr>
  </w:style>
  <w:style w:type="table" w:styleId="MediumGrid1-Accent3">
    <w:name w:val="Medium Grid 1 Accent 3"/>
    <w:basedOn w:val="TableNormal"/>
    <w:uiPriority w:val="67"/>
    <w:rsid w:val="00C00568"/>
    <w:pPr>
      <w:spacing w:before="0"/>
    </w:pPr>
    <w:tblPr>
      <w:tblStyleRowBandSize w:val="1"/>
      <w:tblStyleColBandSize w:val="1"/>
      <w:tblBorders>
        <w:top w:val="single" w:sz="8" w:space="0" w:color="96B4D6" w:themeColor="accent3" w:themeTint="BF"/>
        <w:left w:val="single" w:sz="8" w:space="0" w:color="96B4D6" w:themeColor="accent3" w:themeTint="BF"/>
        <w:bottom w:val="single" w:sz="8" w:space="0" w:color="96B4D6" w:themeColor="accent3" w:themeTint="BF"/>
        <w:right w:val="single" w:sz="8" w:space="0" w:color="96B4D6" w:themeColor="accent3" w:themeTint="BF"/>
        <w:insideH w:val="single" w:sz="8" w:space="0" w:color="96B4D6" w:themeColor="accent3" w:themeTint="BF"/>
        <w:insideV w:val="single" w:sz="8" w:space="0" w:color="96B4D6" w:themeColor="accent3" w:themeTint="BF"/>
      </w:tblBorders>
    </w:tblPr>
    <w:tcPr>
      <w:shd w:val="clear" w:color="auto" w:fill="DCE6F1" w:themeFill="accent3" w:themeFillTint="3F"/>
    </w:tcPr>
    <w:tblStylePr w:type="firstRow">
      <w:rPr>
        <w:b/>
        <w:bCs/>
      </w:rPr>
    </w:tblStylePr>
    <w:tblStylePr w:type="lastRow">
      <w:rPr>
        <w:b/>
        <w:bCs/>
      </w:rPr>
      <w:tblPr/>
      <w:tcPr>
        <w:tcBorders>
          <w:top w:val="single" w:sz="18" w:space="0" w:color="96B4D6" w:themeColor="accent3" w:themeTint="BF"/>
        </w:tcBorders>
      </w:tcPr>
    </w:tblStylePr>
    <w:tblStylePr w:type="firstCol">
      <w:rPr>
        <w:b/>
        <w:bCs/>
      </w:rPr>
    </w:tblStylePr>
    <w:tblStylePr w:type="lastCol">
      <w:rPr>
        <w:b/>
        <w:bCs/>
      </w:rPr>
    </w:tblStylePr>
    <w:tblStylePr w:type="band1Vert">
      <w:tblPr/>
      <w:tcPr>
        <w:shd w:val="clear" w:color="auto" w:fill="B9CDE4" w:themeFill="accent3" w:themeFillTint="7F"/>
      </w:tcPr>
    </w:tblStylePr>
    <w:tblStylePr w:type="band1Horz">
      <w:tblPr/>
      <w:tcPr>
        <w:shd w:val="clear" w:color="auto" w:fill="B9CDE4" w:themeFill="accent3" w:themeFillTint="7F"/>
      </w:tcPr>
    </w:tblStylePr>
  </w:style>
  <w:style w:type="table" w:styleId="MediumGrid1-Accent4">
    <w:name w:val="Medium Grid 1 Accent 4"/>
    <w:basedOn w:val="TableNormal"/>
    <w:uiPriority w:val="67"/>
    <w:rsid w:val="00C00568"/>
    <w:pPr>
      <w:spacing w:before="0"/>
    </w:pPr>
    <w:tblPr>
      <w:tblStyleRowBandSize w:val="1"/>
      <w:tblStyleColBandSize w:val="1"/>
      <w:tblBorders>
        <w:top w:val="single" w:sz="8" w:space="0" w:color="1B99FF" w:themeColor="accent4" w:themeTint="BF"/>
        <w:left w:val="single" w:sz="8" w:space="0" w:color="1B99FF" w:themeColor="accent4" w:themeTint="BF"/>
        <w:bottom w:val="single" w:sz="8" w:space="0" w:color="1B99FF" w:themeColor="accent4" w:themeTint="BF"/>
        <w:right w:val="single" w:sz="8" w:space="0" w:color="1B99FF" w:themeColor="accent4" w:themeTint="BF"/>
        <w:insideH w:val="single" w:sz="8" w:space="0" w:color="1B99FF" w:themeColor="accent4" w:themeTint="BF"/>
        <w:insideV w:val="single" w:sz="8" w:space="0" w:color="1B99FF" w:themeColor="accent4" w:themeTint="BF"/>
      </w:tblBorders>
    </w:tblPr>
    <w:tcPr>
      <w:shd w:val="clear" w:color="auto" w:fill="B3DDFF" w:themeFill="accent4" w:themeFillTint="3F"/>
    </w:tcPr>
    <w:tblStylePr w:type="firstRow">
      <w:rPr>
        <w:b/>
        <w:bCs/>
      </w:rPr>
    </w:tblStylePr>
    <w:tblStylePr w:type="lastRow">
      <w:rPr>
        <w:b/>
        <w:bCs/>
      </w:rPr>
      <w:tblPr/>
      <w:tcPr>
        <w:tcBorders>
          <w:top w:val="single" w:sz="18" w:space="0" w:color="1B99FF" w:themeColor="accent4" w:themeTint="BF"/>
        </w:tcBorders>
      </w:tcPr>
    </w:tblStylePr>
    <w:tblStylePr w:type="firstCol">
      <w:rPr>
        <w:b/>
        <w:bCs/>
      </w:rPr>
    </w:tblStylePr>
    <w:tblStylePr w:type="lastCol">
      <w:rPr>
        <w:b/>
        <w:bCs/>
      </w:rPr>
    </w:tblStylePr>
    <w:tblStylePr w:type="band1Vert">
      <w:tblPr/>
      <w:tcPr>
        <w:shd w:val="clear" w:color="auto" w:fill="67BBFF" w:themeFill="accent4" w:themeFillTint="7F"/>
      </w:tcPr>
    </w:tblStylePr>
    <w:tblStylePr w:type="band1Horz">
      <w:tblPr/>
      <w:tcPr>
        <w:shd w:val="clear" w:color="auto" w:fill="67BBFF" w:themeFill="accent4" w:themeFillTint="7F"/>
      </w:tcPr>
    </w:tblStylePr>
  </w:style>
  <w:style w:type="table" w:styleId="MediumGrid1-Accent5">
    <w:name w:val="Medium Grid 1 Accent 5"/>
    <w:basedOn w:val="TableNormal"/>
    <w:uiPriority w:val="67"/>
    <w:rsid w:val="00C00568"/>
    <w:pPr>
      <w:spacing w:before="0"/>
    </w:pPr>
    <w:tblPr>
      <w:tblStyleRowBandSize w:val="1"/>
      <w:tblStyleColBandSize w:val="1"/>
      <w:tblBorders>
        <w:top w:val="single" w:sz="8" w:space="0" w:color="27BEFF" w:themeColor="accent5" w:themeTint="BF"/>
        <w:left w:val="single" w:sz="8" w:space="0" w:color="27BEFF" w:themeColor="accent5" w:themeTint="BF"/>
        <w:bottom w:val="single" w:sz="8" w:space="0" w:color="27BEFF" w:themeColor="accent5" w:themeTint="BF"/>
        <w:right w:val="single" w:sz="8" w:space="0" w:color="27BEFF" w:themeColor="accent5" w:themeTint="BF"/>
        <w:insideH w:val="single" w:sz="8" w:space="0" w:color="27BEFF" w:themeColor="accent5" w:themeTint="BF"/>
        <w:insideV w:val="single" w:sz="8" w:space="0" w:color="27BEFF" w:themeColor="accent5" w:themeTint="BF"/>
      </w:tblBorders>
    </w:tblPr>
    <w:tcPr>
      <w:shd w:val="clear" w:color="auto" w:fill="B7E9FF" w:themeFill="accent5" w:themeFillTint="3F"/>
    </w:tcPr>
    <w:tblStylePr w:type="firstRow">
      <w:rPr>
        <w:b/>
        <w:bCs/>
      </w:rPr>
    </w:tblStylePr>
    <w:tblStylePr w:type="lastRow">
      <w:rPr>
        <w:b/>
        <w:bCs/>
      </w:rPr>
      <w:tblPr/>
      <w:tcPr>
        <w:tcBorders>
          <w:top w:val="single" w:sz="18" w:space="0" w:color="27BEFF" w:themeColor="accent5" w:themeTint="BF"/>
        </w:tcBorders>
      </w:tcPr>
    </w:tblStylePr>
    <w:tblStylePr w:type="firstCol">
      <w:rPr>
        <w:b/>
        <w:bCs/>
      </w:rPr>
    </w:tblStylePr>
    <w:tblStylePr w:type="lastCol">
      <w:rPr>
        <w:b/>
        <w:bCs/>
      </w:rPr>
    </w:tblStylePr>
    <w:tblStylePr w:type="band1Vert">
      <w:tblPr/>
      <w:tcPr>
        <w:shd w:val="clear" w:color="auto" w:fill="6FD4FF" w:themeFill="accent5" w:themeFillTint="7F"/>
      </w:tcPr>
    </w:tblStylePr>
    <w:tblStylePr w:type="band1Horz">
      <w:tblPr/>
      <w:tcPr>
        <w:shd w:val="clear" w:color="auto" w:fill="6FD4FF" w:themeFill="accent5" w:themeFillTint="7F"/>
      </w:tcPr>
    </w:tblStylePr>
  </w:style>
  <w:style w:type="table" w:styleId="MediumGrid1-Accent6">
    <w:name w:val="Medium Grid 1 Accent 6"/>
    <w:basedOn w:val="TableNormal"/>
    <w:uiPriority w:val="67"/>
    <w:rsid w:val="00C00568"/>
    <w:pPr>
      <w:spacing w:before="0"/>
    </w:pPr>
    <w:tblPr>
      <w:tblStyleRowBandSize w:val="1"/>
      <w:tblStyleColBandSize w:val="1"/>
      <w:tblBorders>
        <w:top w:val="single" w:sz="8" w:space="0" w:color="C54142" w:themeColor="accent6" w:themeTint="BF"/>
        <w:left w:val="single" w:sz="8" w:space="0" w:color="C54142" w:themeColor="accent6" w:themeTint="BF"/>
        <w:bottom w:val="single" w:sz="8" w:space="0" w:color="C54142" w:themeColor="accent6" w:themeTint="BF"/>
        <w:right w:val="single" w:sz="8" w:space="0" w:color="C54142" w:themeColor="accent6" w:themeTint="BF"/>
        <w:insideH w:val="single" w:sz="8" w:space="0" w:color="C54142" w:themeColor="accent6" w:themeTint="BF"/>
        <w:insideV w:val="single" w:sz="8" w:space="0" w:color="C54142" w:themeColor="accent6" w:themeTint="BF"/>
      </w:tblBorders>
    </w:tblPr>
    <w:tcPr>
      <w:shd w:val="clear" w:color="auto" w:fill="ECC0C0" w:themeFill="accent6" w:themeFillTint="3F"/>
    </w:tcPr>
    <w:tblStylePr w:type="firstRow">
      <w:rPr>
        <w:b/>
        <w:bCs/>
      </w:rPr>
    </w:tblStylePr>
    <w:tblStylePr w:type="lastRow">
      <w:rPr>
        <w:b/>
        <w:bCs/>
      </w:rPr>
      <w:tblPr/>
      <w:tcPr>
        <w:tcBorders>
          <w:top w:val="single" w:sz="18" w:space="0" w:color="C54142" w:themeColor="accent6" w:themeTint="BF"/>
        </w:tcBorders>
      </w:tcPr>
    </w:tblStylePr>
    <w:tblStylePr w:type="firstCol">
      <w:rPr>
        <w:b/>
        <w:bCs/>
      </w:rPr>
    </w:tblStylePr>
    <w:tblStylePr w:type="lastCol">
      <w:rPr>
        <w:b/>
        <w:bCs/>
      </w:rPr>
    </w:tblStylePr>
    <w:tblStylePr w:type="band1Vert">
      <w:tblPr/>
      <w:tcPr>
        <w:shd w:val="clear" w:color="auto" w:fill="D88081" w:themeFill="accent6" w:themeFillTint="7F"/>
      </w:tcPr>
    </w:tblStylePr>
    <w:tblStylePr w:type="band1Horz">
      <w:tblPr/>
      <w:tcPr>
        <w:shd w:val="clear" w:color="auto" w:fill="D88081" w:themeFill="accent6" w:themeFillTint="7F"/>
      </w:tcPr>
    </w:tblStylePr>
  </w:style>
  <w:style w:type="table" w:styleId="MediumGrid2">
    <w:name w:val="Medium Grid 2"/>
    <w:basedOn w:val="TableNormal"/>
    <w:uiPriority w:val="68"/>
    <w:rsid w:val="00C00568"/>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00568"/>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0063A6" w:themeColor="accent1"/>
        <w:left w:val="single" w:sz="8" w:space="0" w:color="0063A6" w:themeColor="accent1"/>
        <w:bottom w:val="single" w:sz="8" w:space="0" w:color="0063A6" w:themeColor="accent1"/>
        <w:right w:val="single" w:sz="8" w:space="0" w:color="0063A6" w:themeColor="accent1"/>
        <w:insideH w:val="single" w:sz="8" w:space="0" w:color="0063A6" w:themeColor="accent1"/>
        <w:insideV w:val="single" w:sz="8" w:space="0" w:color="0063A6" w:themeColor="accent1"/>
      </w:tblBorders>
    </w:tblPr>
    <w:tcPr>
      <w:shd w:val="clear" w:color="auto" w:fill="AADCFF" w:themeFill="accent1" w:themeFillTint="3F"/>
    </w:tcPr>
    <w:tblStylePr w:type="firstRow">
      <w:rPr>
        <w:b/>
        <w:bCs/>
        <w:color w:val="000000" w:themeColor="text1"/>
      </w:rPr>
      <w:tblPr/>
      <w:tcPr>
        <w:shd w:val="clear" w:color="auto" w:fill="DDF1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AE3FF" w:themeFill="accent1" w:themeFillTint="33"/>
      </w:tcPr>
    </w:tblStylePr>
    <w:tblStylePr w:type="band1Vert">
      <w:tblPr/>
      <w:tcPr>
        <w:shd w:val="clear" w:color="auto" w:fill="53B9FF" w:themeFill="accent1" w:themeFillTint="7F"/>
      </w:tcPr>
    </w:tblStylePr>
    <w:tblStylePr w:type="band1Horz">
      <w:tblPr/>
      <w:tcPr>
        <w:tcBorders>
          <w:insideH w:val="single" w:sz="6" w:space="0" w:color="0063A6" w:themeColor="accent1"/>
          <w:insideV w:val="single" w:sz="6" w:space="0" w:color="0063A6" w:themeColor="accent1"/>
        </w:tcBorders>
        <w:shd w:val="clear" w:color="auto" w:fill="53B9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00568"/>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00497A" w:themeColor="accent2"/>
        <w:left w:val="single" w:sz="8" w:space="0" w:color="00497A" w:themeColor="accent2"/>
        <w:bottom w:val="single" w:sz="8" w:space="0" w:color="00497A" w:themeColor="accent2"/>
        <w:right w:val="single" w:sz="8" w:space="0" w:color="00497A" w:themeColor="accent2"/>
        <w:insideH w:val="single" w:sz="8" w:space="0" w:color="00497A" w:themeColor="accent2"/>
        <w:insideV w:val="single" w:sz="8" w:space="0" w:color="00497A" w:themeColor="accent2"/>
      </w:tblBorders>
    </w:tblPr>
    <w:tcPr>
      <w:shd w:val="clear" w:color="auto" w:fill="9FD8FF" w:themeFill="accent2" w:themeFillTint="3F"/>
    </w:tcPr>
    <w:tblStylePr w:type="firstRow">
      <w:rPr>
        <w:b/>
        <w:bCs/>
        <w:color w:val="000000" w:themeColor="text1"/>
      </w:rPr>
      <w:tblPr/>
      <w:tcPr>
        <w:shd w:val="clear" w:color="auto" w:fill="D8EF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1DFFF" w:themeFill="accent2" w:themeFillTint="33"/>
      </w:tcPr>
    </w:tblStylePr>
    <w:tblStylePr w:type="band1Vert">
      <w:tblPr/>
      <w:tcPr>
        <w:shd w:val="clear" w:color="auto" w:fill="3DB0FF" w:themeFill="accent2" w:themeFillTint="7F"/>
      </w:tcPr>
    </w:tblStylePr>
    <w:tblStylePr w:type="band1Horz">
      <w:tblPr/>
      <w:tcPr>
        <w:tcBorders>
          <w:insideH w:val="single" w:sz="6" w:space="0" w:color="00497A" w:themeColor="accent2"/>
          <w:insideV w:val="single" w:sz="6" w:space="0" w:color="00497A" w:themeColor="accent2"/>
        </w:tcBorders>
        <w:shd w:val="clear" w:color="auto" w:fill="3DB0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00568"/>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749CC9" w:themeColor="accent3"/>
        <w:left w:val="single" w:sz="8" w:space="0" w:color="749CC9" w:themeColor="accent3"/>
        <w:bottom w:val="single" w:sz="8" w:space="0" w:color="749CC9" w:themeColor="accent3"/>
        <w:right w:val="single" w:sz="8" w:space="0" w:color="749CC9" w:themeColor="accent3"/>
        <w:insideH w:val="single" w:sz="8" w:space="0" w:color="749CC9" w:themeColor="accent3"/>
        <w:insideV w:val="single" w:sz="8" w:space="0" w:color="749CC9" w:themeColor="accent3"/>
      </w:tblBorders>
    </w:tblPr>
    <w:tcPr>
      <w:shd w:val="clear" w:color="auto" w:fill="DCE6F1" w:themeFill="accent3" w:themeFillTint="3F"/>
    </w:tcPr>
    <w:tblStylePr w:type="firstRow">
      <w:rPr>
        <w:b/>
        <w:bCs/>
        <w:color w:val="000000" w:themeColor="text1"/>
      </w:rPr>
      <w:tblPr/>
      <w:tcPr>
        <w:shd w:val="clear" w:color="auto" w:fill="F1F5F9"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BF4" w:themeFill="accent3" w:themeFillTint="33"/>
      </w:tcPr>
    </w:tblStylePr>
    <w:tblStylePr w:type="band1Vert">
      <w:tblPr/>
      <w:tcPr>
        <w:shd w:val="clear" w:color="auto" w:fill="B9CDE4" w:themeFill="accent3" w:themeFillTint="7F"/>
      </w:tcPr>
    </w:tblStylePr>
    <w:tblStylePr w:type="band1Horz">
      <w:tblPr/>
      <w:tcPr>
        <w:tcBorders>
          <w:insideH w:val="single" w:sz="6" w:space="0" w:color="749CC9" w:themeColor="accent3"/>
          <w:insideV w:val="single" w:sz="6" w:space="0" w:color="749CC9" w:themeColor="accent3"/>
        </w:tcBorders>
        <w:shd w:val="clear" w:color="auto" w:fill="B9CDE4"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00568"/>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0072CE" w:themeColor="accent4"/>
        <w:left w:val="single" w:sz="8" w:space="0" w:color="0072CE" w:themeColor="accent4"/>
        <w:bottom w:val="single" w:sz="8" w:space="0" w:color="0072CE" w:themeColor="accent4"/>
        <w:right w:val="single" w:sz="8" w:space="0" w:color="0072CE" w:themeColor="accent4"/>
        <w:insideH w:val="single" w:sz="8" w:space="0" w:color="0072CE" w:themeColor="accent4"/>
        <w:insideV w:val="single" w:sz="8" w:space="0" w:color="0072CE" w:themeColor="accent4"/>
      </w:tblBorders>
    </w:tblPr>
    <w:tcPr>
      <w:shd w:val="clear" w:color="auto" w:fill="B3DDFF" w:themeFill="accent4" w:themeFillTint="3F"/>
    </w:tcPr>
    <w:tblStylePr w:type="firstRow">
      <w:rPr>
        <w:b/>
        <w:bCs/>
        <w:color w:val="000000" w:themeColor="text1"/>
      </w:rPr>
      <w:tblPr/>
      <w:tcPr>
        <w:shd w:val="clear" w:color="auto" w:fill="E1F1F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E3FF" w:themeFill="accent4" w:themeFillTint="33"/>
      </w:tcPr>
    </w:tblStylePr>
    <w:tblStylePr w:type="band1Vert">
      <w:tblPr/>
      <w:tcPr>
        <w:shd w:val="clear" w:color="auto" w:fill="67BBFF" w:themeFill="accent4" w:themeFillTint="7F"/>
      </w:tcPr>
    </w:tblStylePr>
    <w:tblStylePr w:type="band1Horz">
      <w:tblPr/>
      <w:tcPr>
        <w:tcBorders>
          <w:insideH w:val="single" w:sz="6" w:space="0" w:color="0072CE" w:themeColor="accent4"/>
          <w:insideV w:val="single" w:sz="6" w:space="0" w:color="0072CE" w:themeColor="accent4"/>
        </w:tcBorders>
        <w:shd w:val="clear" w:color="auto" w:fill="67BBF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00568"/>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009CDE" w:themeColor="accent5"/>
        <w:left w:val="single" w:sz="8" w:space="0" w:color="009CDE" w:themeColor="accent5"/>
        <w:bottom w:val="single" w:sz="8" w:space="0" w:color="009CDE" w:themeColor="accent5"/>
        <w:right w:val="single" w:sz="8" w:space="0" w:color="009CDE" w:themeColor="accent5"/>
        <w:insideH w:val="single" w:sz="8" w:space="0" w:color="009CDE" w:themeColor="accent5"/>
        <w:insideV w:val="single" w:sz="8" w:space="0" w:color="009CDE" w:themeColor="accent5"/>
      </w:tblBorders>
    </w:tblPr>
    <w:tcPr>
      <w:shd w:val="clear" w:color="auto" w:fill="B7E9FF" w:themeFill="accent5" w:themeFillTint="3F"/>
    </w:tcPr>
    <w:tblStylePr w:type="firstRow">
      <w:rPr>
        <w:b/>
        <w:bCs/>
        <w:color w:val="000000" w:themeColor="text1"/>
      </w:rPr>
      <w:tblPr/>
      <w:tcPr>
        <w:shd w:val="clear" w:color="auto" w:fill="E2F6F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EDFF" w:themeFill="accent5" w:themeFillTint="33"/>
      </w:tcPr>
    </w:tblStylePr>
    <w:tblStylePr w:type="band1Vert">
      <w:tblPr/>
      <w:tcPr>
        <w:shd w:val="clear" w:color="auto" w:fill="6FD4FF" w:themeFill="accent5" w:themeFillTint="7F"/>
      </w:tcPr>
    </w:tblStylePr>
    <w:tblStylePr w:type="band1Horz">
      <w:tblPr/>
      <w:tcPr>
        <w:tcBorders>
          <w:insideH w:val="single" w:sz="6" w:space="0" w:color="009CDE" w:themeColor="accent5"/>
          <w:insideV w:val="single" w:sz="6" w:space="0" w:color="009CDE" w:themeColor="accent5"/>
        </w:tcBorders>
        <w:shd w:val="clear" w:color="auto" w:fill="6FD4F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00568"/>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8A2A2B" w:themeColor="accent6"/>
        <w:left w:val="single" w:sz="8" w:space="0" w:color="8A2A2B" w:themeColor="accent6"/>
        <w:bottom w:val="single" w:sz="8" w:space="0" w:color="8A2A2B" w:themeColor="accent6"/>
        <w:right w:val="single" w:sz="8" w:space="0" w:color="8A2A2B" w:themeColor="accent6"/>
        <w:insideH w:val="single" w:sz="8" w:space="0" w:color="8A2A2B" w:themeColor="accent6"/>
        <w:insideV w:val="single" w:sz="8" w:space="0" w:color="8A2A2B" w:themeColor="accent6"/>
      </w:tblBorders>
    </w:tblPr>
    <w:tcPr>
      <w:shd w:val="clear" w:color="auto" w:fill="ECC0C0" w:themeFill="accent6" w:themeFillTint="3F"/>
    </w:tcPr>
    <w:tblStylePr w:type="firstRow">
      <w:rPr>
        <w:b/>
        <w:bCs/>
        <w:color w:val="000000" w:themeColor="text1"/>
      </w:rPr>
      <w:tblPr/>
      <w:tcPr>
        <w:shd w:val="clear" w:color="auto" w:fill="F7E5E5"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CCCC" w:themeFill="accent6" w:themeFillTint="33"/>
      </w:tcPr>
    </w:tblStylePr>
    <w:tblStylePr w:type="band1Vert">
      <w:tblPr/>
      <w:tcPr>
        <w:shd w:val="clear" w:color="auto" w:fill="D88081" w:themeFill="accent6" w:themeFillTint="7F"/>
      </w:tcPr>
    </w:tblStylePr>
    <w:tblStylePr w:type="band1Horz">
      <w:tblPr/>
      <w:tcPr>
        <w:tcBorders>
          <w:insideH w:val="single" w:sz="6" w:space="0" w:color="8A2A2B" w:themeColor="accent6"/>
          <w:insideV w:val="single" w:sz="6" w:space="0" w:color="8A2A2B" w:themeColor="accent6"/>
        </w:tcBorders>
        <w:shd w:val="clear" w:color="auto" w:fill="D88081"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00568"/>
    <w:pPr>
      <w:spacing w:before="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00568"/>
    <w:pPr>
      <w:spacing w:before="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ADC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63A6"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63A6"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63A6"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63A6"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3B9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3B9FF" w:themeFill="accent1" w:themeFillTint="7F"/>
      </w:tcPr>
    </w:tblStylePr>
  </w:style>
  <w:style w:type="table" w:styleId="MediumGrid3-Accent2">
    <w:name w:val="Medium Grid 3 Accent 2"/>
    <w:basedOn w:val="TableNormal"/>
    <w:uiPriority w:val="69"/>
    <w:rsid w:val="00C00568"/>
    <w:pPr>
      <w:spacing w:before="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FD8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497A"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497A"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497A"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497A"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DB0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DB0FF" w:themeFill="accent2" w:themeFillTint="7F"/>
      </w:tcPr>
    </w:tblStylePr>
  </w:style>
  <w:style w:type="table" w:styleId="MediumGrid3-Accent3">
    <w:name w:val="Medium Grid 3 Accent 3"/>
    <w:basedOn w:val="TableNormal"/>
    <w:uiPriority w:val="69"/>
    <w:rsid w:val="00C00568"/>
    <w:pPr>
      <w:spacing w:before="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CE6F1"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49CC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49CC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49CC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49CC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9CDE4"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9CDE4" w:themeFill="accent3" w:themeFillTint="7F"/>
      </w:tcPr>
    </w:tblStylePr>
  </w:style>
  <w:style w:type="table" w:styleId="MediumGrid3-Accent4">
    <w:name w:val="Medium Grid 3 Accent 4"/>
    <w:basedOn w:val="TableNormal"/>
    <w:uiPriority w:val="69"/>
    <w:rsid w:val="00C00568"/>
    <w:pPr>
      <w:spacing w:before="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DDF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2CE"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2CE"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2CE"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2CE"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BBF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BBFF" w:themeFill="accent4" w:themeFillTint="7F"/>
      </w:tcPr>
    </w:tblStylePr>
  </w:style>
  <w:style w:type="table" w:styleId="MediumGrid3-Accent5">
    <w:name w:val="Medium Grid 3 Accent 5"/>
    <w:basedOn w:val="TableNormal"/>
    <w:uiPriority w:val="69"/>
    <w:rsid w:val="00C00568"/>
    <w:pPr>
      <w:spacing w:before="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E9F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CDE"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CDE"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CDE"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CDE"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FD4F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FD4FF" w:themeFill="accent5" w:themeFillTint="7F"/>
      </w:tcPr>
    </w:tblStylePr>
  </w:style>
  <w:style w:type="table" w:styleId="MediumGrid3-Accent6">
    <w:name w:val="Medium Grid 3 Accent 6"/>
    <w:basedOn w:val="TableNormal"/>
    <w:uiPriority w:val="69"/>
    <w:rsid w:val="00C00568"/>
    <w:pPr>
      <w:spacing w:before="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CC0C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A2A2B"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A2A2B"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A2A2B"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A2A2B"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8081"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8081" w:themeFill="accent6" w:themeFillTint="7F"/>
      </w:tcPr>
    </w:tblStylePr>
  </w:style>
  <w:style w:type="table" w:styleId="MediumList1">
    <w:name w:val="Medium List 1"/>
    <w:basedOn w:val="TableNormal"/>
    <w:uiPriority w:val="65"/>
    <w:rsid w:val="00C00568"/>
    <w:pPr>
      <w:spacing w:before="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201547"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00568"/>
    <w:pPr>
      <w:spacing w:before="0"/>
    </w:pPr>
    <w:rPr>
      <w:color w:val="000000" w:themeColor="text1"/>
    </w:rPr>
    <w:tblPr>
      <w:tblStyleRowBandSize w:val="1"/>
      <w:tblStyleColBandSize w:val="1"/>
      <w:tblBorders>
        <w:top w:val="single" w:sz="8" w:space="0" w:color="0063A6" w:themeColor="accent1"/>
        <w:bottom w:val="single" w:sz="8" w:space="0" w:color="0063A6" w:themeColor="accent1"/>
      </w:tblBorders>
    </w:tblPr>
    <w:tblStylePr w:type="firstRow">
      <w:rPr>
        <w:rFonts w:asciiTheme="majorHAnsi" w:eastAsiaTheme="majorEastAsia" w:hAnsiTheme="majorHAnsi" w:cstheme="majorBidi"/>
      </w:rPr>
      <w:tblPr/>
      <w:tcPr>
        <w:tcBorders>
          <w:top w:val="nil"/>
          <w:bottom w:val="single" w:sz="8" w:space="0" w:color="0063A6" w:themeColor="accent1"/>
        </w:tcBorders>
      </w:tcPr>
    </w:tblStylePr>
    <w:tblStylePr w:type="lastRow">
      <w:rPr>
        <w:b/>
        <w:bCs/>
        <w:color w:val="201547" w:themeColor="text2"/>
      </w:rPr>
      <w:tblPr/>
      <w:tcPr>
        <w:tcBorders>
          <w:top w:val="single" w:sz="8" w:space="0" w:color="0063A6" w:themeColor="accent1"/>
          <w:bottom w:val="single" w:sz="8" w:space="0" w:color="0063A6" w:themeColor="accent1"/>
        </w:tcBorders>
      </w:tcPr>
    </w:tblStylePr>
    <w:tblStylePr w:type="firstCol">
      <w:rPr>
        <w:b/>
        <w:bCs/>
      </w:rPr>
    </w:tblStylePr>
    <w:tblStylePr w:type="lastCol">
      <w:rPr>
        <w:b/>
        <w:bCs/>
      </w:rPr>
      <w:tblPr/>
      <w:tcPr>
        <w:tcBorders>
          <w:top w:val="single" w:sz="8" w:space="0" w:color="0063A6" w:themeColor="accent1"/>
          <w:bottom w:val="single" w:sz="8" w:space="0" w:color="0063A6" w:themeColor="accent1"/>
        </w:tcBorders>
      </w:tcPr>
    </w:tblStylePr>
    <w:tblStylePr w:type="band1Vert">
      <w:tblPr/>
      <w:tcPr>
        <w:shd w:val="clear" w:color="auto" w:fill="AADCFF" w:themeFill="accent1" w:themeFillTint="3F"/>
      </w:tcPr>
    </w:tblStylePr>
    <w:tblStylePr w:type="band1Horz">
      <w:tblPr/>
      <w:tcPr>
        <w:shd w:val="clear" w:color="auto" w:fill="AADCFF" w:themeFill="accent1" w:themeFillTint="3F"/>
      </w:tcPr>
    </w:tblStylePr>
  </w:style>
  <w:style w:type="table" w:styleId="MediumList1-Accent2">
    <w:name w:val="Medium List 1 Accent 2"/>
    <w:basedOn w:val="TableNormal"/>
    <w:uiPriority w:val="65"/>
    <w:rsid w:val="00C00568"/>
    <w:pPr>
      <w:spacing w:before="0"/>
    </w:pPr>
    <w:rPr>
      <w:color w:val="000000" w:themeColor="text1"/>
    </w:rPr>
    <w:tblPr>
      <w:tblStyleRowBandSize w:val="1"/>
      <w:tblStyleColBandSize w:val="1"/>
      <w:tblBorders>
        <w:top w:val="single" w:sz="8" w:space="0" w:color="00497A" w:themeColor="accent2"/>
        <w:bottom w:val="single" w:sz="8" w:space="0" w:color="00497A" w:themeColor="accent2"/>
      </w:tblBorders>
    </w:tblPr>
    <w:tblStylePr w:type="firstRow">
      <w:rPr>
        <w:rFonts w:asciiTheme="majorHAnsi" w:eastAsiaTheme="majorEastAsia" w:hAnsiTheme="majorHAnsi" w:cstheme="majorBidi"/>
      </w:rPr>
      <w:tblPr/>
      <w:tcPr>
        <w:tcBorders>
          <w:top w:val="nil"/>
          <w:bottom w:val="single" w:sz="8" w:space="0" w:color="00497A" w:themeColor="accent2"/>
        </w:tcBorders>
      </w:tcPr>
    </w:tblStylePr>
    <w:tblStylePr w:type="lastRow">
      <w:rPr>
        <w:b/>
        <w:bCs/>
        <w:color w:val="201547" w:themeColor="text2"/>
      </w:rPr>
      <w:tblPr/>
      <w:tcPr>
        <w:tcBorders>
          <w:top w:val="single" w:sz="8" w:space="0" w:color="00497A" w:themeColor="accent2"/>
          <w:bottom w:val="single" w:sz="8" w:space="0" w:color="00497A" w:themeColor="accent2"/>
        </w:tcBorders>
      </w:tcPr>
    </w:tblStylePr>
    <w:tblStylePr w:type="firstCol">
      <w:rPr>
        <w:b/>
        <w:bCs/>
      </w:rPr>
    </w:tblStylePr>
    <w:tblStylePr w:type="lastCol">
      <w:rPr>
        <w:b/>
        <w:bCs/>
      </w:rPr>
      <w:tblPr/>
      <w:tcPr>
        <w:tcBorders>
          <w:top w:val="single" w:sz="8" w:space="0" w:color="00497A" w:themeColor="accent2"/>
          <w:bottom w:val="single" w:sz="8" w:space="0" w:color="00497A" w:themeColor="accent2"/>
        </w:tcBorders>
      </w:tcPr>
    </w:tblStylePr>
    <w:tblStylePr w:type="band1Vert">
      <w:tblPr/>
      <w:tcPr>
        <w:shd w:val="clear" w:color="auto" w:fill="9FD8FF" w:themeFill="accent2" w:themeFillTint="3F"/>
      </w:tcPr>
    </w:tblStylePr>
    <w:tblStylePr w:type="band1Horz">
      <w:tblPr/>
      <w:tcPr>
        <w:shd w:val="clear" w:color="auto" w:fill="9FD8FF" w:themeFill="accent2" w:themeFillTint="3F"/>
      </w:tcPr>
    </w:tblStylePr>
  </w:style>
  <w:style w:type="table" w:styleId="MediumList1-Accent3">
    <w:name w:val="Medium List 1 Accent 3"/>
    <w:basedOn w:val="TableNormal"/>
    <w:uiPriority w:val="65"/>
    <w:rsid w:val="00C00568"/>
    <w:pPr>
      <w:spacing w:before="0"/>
    </w:pPr>
    <w:rPr>
      <w:color w:val="000000" w:themeColor="text1"/>
    </w:rPr>
    <w:tblPr>
      <w:tblStyleRowBandSize w:val="1"/>
      <w:tblStyleColBandSize w:val="1"/>
      <w:tblBorders>
        <w:top w:val="single" w:sz="8" w:space="0" w:color="749CC9" w:themeColor="accent3"/>
        <w:bottom w:val="single" w:sz="8" w:space="0" w:color="749CC9" w:themeColor="accent3"/>
      </w:tblBorders>
    </w:tblPr>
    <w:tblStylePr w:type="firstRow">
      <w:rPr>
        <w:rFonts w:asciiTheme="majorHAnsi" w:eastAsiaTheme="majorEastAsia" w:hAnsiTheme="majorHAnsi" w:cstheme="majorBidi"/>
      </w:rPr>
      <w:tblPr/>
      <w:tcPr>
        <w:tcBorders>
          <w:top w:val="nil"/>
          <w:bottom w:val="single" w:sz="8" w:space="0" w:color="749CC9" w:themeColor="accent3"/>
        </w:tcBorders>
      </w:tcPr>
    </w:tblStylePr>
    <w:tblStylePr w:type="lastRow">
      <w:rPr>
        <w:b/>
        <w:bCs/>
        <w:color w:val="201547" w:themeColor="text2"/>
      </w:rPr>
      <w:tblPr/>
      <w:tcPr>
        <w:tcBorders>
          <w:top w:val="single" w:sz="8" w:space="0" w:color="749CC9" w:themeColor="accent3"/>
          <w:bottom w:val="single" w:sz="8" w:space="0" w:color="749CC9" w:themeColor="accent3"/>
        </w:tcBorders>
      </w:tcPr>
    </w:tblStylePr>
    <w:tblStylePr w:type="firstCol">
      <w:rPr>
        <w:b/>
        <w:bCs/>
      </w:rPr>
    </w:tblStylePr>
    <w:tblStylePr w:type="lastCol">
      <w:rPr>
        <w:b/>
        <w:bCs/>
      </w:rPr>
      <w:tblPr/>
      <w:tcPr>
        <w:tcBorders>
          <w:top w:val="single" w:sz="8" w:space="0" w:color="749CC9" w:themeColor="accent3"/>
          <w:bottom w:val="single" w:sz="8" w:space="0" w:color="749CC9" w:themeColor="accent3"/>
        </w:tcBorders>
      </w:tcPr>
    </w:tblStylePr>
    <w:tblStylePr w:type="band1Vert">
      <w:tblPr/>
      <w:tcPr>
        <w:shd w:val="clear" w:color="auto" w:fill="DCE6F1" w:themeFill="accent3" w:themeFillTint="3F"/>
      </w:tcPr>
    </w:tblStylePr>
    <w:tblStylePr w:type="band1Horz">
      <w:tblPr/>
      <w:tcPr>
        <w:shd w:val="clear" w:color="auto" w:fill="DCE6F1" w:themeFill="accent3" w:themeFillTint="3F"/>
      </w:tcPr>
    </w:tblStylePr>
  </w:style>
  <w:style w:type="table" w:styleId="MediumList1-Accent4">
    <w:name w:val="Medium List 1 Accent 4"/>
    <w:basedOn w:val="TableNormal"/>
    <w:uiPriority w:val="65"/>
    <w:rsid w:val="00C00568"/>
    <w:pPr>
      <w:spacing w:before="0"/>
    </w:pPr>
    <w:rPr>
      <w:color w:val="000000" w:themeColor="text1"/>
    </w:rPr>
    <w:tblPr>
      <w:tblStyleRowBandSize w:val="1"/>
      <w:tblStyleColBandSize w:val="1"/>
      <w:tblBorders>
        <w:top w:val="single" w:sz="8" w:space="0" w:color="0072CE" w:themeColor="accent4"/>
        <w:bottom w:val="single" w:sz="8" w:space="0" w:color="0072CE" w:themeColor="accent4"/>
      </w:tblBorders>
    </w:tblPr>
    <w:tblStylePr w:type="firstRow">
      <w:rPr>
        <w:rFonts w:asciiTheme="majorHAnsi" w:eastAsiaTheme="majorEastAsia" w:hAnsiTheme="majorHAnsi" w:cstheme="majorBidi"/>
      </w:rPr>
      <w:tblPr/>
      <w:tcPr>
        <w:tcBorders>
          <w:top w:val="nil"/>
          <w:bottom w:val="single" w:sz="8" w:space="0" w:color="0072CE" w:themeColor="accent4"/>
        </w:tcBorders>
      </w:tcPr>
    </w:tblStylePr>
    <w:tblStylePr w:type="lastRow">
      <w:rPr>
        <w:b/>
        <w:bCs/>
        <w:color w:val="201547" w:themeColor="text2"/>
      </w:rPr>
      <w:tblPr/>
      <w:tcPr>
        <w:tcBorders>
          <w:top w:val="single" w:sz="8" w:space="0" w:color="0072CE" w:themeColor="accent4"/>
          <w:bottom w:val="single" w:sz="8" w:space="0" w:color="0072CE" w:themeColor="accent4"/>
        </w:tcBorders>
      </w:tcPr>
    </w:tblStylePr>
    <w:tblStylePr w:type="firstCol">
      <w:rPr>
        <w:b/>
        <w:bCs/>
      </w:rPr>
    </w:tblStylePr>
    <w:tblStylePr w:type="lastCol">
      <w:rPr>
        <w:b/>
        <w:bCs/>
      </w:rPr>
      <w:tblPr/>
      <w:tcPr>
        <w:tcBorders>
          <w:top w:val="single" w:sz="8" w:space="0" w:color="0072CE" w:themeColor="accent4"/>
          <w:bottom w:val="single" w:sz="8" w:space="0" w:color="0072CE" w:themeColor="accent4"/>
        </w:tcBorders>
      </w:tcPr>
    </w:tblStylePr>
    <w:tblStylePr w:type="band1Vert">
      <w:tblPr/>
      <w:tcPr>
        <w:shd w:val="clear" w:color="auto" w:fill="B3DDFF" w:themeFill="accent4" w:themeFillTint="3F"/>
      </w:tcPr>
    </w:tblStylePr>
    <w:tblStylePr w:type="band1Horz">
      <w:tblPr/>
      <w:tcPr>
        <w:shd w:val="clear" w:color="auto" w:fill="B3DDFF" w:themeFill="accent4" w:themeFillTint="3F"/>
      </w:tcPr>
    </w:tblStylePr>
  </w:style>
  <w:style w:type="table" w:styleId="MediumList1-Accent5">
    <w:name w:val="Medium List 1 Accent 5"/>
    <w:basedOn w:val="TableNormal"/>
    <w:uiPriority w:val="65"/>
    <w:rsid w:val="00C00568"/>
    <w:pPr>
      <w:spacing w:before="0"/>
    </w:pPr>
    <w:rPr>
      <w:color w:val="000000" w:themeColor="text1"/>
    </w:rPr>
    <w:tblPr>
      <w:tblStyleRowBandSize w:val="1"/>
      <w:tblStyleColBandSize w:val="1"/>
      <w:tblBorders>
        <w:top w:val="single" w:sz="8" w:space="0" w:color="009CDE" w:themeColor="accent5"/>
        <w:bottom w:val="single" w:sz="8" w:space="0" w:color="009CDE" w:themeColor="accent5"/>
      </w:tblBorders>
    </w:tblPr>
    <w:tblStylePr w:type="firstRow">
      <w:rPr>
        <w:rFonts w:asciiTheme="majorHAnsi" w:eastAsiaTheme="majorEastAsia" w:hAnsiTheme="majorHAnsi" w:cstheme="majorBidi"/>
      </w:rPr>
      <w:tblPr/>
      <w:tcPr>
        <w:tcBorders>
          <w:top w:val="nil"/>
          <w:bottom w:val="single" w:sz="8" w:space="0" w:color="009CDE" w:themeColor="accent5"/>
        </w:tcBorders>
      </w:tcPr>
    </w:tblStylePr>
    <w:tblStylePr w:type="lastRow">
      <w:rPr>
        <w:b/>
        <w:bCs/>
        <w:color w:val="201547" w:themeColor="text2"/>
      </w:rPr>
      <w:tblPr/>
      <w:tcPr>
        <w:tcBorders>
          <w:top w:val="single" w:sz="8" w:space="0" w:color="009CDE" w:themeColor="accent5"/>
          <w:bottom w:val="single" w:sz="8" w:space="0" w:color="009CDE" w:themeColor="accent5"/>
        </w:tcBorders>
      </w:tcPr>
    </w:tblStylePr>
    <w:tblStylePr w:type="firstCol">
      <w:rPr>
        <w:b/>
        <w:bCs/>
      </w:rPr>
    </w:tblStylePr>
    <w:tblStylePr w:type="lastCol">
      <w:rPr>
        <w:b/>
        <w:bCs/>
      </w:rPr>
      <w:tblPr/>
      <w:tcPr>
        <w:tcBorders>
          <w:top w:val="single" w:sz="8" w:space="0" w:color="009CDE" w:themeColor="accent5"/>
          <w:bottom w:val="single" w:sz="8" w:space="0" w:color="009CDE" w:themeColor="accent5"/>
        </w:tcBorders>
      </w:tcPr>
    </w:tblStylePr>
    <w:tblStylePr w:type="band1Vert">
      <w:tblPr/>
      <w:tcPr>
        <w:shd w:val="clear" w:color="auto" w:fill="B7E9FF" w:themeFill="accent5" w:themeFillTint="3F"/>
      </w:tcPr>
    </w:tblStylePr>
    <w:tblStylePr w:type="band1Horz">
      <w:tblPr/>
      <w:tcPr>
        <w:shd w:val="clear" w:color="auto" w:fill="B7E9FF" w:themeFill="accent5" w:themeFillTint="3F"/>
      </w:tcPr>
    </w:tblStylePr>
  </w:style>
  <w:style w:type="table" w:styleId="MediumList1-Accent6">
    <w:name w:val="Medium List 1 Accent 6"/>
    <w:basedOn w:val="TableNormal"/>
    <w:uiPriority w:val="65"/>
    <w:rsid w:val="00C00568"/>
    <w:pPr>
      <w:spacing w:before="0"/>
    </w:pPr>
    <w:rPr>
      <w:color w:val="000000" w:themeColor="text1"/>
    </w:rPr>
    <w:tblPr>
      <w:tblStyleRowBandSize w:val="1"/>
      <w:tblStyleColBandSize w:val="1"/>
      <w:tblBorders>
        <w:top w:val="single" w:sz="8" w:space="0" w:color="8A2A2B" w:themeColor="accent6"/>
        <w:bottom w:val="single" w:sz="8" w:space="0" w:color="8A2A2B" w:themeColor="accent6"/>
      </w:tblBorders>
    </w:tblPr>
    <w:tblStylePr w:type="firstRow">
      <w:rPr>
        <w:rFonts w:asciiTheme="majorHAnsi" w:eastAsiaTheme="majorEastAsia" w:hAnsiTheme="majorHAnsi" w:cstheme="majorBidi"/>
      </w:rPr>
      <w:tblPr/>
      <w:tcPr>
        <w:tcBorders>
          <w:top w:val="nil"/>
          <w:bottom w:val="single" w:sz="8" w:space="0" w:color="8A2A2B" w:themeColor="accent6"/>
        </w:tcBorders>
      </w:tcPr>
    </w:tblStylePr>
    <w:tblStylePr w:type="lastRow">
      <w:rPr>
        <w:b/>
        <w:bCs/>
        <w:color w:val="201547" w:themeColor="text2"/>
      </w:rPr>
      <w:tblPr/>
      <w:tcPr>
        <w:tcBorders>
          <w:top w:val="single" w:sz="8" w:space="0" w:color="8A2A2B" w:themeColor="accent6"/>
          <w:bottom w:val="single" w:sz="8" w:space="0" w:color="8A2A2B" w:themeColor="accent6"/>
        </w:tcBorders>
      </w:tcPr>
    </w:tblStylePr>
    <w:tblStylePr w:type="firstCol">
      <w:rPr>
        <w:b/>
        <w:bCs/>
      </w:rPr>
    </w:tblStylePr>
    <w:tblStylePr w:type="lastCol">
      <w:rPr>
        <w:b/>
        <w:bCs/>
      </w:rPr>
      <w:tblPr/>
      <w:tcPr>
        <w:tcBorders>
          <w:top w:val="single" w:sz="8" w:space="0" w:color="8A2A2B" w:themeColor="accent6"/>
          <w:bottom w:val="single" w:sz="8" w:space="0" w:color="8A2A2B" w:themeColor="accent6"/>
        </w:tcBorders>
      </w:tcPr>
    </w:tblStylePr>
    <w:tblStylePr w:type="band1Vert">
      <w:tblPr/>
      <w:tcPr>
        <w:shd w:val="clear" w:color="auto" w:fill="ECC0C0" w:themeFill="accent6" w:themeFillTint="3F"/>
      </w:tcPr>
    </w:tblStylePr>
    <w:tblStylePr w:type="band1Horz">
      <w:tblPr/>
      <w:tcPr>
        <w:shd w:val="clear" w:color="auto" w:fill="ECC0C0" w:themeFill="accent6" w:themeFillTint="3F"/>
      </w:tcPr>
    </w:tblStylePr>
  </w:style>
  <w:style w:type="table" w:styleId="MediumList2">
    <w:name w:val="Medium List 2"/>
    <w:basedOn w:val="TableNormal"/>
    <w:uiPriority w:val="66"/>
    <w:rsid w:val="00C00568"/>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00568"/>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0063A6" w:themeColor="accent1"/>
        <w:left w:val="single" w:sz="8" w:space="0" w:color="0063A6" w:themeColor="accent1"/>
        <w:bottom w:val="single" w:sz="8" w:space="0" w:color="0063A6" w:themeColor="accent1"/>
        <w:right w:val="single" w:sz="8" w:space="0" w:color="0063A6" w:themeColor="accent1"/>
      </w:tblBorders>
    </w:tblPr>
    <w:tblStylePr w:type="firstRow">
      <w:rPr>
        <w:sz w:val="24"/>
        <w:szCs w:val="24"/>
      </w:rPr>
      <w:tblPr/>
      <w:tcPr>
        <w:tcBorders>
          <w:top w:val="nil"/>
          <w:left w:val="nil"/>
          <w:bottom w:val="single" w:sz="24" w:space="0" w:color="0063A6" w:themeColor="accent1"/>
          <w:right w:val="nil"/>
          <w:insideH w:val="nil"/>
          <w:insideV w:val="nil"/>
        </w:tcBorders>
        <w:shd w:val="clear" w:color="auto" w:fill="FFFFFF" w:themeFill="background1"/>
      </w:tcPr>
    </w:tblStylePr>
    <w:tblStylePr w:type="lastRow">
      <w:tblPr/>
      <w:tcPr>
        <w:tcBorders>
          <w:top w:val="single" w:sz="8" w:space="0" w:color="0063A6"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63A6" w:themeColor="accent1"/>
          <w:insideH w:val="nil"/>
          <w:insideV w:val="nil"/>
        </w:tcBorders>
        <w:shd w:val="clear" w:color="auto" w:fill="FFFFFF" w:themeFill="background1"/>
      </w:tcPr>
    </w:tblStylePr>
    <w:tblStylePr w:type="lastCol">
      <w:tblPr/>
      <w:tcPr>
        <w:tcBorders>
          <w:top w:val="nil"/>
          <w:left w:val="single" w:sz="8" w:space="0" w:color="0063A6"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ADCFF" w:themeFill="accent1" w:themeFillTint="3F"/>
      </w:tcPr>
    </w:tblStylePr>
    <w:tblStylePr w:type="band1Horz">
      <w:tblPr/>
      <w:tcPr>
        <w:tcBorders>
          <w:top w:val="nil"/>
          <w:bottom w:val="nil"/>
          <w:insideH w:val="nil"/>
          <w:insideV w:val="nil"/>
        </w:tcBorders>
        <w:shd w:val="clear" w:color="auto" w:fill="AADC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00568"/>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00497A" w:themeColor="accent2"/>
        <w:left w:val="single" w:sz="8" w:space="0" w:color="00497A" w:themeColor="accent2"/>
        <w:bottom w:val="single" w:sz="8" w:space="0" w:color="00497A" w:themeColor="accent2"/>
        <w:right w:val="single" w:sz="8" w:space="0" w:color="00497A" w:themeColor="accent2"/>
      </w:tblBorders>
    </w:tblPr>
    <w:tblStylePr w:type="firstRow">
      <w:rPr>
        <w:sz w:val="24"/>
        <w:szCs w:val="24"/>
      </w:rPr>
      <w:tblPr/>
      <w:tcPr>
        <w:tcBorders>
          <w:top w:val="nil"/>
          <w:left w:val="nil"/>
          <w:bottom w:val="single" w:sz="24" w:space="0" w:color="00497A" w:themeColor="accent2"/>
          <w:right w:val="nil"/>
          <w:insideH w:val="nil"/>
          <w:insideV w:val="nil"/>
        </w:tcBorders>
        <w:shd w:val="clear" w:color="auto" w:fill="FFFFFF" w:themeFill="background1"/>
      </w:tcPr>
    </w:tblStylePr>
    <w:tblStylePr w:type="lastRow">
      <w:tblPr/>
      <w:tcPr>
        <w:tcBorders>
          <w:top w:val="single" w:sz="8" w:space="0" w:color="00497A"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497A" w:themeColor="accent2"/>
          <w:insideH w:val="nil"/>
          <w:insideV w:val="nil"/>
        </w:tcBorders>
        <w:shd w:val="clear" w:color="auto" w:fill="FFFFFF" w:themeFill="background1"/>
      </w:tcPr>
    </w:tblStylePr>
    <w:tblStylePr w:type="lastCol">
      <w:tblPr/>
      <w:tcPr>
        <w:tcBorders>
          <w:top w:val="nil"/>
          <w:left w:val="single" w:sz="8" w:space="0" w:color="00497A"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FD8FF" w:themeFill="accent2" w:themeFillTint="3F"/>
      </w:tcPr>
    </w:tblStylePr>
    <w:tblStylePr w:type="band1Horz">
      <w:tblPr/>
      <w:tcPr>
        <w:tcBorders>
          <w:top w:val="nil"/>
          <w:bottom w:val="nil"/>
          <w:insideH w:val="nil"/>
          <w:insideV w:val="nil"/>
        </w:tcBorders>
        <w:shd w:val="clear" w:color="auto" w:fill="9FD8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00568"/>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749CC9" w:themeColor="accent3"/>
        <w:left w:val="single" w:sz="8" w:space="0" w:color="749CC9" w:themeColor="accent3"/>
        <w:bottom w:val="single" w:sz="8" w:space="0" w:color="749CC9" w:themeColor="accent3"/>
        <w:right w:val="single" w:sz="8" w:space="0" w:color="749CC9" w:themeColor="accent3"/>
      </w:tblBorders>
    </w:tblPr>
    <w:tblStylePr w:type="firstRow">
      <w:rPr>
        <w:sz w:val="24"/>
        <w:szCs w:val="24"/>
      </w:rPr>
      <w:tblPr/>
      <w:tcPr>
        <w:tcBorders>
          <w:top w:val="nil"/>
          <w:left w:val="nil"/>
          <w:bottom w:val="single" w:sz="24" w:space="0" w:color="749CC9" w:themeColor="accent3"/>
          <w:right w:val="nil"/>
          <w:insideH w:val="nil"/>
          <w:insideV w:val="nil"/>
        </w:tcBorders>
        <w:shd w:val="clear" w:color="auto" w:fill="FFFFFF" w:themeFill="background1"/>
      </w:tcPr>
    </w:tblStylePr>
    <w:tblStylePr w:type="lastRow">
      <w:tblPr/>
      <w:tcPr>
        <w:tcBorders>
          <w:top w:val="single" w:sz="8" w:space="0" w:color="749CC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49CC9" w:themeColor="accent3"/>
          <w:insideH w:val="nil"/>
          <w:insideV w:val="nil"/>
        </w:tcBorders>
        <w:shd w:val="clear" w:color="auto" w:fill="FFFFFF" w:themeFill="background1"/>
      </w:tcPr>
    </w:tblStylePr>
    <w:tblStylePr w:type="lastCol">
      <w:tblPr/>
      <w:tcPr>
        <w:tcBorders>
          <w:top w:val="nil"/>
          <w:left w:val="single" w:sz="8" w:space="0" w:color="749CC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CE6F1" w:themeFill="accent3" w:themeFillTint="3F"/>
      </w:tcPr>
    </w:tblStylePr>
    <w:tblStylePr w:type="band1Horz">
      <w:tblPr/>
      <w:tcPr>
        <w:tcBorders>
          <w:top w:val="nil"/>
          <w:bottom w:val="nil"/>
          <w:insideH w:val="nil"/>
          <w:insideV w:val="nil"/>
        </w:tcBorders>
        <w:shd w:val="clear" w:color="auto" w:fill="DCE6F1"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00568"/>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0072CE" w:themeColor="accent4"/>
        <w:left w:val="single" w:sz="8" w:space="0" w:color="0072CE" w:themeColor="accent4"/>
        <w:bottom w:val="single" w:sz="8" w:space="0" w:color="0072CE" w:themeColor="accent4"/>
        <w:right w:val="single" w:sz="8" w:space="0" w:color="0072CE" w:themeColor="accent4"/>
      </w:tblBorders>
    </w:tblPr>
    <w:tblStylePr w:type="firstRow">
      <w:rPr>
        <w:sz w:val="24"/>
        <w:szCs w:val="24"/>
      </w:rPr>
      <w:tblPr/>
      <w:tcPr>
        <w:tcBorders>
          <w:top w:val="nil"/>
          <w:left w:val="nil"/>
          <w:bottom w:val="single" w:sz="24" w:space="0" w:color="0072CE" w:themeColor="accent4"/>
          <w:right w:val="nil"/>
          <w:insideH w:val="nil"/>
          <w:insideV w:val="nil"/>
        </w:tcBorders>
        <w:shd w:val="clear" w:color="auto" w:fill="FFFFFF" w:themeFill="background1"/>
      </w:tcPr>
    </w:tblStylePr>
    <w:tblStylePr w:type="lastRow">
      <w:tblPr/>
      <w:tcPr>
        <w:tcBorders>
          <w:top w:val="single" w:sz="8" w:space="0" w:color="0072CE"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2CE" w:themeColor="accent4"/>
          <w:insideH w:val="nil"/>
          <w:insideV w:val="nil"/>
        </w:tcBorders>
        <w:shd w:val="clear" w:color="auto" w:fill="FFFFFF" w:themeFill="background1"/>
      </w:tcPr>
    </w:tblStylePr>
    <w:tblStylePr w:type="lastCol">
      <w:tblPr/>
      <w:tcPr>
        <w:tcBorders>
          <w:top w:val="nil"/>
          <w:left w:val="single" w:sz="8" w:space="0" w:color="0072CE"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DDFF" w:themeFill="accent4" w:themeFillTint="3F"/>
      </w:tcPr>
    </w:tblStylePr>
    <w:tblStylePr w:type="band1Horz">
      <w:tblPr/>
      <w:tcPr>
        <w:tcBorders>
          <w:top w:val="nil"/>
          <w:bottom w:val="nil"/>
          <w:insideH w:val="nil"/>
          <w:insideV w:val="nil"/>
        </w:tcBorders>
        <w:shd w:val="clear" w:color="auto" w:fill="B3DDF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00568"/>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009CDE" w:themeColor="accent5"/>
        <w:left w:val="single" w:sz="8" w:space="0" w:color="009CDE" w:themeColor="accent5"/>
        <w:bottom w:val="single" w:sz="8" w:space="0" w:color="009CDE" w:themeColor="accent5"/>
        <w:right w:val="single" w:sz="8" w:space="0" w:color="009CDE" w:themeColor="accent5"/>
      </w:tblBorders>
    </w:tblPr>
    <w:tblStylePr w:type="firstRow">
      <w:rPr>
        <w:sz w:val="24"/>
        <w:szCs w:val="24"/>
      </w:rPr>
      <w:tblPr/>
      <w:tcPr>
        <w:tcBorders>
          <w:top w:val="nil"/>
          <w:left w:val="nil"/>
          <w:bottom w:val="single" w:sz="24" w:space="0" w:color="009CDE" w:themeColor="accent5"/>
          <w:right w:val="nil"/>
          <w:insideH w:val="nil"/>
          <w:insideV w:val="nil"/>
        </w:tcBorders>
        <w:shd w:val="clear" w:color="auto" w:fill="FFFFFF" w:themeFill="background1"/>
      </w:tcPr>
    </w:tblStylePr>
    <w:tblStylePr w:type="lastRow">
      <w:tblPr/>
      <w:tcPr>
        <w:tcBorders>
          <w:top w:val="single" w:sz="8" w:space="0" w:color="009CDE"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CDE" w:themeColor="accent5"/>
          <w:insideH w:val="nil"/>
          <w:insideV w:val="nil"/>
        </w:tcBorders>
        <w:shd w:val="clear" w:color="auto" w:fill="FFFFFF" w:themeFill="background1"/>
      </w:tcPr>
    </w:tblStylePr>
    <w:tblStylePr w:type="lastCol">
      <w:tblPr/>
      <w:tcPr>
        <w:tcBorders>
          <w:top w:val="nil"/>
          <w:left w:val="single" w:sz="8" w:space="0" w:color="009CDE"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E9FF" w:themeFill="accent5" w:themeFillTint="3F"/>
      </w:tcPr>
    </w:tblStylePr>
    <w:tblStylePr w:type="band1Horz">
      <w:tblPr/>
      <w:tcPr>
        <w:tcBorders>
          <w:top w:val="nil"/>
          <w:bottom w:val="nil"/>
          <w:insideH w:val="nil"/>
          <w:insideV w:val="nil"/>
        </w:tcBorders>
        <w:shd w:val="clear" w:color="auto" w:fill="B7E9F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00568"/>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8A2A2B" w:themeColor="accent6"/>
        <w:left w:val="single" w:sz="8" w:space="0" w:color="8A2A2B" w:themeColor="accent6"/>
        <w:bottom w:val="single" w:sz="8" w:space="0" w:color="8A2A2B" w:themeColor="accent6"/>
        <w:right w:val="single" w:sz="8" w:space="0" w:color="8A2A2B" w:themeColor="accent6"/>
      </w:tblBorders>
    </w:tblPr>
    <w:tblStylePr w:type="firstRow">
      <w:rPr>
        <w:sz w:val="24"/>
        <w:szCs w:val="24"/>
      </w:rPr>
      <w:tblPr/>
      <w:tcPr>
        <w:tcBorders>
          <w:top w:val="nil"/>
          <w:left w:val="nil"/>
          <w:bottom w:val="single" w:sz="24" w:space="0" w:color="8A2A2B" w:themeColor="accent6"/>
          <w:right w:val="nil"/>
          <w:insideH w:val="nil"/>
          <w:insideV w:val="nil"/>
        </w:tcBorders>
        <w:shd w:val="clear" w:color="auto" w:fill="FFFFFF" w:themeFill="background1"/>
      </w:tcPr>
    </w:tblStylePr>
    <w:tblStylePr w:type="lastRow">
      <w:tblPr/>
      <w:tcPr>
        <w:tcBorders>
          <w:top w:val="single" w:sz="8" w:space="0" w:color="8A2A2B"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A2A2B" w:themeColor="accent6"/>
          <w:insideH w:val="nil"/>
          <w:insideV w:val="nil"/>
        </w:tcBorders>
        <w:shd w:val="clear" w:color="auto" w:fill="FFFFFF" w:themeFill="background1"/>
      </w:tcPr>
    </w:tblStylePr>
    <w:tblStylePr w:type="lastCol">
      <w:tblPr/>
      <w:tcPr>
        <w:tcBorders>
          <w:top w:val="nil"/>
          <w:left w:val="single" w:sz="8" w:space="0" w:color="8A2A2B"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CC0C0" w:themeFill="accent6" w:themeFillTint="3F"/>
      </w:tcPr>
    </w:tblStylePr>
    <w:tblStylePr w:type="band1Horz">
      <w:tblPr/>
      <w:tcPr>
        <w:tcBorders>
          <w:top w:val="nil"/>
          <w:bottom w:val="nil"/>
          <w:insideH w:val="nil"/>
          <w:insideV w:val="nil"/>
        </w:tcBorders>
        <w:shd w:val="clear" w:color="auto" w:fill="ECC0C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C00568"/>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00568"/>
    <w:pPr>
      <w:spacing w:before="0"/>
    </w:pPr>
    <w:tblPr>
      <w:tblStyleRowBandSize w:val="1"/>
      <w:tblStyleColBandSize w:val="1"/>
      <w:tblBorders>
        <w:top w:val="single" w:sz="8" w:space="0" w:color="0096FC" w:themeColor="accent1" w:themeTint="BF"/>
        <w:left w:val="single" w:sz="8" w:space="0" w:color="0096FC" w:themeColor="accent1" w:themeTint="BF"/>
        <w:bottom w:val="single" w:sz="8" w:space="0" w:color="0096FC" w:themeColor="accent1" w:themeTint="BF"/>
        <w:right w:val="single" w:sz="8" w:space="0" w:color="0096FC" w:themeColor="accent1" w:themeTint="BF"/>
        <w:insideH w:val="single" w:sz="8" w:space="0" w:color="0096FC" w:themeColor="accent1" w:themeTint="BF"/>
      </w:tblBorders>
    </w:tblPr>
    <w:tblStylePr w:type="firstRow">
      <w:pPr>
        <w:spacing w:before="0" w:after="0" w:line="240" w:lineRule="auto"/>
      </w:pPr>
      <w:rPr>
        <w:b/>
        <w:bCs/>
        <w:color w:val="FFFFFF" w:themeColor="background1"/>
      </w:rPr>
      <w:tblPr/>
      <w:tcPr>
        <w:tcBorders>
          <w:top w:val="single" w:sz="8" w:space="0" w:color="0096FC" w:themeColor="accent1" w:themeTint="BF"/>
          <w:left w:val="single" w:sz="8" w:space="0" w:color="0096FC" w:themeColor="accent1" w:themeTint="BF"/>
          <w:bottom w:val="single" w:sz="8" w:space="0" w:color="0096FC" w:themeColor="accent1" w:themeTint="BF"/>
          <w:right w:val="single" w:sz="8" w:space="0" w:color="0096FC" w:themeColor="accent1" w:themeTint="BF"/>
          <w:insideH w:val="nil"/>
          <w:insideV w:val="nil"/>
        </w:tcBorders>
        <w:shd w:val="clear" w:color="auto" w:fill="0063A6" w:themeFill="accent1"/>
      </w:tcPr>
    </w:tblStylePr>
    <w:tblStylePr w:type="lastRow">
      <w:pPr>
        <w:spacing w:before="0" w:after="0" w:line="240" w:lineRule="auto"/>
      </w:pPr>
      <w:rPr>
        <w:b/>
        <w:bCs/>
      </w:rPr>
      <w:tblPr/>
      <w:tcPr>
        <w:tcBorders>
          <w:top w:val="double" w:sz="6" w:space="0" w:color="0096FC" w:themeColor="accent1" w:themeTint="BF"/>
          <w:left w:val="single" w:sz="8" w:space="0" w:color="0096FC" w:themeColor="accent1" w:themeTint="BF"/>
          <w:bottom w:val="single" w:sz="8" w:space="0" w:color="0096FC" w:themeColor="accent1" w:themeTint="BF"/>
          <w:right w:val="single" w:sz="8" w:space="0" w:color="0096FC" w:themeColor="accent1" w:themeTint="BF"/>
          <w:insideH w:val="nil"/>
          <w:insideV w:val="nil"/>
        </w:tcBorders>
      </w:tcPr>
    </w:tblStylePr>
    <w:tblStylePr w:type="firstCol">
      <w:rPr>
        <w:b/>
        <w:bCs/>
      </w:rPr>
    </w:tblStylePr>
    <w:tblStylePr w:type="lastCol">
      <w:rPr>
        <w:b/>
        <w:bCs/>
      </w:rPr>
    </w:tblStylePr>
    <w:tblStylePr w:type="band1Vert">
      <w:tblPr/>
      <w:tcPr>
        <w:shd w:val="clear" w:color="auto" w:fill="AADCFF" w:themeFill="accent1" w:themeFillTint="3F"/>
      </w:tcPr>
    </w:tblStylePr>
    <w:tblStylePr w:type="band1Horz">
      <w:tblPr/>
      <w:tcPr>
        <w:tcBorders>
          <w:insideH w:val="nil"/>
          <w:insideV w:val="nil"/>
        </w:tcBorders>
        <w:shd w:val="clear" w:color="auto" w:fill="AAD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00568"/>
    <w:pPr>
      <w:spacing w:before="0"/>
    </w:pPr>
    <w:tblPr>
      <w:tblStyleRowBandSize w:val="1"/>
      <w:tblStyleColBandSize w:val="1"/>
      <w:tblBorders>
        <w:top w:val="single" w:sz="8" w:space="0" w:color="0082DB" w:themeColor="accent2" w:themeTint="BF"/>
        <w:left w:val="single" w:sz="8" w:space="0" w:color="0082DB" w:themeColor="accent2" w:themeTint="BF"/>
        <w:bottom w:val="single" w:sz="8" w:space="0" w:color="0082DB" w:themeColor="accent2" w:themeTint="BF"/>
        <w:right w:val="single" w:sz="8" w:space="0" w:color="0082DB" w:themeColor="accent2" w:themeTint="BF"/>
        <w:insideH w:val="single" w:sz="8" w:space="0" w:color="0082DB" w:themeColor="accent2" w:themeTint="BF"/>
      </w:tblBorders>
    </w:tblPr>
    <w:tblStylePr w:type="firstRow">
      <w:pPr>
        <w:spacing w:before="0" w:after="0" w:line="240" w:lineRule="auto"/>
      </w:pPr>
      <w:rPr>
        <w:b/>
        <w:bCs/>
        <w:color w:val="FFFFFF" w:themeColor="background1"/>
      </w:rPr>
      <w:tblPr/>
      <w:tcPr>
        <w:tcBorders>
          <w:top w:val="single" w:sz="8" w:space="0" w:color="0082DB" w:themeColor="accent2" w:themeTint="BF"/>
          <w:left w:val="single" w:sz="8" w:space="0" w:color="0082DB" w:themeColor="accent2" w:themeTint="BF"/>
          <w:bottom w:val="single" w:sz="8" w:space="0" w:color="0082DB" w:themeColor="accent2" w:themeTint="BF"/>
          <w:right w:val="single" w:sz="8" w:space="0" w:color="0082DB" w:themeColor="accent2" w:themeTint="BF"/>
          <w:insideH w:val="nil"/>
          <w:insideV w:val="nil"/>
        </w:tcBorders>
        <w:shd w:val="clear" w:color="auto" w:fill="00497A" w:themeFill="accent2"/>
      </w:tcPr>
    </w:tblStylePr>
    <w:tblStylePr w:type="lastRow">
      <w:pPr>
        <w:spacing w:before="0" w:after="0" w:line="240" w:lineRule="auto"/>
      </w:pPr>
      <w:rPr>
        <w:b/>
        <w:bCs/>
      </w:rPr>
      <w:tblPr/>
      <w:tcPr>
        <w:tcBorders>
          <w:top w:val="double" w:sz="6" w:space="0" w:color="0082DB" w:themeColor="accent2" w:themeTint="BF"/>
          <w:left w:val="single" w:sz="8" w:space="0" w:color="0082DB" w:themeColor="accent2" w:themeTint="BF"/>
          <w:bottom w:val="single" w:sz="8" w:space="0" w:color="0082DB" w:themeColor="accent2" w:themeTint="BF"/>
          <w:right w:val="single" w:sz="8" w:space="0" w:color="0082DB" w:themeColor="accent2" w:themeTint="BF"/>
          <w:insideH w:val="nil"/>
          <w:insideV w:val="nil"/>
        </w:tcBorders>
      </w:tcPr>
    </w:tblStylePr>
    <w:tblStylePr w:type="firstCol">
      <w:rPr>
        <w:b/>
        <w:bCs/>
      </w:rPr>
    </w:tblStylePr>
    <w:tblStylePr w:type="lastCol">
      <w:rPr>
        <w:b/>
        <w:bCs/>
      </w:rPr>
    </w:tblStylePr>
    <w:tblStylePr w:type="band1Vert">
      <w:tblPr/>
      <w:tcPr>
        <w:shd w:val="clear" w:color="auto" w:fill="9FD8FF" w:themeFill="accent2" w:themeFillTint="3F"/>
      </w:tcPr>
    </w:tblStylePr>
    <w:tblStylePr w:type="band1Horz">
      <w:tblPr/>
      <w:tcPr>
        <w:tcBorders>
          <w:insideH w:val="nil"/>
          <w:insideV w:val="nil"/>
        </w:tcBorders>
        <w:shd w:val="clear" w:color="auto" w:fill="9FD8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00568"/>
    <w:pPr>
      <w:spacing w:before="0"/>
    </w:pPr>
    <w:tblPr>
      <w:tblStyleRowBandSize w:val="1"/>
      <w:tblStyleColBandSize w:val="1"/>
      <w:tblBorders>
        <w:top w:val="single" w:sz="8" w:space="0" w:color="96B4D6" w:themeColor="accent3" w:themeTint="BF"/>
        <w:left w:val="single" w:sz="8" w:space="0" w:color="96B4D6" w:themeColor="accent3" w:themeTint="BF"/>
        <w:bottom w:val="single" w:sz="8" w:space="0" w:color="96B4D6" w:themeColor="accent3" w:themeTint="BF"/>
        <w:right w:val="single" w:sz="8" w:space="0" w:color="96B4D6" w:themeColor="accent3" w:themeTint="BF"/>
        <w:insideH w:val="single" w:sz="8" w:space="0" w:color="96B4D6" w:themeColor="accent3" w:themeTint="BF"/>
      </w:tblBorders>
    </w:tblPr>
    <w:tblStylePr w:type="firstRow">
      <w:pPr>
        <w:spacing w:before="0" w:after="0" w:line="240" w:lineRule="auto"/>
      </w:pPr>
      <w:rPr>
        <w:b/>
        <w:bCs/>
        <w:color w:val="FFFFFF" w:themeColor="background1"/>
      </w:rPr>
      <w:tblPr/>
      <w:tcPr>
        <w:tcBorders>
          <w:top w:val="single" w:sz="8" w:space="0" w:color="96B4D6" w:themeColor="accent3" w:themeTint="BF"/>
          <w:left w:val="single" w:sz="8" w:space="0" w:color="96B4D6" w:themeColor="accent3" w:themeTint="BF"/>
          <w:bottom w:val="single" w:sz="8" w:space="0" w:color="96B4D6" w:themeColor="accent3" w:themeTint="BF"/>
          <w:right w:val="single" w:sz="8" w:space="0" w:color="96B4D6" w:themeColor="accent3" w:themeTint="BF"/>
          <w:insideH w:val="nil"/>
          <w:insideV w:val="nil"/>
        </w:tcBorders>
        <w:shd w:val="clear" w:color="auto" w:fill="749CC9" w:themeFill="accent3"/>
      </w:tcPr>
    </w:tblStylePr>
    <w:tblStylePr w:type="lastRow">
      <w:pPr>
        <w:spacing w:before="0" w:after="0" w:line="240" w:lineRule="auto"/>
      </w:pPr>
      <w:rPr>
        <w:b/>
        <w:bCs/>
      </w:rPr>
      <w:tblPr/>
      <w:tcPr>
        <w:tcBorders>
          <w:top w:val="double" w:sz="6" w:space="0" w:color="96B4D6" w:themeColor="accent3" w:themeTint="BF"/>
          <w:left w:val="single" w:sz="8" w:space="0" w:color="96B4D6" w:themeColor="accent3" w:themeTint="BF"/>
          <w:bottom w:val="single" w:sz="8" w:space="0" w:color="96B4D6" w:themeColor="accent3" w:themeTint="BF"/>
          <w:right w:val="single" w:sz="8" w:space="0" w:color="96B4D6" w:themeColor="accent3" w:themeTint="BF"/>
          <w:insideH w:val="nil"/>
          <w:insideV w:val="nil"/>
        </w:tcBorders>
      </w:tcPr>
    </w:tblStylePr>
    <w:tblStylePr w:type="firstCol">
      <w:rPr>
        <w:b/>
        <w:bCs/>
      </w:rPr>
    </w:tblStylePr>
    <w:tblStylePr w:type="lastCol">
      <w:rPr>
        <w:b/>
        <w:bCs/>
      </w:rPr>
    </w:tblStylePr>
    <w:tblStylePr w:type="band1Vert">
      <w:tblPr/>
      <w:tcPr>
        <w:shd w:val="clear" w:color="auto" w:fill="DCE6F1" w:themeFill="accent3" w:themeFillTint="3F"/>
      </w:tcPr>
    </w:tblStylePr>
    <w:tblStylePr w:type="band1Horz">
      <w:tblPr/>
      <w:tcPr>
        <w:tcBorders>
          <w:insideH w:val="nil"/>
          <w:insideV w:val="nil"/>
        </w:tcBorders>
        <w:shd w:val="clear" w:color="auto" w:fill="DCE6F1"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00568"/>
    <w:pPr>
      <w:spacing w:before="0"/>
    </w:pPr>
    <w:tblPr>
      <w:tblStyleRowBandSize w:val="1"/>
      <w:tblStyleColBandSize w:val="1"/>
      <w:tblBorders>
        <w:top w:val="single" w:sz="8" w:space="0" w:color="1B99FF" w:themeColor="accent4" w:themeTint="BF"/>
        <w:left w:val="single" w:sz="8" w:space="0" w:color="1B99FF" w:themeColor="accent4" w:themeTint="BF"/>
        <w:bottom w:val="single" w:sz="8" w:space="0" w:color="1B99FF" w:themeColor="accent4" w:themeTint="BF"/>
        <w:right w:val="single" w:sz="8" w:space="0" w:color="1B99FF" w:themeColor="accent4" w:themeTint="BF"/>
        <w:insideH w:val="single" w:sz="8" w:space="0" w:color="1B99FF" w:themeColor="accent4" w:themeTint="BF"/>
      </w:tblBorders>
    </w:tblPr>
    <w:tblStylePr w:type="firstRow">
      <w:pPr>
        <w:spacing w:before="0" w:after="0" w:line="240" w:lineRule="auto"/>
      </w:pPr>
      <w:rPr>
        <w:b/>
        <w:bCs/>
        <w:color w:val="FFFFFF" w:themeColor="background1"/>
      </w:rPr>
      <w:tblPr/>
      <w:tcPr>
        <w:tcBorders>
          <w:top w:val="single" w:sz="8" w:space="0" w:color="1B99FF" w:themeColor="accent4" w:themeTint="BF"/>
          <w:left w:val="single" w:sz="8" w:space="0" w:color="1B99FF" w:themeColor="accent4" w:themeTint="BF"/>
          <w:bottom w:val="single" w:sz="8" w:space="0" w:color="1B99FF" w:themeColor="accent4" w:themeTint="BF"/>
          <w:right w:val="single" w:sz="8" w:space="0" w:color="1B99FF" w:themeColor="accent4" w:themeTint="BF"/>
          <w:insideH w:val="nil"/>
          <w:insideV w:val="nil"/>
        </w:tcBorders>
        <w:shd w:val="clear" w:color="auto" w:fill="0072CE" w:themeFill="accent4"/>
      </w:tcPr>
    </w:tblStylePr>
    <w:tblStylePr w:type="lastRow">
      <w:pPr>
        <w:spacing w:before="0" w:after="0" w:line="240" w:lineRule="auto"/>
      </w:pPr>
      <w:rPr>
        <w:b/>
        <w:bCs/>
      </w:rPr>
      <w:tblPr/>
      <w:tcPr>
        <w:tcBorders>
          <w:top w:val="double" w:sz="6" w:space="0" w:color="1B99FF" w:themeColor="accent4" w:themeTint="BF"/>
          <w:left w:val="single" w:sz="8" w:space="0" w:color="1B99FF" w:themeColor="accent4" w:themeTint="BF"/>
          <w:bottom w:val="single" w:sz="8" w:space="0" w:color="1B99FF" w:themeColor="accent4" w:themeTint="BF"/>
          <w:right w:val="single" w:sz="8" w:space="0" w:color="1B99FF" w:themeColor="accent4" w:themeTint="BF"/>
          <w:insideH w:val="nil"/>
          <w:insideV w:val="nil"/>
        </w:tcBorders>
      </w:tcPr>
    </w:tblStylePr>
    <w:tblStylePr w:type="firstCol">
      <w:rPr>
        <w:b/>
        <w:bCs/>
      </w:rPr>
    </w:tblStylePr>
    <w:tblStylePr w:type="lastCol">
      <w:rPr>
        <w:b/>
        <w:bCs/>
      </w:rPr>
    </w:tblStylePr>
    <w:tblStylePr w:type="band1Vert">
      <w:tblPr/>
      <w:tcPr>
        <w:shd w:val="clear" w:color="auto" w:fill="B3DDFF" w:themeFill="accent4" w:themeFillTint="3F"/>
      </w:tcPr>
    </w:tblStylePr>
    <w:tblStylePr w:type="band1Horz">
      <w:tblPr/>
      <w:tcPr>
        <w:tcBorders>
          <w:insideH w:val="nil"/>
          <w:insideV w:val="nil"/>
        </w:tcBorders>
        <w:shd w:val="clear" w:color="auto" w:fill="B3DDF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00568"/>
    <w:pPr>
      <w:spacing w:before="0"/>
    </w:pPr>
    <w:tblPr>
      <w:tblStyleRowBandSize w:val="1"/>
      <w:tblStyleColBandSize w:val="1"/>
      <w:tblBorders>
        <w:top w:val="single" w:sz="8" w:space="0" w:color="27BEFF" w:themeColor="accent5" w:themeTint="BF"/>
        <w:left w:val="single" w:sz="8" w:space="0" w:color="27BEFF" w:themeColor="accent5" w:themeTint="BF"/>
        <w:bottom w:val="single" w:sz="8" w:space="0" w:color="27BEFF" w:themeColor="accent5" w:themeTint="BF"/>
        <w:right w:val="single" w:sz="8" w:space="0" w:color="27BEFF" w:themeColor="accent5" w:themeTint="BF"/>
        <w:insideH w:val="single" w:sz="8" w:space="0" w:color="27BEFF" w:themeColor="accent5" w:themeTint="BF"/>
      </w:tblBorders>
    </w:tblPr>
    <w:tblStylePr w:type="firstRow">
      <w:pPr>
        <w:spacing w:before="0" w:after="0" w:line="240" w:lineRule="auto"/>
      </w:pPr>
      <w:rPr>
        <w:b/>
        <w:bCs/>
        <w:color w:val="FFFFFF" w:themeColor="background1"/>
      </w:rPr>
      <w:tblPr/>
      <w:tcPr>
        <w:tcBorders>
          <w:top w:val="single" w:sz="8" w:space="0" w:color="27BEFF" w:themeColor="accent5" w:themeTint="BF"/>
          <w:left w:val="single" w:sz="8" w:space="0" w:color="27BEFF" w:themeColor="accent5" w:themeTint="BF"/>
          <w:bottom w:val="single" w:sz="8" w:space="0" w:color="27BEFF" w:themeColor="accent5" w:themeTint="BF"/>
          <w:right w:val="single" w:sz="8" w:space="0" w:color="27BEFF" w:themeColor="accent5" w:themeTint="BF"/>
          <w:insideH w:val="nil"/>
          <w:insideV w:val="nil"/>
        </w:tcBorders>
        <w:shd w:val="clear" w:color="auto" w:fill="009CDE" w:themeFill="accent5"/>
      </w:tcPr>
    </w:tblStylePr>
    <w:tblStylePr w:type="lastRow">
      <w:pPr>
        <w:spacing w:before="0" w:after="0" w:line="240" w:lineRule="auto"/>
      </w:pPr>
      <w:rPr>
        <w:b/>
        <w:bCs/>
      </w:rPr>
      <w:tblPr/>
      <w:tcPr>
        <w:tcBorders>
          <w:top w:val="double" w:sz="6" w:space="0" w:color="27BEFF" w:themeColor="accent5" w:themeTint="BF"/>
          <w:left w:val="single" w:sz="8" w:space="0" w:color="27BEFF" w:themeColor="accent5" w:themeTint="BF"/>
          <w:bottom w:val="single" w:sz="8" w:space="0" w:color="27BEFF" w:themeColor="accent5" w:themeTint="BF"/>
          <w:right w:val="single" w:sz="8" w:space="0" w:color="27BEFF" w:themeColor="accent5" w:themeTint="BF"/>
          <w:insideH w:val="nil"/>
          <w:insideV w:val="nil"/>
        </w:tcBorders>
      </w:tcPr>
    </w:tblStylePr>
    <w:tblStylePr w:type="firstCol">
      <w:rPr>
        <w:b/>
        <w:bCs/>
      </w:rPr>
    </w:tblStylePr>
    <w:tblStylePr w:type="lastCol">
      <w:rPr>
        <w:b/>
        <w:bCs/>
      </w:rPr>
    </w:tblStylePr>
    <w:tblStylePr w:type="band1Vert">
      <w:tblPr/>
      <w:tcPr>
        <w:shd w:val="clear" w:color="auto" w:fill="B7E9FF" w:themeFill="accent5" w:themeFillTint="3F"/>
      </w:tcPr>
    </w:tblStylePr>
    <w:tblStylePr w:type="band1Horz">
      <w:tblPr/>
      <w:tcPr>
        <w:tcBorders>
          <w:insideH w:val="nil"/>
          <w:insideV w:val="nil"/>
        </w:tcBorders>
        <w:shd w:val="clear" w:color="auto" w:fill="B7E9F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00568"/>
    <w:pPr>
      <w:spacing w:before="0"/>
    </w:pPr>
    <w:tblPr>
      <w:tblStyleRowBandSize w:val="1"/>
      <w:tblStyleColBandSize w:val="1"/>
      <w:tblBorders>
        <w:top w:val="single" w:sz="8" w:space="0" w:color="C54142" w:themeColor="accent6" w:themeTint="BF"/>
        <w:left w:val="single" w:sz="8" w:space="0" w:color="C54142" w:themeColor="accent6" w:themeTint="BF"/>
        <w:bottom w:val="single" w:sz="8" w:space="0" w:color="C54142" w:themeColor="accent6" w:themeTint="BF"/>
        <w:right w:val="single" w:sz="8" w:space="0" w:color="C54142" w:themeColor="accent6" w:themeTint="BF"/>
        <w:insideH w:val="single" w:sz="8" w:space="0" w:color="C54142" w:themeColor="accent6" w:themeTint="BF"/>
      </w:tblBorders>
    </w:tblPr>
    <w:tblStylePr w:type="firstRow">
      <w:pPr>
        <w:spacing w:before="0" w:after="0" w:line="240" w:lineRule="auto"/>
      </w:pPr>
      <w:rPr>
        <w:b/>
        <w:bCs/>
        <w:color w:val="FFFFFF" w:themeColor="background1"/>
      </w:rPr>
      <w:tblPr/>
      <w:tcPr>
        <w:tcBorders>
          <w:top w:val="single" w:sz="8" w:space="0" w:color="C54142" w:themeColor="accent6" w:themeTint="BF"/>
          <w:left w:val="single" w:sz="8" w:space="0" w:color="C54142" w:themeColor="accent6" w:themeTint="BF"/>
          <w:bottom w:val="single" w:sz="8" w:space="0" w:color="C54142" w:themeColor="accent6" w:themeTint="BF"/>
          <w:right w:val="single" w:sz="8" w:space="0" w:color="C54142" w:themeColor="accent6" w:themeTint="BF"/>
          <w:insideH w:val="nil"/>
          <w:insideV w:val="nil"/>
        </w:tcBorders>
        <w:shd w:val="clear" w:color="auto" w:fill="8A2A2B" w:themeFill="accent6"/>
      </w:tcPr>
    </w:tblStylePr>
    <w:tblStylePr w:type="lastRow">
      <w:pPr>
        <w:spacing w:before="0" w:after="0" w:line="240" w:lineRule="auto"/>
      </w:pPr>
      <w:rPr>
        <w:b/>
        <w:bCs/>
      </w:rPr>
      <w:tblPr/>
      <w:tcPr>
        <w:tcBorders>
          <w:top w:val="double" w:sz="6" w:space="0" w:color="C54142" w:themeColor="accent6" w:themeTint="BF"/>
          <w:left w:val="single" w:sz="8" w:space="0" w:color="C54142" w:themeColor="accent6" w:themeTint="BF"/>
          <w:bottom w:val="single" w:sz="8" w:space="0" w:color="C54142" w:themeColor="accent6" w:themeTint="BF"/>
          <w:right w:val="single" w:sz="8" w:space="0" w:color="C54142" w:themeColor="accent6" w:themeTint="BF"/>
          <w:insideH w:val="nil"/>
          <w:insideV w:val="nil"/>
        </w:tcBorders>
      </w:tcPr>
    </w:tblStylePr>
    <w:tblStylePr w:type="firstCol">
      <w:rPr>
        <w:b/>
        <w:bCs/>
      </w:rPr>
    </w:tblStylePr>
    <w:tblStylePr w:type="lastCol">
      <w:rPr>
        <w:b/>
        <w:bCs/>
      </w:rPr>
    </w:tblStylePr>
    <w:tblStylePr w:type="band1Vert">
      <w:tblPr/>
      <w:tcPr>
        <w:shd w:val="clear" w:color="auto" w:fill="ECC0C0" w:themeFill="accent6" w:themeFillTint="3F"/>
      </w:tcPr>
    </w:tblStylePr>
    <w:tblStylePr w:type="band1Horz">
      <w:tblPr/>
      <w:tcPr>
        <w:tcBorders>
          <w:insideH w:val="nil"/>
          <w:insideV w:val="nil"/>
        </w:tcBorders>
        <w:shd w:val="clear" w:color="auto" w:fill="ECC0C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00568"/>
    <w:pPr>
      <w:spacing w:before="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00568"/>
    <w:pPr>
      <w:spacing w:before="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63A6"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63A6" w:themeFill="accent1"/>
      </w:tcPr>
    </w:tblStylePr>
    <w:tblStylePr w:type="lastCol">
      <w:rPr>
        <w:b/>
        <w:bCs/>
        <w:color w:val="FFFFFF" w:themeColor="background1"/>
      </w:rPr>
      <w:tblPr/>
      <w:tcPr>
        <w:tcBorders>
          <w:left w:val="nil"/>
          <w:right w:val="nil"/>
          <w:insideH w:val="nil"/>
          <w:insideV w:val="nil"/>
        </w:tcBorders>
        <w:shd w:val="clear" w:color="auto" w:fill="0063A6"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00568"/>
    <w:pPr>
      <w:spacing w:before="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497A"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497A" w:themeFill="accent2"/>
      </w:tcPr>
    </w:tblStylePr>
    <w:tblStylePr w:type="lastCol">
      <w:rPr>
        <w:b/>
        <w:bCs/>
        <w:color w:val="FFFFFF" w:themeColor="background1"/>
      </w:rPr>
      <w:tblPr/>
      <w:tcPr>
        <w:tcBorders>
          <w:left w:val="nil"/>
          <w:right w:val="nil"/>
          <w:insideH w:val="nil"/>
          <w:insideV w:val="nil"/>
        </w:tcBorders>
        <w:shd w:val="clear" w:color="auto" w:fill="00497A"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00568"/>
    <w:pPr>
      <w:spacing w:before="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49CC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49CC9" w:themeFill="accent3"/>
      </w:tcPr>
    </w:tblStylePr>
    <w:tblStylePr w:type="lastCol">
      <w:rPr>
        <w:b/>
        <w:bCs/>
        <w:color w:val="FFFFFF" w:themeColor="background1"/>
      </w:rPr>
      <w:tblPr/>
      <w:tcPr>
        <w:tcBorders>
          <w:left w:val="nil"/>
          <w:right w:val="nil"/>
          <w:insideH w:val="nil"/>
          <w:insideV w:val="nil"/>
        </w:tcBorders>
        <w:shd w:val="clear" w:color="auto" w:fill="749CC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00568"/>
    <w:pPr>
      <w:spacing w:before="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2CE"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2CE" w:themeFill="accent4"/>
      </w:tcPr>
    </w:tblStylePr>
    <w:tblStylePr w:type="lastCol">
      <w:rPr>
        <w:b/>
        <w:bCs/>
        <w:color w:val="FFFFFF" w:themeColor="background1"/>
      </w:rPr>
      <w:tblPr/>
      <w:tcPr>
        <w:tcBorders>
          <w:left w:val="nil"/>
          <w:right w:val="nil"/>
          <w:insideH w:val="nil"/>
          <w:insideV w:val="nil"/>
        </w:tcBorders>
        <w:shd w:val="clear" w:color="auto" w:fill="0072CE"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00568"/>
    <w:pPr>
      <w:spacing w:before="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A2A2B"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A2A2B" w:themeFill="accent6"/>
      </w:tcPr>
    </w:tblStylePr>
    <w:tblStylePr w:type="lastCol">
      <w:rPr>
        <w:b/>
        <w:bCs/>
        <w:color w:val="FFFFFF" w:themeColor="background1"/>
      </w:rPr>
      <w:tblPr/>
      <w:tcPr>
        <w:tcBorders>
          <w:left w:val="nil"/>
          <w:right w:val="nil"/>
          <w:insideH w:val="nil"/>
          <w:insideV w:val="nil"/>
        </w:tcBorders>
        <w:shd w:val="clear" w:color="auto" w:fill="8A2A2B"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rsid w:val="00C00568"/>
    <w:pPr>
      <w:pBdr>
        <w:top w:val="single" w:sz="6" w:space="1" w:color="auto"/>
        <w:left w:val="single" w:sz="6" w:space="1" w:color="auto"/>
        <w:bottom w:val="single" w:sz="6" w:space="1" w:color="auto"/>
        <w:right w:val="single" w:sz="6" w:space="1" w:color="auto"/>
      </w:pBdr>
      <w:shd w:val="pct20" w:color="auto" w:fill="auto"/>
      <w:spacing w:before="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C00568"/>
    <w:rPr>
      <w:rFonts w:asciiTheme="majorHAnsi" w:eastAsiaTheme="majorEastAsia" w:hAnsiTheme="majorHAnsi" w:cstheme="majorBidi"/>
      <w:sz w:val="24"/>
      <w:szCs w:val="24"/>
      <w:shd w:val="pct20" w:color="auto" w:fill="auto"/>
    </w:rPr>
  </w:style>
  <w:style w:type="paragraph" w:styleId="NoSpacing">
    <w:name w:val="No Spacing"/>
    <w:uiPriority w:val="1"/>
    <w:semiHidden/>
    <w:rsid w:val="00C00568"/>
    <w:pPr>
      <w:keepLines/>
      <w:spacing w:before="0"/>
    </w:pPr>
  </w:style>
  <w:style w:type="paragraph" w:styleId="NormalWeb">
    <w:name w:val="Normal (Web)"/>
    <w:basedOn w:val="Normal"/>
    <w:uiPriority w:val="99"/>
    <w:semiHidden/>
    <w:unhideWhenUsed/>
    <w:rsid w:val="00C00568"/>
    <w:rPr>
      <w:rFonts w:ascii="Times New Roman" w:hAnsi="Times New Roman" w:cs="Times New Roman"/>
      <w:sz w:val="24"/>
      <w:szCs w:val="24"/>
    </w:rPr>
  </w:style>
  <w:style w:type="paragraph" w:styleId="NormalIndent">
    <w:name w:val="Normal Indent"/>
    <w:basedOn w:val="Normal"/>
    <w:uiPriority w:val="99"/>
    <w:semiHidden/>
    <w:unhideWhenUsed/>
    <w:rsid w:val="00C00568"/>
    <w:pPr>
      <w:ind w:left="720"/>
    </w:pPr>
  </w:style>
  <w:style w:type="paragraph" w:styleId="NoteHeading">
    <w:name w:val="Note Heading"/>
    <w:basedOn w:val="Normal"/>
    <w:next w:val="Normal"/>
    <w:link w:val="NoteHeadingChar"/>
    <w:uiPriority w:val="99"/>
    <w:semiHidden/>
    <w:unhideWhenUsed/>
    <w:rsid w:val="00C00568"/>
    <w:pPr>
      <w:spacing w:before="0"/>
    </w:pPr>
  </w:style>
  <w:style w:type="character" w:customStyle="1" w:styleId="NoteHeadingChar">
    <w:name w:val="Note Heading Char"/>
    <w:basedOn w:val="DefaultParagraphFont"/>
    <w:link w:val="NoteHeading"/>
    <w:uiPriority w:val="99"/>
    <w:semiHidden/>
    <w:rsid w:val="00C00568"/>
  </w:style>
  <w:style w:type="character" w:styleId="PlaceholderText">
    <w:name w:val="Placeholder Text"/>
    <w:basedOn w:val="DefaultParagraphFont"/>
    <w:uiPriority w:val="99"/>
    <w:semiHidden/>
    <w:rsid w:val="00C00568"/>
    <w:rPr>
      <w:color w:val="808080"/>
    </w:rPr>
  </w:style>
  <w:style w:type="paragraph" w:styleId="PlainText">
    <w:name w:val="Plain Text"/>
    <w:basedOn w:val="Normal"/>
    <w:link w:val="PlainTextChar"/>
    <w:uiPriority w:val="99"/>
    <w:semiHidden/>
    <w:unhideWhenUsed/>
    <w:rsid w:val="00C00568"/>
    <w:pPr>
      <w:spacing w:before="0"/>
    </w:pPr>
    <w:rPr>
      <w:rFonts w:ascii="Consolas" w:hAnsi="Consolas" w:cs="Consolas"/>
      <w:sz w:val="21"/>
      <w:szCs w:val="21"/>
    </w:rPr>
  </w:style>
  <w:style w:type="character" w:customStyle="1" w:styleId="PlainTextChar">
    <w:name w:val="Plain Text Char"/>
    <w:basedOn w:val="DefaultParagraphFont"/>
    <w:link w:val="PlainText"/>
    <w:uiPriority w:val="99"/>
    <w:semiHidden/>
    <w:rsid w:val="00C00568"/>
    <w:rPr>
      <w:rFonts w:ascii="Consolas" w:hAnsi="Consolas" w:cs="Consolas"/>
      <w:sz w:val="21"/>
      <w:szCs w:val="21"/>
    </w:rPr>
  </w:style>
  <w:style w:type="paragraph" w:styleId="Quote">
    <w:name w:val="Quote"/>
    <w:basedOn w:val="Normal"/>
    <w:next w:val="Normal"/>
    <w:link w:val="QuoteChar"/>
    <w:uiPriority w:val="29"/>
    <w:semiHidden/>
    <w:rsid w:val="00C00568"/>
    <w:rPr>
      <w:i/>
      <w:iCs/>
      <w:color w:val="000000" w:themeColor="text1"/>
    </w:rPr>
  </w:style>
  <w:style w:type="character" w:customStyle="1" w:styleId="QuoteChar">
    <w:name w:val="Quote Char"/>
    <w:basedOn w:val="DefaultParagraphFont"/>
    <w:link w:val="Quote"/>
    <w:uiPriority w:val="29"/>
    <w:semiHidden/>
    <w:rsid w:val="00C00568"/>
    <w:rPr>
      <w:i/>
      <w:iCs/>
      <w:color w:val="000000" w:themeColor="text1"/>
    </w:rPr>
  </w:style>
  <w:style w:type="paragraph" w:styleId="Salutation">
    <w:name w:val="Salutation"/>
    <w:basedOn w:val="Normal"/>
    <w:next w:val="Normal"/>
    <w:link w:val="SalutationChar"/>
    <w:uiPriority w:val="99"/>
    <w:semiHidden/>
    <w:unhideWhenUsed/>
    <w:rsid w:val="00C00568"/>
  </w:style>
  <w:style w:type="character" w:customStyle="1" w:styleId="SalutationChar">
    <w:name w:val="Salutation Char"/>
    <w:basedOn w:val="DefaultParagraphFont"/>
    <w:link w:val="Salutation"/>
    <w:uiPriority w:val="99"/>
    <w:semiHidden/>
    <w:rsid w:val="00C00568"/>
  </w:style>
  <w:style w:type="paragraph" w:styleId="Signature">
    <w:name w:val="Signature"/>
    <w:basedOn w:val="Normal"/>
    <w:link w:val="SignatureChar"/>
    <w:uiPriority w:val="99"/>
    <w:semiHidden/>
    <w:unhideWhenUsed/>
    <w:rsid w:val="00C00568"/>
    <w:pPr>
      <w:spacing w:before="0"/>
      <w:ind w:left="4252"/>
    </w:pPr>
  </w:style>
  <w:style w:type="character" w:customStyle="1" w:styleId="SignatureChar">
    <w:name w:val="Signature Char"/>
    <w:basedOn w:val="DefaultParagraphFont"/>
    <w:link w:val="Signature"/>
    <w:uiPriority w:val="99"/>
    <w:semiHidden/>
    <w:rsid w:val="00C00568"/>
  </w:style>
  <w:style w:type="character" w:styleId="Strong">
    <w:name w:val="Strong"/>
    <w:basedOn w:val="DefaultParagraphFont"/>
    <w:uiPriority w:val="98"/>
    <w:semiHidden/>
    <w:rsid w:val="00C00568"/>
    <w:rPr>
      <w:b/>
      <w:bCs/>
    </w:rPr>
  </w:style>
  <w:style w:type="paragraph" w:styleId="Subtitle">
    <w:name w:val="Subtitle"/>
    <w:basedOn w:val="Normal"/>
    <w:next w:val="Normal"/>
    <w:link w:val="SubtitleChar"/>
    <w:uiPriority w:val="11"/>
    <w:semiHidden/>
    <w:rsid w:val="00C00568"/>
    <w:pPr>
      <w:numPr>
        <w:ilvl w:val="1"/>
      </w:numPr>
    </w:pPr>
    <w:rPr>
      <w:rFonts w:asciiTheme="majorHAnsi" w:eastAsiaTheme="majorEastAsia" w:hAnsiTheme="majorHAnsi" w:cstheme="majorBidi"/>
      <w:i/>
      <w:iCs/>
      <w:color w:val="0063A6" w:themeColor="accent1"/>
      <w:spacing w:val="15"/>
      <w:sz w:val="24"/>
      <w:szCs w:val="24"/>
    </w:rPr>
  </w:style>
  <w:style w:type="character" w:customStyle="1" w:styleId="SubtitleChar">
    <w:name w:val="Subtitle Char"/>
    <w:basedOn w:val="DefaultParagraphFont"/>
    <w:link w:val="Subtitle"/>
    <w:uiPriority w:val="11"/>
    <w:semiHidden/>
    <w:rsid w:val="00C00568"/>
    <w:rPr>
      <w:rFonts w:asciiTheme="majorHAnsi" w:eastAsiaTheme="majorEastAsia" w:hAnsiTheme="majorHAnsi" w:cstheme="majorBidi"/>
      <w:i/>
      <w:iCs/>
      <w:color w:val="0063A6" w:themeColor="accent1"/>
      <w:spacing w:val="15"/>
      <w:sz w:val="24"/>
      <w:szCs w:val="24"/>
    </w:rPr>
  </w:style>
  <w:style w:type="character" w:styleId="SubtleReference">
    <w:name w:val="Subtle Reference"/>
    <w:basedOn w:val="DefaultParagraphFont"/>
    <w:uiPriority w:val="31"/>
    <w:semiHidden/>
    <w:rsid w:val="00C00568"/>
    <w:rPr>
      <w:smallCaps/>
      <w:color w:val="00497A" w:themeColor="accent2"/>
      <w:u w:val="single"/>
    </w:rPr>
  </w:style>
  <w:style w:type="table" w:styleId="Table3Deffects1">
    <w:name w:val="Table 3D effects 1"/>
    <w:basedOn w:val="TableNormal"/>
    <w:uiPriority w:val="99"/>
    <w:semiHidden/>
    <w:unhideWhenUsed/>
    <w:rsid w:val="00C00568"/>
    <w:pPr>
      <w:keepLines/>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C00568"/>
    <w:pPr>
      <w:keepLines/>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C00568"/>
    <w:pPr>
      <w:keepLines/>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C00568"/>
    <w:pPr>
      <w:keepLines/>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C00568"/>
    <w:pPr>
      <w:keepLines/>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C00568"/>
    <w:pPr>
      <w:keepLines/>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C00568"/>
    <w:pPr>
      <w:keepLines/>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C00568"/>
    <w:pPr>
      <w:keepLines/>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C00568"/>
    <w:pPr>
      <w:keepLines/>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C00568"/>
    <w:pPr>
      <w:keepLines/>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C00568"/>
    <w:pPr>
      <w:keepLines/>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C00568"/>
    <w:pPr>
      <w:keepLines/>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C00568"/>
    <w:pPr>
      <w:keepLines/>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C00568"/>
    <w:pPr>
      <w:keepLines/>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C00568"/>
    <w:pPr>
      <w:keepLines/>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C00568"/>
    <w:pPr>
      <w:keepLines/>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C00568"/>
    <w:pPr>
      <w:keepLines/>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C00568"/>
    <w:pPr>
      <w:keepLine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C00568"/>
    <w:pPr>
      <w:keepLines/>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C00568"/>
    <w:pPr>
      <w:keepLines/>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C00568"/>
    <w:pPr>
      <w:keepLines/>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C00568"/>
    <w:pPr>
      <w:keepLines/>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C00568"/>
    <w:pPr>
      <w:keepLines/>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C00568"/>
    <w:pPr>
      <w:keepLines/>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C00568"/>
    <w:pPr>
      <w:keepLines/>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C00568"/>
    <w:pPr>
      <w:keepLines/>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C00568"/>
    <w:pPr>
      <w:keepLines/>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C00568"/>
    <w:pPr>
      <w:keepLines/>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C00568"/>
    <w:pPr>
      <w:keepLines/>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C00568"/>
    <w:pPr>
      <w:keepLines/>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C00568"/>
    <w:pPr>
      <w:keepLines/>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C00568"/>
    <w:pPr>
      <w:keepLines/>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C00568"/>
    <w:pPr>
      <w:keepLines/>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C00568"/>
    <w:pPr>
      <w:ind w:left="220" w:hanging="220"/>
    </w:pPr>
  </w:style>
  <w:style w:type="paragraph" w:styleId="TableofFigures">
    <w:name w:val="table of figures"/>
    <w:basedOn w:val="Normal"/>
    <w:next w:val="Normal"/>
    <w:uiPriority w:val="99"/>
    <w:semiHidden/>
    <w:unhideWhenUsed/>
    <w:rsid w:val="00C00568"/>
  </w:style>
  <w:style w:type="table" w:styleId="TableProfessional">
    <w:name w:val="Table Professional"/>
    <w:basedOn w:val="TableNormal"/>
    <w:uiPriority w:val="99"/>
    <w:semiHidden/>
    <w:unhideWhenUsed/>
    <w:rsid w:val="00C00568"/>
    <w:pPr>
      <w:keepLine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C00568"/>
    <w:pPr>
      <w:keepLines/>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C00568"/>
    <w:pPr>
      <w:keepLines/>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C00568"/>
    <w:pPr>
      <w:keepLines/>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C00568"/>
    <w:pPr>
      <w:keepLines/>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C00568"/>
    <w:pPr>
      <w:keepLines/>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C00568"/>
    <w:pPr>
      <w:keepLine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C00568"/>
    <w:pPr>
      <w:keepLines/>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C00568"/>
    <w:pPr>
      <w:keepLines/>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C00568"/>
    <w:pPr>
      <w:keepLines/>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semiHidden/>
    <w:rsid w:val="00C00568"/>
    <w:pPr>
      <w:pBdr>
        <w:bottom w:val="single" w:sz="8" w:space="4" w:color="0063A6" w:themeColor="accent1"/>
      </w:pBdr>
      <w:spacing w:before="0" w:after="300"/>
      <w:contextualSpacing/>
    </w:pPr>
    <w:rPr>
      <w:rFonts w:asciiTheme="majorHAnsi" w:eastAsiaTheme="majorEastAsia" w:hAnsiTheme="majorHAnsi" w:cstheme="majorBidi"/>
      <w:color w:val="170F34" w:themeColor="text2" w:themeShade="BF"/>
      <w:spacing w:val="5"/>
      <w:kern w:val="28"/>
      <w:sz w:val="52"/>
      <w:szCs w:val="52"/>
    </w:rPr>
  </w:style>
  <w:style w:type="character" w:customStyle="1" w:styleId="TitleChar">
    <w:name w:val="Title Char"/>
    <w:basedOn w:val="DefaultParagraphFont"/>
    <w:link w:val="Title"/>
    <w:uiPriority w:val="10"/>
    <w:semiHidden/>
    <w:rsid w:val="00C00568"/>
    <w:rPr>
      <w:rFonts w:asciiTheme="majorHAnsi" w:eastAsiaTheme="majorEastAsia" w:hAnsiTheme="majorHAnsi" w:cstheme="majorBidi"/>
      <w:color w:val="170F34" w:themeColor="text2" w:themeShade="BF"/>
      <w:spacing w:val="5"/>
      <w:kern w:val="28"/>
      <w:sz w:val="52"/>
      <w:szCs w:val="52"/>
    </w:rPr>
  </w:style>
  <w:style w:type="paragraph" w:styleId="TOAHeading">
    <w:name w:val="toa heading"/>
    <w:basedOn w:val="Normal"/>
    <w:next w:val="Normal"/>
    <w:uiPriority w:val="99"/>
    <w:semiHidden/>
    <w:unhideWhenUsed/>
    <w:rsid w:val="00C00568"/>
    <w:rPr>
      <w:rFonts w:asciiTheme="majorHAnsi" w:eastAsiaTheme="majorEastAsia" w:hAnsiTheme="majorHAnsi" w:cstheme="majorBidi"/>
      <w:b/>
      <w:bCs/>
      <w:sz w:val="24"/>
      <w:szCs w:val="24"/>
    </w:rPr>
  </w:style>
  <w:style w:type="paragraph" w:styleId="TOC5">
    <w:name w:val="toc 5"/>
    <w:basedOn w:val="Normal"/>
    <w:next w:val="Normal"/>
    <w:autoRedefine/>
    <w:uiPriority w:val="96"/>
    <w:semiHidden/>
    <w:rsid w:val="00C00568"/>
    <w:pPr>
      <w:spacing w:after="100"/>
      <w:ind w:left="880"/>
    </w:pPr>
  </w:style>
  <w:style w:type="paragraph" w:styleId="TOC6">
    <w:name w:val="toc 6"/>
    <w:basedOn w:val="Normal"/>
    <w:next w:val="Normal"/>
    <w:autoRedefine/>
    <w:uiPriority w:val="96"/>
    <w:semiHidden/>
    <w:rsid w:val="00C00568"/>
    <w:pPr>
      <w:spacing w:after="100"/>
      <w:ind w:left="1100"/>
    </w:pPr>
  </w:style>
  <w:style w:type="paragraph" w:styleId="TOC8">
    <w:name w:val="toc 8"/>
    <w:basedOn w:val="Normal"/>
    <w:next w:val="Normal"/>
    <w:autoRedefine/>
    <w:uiPriority w:val="96"/>
    <w:semiHidden/>
    <w:rsid w:val="00C00568"/>
    <w:pPr>
      <w:spacing w:after="100"/>
      <w:ind w:left="1540"/>
    </w:pPr>
  </w:style>
  <w:style w:type="paragraph" w:styleId="TOCHeading">
    <w:name w:val="TOC Heading"/>
    <w:basedOn w:val="Heading10"/>
    <w:next w:val="Normal"/>
    <w:uiPriority w:val="90"/>
    <w:semiHidden/>
    <w:unhideWhenUsed/>
    <w:rsid w:val="00C00568"/>
    <w:pPr>
      <w:spacing w:before="480"/>
      <w:outlineLvl w:val="9"/>
    </w:pPr>
    <w:rPr>
      <w:caps w:val="0"/>
      <w:color w:val="004A7C" w:themeColor="accent1" w:themeShade="BF"/>
      <w:spacing w:val="0"/>
      <w:sz w:val="28"/>
    </w:rPr>
  </w:style>
  <w:style w:type="table" w:customStyle="1" w:styleId="DTFTextTable">
    <w:name w:val="DTF Text Table"/>
    <w:basedOn w:val="DTFTable"/>
    <w:uiPriority w:val="99"/>
    <w:rsid w:val="00917D22"/>
    <w:pPr>
      <w:spacing w:after="120" w:line="216" w:lineRule="auto"/>
      <w:jc w:val="left"/>
    </w:pPr>
    <w:rPr>
      <w:sz w:val="20"/>
    </w:rPr>
    <w:tblPr/>
    <w:tblStylePr w:type="firstRow">
      <w:pPr>
        <w:wordWrap/>
        <w:spacing w:beforeLines="0" w:before="20" w:beforeAutospacing="0" w:afterLines="0" w:after="20" w:afterAutospacing="0" w:line="216" w:lineRule="auto"/>
        <w:jc w:val="left"/>
      </w:pPr>
      <w:rPr>
        <w:i/>
      </w:rPr>
      <w:tblPr/>
      <w:trPr>
        <w:cantSplit w:val="0"/>
      </w:trPr>
      <w:tcPr>
        <w:shd w:val="clear" w:color="auto" w:fill="000000" w:themeFill="text1"/>
        <w:vAlign w:val="bottom"/>
      </w:tcPr>
    </w:tblStylePr>
    <w:tblStylePr w:type="lastRow">
      <w:rPr>
        <w:b w:val="0"/>
      </w:rPr>
      <w:tblPr/>
      <w:tcPr>
        <w:tcBorders>
          <w:top w:val="single" w:sz="6" w:space="0" w:color="000000" w:themeColor="text1"/>
          <w:left w:val="nil"/>
          <w:bottom w:val="single" w:sz="12" w:space="0" w:color="000000" w:themeColor="text1"/>
          <w:right w:val="nil"/>
          <w:insideH w:val="nil"/>
          <w:insideV w:val="nil"/>
          <w:tl2br w:val="nil"/>
          <w:tr2bl w:val="nil"/>
        </w:tcBorders>
      </w:tcPr>
    </w:tblStylePr>
    <w:tblStylePr w:type="firstCol">
      <w:pPr>
        <w:wordWrap/>
        <w:spacing w:line="240" w:lineRule="auto"/>
        <w:ind w:leftChars="0" w:left="170" w:rightChars="0" w:right="0" w:firstLineChars="0" w:hanging="170"/>
        <w:jc w:val="left"/>
      </w:pPr>
    </w:tblStylePr>
    <w:tblStylePr w:type="lastCol">
      <w:rPr>
        <w:b/>
      </w:rPr>
      <w:tblPr/>
      <w:tcPr>
        <w:shd w:val="clear" w:color="auto" w:fill="F2F2F2" w:themeFill="background1" w:themeFillShade="F2"/>
      </w:tcPr>
    </w:tblStylePr>
    <w:tblStylePr w:type="band1Vert">
      <w:tblPr/>
      <w:tcPr>
        <w:shd w:val="clear" w:color="auto" w:fill="EBEBEB" w:themeFill="background2"/>
      </w:tcPr>
    </w:tblStylePr>
    <w:tblStylePr w:type="band1Horz">
      <w:tblPr/>
      <w:tcPr>
        <w:tcBorders>
          <w:top w:val="nil"/>
          <w:left w:val="nil"/>
          <w:bottom w:val="single" w:sz="6" w:space="0" w:color="auto"/>
          <w:right w:val="nil"/>
          <w:insideH w:val="nil"/>
          <w:insideV w:val="nil"/>
          <w:tl2br w:val="nil"/>
          <w:tr2bl w:val="nil"/>
        </w:tcBorders>
        <w:shd w:val="clear" w:color="auto" w:fill="EBEBEB" w:themeFill="background2"/>
      </w:tcPr>
    </w:tblStylePr>
    <w:tblStylePr w:type="band2Horz">
      <w:tblPr/>
      <w:tcPr>
        <w:tcBorders>
          <w:top w:val="nil"/>
          <w:left w:val="nil"/>
          <w:bottom w:val="single" w:sz="6" w:space="0" w:color="auto"/>
          <w:right w:val="nil"/>
          <w:insideH w:val="nil"/>
          <w:insideV w:val="nil"/>
          <w:tl2br w:val="nil"/>
          <w:tr2bl w:val="nil"/>
        </w:tcBorders>
        <w:shd w:val="clear" w:color="auto" w:fill="FFFFFF" w:themeFill="background1"/>
      </w:tcPr>
    </w:tblStylePr>
  </w:style>
  <w:style w:type="character" w:customStyle="1" w:styleId="FooterevenChar">
    <w:name w:val="Footer (even) Char"/>
    <w:basedOn w:val="FooterChar"/>
    <w:link w:val="Footereven"/>
    <w:uiPriority w:val="84"/>
    <w:rsid w:val="00036280"/>
    <w:rPr>
      <w:rFonts w:asciiTheme="majorHAnsi" w:hAnsiTheme="majorHAnsi"/>
      <w:sz w:val="18"/>
    </w:rPr>
  </w:style>
  <w:style w:type="paragraph" w:customStyle="1" w:styleId="ObjectiveHeading">
    <w:name w:val="Objective Heading"/>
    <w:basedOn w:val="Normal"/>
    <w:next w:val="Normal"/>
    <w:uiPriority w:val="62"/>
    <w:qFormat/>
    <w:rsid w:val="00EB0619"/>
    <w:pPr>
      <w:keepNext/>
      <w:pBdr>
        <w:top w:val="single" w:sz="6" w:space="3" w:color="auto"/>
        <w:left w:val="single" w:sz="6" w:space="5" w:color="auto"/>
        <w:bottom w:val="single" w:sz="6" w:space="3" w:color="auto"/>
        <w:right w:val="single" w:sz="6" w:space="5" w:color="auto"/>
      </w:pBdr>
      <w:shd w:val="clear" w:color="auto" w:fill="F2F2F2" w:themeFill="background1" w:themeFillShade="F2"/>
    </w:pPr>
    <w:rPr>
      <w:rFonts w:asciiTheme="majorHAnsi" w:hAnsiTheme="majorHAnsi"/>
      <w:b/>
      <w:sz w:val="24"/>
    </w:rPr>
  </w:style>
  <w:style w:type="paragraph" w:customStyle="1" w:styleId="TableUnits">
    <w:name w:val="Table Units"/>
    <w:basedOn w:val="Normal"/>
    <w:next w:val="Normal"/>
    <w:link w:val="TableUnitsChar"/>
    <w:uiPriority w:val="50"/>
    <w:qFormat/>
    <w:rsid w:val="0083463B"/>
    <w:pPr>
      <w:keepNext/>
      <w:tabs>
        <w:tab w:val="left" w:pos="567"/>
        <w:tab w:val="right" w:pos="9639"/>
        <w:tab w:val="right" w:pos="14742"/>
      </w:tabs>
      <w:spacing w:before="0" w:after="60"/>
      <w:ind w:left="1134" w:hanging="1134"/>
      <w:jc w:val="right"/>
    </w:pPr>
    <w:rPr>
      <w:rFonts w:asciiTheme="majorHAnsi" w:hAnsiTheme="majorHAnsi"/>
      <w:b/>
      <w:sz w:val="20"/>
      <w:szCs w:val="20"/>
    </w:rPr>
  </w:style>
  <w:style w:type="table" w:customStyle="1" w:styleId="DTFPerformanceMeasuresTable">
    <w:name w:val="DTF Performance Measures Table"/>
    <w:basedOn w:val="DTFTable"/>
    <w:uiPriority w:val="99"/>
    <w:rsid w:val="00F8170E"/>
    <w:pPr>
      <w:spacing w:before="0"/>
    </w:pPr>
    <w:tblPr>
      <w:tblStyleRowBandSize w:val="0"/>
    </w:tblPr>
    <w:tblStylePr w:type="firstRow">
      <w:rPr>
        <w:i/>
      </w:rPr>
      <w:tblPr/>
      <w:trPr>
        <w:cantSplit w:val="0"/>
      </w:trPr>
      <w:tcPr>
        <w:shd w:val="clear" w:color="auto" w:fill="000000" w:themeFill="text1"/>
        <w:vAlign w:val="bottom"/>
      </w:tcPr>
    </w:tblStylePr>
    <w:tblStylePr w:type="lastRow">
      <w:rPr>
        <w:b/>
      </w:rPr>
      <w:tblPr/>
      <w:tcPr>
        <w:tcBorders>
          <w:top w:val="single" w:sz="6" w:space="0" w:color="000000" w:themeColor="text1"/>
          <w:left w:val="nil"/>
          <w:bottom w:val="single" w:sz="12" w:space="0" w:color="000000" w:themeColor="text1"/>
          <w:right w:val="nil"/>
          <w:insideH w:val="nil"/>
          <w:insideV w:val="nil"/>
          <w:tl2br w:val="nil"/>
          <w:tr2bl w:val="nil"/>
        </w:tcBorders>
      </w:tcPr>
    </w:tblStylePr>
    <w:tblStylePr w:type="firstCol">
      <w:pPr>
        <w:wordWrap/>
        <w:spacing w:line="240" w:lineRule="auto"/>
        <w:ind w:leftChars="0" w:left="144" w:rightChars="0" w:right="0" w:firstLineChars="0" w:firstLine="0"/>
        <w:jc w:val="left"/>
      </w:pPr>
    </w:tblStylePr>
    <w:tblStylePr w:type="lastCol">
      <w:rPr>
        <w:b/>
      </w:rPr>
      <w:tblPr/>
      <w:tcPr>
        <w:shd w:val="clear" w:color="auto" w:fill="F2F2F2" w:themeFill="background1" w:themeFillShade="F2"/>
      </w:tcPr>
    </w:tblStylePr>
    <w:tblStylePr w:type="band1Vert">
      <w:tblPr/>
      <w:tcPr>
        <w:shd w:val="clear" w:color="auto" w:fill="EBEBEB" w:themeFill="background2"/>
      </w:tcPr>
    </w:tblStylePr>
    <w:tblStylePr w:type="band1Horz">
      <w:tblPr/>
      <w:tcPr>
        <w:shd w:val="clear" w:color="auto" w:fill="EBEBEB" w:themeFill="background2"/>
      </w:tcPr>
    </w:tblStylePr>
    <w:tblStylePr w:type="band2Horz">
      <w:tblPr/>
      <w:tcPr>
        <w:shd w:val="clear" w:color="auto" w:fill="FFFFFF" w:themeFill="background1"/>
      </w:tcPr>
    </w:tblStylePr>
  </w:style>
  <w:style w:type="character" w:customStyle="1" w:styleId="TableHeadingChar">
    <w:name w:val="Table Heading Char"/>
    <w:basedOn w:val="DefaultParagraphFont"/>
    <w:link w:val="TableHeading"/>
    <w:uiPriority w:val="49"/>
    <w:rsid w:val="002D3FE4"/>
    <w:rPr>
      <w:rFonts w:asciiTheme="majorHAnsi" w:hAnsiTheme="majorHAnsi"/>
      <w:b/>
      <w:sz w:val="20"/>
      <w:szCs w:val="20"/>
    </w:rPr>
  </w:style>
  <w:style w:type="character" w:customStyle="1" w:styleId="SourceChar">
    <w:name w:val="Source Char"/>
    <w:link w:val="Source"/>
    <w:uiPriority w:val="51"/>
    <w:locked/>
    <w:rsid w:val="00400B44"/>
    <w:rPr>
      <w:rFonts w:asciiTheme="majorHAnsi" w:hAnsiTheme="majorHAnsi"/>
      <w:i/>
      <w:spacing w:val="-2"/>
      <w:sz w:val="14"/>
    </w:rPr>
  </w:style>
  <w:style w:type="table" w:customStyle="1" w:styleId="DTFFinancialTable">
    <w:name w:val="DTF Financial Table"/>
    <w:basedOn w:val="TableNormal"/>
    <w:uiPriority w:val="99"/>
    <w:rsid w:val="00400B44"/>
    <w:pPr>
      <w:spacing w:before="20" w:after="20"/>
      <w:jc w:val="right"/>
    </w:pPr>
    <w:rPr>
      <w:rFonts w:asciiTheme="majorHAnsi" w:hAnsiTheme="majorHAnsi"/>
      <w:spacing w:val="4"/>
      <w:sz w:val="17"/>
    </w:rPr>
    <w:tblPr>
      <w:tblStyleRowBandSize w:val="1"/>
      <w:tblStyleColBandSize w:val="1"/>
      <w:tblInd w:w="28" w:type="dxa"/>
      <w:tblBorders>
        <w:bottom w:val="single" w:sz="12" w:space="0" w:color="auto"/>
      </w:tblBorders>
      <w:tblCellMar>
        <w:left w:w="57" w:type="dxa"/>
        <w:right w:w="57" w:type="dxa"/>
      </w:tblCellMar>
    </w:tblPr>
    <w:trPr>
      <w:cantSplit/>
    </w:trPr>
    <w:tblStylePr w:type="firstRow">
      <w:rPr>
        <w:i/>
      </w:rPr>
      <w:tblPr/>
      <w:trPr>
        <w:cantSplit w:val="0"/>
      </w:trPr>
      <w:tcPr>
        <w:shd w:val="clear" w:color="auto" w:fill="000000" w:themeFill="text1"/>
        <w:vAlign w:val="bottom"/>
      </w:tcPr>
    </w:tblStylePr>
    <w:tblStylePr w:type="lastRow">
      <w:rPr>
        <w:b/>
      </w:rPr>
      <w:tblPr/>
      <w:tcPr>
        <w:tcBorders>
          <w:top w:val="single" w:sz="6" w:space="0" w:color="000000" w:themeColor="text1"/>
          <w:left w:val="nil"/>
          <w:bottom w:val="single" w:sz="12" w:space="0" w:color="000000" w:themeColor="text1"/>
          <w:right w:val="nil"/>
          <w:insideH w:val="nil"/>
          <w:insideV w:val="nil"/>
          <w:tl2br w:val="nil"/>
          <w:tr2bl w:val="nil"/>
        </w:tcBorders>
      </w:tcPr>
    </w:tblStylePr>
    <w:tblStylePr w:type="firstCol">
      <w:pPr>
        <w:wordWrap/>
        <w:spacing w:line="240" w:lineRule="auto"/>
        <w:ind w:leftChars="0" w:left="170" w:rightChars="0" w:right="0" w:firstLineChars="0" w:hanging="170"/>
        <w:jc w:val="left"/>
      </w:pPr>
    </w:tblStylePr>
    <w:tblStylePr w:type="lastCol">
      <w:rPr>
        <w:b/>
      </w:rPr>
      <w:tblPr/>
      <w:tcPr>
        <w:shd w:val="clear" w:color="auto" w:fill="F2F2F2" w:themeFill="background1" w:themeFillShade="F2"/>
      </w:tcPr>
    </w:tblStylePr>
    <w:tblStylePr w:type="band1Vert">
      <w:tblPr/>
      <w:tcPr>
        <w:shd w:val="clear" w:color="auto" w:fill="EBEBEB" w:themeFill="background2"/>
      </w:tcPr>
    </w:tblStylePr>
    <w:tblStylePr w:type="band1Horz">
      <w:tblPr/>
      <w:tcPr>
        <w:shd w:val="clear" w:color="auto" w:fill="EBEBEB" w:themeFill="background2"/>
      </w:tcPr>
    </w:tblStylePr>
    <w:tblStylePr w:type="band2Horz">
      <w:tblPr/>
      <w:tcPr>
        <w:shd w:val="clear" w:color="auto" w:fill="FFFFFF" w:themeFill="background1"/>
      </w:tcPr>
    </w:tblStylePr>
  </w:style>
  <w:style w:type="numbering" w:customStyle="1" w:styleId="Headingstyles">
    <w:name w:val="Heading styles"/>
    <w:uiPriority w:val="99"/>
    <w:rsid w:val="00400B44"/>
    <w:pPr>
      <w:numPr>
        <w:numId w:val="15"/>
      </w:numPr>
    </w:pPr>
  </w:style>
  <w:style w:type="paragraph" w:customStyle="1" w:styleId="BulletText">
    <w:name w:val="Bullet Text"/>
    <w:basedOn w:val="Normal"/>
    <w:link w:val="BulletTextChar"/>
    <w:uiPriority w:val="2"/>
    <w:qFormat/>
    <w:rsid w:val="00400B44"/>
    <w:pPr>
      <w:keepLines w:val="0"/>
      <w:tabs>
        <w:tab w:val="num" w:pos="360"/>
      </w:tabs>
      <w:spacing w:before="0" w:after="120"/>
      <w:ind w:left="360" w:hanging="360"/>
    </w:pPr>
    <w:rPr>
      <w:rFonts w:eastAsia="Times New Roman" w:cs="Times New Roman"/>
      <w:lang w:eastAsia="en-AU"/>
    </w:rPr>
  </w:style>
  <w:style w:type="character" w:customStyle="1" w:styleId="BulletTextChar">
    <w:name w:val="Bullet Text Char"/>
    <w:link w:val="BulletText"/>
    <w:uiPriority w:val="2"/>
    <w:locked/>
    <w:rsid w:val="00400B44"/>
    <w:rPr>
      <w:rFonts w:eastAsia="Times New Roman" w:cs="Times New Roman"/>
      <w:lang w:eastAsia="en-AU"/>
    </w:rPr>
  </w:style>
  <w:style w:type="character" w:customStyle="1" w:styleId="TableUnitsChar">
    <w:name w:val="Table Units Char"/>
    <w:basedOn w:val="DefaultParagraphFont"/>
    <w:link w:val="TableUnits"/>
    <w:uiPriority w:val="50"/>
    <w:rsid w:val="00400B44"/>
    <w:rPr>
      <w:rFonts w:asciiTheme="majorHAnsi" w:hAnsiTheme="majorHAnsi"/>
      <w:b/>
      <w:sz w:val="20"/>
      <w:szCs w:val="20"/>
    </w:rPr>
  </w:style>
  <w:style w:type="paragraph" w:customStyle="1" w:styleId="Notes">
    <w:name w:val="Notes"/>
    <w:basedOn w:val="Normal"/>
    <w:link w:val="NotesChar"/>
    <w:qFormat/>
    <w:rsid w:val="00400B44"/>
    <w:pPr>
      <w:keepLines w:val="0"/>
      <w:tabs>
        <w:tab w:val="left" w:pos="454"/>
      </w:tabs>
      <w:spacing w:before="0"/>
      <w:ind w:left="397" w:hanging="397"/>
    </w:pPr>
    <w:rPr>
      <w:rFonts w:asciiTheme="majorHAnsi" w:eastAsia="Times New Roman" w:hAnsiTheme="majorHAnsi" w:cs="Times New Roman"/>
      <w:i/>
      <w:sz w:val="15"/>
      <w:lang w:eastAsia="en-AU"/>
    </w:rPr>
  </w:style>
  <w:style w:type="character" w:customStyle="1" w:styleId="NotesChar">
    <w:name w:val="Notes Char"/>
    <w:link w:val="Notes"/>
    <w:locked/>
    <w:rsid w:val="00400B44"/>
    <w:rPr>
      <w:rFonts w:asciiTheme="majorHAnsi" w:eastAsia="Times New Roman" w:hAnsiTheme="majorHAnsi" w:cs="Times New Roman"/>
      <w:i/>
      <w:sz w:val="15"/>
      <w:lang w:eastAsia="en-AU"/>
    </w:rPr>
  </w:style>
  <w:style w:type="paragraph" w:customStyle="1" w:styleId="ControlledEntitiesDepartment">
    <w:name w:val="Controlled Entities Department"/>
    <w:basedOn w:val="Normal"/>
    <w:next w:val="Normal"/>
    <w:uiPriority w:val="97"/>
    <w:qFormat/>
    <w:rsid w:val="00400B44"/>
    <w:pPr>
      <w:shd w:val="clear" w:color="auto" w:fill="D9D9D9" w:themeFill="background1" w:themeFillShade="D9"/>
      <w:spacing w:before="40"/>
    </w:pPr>
    <w:rPr>
      <w:rFonts w:asciiTheme="majorHAnsi" w:eastAsia="Times New Roman" w:hAnsiTheme="majorHAnsi" w:cs="Times New Roman"/>
      <w:b/>
      <w:bCs/>
      <w:color w:val="000000" w:themeColor="text1"/>
      <w:sz w:val="18"/>
      <w:szCs w:val="18"/>
      <w:lang w:eastAsia="en-AU"/>
    </w:rPr>
  </w:style>
  <w:style w:type="paragraph" w:customStyle="1" w:styleId="ControlledEntitiesSector">
    <w:name w:val="Controlled Entities Sector"/>
    <w:basedOn w:val="Normal"/>
    <w:next w:val="ControlledEntitiesDepartment"/>
    <w:uiPriority w:val="98"/>
    <w:qFormat/>
    <w:rsid w:val="00400B44"/>
    <w:pPr>
      <w:shd w:val="clear" w:color="auto" w:fill="000000" w:themeFill="text1"/>
      <w:spacing w:before="20" w:after="60"/>
      <w:jc w:val="center"/>
    </w:pPr>
    <w:rPr>
      <w:rFonts w:asciiTheme="majorHAnsi" w:eastAsia="Times New Roman" w:hAnsiTheme="majorHAnsi" w:cstheme="minorHAnsi"/>
      <w:b/>
      <w:i/>
      <w:color w:val="FFFFFF" w:themeColor="background1"/>
      <w:sz w:val="18"/>
      <w:lang w:eastAsia="en-AU"/>
    </w:rPr>
  </w:style>
  <w:style w:type="character" w:customStyle="1" w:styleId="ListBulletChar">
    <w:name w:val="List Bullet Char"/>
    <w:basedOn w:val="DefaultParagraphFont"/>
    <w:link w:val="ListBullet"/>
    <w:uiPriority w:val="19"/>
    <w:rsid w:val="00400B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eader" Target="header7.xml"/><Relationship Id="rId117" Type="http://schemas.openxmlformats.org/officeDocument/2006/relationships/header" Target="header44.xml"/><Relationship Id="rId21" Type="http://schemas.openxmlformats.org/officeDocument/2006/relationships/header" Target="header5.xml"/><Relationship Id="rId42" Type="http://schemas.openxmlformats.org/officeDocument/2006/relationships/image" Target="media/image5.emf"/><Relationship Id="rId47" Type="http://schemas.openxmlformats.org/officeDocument/2006/relationships/header" Target="header14.xml"/><Relationship Id="rId63" Type="http://schemas.openxmlformats.org/officeDocument/2006/relationships/header" Target="header20.xml"/><Relationship Id="rId68" Type="http://schemas.openxmlformats.org/officeDocument/2006/relationships/header" Target="header22.xml"/><Relationship Id="rId84" Type="http://schemas.openxmlformats.org/officeDocument/2006/relationships/footer" Target="footer42.xml"/><Relationship Id="rId89" Type="http://schemas.openxmlformats.org/officeDocument/2006/relationships/header" Target="header32.xml"/><Relationship Id="rId112" Type="http://schemas.openxmlformats.org/officeDocument/2006/relationships/footer" Target="footer58.xml"/><Relationship Id="rId16" Type="http://schemas.openxmlformats.org/officeDocument/2006/relationships/footer" Target="footer4.xml"/><Relationship Id="rId107" Type="http://schemas.openxmlformats.org/officeDocument/2006/relationships/footer" Target="footer56.xml"/><Relationship Id="rId11" Type="http://schemas.openxmlformats.org/officeDocument/2006/relationships/footer" Target="footer1.xml"/><Relationship Id="rId32" Type="http://schemas.openxmlformats.org/officeDocument/2006/relationships/image" Target="media/image3.emf"/><Relationship Id="rId37" Type="http://schemas.openxmlformats.org/officeDocument/2006/relationships/header" Target="header12.xml"/><Relationship Id="rId53" Type="http://schemas.openxmlformats.org/officeDocument/2006/relationships/header" Target="header17.xml"/><Relationship Id="rId58" Type="http://schemas.openxmlformats.org/officeDocument/2006/relationships/footer" Target="footer27.xml"/><Relationship Id="rId74" Type="http://schemas.openxmlformats.org/officeDocument/2006/relationships/footer" Target="footer37.xml"/><Relationship Id="rId79" Type="http://schemas.openxmlformats.org/officeDocument/2006/relationships/footer" Target="footer40.xml"/><Relationship Id="rId102" Type="http://schemas.openxmlformats.org/officeDocument/2006/relationships/footer" Target="footer53.xml"/><Relationship Id="rId123" Type="http://schemas.openxmlformats.org/officeDocument/2006/relationships/header" Target="header47.xml"/><Relationship Id="rId128" Type="http://schemas.openxmlformats.org/officeDocument/2006/relationships/fontTable" Target="fontTable.xml"/><Relationship Id="rId5" Type="http://schemas.openxmlformats.org/officeDocument/2006/relationships/settings" Target="settings.xml"/><Relationship Id="rId90" Type="http://schemas.openxmlformats.org/officeDocument/2006/relationships/footer" Target="footer45.xml"/><Relationship Id="rId95" Type="http://schemas.openxmlformats.org/officeDocument/2006/relationships/header" Target="header35.xml"/><Relationship Id="rId19" Type="http://schemas.openxmlformats.org/officeDocument/2006/relationships/footer" Target="footer6.xml"/><Relationship Id="rId14" Type="http://schemas.openxmlformats.org/officeDocument/2006/relationships/header" Target="header1.xml"/><Relationship Id="rId22" Type="http://schemas.openxmlformats.org/officeDocument/2006/relationships/footer" Target="footer7.xml"/><Relationship Id="rId27" Type="http://schemas.openxmlformats.org/officeDocument/2006/relationships/header" Target="header8.xml"/><Relationship Id="rId30" Type="http://schemas.openxmlformats.org/officeDocument/2006/relationships/header" Target="header9.xml"/><Relationship Id="rId35" Type="http://schemas.openxmlformats.org/officeDocument/2006/relationships/footer" Target="footer13.xml"/><Relationship Id="rId43" Type="http://schemas.openxmlformats.org/officeDocument/2006/relationships/footer" Target="footer18.xml"/><Relationship Id="rId48" Type="http://schemas.openxmlformats.org/officeDocument/2006/relationships/footer" Target="footer21.xml"/><Relationship Id="rId56" Type="http://schemas.openxmlformats.org/officeDocument/2006/relationships/header" Target="header18.xml"/><Relationship Id="rId64" Type="http://schemas.openxmlformats.org/officeDocument/2006/relationships/footer" Target="footer31.xml"/><Relationship Id="rId69" Type="http://schemas.openxmlformats.org/officeDocument/2006/relationships/header" Target="header23.xml"/><Relationship Id="rId77" Type="http://schemas.openxmlformats.org/officeDocument/2006/relationships/header" Target="header26.xml"/><Relationship Id="rId100" Type="http://schemas.openxmlformats.org/officeDocument/2006/relationships/footer" Target="footer51.xml"/><Relationship Id="rId105" Type="http://schemas.openxmlformats.org/officeDocument/2006/relationships/header" Target="header38.xml"/><Relationship Id="rId113" Type="http://schemas.openxmlformats.org/officeDocument/2006/relationships/footer" Target="footer59.xml"/><Relationship Id="rId118" Type="http://schemas.openxmlformats.org/officeDocument/2006/relationships/footer" Target="footer61.xml"/><Relationship Id="rId126" Type="http://schemas.openxmlformats.org/officeDocument/2006/relationships/header" Target="header48.xml"/><Relationship Id="rId8" Type="http://schemas.openxmlformats.org/officeDocument/2006/relationships/endnotes" Target="endnotes.xml"/><Relationship Id="rId51" Type="http://schemas.openxmlformats.org/officeDocument/2006/relationships/footer" Target="footer23.xml"/><Relationship Id="rId72" Type="http://schemas.openxmlformats.org/officeDocument/2006/relationships/header" Target="header24.xml"/><Relationship Id="rId80" Type="http://schemas.openxmlformats.org/officeDocument/2006/relationships/header" Target="header27.xml"/><Relationship Id="rId85" Type="http://schemas.openxmlformats.org/officeDocument/2006/relationships/footer" Target="footer43.xml"/><Relationship Id="rId93" Type="http://schemas.openxmlformats.org/officeDocument/2006/relationships/footer" Target="footer47.xml"/><Relationship Id="rId98" Type="http://schemas.openxmlformats.org/officeDocument/2006/relationships/header" Target="header36.xml"/><Relationship Id="rId121" Type="http://schemas.openxmlformats.org/officeDocument/2006/relationships/footer" Target="footer63.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header" Target="header10.xml"/><Relationship Id="rId38" Type="http://schemas.openxmlformats.org/officeDocument/2006/relationships/footer" Target="footer15.xml"/><Relationship Id="rId46" Type="http://schemas.openxmlformats.org/officeDocument/2006/relationships/header" Target="header13.xml"/><Relationship Id="rId59" Type="http://schemas.openxmlformats.org/officeDocument/2006/relationships/footer" Target="footer28.xml"/><Relationship Id="rId67" Type="http://schemas.openxmlformats.org/officeDocument/2006/relationships/footer" Target="footer33.xml"/><Relationship Id="rId103" Type="http://schemas.openxmlformats.org/officeDocument/2006/relationships/footer" Target="footer54.xml"/><Relationship Id="rId108" Type="http://schemas.openxmlformats.org/officeDocument/2006/relationships/header" Target="header39.xml"/><Relationship Id="rId116" Type="http://schemas.openxmlformats.org/officeDocument/2006/relationships/header" Target="header43.xml"/><Relationship Id="rId124" Type="http://schemas.openxmlformats.org/officeDocument/2006/relationships/footer" Target="footer64.xml"/><Relationship Id="rId129" Type="http://schemas.openxmlformats.org/officeDocument/2006/relationships/theme" Target="theme/theme1.xml"/><Relationship Id="rId20" Type="http://schemas.openxmlformats.org/officeDocument/2006/relationships/header" Target="header4.xml"/><Relationship Id="rId41" Type="http://schemas.openxmlformats.org/officeDocument/2006/relationships/image" Target="media/image4.emf"/><Relationship Id="rId54" Type="http://schemas.openxmlformats.org/officeDocument/2006/relationships/footer" Target="footer24.xml"/><Relationship Id="rId62" Type="http://schemas.openxmlformats.org/officeDocument/2006/relationships/header" Target="header19.xml"/><Relationship Id="rId70" Type="http://schemas.openxmlformats.org/officeDocument/2006/relationships/footer" Target="footer34.xml"/><Relationship Id="rId75" Type="http://schemas.openxmlformats.org/officeDocument/2006/relationships/footer" Target="footer38.xml"/><Relationship Id="rId83" Type="http://schemas.openxmlformats.org/officeDocument/2006/relationships/header" Target="header29.xml"/><Relationship Id="rId88" Type="http://schemas.openxmlformats.org/officeDocument/2006/relationships/header" Target="header31.xml"/><Relationship Id="rId91" Type="http://schemas.openxmlformats.org/officeDocument/2006/relationships/footer" Target="footer46.xml"/><Relationship Id="rId96" Type="http://schemas.openxmlformats.org/officeDocument/2006/relationships/footer" Target="footer48.xml"/><Relationship Id="rId111" Type="http://schemas.openxmlformats.org/officeDocument/2006/relationships/header" Target="header4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footer" Target="footer8.xml"/><Relationship Id="rId28" Type="http://schemas.openxmlformats.org/officeDocument/2006/relationships/footer" Target="footer10.xml"/><Relationship Id="rId36" Type="http://schemas.openxmlformats.org/officeDocument/2006/relationships/footer" Target="footer14.xml"/><Relationship Id="rId49" Type="http://schemas.openxmlformats.org/officeDocument/2006/relationships/footer" Target="footer22.xml"/><Relationship Id="rId57" Type="http://schemas.openxmlformats.org/officeDocument/2006/relationships/footer" Target="footer26.xml"/><Relationship Id="rId106" Type="http://schemas.openxmlformats.org/officeDocument/2006/relationships/footer" Target="footer55.xml"/><Relationship Id="rId114" Type="http://schemas.openxmlformats.org/officeDocument/2006/relationships/header" Target="header42.xml"/><Relationship Id="rId119" Type="http://schemas.openxmlformats.org/officeDocument/2006/relationships/footer" Target="footer62.xml"/><Relationship Id="rId127" Type="http://schemas.openxmlformats.org/officeDocument/2006/relationships/footer" Target="footer66.xml"/><Relationship Id="rId10" Type="http://schemas.openxmlformats.org/officeDocument/2006/relationships/image" Target="media/image2.emf"/><Relationship Id="rId31" Type="http://schemas.openxmlformats.org/officeDocument/2006/relationships/footer" Target="footer12.xml"/><Relationship Id="rId44" Type="http://schemas.openxmlformats.org/officeDocument/2006/relationships/footer" Target="footer19.xml"/><Relationship Id="rId52" Type="http://schemas.openxmlformats.org/officeDocument/2006/relationships/header" Target="header16.xml"/><Relationship Id="rId60" Type="http://schemas.openxmlformats.org/officeDocument/2006/relationships/footer" Target="footer29.xml"/><Relationship Id="rId65" Type="http://schemas.openxmlformats.org/officeDocument/2006/relationships/footer" Target="footer32.xml"/><Relationship Id="rId73" Type="http://schemas.openxmlformats.org/officeDocument/2006/relationships/footer" Target="footer36.xml"/><Relationship Id="rId78" Type="http://schemas.openxmlformats.org/officeDocument/2006/relationships/footer" Target="footer39.xml"/><Relationship Id="rId81" Type="http://schemas.openxmlformats.org/officeDocument/2006/relationships/footer" Target="footer41.xml"/><Relationship Id="rId86" Type="http://schemas.openxmlformats.org/officeDocument/2006/relationships/header" Target="header30.xml"/><Relationship Id="rId94" Type="http://schemas.openxmlformats.org/officeDocument/2006/relationships/header" Target="header34.xml"/><Relationship Id="rId99" Type="http://schemas.openxmlformats.org/officeDocument/2006/relationships/footer" Target="footer50.xml"/><Relationship Id="rId101" Type="http://schemas.openxmlformats.org/officeDocument/2006/relationships/footer" Target="footer52.xml"/><Relationship Id="rId122" Type="http://schemas.openxmlformats.org/officeDocument/2006/relationships/header" Target="header46.xml"/><Relationship Id="rId4" Type="http://schemas.microsoft.com/office/2007/relationships/stylesWithEffects" Target="stylesWithEffects.xml"/><Relationship Id="rId9" Type="http://schemas.openxmlformats.org/officeDocument/2006/relationships/image" Target="media/image1.wmf"/><Relationship Id="rId13" Type="http://schemas.openxmlformats.org/officeDocument/2006/relationships/footer" Target="footer3.xml"/><Relationship Id="rId18" Type="http://schemas.openxmlformats.org/officeDocument/2006/relationships/header" Target="header3.xml"/><Relationship Id="rId39" Type="http://schemas.openxmlformats.org/officeDocument/2006/relationships/footer" Target="footer16.xml"/><Relationship Id="rId109" Type="http://schemas.openxmlformats.org/officeDocument/2006/relationships/footer" Target="footer57.xml"/><Relationship Id="rId34" Type="http://schemas.openxmlformats.org/officeDocument/2006/relationships/header" Target="header11.xml"/><Relationship Id="rId50" Type="http://schemas.openxmlformats.org/officeDocument/2006/relationships/header" Target="header15.xml"/><Relationship Id="rId55" Type="http://schemas.openxmlformats.org/officeDocument/2006/relationships/footer" Target="footer25.xml"/><Relationship Id="rId76" Type="http://schemas.openxmlformats.org/officeDocument/2006/relationships/header" Target="header25.xml"/><Relationship Id="rId97" Type="http://schemas.openxmlformats.org/officeDocument/2006/relationships/footer" Target="footer49.xml"/><Relationship Id="rId104" Type="http://schemas.openxmlformats.org/officeDocument/2006/relationships/header" Target="header37.xml"/><Relationship Id="rId120" Type="http://schemas.openxmlformats.org/officeDocument/2006/relationships/header" Target="header45.xml"/><Relationship Id="rId125" Type="http://schemas.openxmlformats.org/officeDocument/2006/relationships/footer" Target="footer65.xml"/><Relationship Id="rId7" Type="http://schemas.openxmlformats.org/officeDocument/2006/relationships/footnotes" Target="footnotes.xml"/><Relationship Id="rId71" Type="http://schemas.openxmlformats.org/officeDocument/2006/relationships/footer" Target="footer35.xml"/><Relationship Id="rId92" Type="http://schemas.openxmlformats.org/officeDocument/2006/relationships/header" Target="header33.xml"/><Relationship Id="rId2" Type="http://schemas.openxmlformats.org/officeDocument/2006/relationships/numbering" Target="numbering.xml"/><Relationship Id="rId29" Type="http://schemas.openxmlformats.org/officeDocument/2006/relationships/footer" Target="footer11.xml"/><Relationship Id="rId24" Type="http://schemas.openxmlformats.org/officeDocument/2006/relationships/header" Target="header6.xml"/><Relationship Id="rId40" Type="http://schemas.openxmlformats.org/officeDocument/2006/relationships/footer" Target="footer17.xml"/><Relationship Id="rId45" Type="http://schemas.openxmlformats.org/officeDocument/2006/relationships/footer" Target="footer20.xml"/><Relationship Id="rId66" Type="http://schemas.openxmlformats.org/officeDocument/2006/relationships/header" Target="header21.xml"/><Relationship Id="rId87" Type="http://schemas.openxmlformats.org/officeDocument/2006/relationships/footer" Target="footer44.xml"/><Relationship Id="rId110" Type="http://schemas.openxmlformats.org/officeDocument/2006/relationships/header" Target="header40.xml"/><Relationship Id="rId115" Type="http://schemas.openxmlformats.org/officeDocument/2006/relationships/footer" Target="footer60.xml"/><Relationship Id="rId61" Type="http://schemas.openxmlformats.org/officeDocument/2006/relationships/footer" Target="footer30.xml"/><Relationship Id="rId82" Type="http://schemas.openxmlformats.org/officeDocument/2006/relationships/header" Target="header28.xml"/></Relationships>
</file>

<file path=word/_rels/settings.xml.rels><?xml version="1.0" encoding="UTF-8" standalone="yes"?>
<Relationships xmlns="http://schemas.openxmlformats.org/package/2006/relationships"><Relationship Id="rId1" Type="http://schemas.openxmlformats.org/officeDocument/2006/relationships/attachedTemplate" Target="file:///\\PVFDTF001\DTF_APPS01$\DTF\ZEN\Template\Publication.dotx" TargetMode="External"/></Relationships>
</file>

<file path=word/theme/theme1.xml><?xml version="1.0" encoding="utf-8"?>
<a:theme xmlns:a="http://schemas.openxmlformats.org/drawingml/2006/main" name="DTF standard">
  <a:themeElements>
    <a:clrScheme name="DTF colours">
      <a:dk1>
        <a:sysClr val="windowText" lastClr="000000"/>
      </a:dk1>
      <a:lt1>
        <a:sysClr val="window" lastClr="FFFFFF"/>
      </a:lt1>
      <a:dk2>
        <a:srgbClr val="201547"/>
      </a:dk2>
      <a:lt2>
        <a:srgbClr val="EBEBEB"/>
      </a:lt2>
      <a:accent1>
        <a:srgbClr val="0063A6"/>
      </a:accent1>
      <a:accent2>
        <a:srgbClr val="00497A"/>
      </a:accent2>
      <a:accent3>
        <a:srgbClr val="749CC9"/>
      </a:accent3>
      <a:accent4>
        <a:srgbClr val="0072CE"/>
      </a:accent4>
      <a:accent5>
        <a:srgbClr val="009CDE"/>
      </a:accent5>
      <a:accent6>
        <a:srgbClr val="8A2A2B"/>
      </a:accent6>
      <a:hlink>
        <a:srgbClr val="53565A"/>
      </a:hlink>
      <a:folHlink>
        <a:srgbClr val="8A2A2B"/>
      </a:folHlink>
    </a:clrScheme>
    <a:fontScheme name="DTF publications">
      <a:majorFont>
        <a:latin typeface="Calibri"/>
        <a:ea typeface=""/>
        <a:cs typeface=""/>
      </a:majorFont>
      <a:minorFont>
        <a:latin typeface="Garamond"/>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0440A9-88F2-4AB7-BB3D-E49C4EF84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Publication.dotx</Template>
  <TotalTime>163</TotalTime>
  <Pages>149</Pages>
  <Words>43839</Words>
  <Characters>227087</Characters>
  <Application>Microsoft Office Word</Application>
  <DocSecurity>0</DocSecurity>
  <Lines>13358</Lines>
  <Paragraphs>11288</Paragraphs>
  <ScaleCrop>false</ScaleCrop>
  <HeadingPairs>
    <vt:vector size="2" baseType="variant">
      <vt:variant>
        <vt:lpstr>Title</vt:lpstr>
      </vt:variant>
      <vt:variant>
        <vt:i4>1</vt:i4>
      </vt:variant>
    </vt:vector>
  </HeadingPairs>
  <TitlesOfParts>
    <vt:vector size="1" baseType="lpstr">
      <vt:lpstr>Chapter 1 – Economic and fiscal overview</vt:lpstr>
    </vt:vector>
  </TitlesOfParts>
  <Company>Victorian Government</Company>
  <LinksUpToDate>false</LinksUpToDate>
  <CharactersWithSpaces>259638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 – Economic and fiscal overview</dc:title>
  <dc:subject>2017-18 Budget Update</dc:subject>
  <dc:creator>Leigh Anlezark</dc:creator>
  <cp:lastModifiedBy>Leigh Anlezark</cp:lastModifiedBy>
  <cp:revision>14</cp:revision>
  <cp:lastPrinted>2017-12-07T07:47:00Z</cp:lastPrinted>
  <dcterms:created xsi:type="dcterms:W3CDTF">2017-12-08T03:49:00Z</dcterms:created>
  <dcterms:modified xsi:type="dcterms:W3CDTF">2017-12-11T04:26:00Z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apterNumber">
    <vt:lpwstr>Chapter 1</vt:lpwstr>
  </property>
  <property fmtid="{D5CDD505-2E9C-101B-9397-08002B2CF9AE}" pid="3" name="TitusGUID">
    <vt:lpwstr>7711691c-f4b3-4c4e-bc1f-43790f1a2a00</vt:lpwstr>
  </property>
  <property fmtid="{D5CDD505-2E9C-101B-9397-08002B2CF9AE}" pid="4" name="PSPFClassification">
    <vt:lpwstr>Do Not Mark</vt:lpwstr>
  </property>
</Properties>
</file>